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723265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748665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w:t>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4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___________________</w:t>
      </w:r>
    </w:p>
    <w:p>
      <w:pPr>
        <w:sectPr>
          <w:pgSz w:w="11900" w:h="16838" w:orient="portrait"/>
          <w:cols w:equalWidth="0" w:num="1">
            <w:col w:w="10139"/>
          </w:cols>
          <w:pgMar w:left="320" w:top="1440" w:right="1440" w:bottom="1440" w:gutter="0" w:footer="0" w:header="0"/>
        </w:sectPr>
      </w:pPr>
    </w:p>
    <w:p>
      <w:pPr>
        <w:spacing w:after="0" w:line="267" w:lineRule="exact"/>
        <w:rPr>
          <w:sz w:val="24"/>
          <w:szCs w:val="24"/>
          <w:color w:val="auto"/>
        </w:rPr>
      </w:pPr>
    </w:p>
    <w:p>
      <w:pPr>
        <w:ind w:left="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840" w:space="700"/>
            <w:col w:w="7599"/>
          </w:cols>
          <w:pgMar w:left="320" w:top="1440" w:right="1440"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7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200" w:lineRule="exact"/>
        <w:rPr>
          <w:sz w:val="24"/>
          <w:szCs w:val="24"/>
          <w:color w:val="auto"/>
        </w:rPr>
      </w:pPr>
    </w:p>
    <w:p>
      <w:pPr>
        <w:spacing w:after="0" w:line="204"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90"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6"/>
          <w:szCs w:val="16"/>
          <w:color w:val="auto"/>
          <w:highlight w:val="black"/>
        </w:rPr>
      </w:pPr>
      <w:r>
        <w:rPr>
          <w:rFonts w:ascii="Arial" w:cs="Arial" w:eastAsia="Arial" w:hAnsi="Arial"/>
          <w:sz w:val="16"/>
          <w:szCs w:val="16"/>
          <w:color w:val="auto"/>
        </w:rPr>
        <w:t>No fee required.</w:t>
      </w:r>
    </w:p>
    <w:p>
      <w:pPr>
        <w:spacing w:after="0" w:line="113"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3599815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2892425</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166370</wp:posOffset>
            </wp:positionV>
            <wp:extent cx="2049145"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91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are cordially invited to attend the 2023 annual meeting of stockholders on Thursday, April 27, 2023, in the auditorium on our property at 12500 TI Boulevard, Dallas, Texas, at 8:30 a.m. (Central time). If you plan to attend the annual meeting, please see “Attendance and instructions for the annual meeting.” At the meeting we will consider and act upon the following matters: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amendment and restatement of the TI Employees 2014 Stock Purchase Plan to extend the termination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on the frequency of future advisory votes on executive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stockholder proposals, if properly presented,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March 1, 2023, are entitled to vote at the annual meeting.</w:t>
      </w:r>
    </w:p>
    <w:p>
      <w:pPr>
        <w:spacing w:after="0" w:line="225"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auto"/>
        </w:rPr>
        <w:t>We urge you to vote your shares as promptly as possible by (i) accessing the voting website, (ii) calling the toll-free number or (iii) signing, dating and mailing the enclosed proxy.</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34925</wp:posOffset>
            </wp:positionV>
            <wp:extent cx="220281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028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Cynthia Hoff Trochu</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Secretary and General Counsel</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242424"/>
        </w:rPr>
        <w:t>2023 PROXY STATEMENT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11020"/>
          </w:cols>
          <w:pgMar w:left="340" w:top="773" w:right="5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Notice of 2023 annual meeting of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Voting procedures, quorum and attendance requirements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board of directors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Election of directors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nominees, qualifications and experience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nomination process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Communications with the board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Corporate governance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Annual meeting attendance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independence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organization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and committee meetings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Committees of the board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evaluation process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leadership structure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Risk oversight by the board</w:t>
      </w:r>
    </w:p>
    <w:p>
      <w:pPr>
        <w:spacing w:after="0" w:line="63" w:lineRule="exact"/>
        <w:rPr>
          <w:sz w:val="20"/>
          <w:szCs w:val="20"/>
          <w:color w:val="auto"/>
        </w:rPr>
      </w:pPr>
    </w:p>
    <w:p>
      <w:pPr>
        <w:ind w:left="240" w:right="1180"/>
        <w:spacing w:after="0" w:line="281" w:lineRule="auto"/>
        <w:rPr>
          <w:sz w:val="20"/>
          <w:szCs w:val="20"/>
          <w:color w:val="auto"/>
        </w:rPr>
      </w:pPr>
      <w:r>
        <w:rPr>
          <w:rFonts w:ascii="Arial" w:cs="Arial" w:eastAsia="Arial" w:hAnsi="Arial"/>
          <w:sz w:val="18"/>
          <w:szCs w:val="18"/>
          <w:color w:val="auto"/>
        </w:rPr>
        <w:t>Board oversight of environmental, social and governance (ESG) matters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Proposal to approve amendment and restatement of the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 Employees 2014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Purchase Plan</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63" w:lineRule="exact"/>
        <w:rPr>
          <w:sz w:val="20"/>
          <w:szCs w:val="20"/>
          <w:color w:val="auto"/>
        </w:rPr>
      </w:pPr>
    </w:p>
    <w:p>
      <w:pPr>
        <w:ind w:left="120" w:right="400"/>
        <w:spacing w:after="0" w:line="281" w:lineRule="auto"/>
        <w:rPr>
          <w:sz w:val="20"/>
          <w:szCs w:val="20"/>
          <w:color w:val="auto"/>
        </w:rPr>
      </w:pPr>
      <w:r>
        <w:rPr>
          <w:rFonts w:ascii="Arial" w:cs="Arial" w:eastAsia="Arial" w:hAnsi="Arial"/>
          <w:sz w:val="18"/>
          <w:szCs w:val="18"/>
          <w:color w:val="auto"/>
        </w:rPr>
        <w:t>Proposal regarding advisory vote on future advisory votes on executive compensation</w:t>
      </w:r>
    </w:p>
    <w:p>
      <w:pPr>
        <w:spacing w:after="0" w:line="1" w:lineRule="exact"/>
        <w:rPr>
          <w:sz w:val="20"/>
          <w:szCs w:val="20"/>
          <w:color w:val="auto"/>
        </w:rPr>
      </w:pPr>
    </w:p>
    <w:p>
      <w:pPr>
        <w:ind w:left="120" w:right="120"/>
        <w:spacing w:after="0" w:line="281" w:lineRule="auto"/>
        <w:rPr>
          <w:sz w:val="20"/>
          <w:szCs w:val="20"/>
          <w:color w:val="auto"/>
        </w:rPr>
      </w:pPr>
      <w:r>
        <w:rPr>
          <w:rFonts w:ascii="Arial" w:cs="Arial" w:eastAsia="Arial" w:hAnsi="Arial"/>
          <w:sz w:val="18"/>
          <w:szCs w:val="18"/>
          <w:color w:val="auto"/>
        </w:rPr>
        <w:t>Proposal regarding advisory approval of the company’s executive compensation</w:t>
      </w:r>
    </w:p>
    <w:p>
      <w:pPr>
        <w:spacing w:after="0" w:line="1" w:lineRule="exact"/>
        <w:rPr>
          <w:sz w:val="20"/>
          <w:szCs w:val="20"/>
          <w:color w:val="auto"/>
        </w:rPr>
      </w:pPr>
    </w:p>
    <w:p>
      <w:pPr>
        <w:ind w:left="240" w:right="1400" w:hanging="134"/>
        <w:spacing w:after="0" w:line="313" w:lineRule="auto"/>
        <w:rPr>
          <w:sz w:val="20"/>
          <w:szCs w:val="20"/>
          <w:color w:val="auto"/>
        </w:rPr>
      </w:pPr>
      <w:r>
        <w:rPr>
          <w:rFonts w:ascii="Arial" w:cs="Arial" w:eastAsia="Arial" w:hAnsi="Arial"/>
          <w:sz w:val="18"/>
          <w:szCs w:val="18"/>
          <w:color w:val="auto"/>
        </w:rPr>
        <w:t>Compensation discussion and analysis Executive summary</w:t>
      </w:r>
    </w:p>
    <w:p>
      <w:pPr>
        <w:ind w:left="240"/>
        <w:spacing w:after="0"/>
        <w:rPr>
          <w:sz w:val="20"/>
          <w:szCs w:val="20"/>
          <w:color w:val="auto"/>
        </w:rPr>
      </w:pPr>
      <w:r>
        <w:rPr>
          <w:rFonts w:ascii="Arial" w:cs="Arial" w:eastAsia="Arial" w:hAnsi="Arial"/>
          <w:sz w:val="18"/>
          <w:szCs w:val="18"/>
          <w:color w:val="auto"/>
        </w:rPr>
        <w:t>Compensation philosophy and elements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Analysis of compensation determinations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Recoupment policy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ownership guidelines and policy against hedging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104"/>
        <w:spacing w:after="0"/>
        <w:tabs>
          <w:tab w:leader="none" w:pos="683" w:val="left"/>
          <w:tab w:leader="none" w:pos="5683"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Compensation Committee report</w:t>
      </w:r>
      <w:r>
        <w:rPr>
          <w:sz w:val="20"/>
          <w:szCs w:val="20"/>
          <w:color w:val="auto"/>
        </w:rPr>
        <w:tab/>
      </w:r>
      <w:r>
        <w:rPr>
          <w:rFonts w:ascii="Arial" w:cs="Arial" w:eastAsia="Arial" w:hAnsi="Arial"/>
          <w:sz w:val="17"/>
          <w:szCs w:val="17"/>
          <w:color w:val="auto"/>
        </w:rPr>
        <w:t>40</w:t>
      </w:r>
    </w:p>
    <w:p>
      <w:pPr>
        <w:spacing w:after="0" w:line="63" w:lineRule="exact"/>
        <w:rPr>
          <w:sz w:val="20"/>
          <w:szCs w:val="20"/>
          <w:color w:val="auto"/>
        </w:rPr>
      </w:pPr>
    </w:p>
    <w:p>
      <w:pPr>
        <w:ind w:left="704" w:hanging="604"/>
        <w:spacing w:after="0"/>
        <w:tabs>
          <w:tab w:leader="none" w:pos="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2022 compensation tables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ind w:left="824" w:hanging="724"/>
        <w:spacing w:after="0" w:line="184" w:lineRule="auto"/>
        <w:tabs>
          <w:tab w:leader="none" w:pos="824" w:val="left"/>
        </w:tabs>
        <w:numPr>
          <w:ilvl w:val="0"/>
          <w:numId w:val="8"/>
        </w:numPr>
        <w:rPr>
          <w:rFonts w:ascii="Arial" w:cs="Arial" w:eastAsia="Arial" w:hAnsi="Arial"/>
          <w:sz w:val="28"/>
          <w:szCs w:val="28"/>
          <w:color w:val="auto"/>
          <w:vertAlign w:val="subscript"/>
        </w:rPr>
      </w:pPr>
      <w:r>
        <w:rPr>
          <w:rFonts w:ascii="Arial" w:cs="Arial" w:eastAsia="Arial" w:hAnsi="Arial"/>
          <w:sz w:val="15"/>
          <w:szCs w:val="15"/>
          <w:color w:val="auto"/>
        </w:rPr>
        <w:t>2022 summary compensation table</w:t>
      </w:r>
    </w:p>
    <w:p>
      <w:pPr>
        <w:spacing w:after="0" w:line="50" w:lineRule="exact"/>
        <w:rPr>
          <w:sz w:val="20"/>
          <w:szCs w:val="20"/>
          <w:color w:val="auto"/>
        </w:rPr>
      </w:pPr>
    </w:p>
    <w:tbl>
      <w:tblPr>
        <w:tblLayout w:type="fixed"/>
        <w:tblInd w:w="4" w:type="dxa"/>
        <w:tblCellMar>
          <w:top w:w="0" w:type="dxa"/>
          <w:left w:w="0" w:type="dxa"/>
          <w:bottom w:w="0" w:type="dxa"/>
          <w:right w:w="0" w:type="dxa"/>
        </w:tblCellMar>
      </w:tblPr>
      <w:tr>
        <w:trPr>
          <w:trHeight w:val="252"/>
        </w:trPr>
        <w:tc>
          <w:tcPr>
            <w:tcW w:w="4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4800" w:type="dxa"/>
            <w:vAlign w:val="bottom"/>
          </w:tcPr>
          <w:p>
            <w:pPr>
              <w:ind w:left="380"/>
              <w:spacing w:after="0"/>
              <w:rPr>
                <w:sz w:val="20"/>
                <w:szCs w:val="20"/>
                <w:color w:val="auto"/>
              </w:rPr>
            </w:pPr>
            <w:r>
              <w:rPr>
                <w:rFonts w:ascii="Arial" w:cs="Arial" w:eastAsia="Arial" w:hAnsi="Arial"/>
                <w:sz w:val="18"/>
                <w:szCs w:val="18"/>
                <w:color w:val="auto"/>
              </w:rPr>
              <w:t>Grants of plan-based awards in 2022</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4"/>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12</w:t>
            </w:r>
          </w:p>
        </w:tc>
        <w:tc>
          <w:tcPr>
            <w:tcW w:w="4800" w:type="dxa"/>
            <w:vAlign w:val="bottom"/>
          </w:tcPr>
          <w:p>
            <w:pPr>
              <w:ind w:left="380"/>
              <w:spacing w:after="0"/>
              <w:rPr>
                <w:sz w:val="20"/>
                <w:szCs w:val="20"/>
                <w:color w:val="auto"/>
              </w:rPr>
            </w:pPr>
            <w:r>
              <w:rPr>
                <w:rFonts w:ascii="Arial" w:cs="Arial" w:eastAsia="Arial" w:hAnsi="Arial"/>
                <w:sz w:val="18"/>
                <w:szCs w:val="18"/>
                <w:color w:val="auto"/>
              </w:rPr>
              <w:t>Outstanding equity awards at fiscal</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9"/>
        </w:trPr>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w w:val="89"/>
              </w:rPr>
              <w:t>12</w:t>
            </w:r>
          </w:p>
        </w:tc>
        <w:tc>
          <w:tcPr>
            <w:tcW w:w="4800" w:type="dxa"/>
            <w:vAlign w:val="bottom"/>
          </w:tcPr>
          <w:p>
            <w:pPr>
              <w:ind w:left="380"/>
              <w:spacing w:after="0"/>
              <w:rPr>
                <w:sz w:val="20"/>
                <w:szCs w:val="20"/>
                <w:color w:val="auto"/>
              </w:rPr>
            </w:pPr>
            <w:r>
              <w:rPr>
                <w:rFonts w:ascii="Arial" w:cs="Arial" w:eastAsia="Arial" w:hAnsi="Arial"/>
                <w:sz w:val="18"/>
                <w:szCs w:val="18"/>
                <w:color w:val="auto"/>
              </w:rPr>
              <w:t>year-end 2022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40" w:type="dxa"/>
            <w:vAlign w:val="bottom"/>
            <w:vMerge w:val="continue"/>
          </w:tcPr>
          <w:p>
            <w:pPr>
              <w:spacing w:after="0"/>
              <w:rPr>
                <w:sz w:val="7"/>
                <w:szCs w:val="7"/>
                <w:color w:val="auto"/>
              </w:rPr>
            </w:pPr>
          </w:p>
        </w:tc>
        <w:tc>
          <w:tcPr>
            <w:tcW w:w="48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2"/>
        </w:trPr>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w w:val="89"/>
              </w:rPr>
              <w:t>12</w:t>
            </w:r>
          </w:p>
        </w:tc>
        <w:tc>
          <w:tcPr>
            <w:tcW w:w="4800" w:type="dxa"/>
            <w:vAlign w:val="bottom"/>
            <w:vMerge w:val="restart"/>
          </w:tcPr>
          <w:p>
            <w:pPr>
              <w:ind w:left="380"/>
              <w:spacing w:after="0"/>
              <w:rPr>
                <w:sz w:val="20"/>
                <w:szCs w:val="20"/>
                <w:color w:val="auto"/>
              </w:rPr>
            </w:pPr>
            <w:r>
              <w:rPr>
                <w:rFonts w:ascii="Arial" w:cs="Arial" w:eastAsia="Arial" w:hAnsi="Arial"/>
                <w:sz w:val="18"/>
                <w:szCs w:val="18"/>
                <w:color w:val="auto"/>
              </w:rPr>
              <w:t>2022 option exercises and stock vested</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40" w:type="dxa"/>
            <w:vAlign w:val="bottom"/>
            <w:vMerge w:val="continue"/>
          </w:tcPr>
          <w:p>
            <w:pPr>
              <w:spacing w:after="0"/>
              <w:rPr>
                <w:sz w:val="9"/>
                <w:szCs w:val="9"/>
                <w:color w:val="auto"/>
              </w:rPr>
            </w:pPr>
          </w:p>
        </w:tc>
        <w:tc>
          <w:tcPr>
            <w:tcW w:w="48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w w:val="89"/>
              </w:rPr>
              <w:t>12</w:t>
            </w:r>
          </w:p>
        </w:tc>
        <w:tc>
          <w:tcPr>
            <w:tcW w:w="48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40" w:type="dxa"/>
            <w:vAlign w:val="bottom"/>
            <w:vMerge w:val="continue"/>
          </w:tcPr>
          <w:p>
            <w:pPr>
              <w:spacing w:after="0"/>
              <w:rPr>
                <w:sz w:val="14"/>
                <w:szCs w:val="14"/>
                <w:color w:val="auto"/>
              </w:rPr>
            </w:pPr>
          </w:p>
        </w:tc>
        <w:tc>
          <w:tcPr>
            <w:tcW w:w="48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w w:val="89"/>
              </w:rPr>
              <w:t>12</w:t>
            </w:r>
          </w:p>
        </w:tc>
        <w:tc>
          <w:tcPr>
            <w:tcW w:w="4800" w:type="dxa"/>
            <w:vAlign w:val="bottom"/>
            <w:vMerge w:val="restart"/>
          </w:tcPr>
          <w:p>
            <w:pPr>
              <w:ind w:left="380"/>
              <w:spacing w:after="0"/>
              <w:rPr>
                <w:sz w:val="20"/>
                <w:szCs w:val="20"/>
                <w:color w:val="auto"/>
              </w:rPr>
            </w:pPr>
            <w:r>
              <w:rPr>
                <w:rFonts w:ascii="Arial" w:cs="Arial" w:eastAsia="Arial" w:hAnsi="Arial"/>
                <w:sz w:val="18"/>
                <w:szCs w:val="18"/>
                <w:color w:val="auto"/>
              </w:rPr>
              <w:t>2022 pension benefits</w:t>
            </w: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40" w:type="dxa"/>
            <w:vAlign w:val="bottom"/>
            <w:vMerge w:val="continue"/>
          </w:tcPr>
          <w:p>
            <w:pPr>
              <w:spacing w:after="0"/>
              <w:rPr>
                <w:sz w:val="16"/>
                <w:szCs w:val="16"/>
                <w:color w:val="auto"/>
              </w:rPr>
            </w:pPr>
          </w:p>
        </w:tc>
        <w:tc>
          <w:tcPr>
            <w:tcW w:w="48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14</w:t>
            </w:r>
          </w:p>
        </w:tc>
        <w:tc>
          <w:tcPr>
            <w:tcW w:w="48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9"/>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14</w:t>
            </w:r>
          </w:p>
        </w:tc>
        <w:tc>
          <w:tcPr>
            <w:tcW w:w="4800" w:type="dxa"/>
            <w:vAlign w:val="bottom"/>
          </w:tcPr>
          <w:p>
            <w:pPr>
              <w:ind w:left="380"/>
              <w:spacing w:after="0"/>
              <w:rPr>
                <w:sz w:val="20"/>
                <w:szCs w:val="20"/>
                <w:color w:val="auto"/>
              </w:rPr>
            </w:pPr>
            <w:r>
              <w:rPr>
                <w:rFonts w:ascii="Arial" w:cs="Arial" w:eastAsia="Arial" w:hAnsi="Arial"/>
                <w:sz w:val="18"/>
                <w:szCs w:val="18"/>
                <w:color w:val="auto"/>
              </w:rPr>
              <w:t>2022 non-qualified deferred compensation</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14</w:t>
            </w:r>
          </w:p>
        </w:tc>
        <w:tc>
          <w:tcPr>
            <w:tcW w:w="4800" w:type="dxa"/>
            <w:vAlign w:val="bottom"/>
          </w:tcPr>
          <w:p>
            <w:pPr>
              <w:ind w:left="380"/>
              <w:spacing w:after="0"/>
              <w:rPr>
                <w:sz w:val="20"/>
                <w:szCs w:val="20"/>
                <w:color w:val="auto"/>
              </w:rPr>
            </w:pPr>
            <w:r>
              <w:rPr>
                <w:rFonts w:ascii="Arial" w:cs="Arial" w:eastAsia="Arial" w:hAnsi="Arial"/>
                <w:sz w:val="18"/>
                <w:szCs w:val="18"/>
                <w:color w:val="auto"/>
              </w:rPr>
              <w:t>Potential payments upon termination or change in</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17</w:t>
            </w:r>
          </w:p>
        </w:tc>
        <w:tc>
          <w:tcPr>
            <w:tcW w:w="4800" w:type="dxa"/>
            <w:vAlign w:val="bottom"/>
          </w:tcPr>
          <w:p>
            <w:pPr>
              <w:ind w:left="380"/>
              <w:spacing w:after="0"/>
              <w:rPr>
                <w:sz w:val="20"/>
                <w:szCs w:val="20"/>
                <w:color w:val="auto"/>
              </w:rPr>
            </w:pPr>
            <w:r>
              <w:rPr>
                <w:rFonts w:ascii="Arial" w:cs="Arial" w:eastAsia="Arial" w:hAnsi="Arial"/>
                <w:sz w:val="18"/>
                <w:szCs w:val="18"/>
                <w:color w:val="auto"/>
              </w:rPr>
              <w:t>control</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17</w:t>
            </w:r>
          </w:p>
        </w:tc>
        <w:tc>
          <w:tcPr>
            <w:tcW w:w="4800" w:type="dxa"/>
            <w:vAlign w:val="bottom"/>
          </w:tcPr>
          <w:p>
            <w:pPr>
              <w:ind w:left="260"/>
              <w:spacing w:after="0"/>
              <w:rPr>
                <w:sz w:val="20"/>
                <w:szCs w:val="20"/>
                <w:color w:val="auto"/>
              </w:rPr>
            </w:pPr>
            <w:r>
              <w:rPr>
                <w:rFonts w:ascii="Arial" w:cs="Arial" w:eastAsia="Arial" w:hAnsi="Arial"/>
                <w:sz w:val="18"/>
                <w:szCs w:val="18"/>
                <w:color w:val="auto"/>
              </w:rPr>
              <w:t>Pay ratio</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8"/>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18</w:t>
            </w:r>
          </w:p>
        </w:tc>
        <w:tc>
          <w:tcPr>
            <w:tcW w:w="4800" w:type="dxa"/>
            <w:vAlign w:val="bottom"/>
          </w:tcPr>
          <w:p>
            <w:pPr>
              <w:ind w:left="260"/>
              <w:spacing w:after="0"/>
              <w:rPr>
                <w:sz w:val="20"/>
                <w:szCs w:val="20"/>
                <w:color w:val="auto"/>
              </w:rPr>
            </w:pPr>
            <w:r>
              <w:rPr>
                <w:rFonts w:ascii="Arial" w:cs="Arial" w:eastAsia="Arial" w:hAnsi="Arial"/>
                <w:sz w:val="18"/>
                <w:szCs w:val="18"/>
                <w:color w:val="auto"/>
              </w:rPr>
              <w:t>Pay versus performance</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ind w:left="584" w:hanging="584"/>
        <w:spacing w:after="0" w:line="183" w:lineRule="auto"/>
        <w:tabs>
          <w:tab w:leader="none" w:pos="584" w:val="left"/>
        </w:tabs>
        <w:numPr>
          <w:ilvl w:val="0"/>
          <w:numId w:val="9"/>
        </w:numPr>
        <w:rPr>
          <w:rFonts w:ascii="Arial" w:cs="Arial" w:eastAsia="Arial" w:hAnsi="Arial"/>
          <w:sz w:val="26"/>
          <w:szCs w:val="26"/>
          <w:color w:val="auto"/>
          <w:vertAlign w:val="subscript"/>
        </w:rPr>
      </w:pPr>
      <w:r>
        <w:rPr>
          <w:rFonts w:ascii="Arial" w:cs="Arial" w:eastAsia="Arial" w:hAnsi="Arial"/>
          <w:sz w:val="15"/>
          <w:szCs w:val="15"/>
          <w:b w:val="1"/>
          <w:bCs w:val="1"/>
          <w:color w:val="auto"/>
        </w:rPr>
        <w:t>Audit Committee matters</w:t>
      </w:r>
    </w:p>
    <w:p>
      <w:pPr>
        <w:spacing w:after="0" w:line="42" w:lineRule="exact"/>
        <w:rPr>
          <w:sz w:val="20"/>
          <w:szCs w:val="20"/>
          <w:color w:val="auto"/>
        </w:rPr>
      </w:pPr>
    </w:p>
    <w:tbl>
      <w:tblPr>
        <w:tblLayout w:type="fixed"/>
        <w:tblInd w:w="4"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Audit Committee report</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19</w:t>
            </w:r>
          </w:p>
        </w:tc>
        <w:tc>
          <w:tcPr>
            <w:tcW w:w="5040" w:type="dxa"/>
            <w:vAlign w:val="bottom"/>
          </w:tcPr>
          <w:p>
            <w:pPr>
              <w:ind w:left="300"/>
              <w:spacing w:after="0"/>
              <w:rPr>
                <w:sz w:val="20"/>
                <w:szCs w:val="20"/>
                <w:color w:val="auto"/>
              </w:rPr>
            </w:pPr>
            <w:r>
              <w:rPr>
                <w:rFonts w:ascii="Arial" w:cs="Arial" w:eastAsia="Arial" w:hAnsi="Arial"/>
                <w:sz w:val="18"/>
                <w:szCs w:val="18"/>
                <w:color w:val="auto"/>
              </w:rPr>
              <w:t>Proposal to ratify appointment of independent registered</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9"/>
        </w:trPr>
        <w:tc>
          <w:tcPr>
            <w:tcW w:w="4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public accounting firm</w:t>
            </w:r>
          </w:p>
        </w:tc>
        <w:tc>
          <w:tcPr>
            <w:tcW w:w="460" w:type="dxa"/>
            <w:vAlign w:val="bottom"/>
          </w:tcPr>
          <w:p>
            <w:pPr>
              <w:spacing w:after="0"/>
              <w:rPr>
                <w:sz w:val="20"/>
                <w:szCs w:val="20"/>
                <w:color w:val="auto"/>
              </w:rPr>
            </w:pPr>
          </w:p>
        </w:tc>
      </w:tr>
      <w:tr>
        <w:trPr>
          <w:trHeight w:val="265"/>
        </w:trPr>
        <w:tc>
          <w:tcPr>
            <w:tcW w:w="400" w:type="dxa"/>
            <w:vAlign w:val="bottom"/>
          </w:tcPr>
          <w:p>
            <w:pPr>
              <w:spacing w:after="0"/>
              <w:rPr>
                <w:sz w:val="23"/>
                <w:szCs w:val="23"/>
                <w:color w:val="auto"/>
              </w:rPr>
            </w:pPr>
          </w:p>
        </w:tc>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Stockholder proposals</w:t>
            </w: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bl>
    <w:p>
      <w:pPr>
        <w:ind w:left="584" w:hanging="584"/>
        <w:spacing w:after="0" w:line="184" w:lineRule="auto"/>
        <w:tabs>
          <w:tab w:leader="none" w:pos="584" w:val="left"/>
        </w:tabs>
        <w:numPr>
          <w:ilvl w:val="0"/>
          <w:numId w:val="10"/>
        </w:numPr>
        <w:rPr>
          <w:rFonts w:ascii="Arial" w:cs="Arial" w:eastAsia="Arial" w:hAnsi="Arial"/>
          <w:sz w:val="32"/>
          <w:szCs w:val="32"/>
          <w:color w:val="auto"/>
          <w:vertAlign w:val="superscript"/>
        </w:rPr>
      </w:pPr>
      <w:r>
        <w:rPr>
          <w:rFonts w:ascii="Arial" w:cs="Arial" w:eastAsia="Arial" w:hAnsi="Arial"/>
          <w:sz w:val="16"/>
          <w:szCs w:val="16"/>
          <w:b w:val="1"/>
          <w:bCs w:val="1"/>
          <w:color w:val="auto"/>
        </w:rPr>
        <w:t>Additional information</w:t>
      </w:r>
    </w:p>
    <w:p>
      <w:pPr>
        <w:spacing w:after="0" w:line="42" w:lineRule="exact"/>
        <w:rPr>
          <w:sz w:val="20"/>
          <w:szCs w:val="20"/>
          <w:color w:val="auto"/>
        </w:rPr>
      </w:pPr>
    </w:p>
    <w:tbl>
      <w:tblPr>
        <w:tblLayout w:type="fixed"/>
        <w:tblInd w:w="4" w:type="dxa"/>
        <w:tblCellMar>
          <w:top w:w="0" w:type="dxa"/>
          <w:left w:w="0" w:type="dxa"/>
          <w:bottom w:w="0" w:type="dxa"/>
          <w:right w:w="0" w:type="dxa"/>
        </w:tblCellMar>
      </w:tblPr>
      <w:tr>
        <w:trPr>
          <w:trHeight w:val="239"/>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25</w:t>
            </w:r>
          </w:p>
        </w:tc>
        <w:tc>
          <w:tcPr>
            <w:tcW w:w="5040" w:type="dxa"/>
            <w:vAlign w:val="bottom"/>
          </w:tcPr>
          <w:p>
            <w:pPr>
              <w:ind w:left="300"/>
              <w:spacing w:after="0"/>
              <w:rPr>
                <w:sz w:val="20"/>
                <w:szCs w:val="20"/>
                <w:color w:val="auto"/>
              </w:rPr>
            </w:pPr>
            <w:r>
              <w:rPr>
                <w:rFonts w:ascii="Arial" w:cs="Arial" w:eastAsia="Arial" w:hAnsi="Arial"/>
                <w:sz w:val="18"/>
                <w:szCs w:val="18"/>
                <w:color w:val="auto"/>
              </w:rPr>
              <w:t>Security ownership of certain beneficial owners</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00" w:type="dxa"/>
            <w:vAlign w:val="bottom"/>
            <w:vMerge w:val="continue"/>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Security ownership of directors and</w:t>
            </w: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9"/>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25</w:t>
            </w:r>
          </w:p>
        </w:tc>
        <w:tc>
          <w:tcPr>
            <w:tcW w:w="5040" w:type="dxa"/>
            <w:vAlign w:val="bottom"/>
          </w:tcPr>
          <w:p>
            <w:pPr>
              <w:ind w:left="300"/>
              <w:spacing w:after="0"/>
              <w:rPr>
                <w:sz w:val="20"/>
                <w:szCs w:val="20"/>
                <w:color w:val="auto"/>
              </w:rPr>
            </w:pPr>
            <w:r>
              <w:rPr>
                <w:rFonts w:ascii="Arial" w:cs="Arial" w:eastAsia="Arial" w:hAnsi="Arial"/>
                <w:sz w:val="18"/>
                <w:szCs w:val="18"/>
                <w:color w:val="auto"/>
              </w:rPr>
              <w:t>management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vMerge w:val="continue"/>
          </w:tcPr>
          <w:p>
            <w:pPr>
              <w:spacing w:after="0"/>
              <w:rPr>
                <w:sz w:val="21"/>
                <w:szCs w:val="21"/>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Stockholder proposals and nominations</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9"/>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26</w:t>
            </w:r>
          </w:p>
        </w:tc>
        <w:tc>
          <w:tcPr>
            <w:tcW w:w="5040" w:type="dxa"/>
            <w:vAlign w:val="bottom"/>
          </w:tcPr>
          <w:p>
            <w:pPr>
              <w:ind w:left="300"/>
              <w:spacing w:after="0"/>
              <w:rPr>
                <w:sz w:val="20"/>
                <w:szCs w:val="20"/>
                <w:color w:val="auto"/>
              </w:rPr>
            </w:pPr>
            <w:r>
              <w:rPr>
                <w:rFonts w:ascii="Arial" w:cs="Arial" w:eastAsia="Arial" w:hAnsi="Arial"/>
                <w:sz w:val="18"/>
                <w:szCs w:val="18"/>
                <w:color w:val="auto"/>
              </w:rPr>
              <w:t>for 2024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vMerge w:val="continue"/>
          </w:tcPr>
          <w:p>
            <w:pPr>
              <w:spacing w:after="0"/>
              <w:rPr>
                <w:sz w:val="21"/>
                <w:szCs w:val="21"/>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Benefit plan voting</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26</w:t>
            </w:r>
          </w:p>
        </w:tc>
        <w:tc>
          <w:tcPr>
            <w:tcW w:w="5040" w:type="dxa"/>
            <w:vAlign w:val="bottom"/>
          </w:tcPr>
          <w:p>
            <w:pPr>
              <w:ind w:left="300"/>
              <w:spacing w:after="0"/>
              <w:rPr>
                <w:sz w:val="20"/>
                <w:szCs w:val="20"/>
                <w:color w:val="auto"/>
              </w:rPr>
            </w:pPr>
            <w:r>
              <w:rPr>
                <w:rFonts w:ascii="Arial" w:cs="Arial" w:eastAsia="Arial" w:hAnsi="Arial"/>
                <w:sz w:val="18"/>
                <w:szCs w:val="18"/>
                <w:color w:val="auto"/>
              </w:rPr>
              <w:t>Telephone and internet voting</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27</w:t>
            </w:r>
          </w:p>
        </w:tc>
        <w:tc>
          <w:tcPr>
            <w:tcW w:w="5040" w:type="dxa"/>
            <w:vAlign w:val="bottom"/>
          </w:tcPr>
          <w:p>
            <w:pPr>
              <w:ind w:left="300"/>
              <w:spacing w:after="0"/>
              <w:rPr>
                <w:sz w:val="20"/>
                <w:szCs w:val="20"/>
                <w:color w:val="auto"/>
              </w:rPr>
            </w:pPr>
            <w:r>
              <w:rPr>
                <w:rFonts w:ascii="Arial" w:cs="Arial" w:eastAsia="Arial" w:hAnsi="Arial"/>
                <w:sz w:val="18"/>
                <w:szCs w:val="18"/>
                <w:color w:val="auto"/>
              </w:rPr>
              <w:t>Stockholders sharing the same address</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31</w:t>
            </w:r>
          </w:p>
        </w:tc>
        <w:tc>
          <w:tcPr>
            <w:tcW w:w="5040" w:type="dxa"/>
            <w:vAlign w:val="bottom"/>
          </w:tcPr>
          <w:p>
            <w:pPr>
              <w:ind w:left="300"/>
              <w:spacing w:after="0"/>
              <w:rPr>
                <w:sz w:val="20"/>
                <w:szCs w:val="20"/>
                <w:color w:val="auto"/>
              </w:rPr>
            </w:pPr>
            <w:r>
              <w:rPr>
                <w:rFonts w:ascii="Arial" w:cs="Arial" w:eastAsia="Arial" w:hAnsi="Arial"/>
                <w:sz w:val="18"/>
                <w:szCs w:val="18"/>
                <w:color w:val="auto"/>
              </w:rPr>
              <w:t>Electronic delivery of proxy materials and copies of our</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9"/>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38</w:t>
            </w:r>
          </w:p>
        </w:tc>
        <w:tc>
          <w:tcPr>
            <w:tcW w:w="5040" w:type="dxa"/>
            <w:vAlign w:val="bottom"/>
          </w:tcPr>
          <w:p>
            <w:pPr>
              <w:ind w:left="300"/>
              <w:spacing w:after="0"/>
              <w:rPr>
                <w:sz w:val="20"/>
                <w:szCs w:val="20"/>
                <w:color w:val="auto"/>
              </w:rPr>
            </w:pPr>
            <w:r>
              <w:rPr>
                <w:rFonts w:ascii="Arial" w:cs="Arial" w:eastAsia="Arial" w:hAnsi="Arial"/>
                <w:sz w:val="18"/>
                <w:szCs w:val="18"/>
                <w:color w:val="auto"/>
              </w:rPr>
              <w:t>Form 10-K</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40</w:t>
            </w:r>
          </w:p>
        </w:tc>
        <w:tc>
          <w:tcPr>
            <w:tcW w:w="5040" w:type="dxa"/>
            <w:vAlign w:val="bottom"/>
          </w:tcPr>
          <w:p>
            <w:pPr>
              <w:ind w:left="180"/>
              <w:spacing w:after="0"/>
              <w:rPr>
                <w:sz w:val="20"/>
                <w:szCs w:val="20"/>
                <w:color w:val="auto"/>
              </w:rPr>
            </w:pPr>
            <w:r>
              <w:rPr>
                <w:rFonts w:ascii="Arial" w:cs="Arial" w:eastAsia="Arial" w:hAnsi="Arial"/>
                <w:sz w:val="18"/>
                <w:szCs w:val="18"/>
                <w:color w:val="auto"/>
              </w:rPr>
              <w:t>Notice regarding forward-looking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Appendix A (Non-GAAP reconciliations)</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7"/>
        </w:trPr>
        <w:tc>
          <w:tcPr>
            <w:tcW w:w="400" w:type="dxa"/>
            <w:vAlign w:val="bottom"/>
          </w:tcPr>
          <w:p>
            <w:pPr>
              <w:spacing w:after="0"/>
              <w:rPr>
                <w:sz w:val="21"/>
                <w:szCs w:val="21"/>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Appendix B (TI Employees 2014 Stock Purchase Plan, as</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amended and restated)</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20" w:space="496"/>
            <w:col w:w="5904"/>
          </w:cols>
          <w:pgMar w:left="340" w:top="77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242424"/>
        </w:rPr>
        <w:t>2023 PROXY STATEMENT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773" w:right="5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PROXY STATEMENT – MARCH 14, 2023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 DALLAS, TX 75243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P.O. BOX 660199, DALLAS, TX 75266-0199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TI’s board of directors requests your proxy for the annual meeting of stockholders on April 27, 2023.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14, 2023.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ind w:right="160"/>
        <w:spacing w:after="0" w:line="287"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Matter</w:t>
            </w:r>
          </w:p>
        </w:tc>
        <w:tc>
          <w:tcPr>
            <w:tcW w:w="44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Required Vote for Election or Approval</w:t>
            </w: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Impact of Abstentions or Broker Non-Votes</w:t>
            </w:r>
          </w:p>
        </w:tc>
      </w:tr>
      <w:tr>
        <w:trPr>
          <w:trHeight w:val="467"/>
        </w:trPr>
        <w:tc>
          <w:tcPr>
            <w:tcW w:w="25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Election of directors.</w:t>
            </w: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Majority of votes present in person or by</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Abstentions have the same effect as votes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proxy at the meeting and entitled to be cast</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against. Broker non-votes are not counted as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in the election with respect to a nominee</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votes for or against.</w:t>
            </w:r>
          </w:p>
        </w:tc>
      </w:tr>
      <w:tr>
        <w:trPr>
          <w:trHeight w:val="239"/>
        </w:trPr>
        <w:tc>
          <w:tcPr>
            <w:tcW w:w="2540" w:type="dxa"/>
            <w:vAlign w:val="bottom"/>
            <w:shd w:val="clear" w:color="auto" w:fill="DBDBDB"/>
          </w:tcPr>
          <w:p>
            <w:pPr>
              <w:spacing w:after="0"/>
              <w:rPr>
                <w:sz w:val="20"/>
                <w:szCs w:val="20"/>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must be cast for that nominee.</w:t>
            </w:r>
          </w:p>
        </w:tc>
        <w:tc>
          <w:tcPr>
            <w:tcW w:w="4280" w:type="dxa"/>
            <w:vAlign w:val="bottom"/>
            <w:shd w:val="clear" w:color="auto" w:fill="DBDBDB"/>
          </w:tcPr>
          <w:p>
            <w:pPr>
              <w:spacing w:after="0"/>
              <w:rPr>
                <w:sz w:val="20"/>
                <w:szCs w:val="20"/>
                <w:color w:val="auto"/>
              </w:rPr>
            </w:pPr>
          </w:p>
        </w:tc>
      </w:tr>
      <w:tr>
        <w:trPr>
          <w:trHeight w:val="23"/>
        </w:trPr>
        <w:tc>
          <w:tcPr>
            <w:tcW w:w="2540" w:type="dxa"/>
            <w:vAlign w:val="bottom"/>
            <w:shd w:val="clear" w:color="auto" w:fill="DBDBDB"/>
          </w:tcPr>
          <w:p>
            <w:pPr>
              <w:spacing w:after="0"/>
              <w:rPr>
                <w:sz w:val="2"/>
                <w:szCs w:val="2"/>
                <w:color w:val="auto"/>
              </w:rPr>
            </w:pPr>
          </w:p>
        </w:tc>
        <w:tc>
          <w:tcPr>
            <w:tcW w:w="4400" w:type="dxa"/>
            <w:vAlign w:val="bottom"/>
            <w:shd w:val="clear" w:color="auto" w:fill="DBDBDB"/>
          </w:tcPr>
          <w:p>
            <w:pPr>
              <w:spacing w:after="0"/>
              <w:rPr>
                <w:sz w:val="2"/>
                <w:szCs w:val="2"/>
                <w:color w:val="auto"/>
              </w:rPr>
            </w:pPr>
          </w:p>
        </w:tc>
        <w:tc>
          <w:tcPr>
            <w:tcW w:w="42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sectPr>
      </w:pPr>
    </w:p>
    <w:p>
      <w:pPr>
        <w:spacing w:after="0" w:line="51" w:lineRule="exact"/>
        <w:rPr>
          <w:sz w:val="20"/>
          <w:szCs w:val="20"/>
          <w:color w:val="auto"/>
        </w:rPr>
      </w:pPr>
    </w:p>
    <w:p>
      <w:pPr>
        <w:jc w:val="both"/>
        <w:ind w:left="100"/>
        <w:spacing w:after="0" w:line="268" w:lineRule="auto"/>
        <w:rPr>
          <w:sz w:val="20"/>
          <w:szCs w:val="20"/>
          <w:color w:val="auto"/>
        </w:rPr>
      </w:pPr>
      <w:r>
        <w:rPr>
          <w:rFonts w:ascii="Arial" w:cs="Arial" w:eastAsia="Arial" w:hAnsi="Arial"/>
          <w:sz w:val="18"/>
          <w:szCs w:val="18"/>
          <w:color w:val="auto"/>
        </w:rPr>
        <w:t>Proposal to amend and restate the TI Employees 2014 Stock Purchase Plan to extend the termination date.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3160" w:space="180"/>
            <w:col w:w="3260" w:space="500"/>
            <w:col w:w="412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0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Advisory vote on the frequency of</w:t>
            </w:r>
          </w:p>
        </w:tc>
        <w:tc>
          <w:tcPr>
            <w:tcW w:w="3760" w:type="dxa"/>
            <w:vAlign w:val="bottom"/>
            <w:shd w:val="clear" w:color="auto" w:fill="DBDBDB"/>
          </w:tcPr>
          <w:p>
            <w:pPr>
              <w:ind w:left="26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0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future advisory votes on executive</w:t>
            </w:r>
          </w:p>
        </w:tc>
        <w:tc>
          <w:tcPr>
            <w:tcW w:w="3760" w:type="dxa"/>
            <w:vAlign w:val="bottom"/>
            <w:shd w:val="clear" w:color="auto" w:fill="DBDBDB"/>
          </w:tcPr>
          <w:p>
            <w:pPr>
              <w:ind w:left="26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39"/>
        </w:trPr>
        <w:tc>
          <w:tcPr>
            <w:tcW w:w="30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compensation.</w:t>
            </w:r>
          </w:p>
        </w:tc>
        <w:tc>
          <w:tcPr>
            <w:tcW w:w="3760" w:type="dxa"/>
            <w:vAlign w:val="bottom"/>
            <w:shd w:val="clear" w:color="auto" w:fill="DBDBDB"/>
          </w:tcPr>
          <w:p>
            <w:pPr>
              <w:ind w:left="26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spacing w:after="0"/>
              <w:rPr>
                <w:sz w:val="20"/>
                <w:szCs w:val="20"/>
                <w:color w:val="auto"/>
              </w:rPr>
            </w:pPr>
          </w:p>
        </w:tc>
      </w:tr>
      <w:tr>
        <w:trPr>
          <w:trHeight w:val="23"/>
        </w:trPr>
        <w:tc>
          <w:tcPr>
            <w:tcW w:w="3080" w:type="dxa"/>
            <w:vAlign w:val="bottom"/>
            <w:shd w:val="clear" w:color="auto" w:fill="DBDBDB"/>
          </w:tcPr>
          <w:p>
            <w:pPr>
              <w:spacing w:after="0"/>
              <w:rPr>
                <w:sz w:val="2"/>
                <w:szCs w:val="2"/>
                <w:color w:val="auto"/>
              </w:rPr>
            </w:pPr>
          </w:p>
        </w:tc>
        <w:tc>
          <w:tcPr>
            <w:tcW w:w="376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51" w:lineRule="exact"/>
        <w:rPr>
          <w:sz w:val="20"/>
          <w:szCs w:val="20"/>
          <w:color w:val="auto"/>
        </w:rPr>
      </w:pPr>
    </w:p>
    <w:p>
      <w:pPr>
        <w:jc w:val="both"/>
        <w:ind w:left="100"/>
        <w:spacing w:after="0" w:line="318" w:lineRule="auto"/>
        <w:rPr>
          <w:sz w:val="20"/>
          <w:szCs w:val="20"/>
          <w:color w:val="auto"/>
        </w:rPr>
      </w:pPr>
      <w:r>
        <w:rPr>
          <w:rFonts w:ascii="Arial" w:cs="Arial" w:eastAsia="Arial" w:hAnsi="Arial"/>
          <w:sz w:val="17"/>
          <w:szCs w:val="17"/>
          <w:color w:val="auto"/>
        </w:rPr>
        <w:t>Advisory vote to approve named executive officer compensation.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2680" w:space="660"/>
            <w:col w:w="3260" w:space="500"/>
            <w:col w:w="412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Proposal to ratify appointment of</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have the same effect as votes against.</w:t>
            </w:r>
          </w:p>
        </w:tc>
      </w:tr>
      <w:tr>
        <w:trPr>
          <w:trHeight w:val="216"/>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independent registered public</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(Brokers are permitted to exercise their discretion</w:t>
            </w:r>
          </w:p>
        </w:tc>
      </w:tr>
      <w:tr>
        <w:trPr>
          <w:trHeight w:val="216"/>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accounting firm.</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and vote without specific instruction on this matter.</w:t>
            </w:r>
          </w:p>
        </w:tc>
      </w:tr>
      <w:tr>
        <w:trPr>
          <w:trHeight w:val="239"/>
        </w:trPr>
        <w:tc>
          <w:tcPr>
            <w:tcW w:w="3020" w:type="dxa"/>
            <w:vAlign w:val="bottom"/>
            <w:shd w:val="clear" w:color="auto" w:fill="DBDBDB"/>
          </w:tcPr>
          <w:p>
            <w:pPr>
              <w:spacing w:after="0"/>
              <w:rPr>
                <w:sz w:val="20"/>
                <w:szCs w:val="20"/>
                <w:color w:val="auto"/>
              </w:rPr>
            </w:pPr>
          </w:p>
        </w:tc>
        <w:tc>
          <w:tcPr>
            <w:tcW w:w="3820" w:type="dxa"/>
            <w:vAlign w:val="bottom"/>
            <w:shd w:val="clear" w:color="auto" w:fill="DBDBDB"/>
          </w:tcPr>
          <w:p>
            <w:pPr>
              <w:spacing w:after="0"/>
              <w:rPr>
                <w:sz w:val="20"/>
                <w:szCs w:val="20"/>
                <w:color w:val="auto"/>
              </w:rPr>
            </w:pP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Accordingly, there are no broker non-votes.)</w:t>
            </w:r>
          </w:p>
        </w:tc>
      </w:tr>
      <w:tr>
        <w:trPr>
          <w:trHeight w:val="23"/>
        </w:trPr>
        <w:tc>
          <w:tcPr>
            <w:tcW w:w="3020" w:type="dxa"/>
            <w:vAlign w:val="bottom"/>
            <w:shd w:val="clear" w:color="auto" w:fill="DBDBDB"/>
          </w:tcPr>
          <w:p>
            <w:pPr>
              <w:spacing w:after="0"/>
              <w:rPr>
                <w:sz w:val="2"/>
                <w:szCs w:val="2"/>
                <w:color w:val="auto"/>
              </w:rPr>
            </w:pPr>
          </w:p>
        </w:tc>
        <w:tc>
          <w:tcPr>
            <w:tcW w:w="382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51"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Stockholder proposal to permit a combined 10% of stockholders to call a special meeting.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3080" w:space="260"/>
            <w:col w:w="3260" w:space="500"/>
            <w:col w:w="412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2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Stockholder proposal to report on due</w:t>
            </w:r>
          </w:p>
        </w:tc>
        <w:tc>
          <w:tcPr>
            <w:tcW w:w="36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2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diligence efforts to trace end-user</w:t>
            </w:r>
          </w:p>
        </w:tc>
        <w:tc>
          <w:tcPr>
            <w:tcW w:w="36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39"/>
        </w:trPr>
        <w:tc>
          <w:tcPr>
            <w:tcW w:w="32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misuse of company products.</w:t>
            </w:r>
          </w:p>
        </w:tc>
        <w:tc>
          <w:tcPr>
            <w:tcW w:w="36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spacing w:after="0"/>
              <w:rPr>
                <w:sz w:val="20"/>
                <w:szCs w:val="20"/>
                <w:color w:val="auto"/>
              </w:rPr>
            </w:pPr>
          </w:p>
        </w:tc>
      </w:tr>
      <w:tr>
        <w:trPr>
          <w:trHeight w:val="23"/>
        </w:trPr>
        <w:tc>
          <w:tcPr>
            <w:tcW w:w="3220" w:type="dxa"/>
            <w:vAlign w:val="bottom"/>
            <w:shd w:val="clear" w:color="auto" w:fill="DBDBDB"/>
          </w:tcPr>
          <w:p>
            <w:pPr>
              <w:spacing w:after="0"/>
              <w:rPr>
                <w:sz w:val="2"/>
                <w:szCs w:val="2"/>
                <w:color w:val="auto"/>
              </w:rPr>
            </w:pPr>
          </w:p>
        </w:tc>
        <w:tc>
          <w:tcPr>
            <w:tcW w:w="362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51" w:lineRule="exact"/>
        <w:rPr>
          <w:sz w:val="20"/>
          <w:szCs w:val="20"/>
          <w:color w:val="auto"/>
        </w:rPr>
      </w:pPr>
    </w:p>
    <w:p>
      <w:pPr>
        <w:ind w:left="100"/>
        <w:spacing w:after="0" w:line="287" w:lineRule="auto"/>
        <w:rPr>
          <w:sz w:val="20"/>
          <w:szCs w:val="20"/>
          <w:color w:val="auto"/>
        </w:rPr>
      </w:pPr>
      <w:r>
        <w:rPr>
          <w:rFonts w:ascii="Arial" w:cs="Arial" w:eastAsia="Arial" w:hAnsi="Arial"/>
          <w:sz w:val="18"/>
          <w:szCs w:val="18"/>
          <w:color w:val="auto"/>
        </w:rPr>
        <w:t>Any other matter that may properly be submitted at the meeting.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398" w:lineRule="exact"/>
        <w:rPr>
          <w:sz w:val="20"/>
          <w:szCs w:val="20"/>
          <w:color w:val="auto"/>
        </w:rPr>
      </w:pPr>
    </w:p>
    <w:p>
      <w:pPr>
        <w:sectPr>
          <w:pgSz w:w="11900" w:h="16838" w:orient="portrait"/>
          <w:cols w:equalWidth="0" w:num="3">
            <w:col w:w="3120" w:space="220"/>
            <w:col w:w="3260" w:space="500"/>
            <w:col w:w="4120"/>
          </w:cols>
          <w:pgMar w:left="320" w:top="769" w:right="35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Attendance and instructions for the annual meeting</w:t>
      </w:r>
    </w:p>
    <w:p>
      <w:pPr>
        <w:spacing w:after="0" w:line="2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Attendance at the annual meeting is limited to stockholders or their legal proxy holders. Attendees should park at the South Lobby, where reserved parking will be available. Each attendee must present a government-issued photo ID, such as a driver's license or passport, and an advance registration form to gain access. You may be denied entrance if the required identification and registration form are not presented. All attendees will be required to comply with TI’s then-current site visitor policy, which will be posted on our Investor Relations website on or before April 24, 2023. Be advised that TI’s security policy forbids weapons, cameras and audio/visual recording devices inside TI buildings. All bags will be subject to search upon entry into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2023 PROXY STATEMENT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Advance registration forms can be printed by clicking on the “Register for Meeting” button found at www.proxyvote.com and following the instructions provided. You will need the 16-digit control number included in your notice, proxy card or voting instruction form. You must request your advance registration form by April 26, 2023, at 11:59 p.m. (Eastern time). If you are unable to print your advance registration form, please call Stockholder Meeting Registration Phone Support (toll-free) at 1-844-318-0137 or 1-925-331-6070 (international toll) for assistance.</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1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Curtis C. Farmer, Jean M. Hobby, Haviv Ilan, Ronald Kirk, Pamela H. Patsley, Robert E. Sanchez and Richard K. Templeton.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nominees, qualifications and experience</w:t>
      </w:r>
    </w:p>
    <w:p>
      <w:pPr>
        <w:spacing w:after="0" w:line="234" w:lineRule="exact"/>
        <w:rPr>
          <w:sz w:val="20"/>
          <w:szCs w:val="20"/>
          <w:color w:val="auto"/>
        </w:rPr>
      </w:pPr>
    </w:p>
    <w:p>
      <w:pPr>
        <w:jc w:val="both"/>
        <w:ind w:right="300"/>
        <w:spacing w:after="0" w:line="318" w:lineRule="auto"/>
        <w:rPr>
          <w:sz w:val="20"/>
          <w:szCs w:val="20"/>
          <w:color w:val="auto"/>
        </w:rPr>
      </w:pPr>
      <w:r>
        <w:rPr>
          <w:rFonts w:ascii="Arial" w:cs="Arial" w:eastAsia="Arial" w:hAnsi="Arial"/>
          <w:sz w:val="17"/>
          <w:szCs w:val="17"/>
          <w:color w:val="auto"/>
        </w:rPr>
        <w:t>All of the nominees for directorship will be directors of the company at the time of the annual meeting. If any nominee becomes unable to serve before the meeting, the persons named as proxies may vote for a substitute,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u w:val="single" w:color="auto"/>
          <w:color w:val="auto"/>
        </w:rPr>
        <w:t>Summary</w:t>
      </w:r>
    </w:p>
    <w:p>
      <w:pPr>
        <w:spacing w:after="0" w:line="23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This table provides a summary view of the qualifications, experience and demographics of each director nominee as of the proxy statement filing date.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15"/>
                <w:szCs w:val="15"/>
                <w:color w:val="auto"/>
              </w:rPr>
            </w:pP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Mark</w:t>
            </w:r>
          </w:p>
        </w:tc>
        <w:tc>
          <w:tcPr>
            <w:tcW w:w="680" w:type="dxa"/>
            <w:vAlign w:val="bottom"/>
          </w:tcPr>
          <w:p>
            <w:pPr>
              <w:spacing w:after="0"/>
              <w:rPr>
                <w:sz w:val="15"/>
                <w:szCs w:val="15"/>
                <w:color w:val="auto"/>
              </w:rPr>
            </w:pPr>
          </w:p>
        </w:tc>
        <w:tc>
          <w:tcPr>
            <w:tcW w:w="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Janet</w:t>
            </w:r>
          </w:p>
        </w:tc>
        <w:tc>
          <w:tcPr>
            <w:tcW w:w="500" w:type="dxa"/>
            <w:vAlign w:val="bottom"/>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Curtis</w:t>
            </w: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Jean</w:t>
            </w:r>
          </w:p>
        </w:tc>
        <w:tc>
          <w:tcPr>
            <w:tcW w:w="520" w:type="dxa"/>
            <w:vAlign w:val="bottom"/>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Pamela</w:t>
            </w:r>
          </w:p>
        </w:tc>
        <w:tc>
          <w:tcPr>
            <w:tcW w:w="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Robert</w:t>
            </w:r>
          </w:p>
        </w:tc>
        <w:tc>
          <w:tcPr>
            <w:tcW w:w="740" w:type="dxa"/>
            <w:vAlign w:val="bottom"/>
          </w:tcPr>
          <w:p>
            <w:pPr>
              <w:spacing w:after="0"/>
              <w:rPr>
                <w:sz w:val="15"/>
                <w:szCs w:val="15"/>
                <w:color w:val="auto"/>
              </w:rPr>
            </w:pPr>
          </w:p>
        </w:tc>
      </w:tr>
      <w:tr>
        <w:trPr>
          <w:trHeight w:val="162"/>
        </w:trPr>
        <w:tc>
          <w:tcPr>
            <w:tcW w:w="4380" w:type="dxa"/>
            <w:vAlign w:val="bottom"/>
          </w:tcPr>
          <w:p>
            <w:pPr>
              <w:spacing w:after="0"/>
              <w:rPr>
                <w:sz w:val="14"/>
                <w:szCs w:val="14"/>
                <w:color w:val="auto"/>
              </w:rPr>
            </w:pP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9"/>
              </w:rPr>
              <w:t>A.</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Todd M.</w:t>
            </w:r>
          </w:p>
        </w:tc>
        <w:tc>
          <w:tcPr>
            <w:tcW w:w="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6"/>
              </w:rPr>
              <w:t>F.</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Carrie</w:t>
            </w: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Martin 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Haviv</w:t>
            </w:r>
          </w:p>
        </w:tc>
        <w:tc>
          <w:tcPr>
            <w:tcW w:w="5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Ronald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0"/>
              </w:rPr>
              <w: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Richard K.</w:t>
            </w:r>
          </w:p>
        </w:tc>
      </w:tr>
      <w:tr>
        <w:trPr>
          <w:trHeight w:val="21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Qualifications and Experience</w:t>
            </w:r>
          </w:p>
        </w:tc>
        <w:tc>
          <w:tcPr>
            <w:tcW w:w="5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Blinn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Bluedorn</w:t>
            </w:r>
          </w:p>
        </w:tc>
        <w:tc>
          <w:tcPr>
            <w:tcW w:w="4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Clark</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Cox</w:t>
            </w:r>
          </w:p>
        </w:tc>
        <w:tc>
          <w:tcPr>
            <w:tcW w:w="7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Craighead</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Farmer</w:t>
            </w:r>
          </w:p>
        </w:tc>
        <w:tc>
          <w:tcPr>
            <w:tcW w:w="5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Hobby</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Ilan</w:t>
            </w:r>
          </w:p>
        </w:tc>
        <w:tc>
          <w:tcPr>
            <w:tcW w:w="5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Kirk</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Patsley</w:t>
            </w:r>
          </w:p>
        </w:tc>
        <w:tc>
          <w:tcPr>
            <w:tcW w:w="6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Sanchez</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Templeton</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Independence</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Pr>
          <w:p>
            <w:pPr>
              <w:spacing w:after="0"/>
              <w:rPr>
                <w:sz w:val="23"/>
                <w:szCs w:val="23"/>
                <w:color w:val="auto"/>
              </w:rPr>
            </w:pPr>
          </w:p>
        </w:tc>
        <w:tc>
          <w:tcPr>
            <w:tcW w:w="5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Multinational experience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Executive leadership (public or private)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Technology, research and development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spacing w:after="0"/>
              <w:rPr>
                <w:sz w:val="22"/>
                <w:szCs w:val="22"/>
                <w:color w:val="auto"/>
              </w:rPr>
            </w:pP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4"/>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Manufacturing</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spacing w:after="0"/>
              <w:rPr>
                <w:sz w:val="22"/>
                <w:szCs w:val="22"/>
                <w:color w:val="auto"/>
              </w:rPr>
            </w:pP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spacing w:after="0"/>
              <w:rPr>
                <w:sz w:val="22"/>
                <w:szCs w:val="22"/>
                <w:color w:val="auto"/>
              </w:rPr>
            </w:pPr>
          </w:p>
        </w:tc>
        <w:tc>
          <w:tcPr>
            <w:tcW w:w="540" w:type="dxa"/>
            <w:vAlign w:val="bottom"/>
            <w:tcBorders>
              <w:top w:val="single" w:sz="8" w:color="B6B6B6"/>
            </w:tcBorders>
          </w:tcPr>
          <w:p>
            <w:pPr>
              <w:spacing w:after="0"/>
              <w:rPr>
                <w:sz w:val="22"/>
                <w:szCs w:val="22"/>
                <w:color w:val="auto"/>
              </w:rPr>
            </w:pPr>
          </w:p>
        </w:tc>
        <w:tc>
          <w:tcPr>
            <w:tcW w:w="640" w:type="dxa"/>
            <w:vAlign w:val="bottom"/>
            <w:tcBorders>
              <w:top w:val="single" w:sz="8" w:color="B6B6B6"/>
              <w:bottom w:val="single" w:sz="8" w:color="DBDBDB"/>
            </w:tcBorders>
            <w:shd w:val="clear" w:color="auto" w:fill="DBDBDB"/>
          </w:tcPr>
          <w:p>
            <w:pPr>
              <w:spacing w:after="0"/>
              <w:rPr>
                <w:sz w:val="22"/>
                <w:szCs w:val="22"/>
                <w:color w:val="auto"/>
              </w:rPr>
            </w:pP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End-market knowledge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spacing w:after="0"/>
              <w:rPr>
                <w:sz w:val="22"/>
                <w:szCs w:val="22"/>
                <w:color w:val="auto"/>
              </w:rPr>
            </w:pP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spacing w:after="0"/>
              <w:rPr>
                <w:sz w:val="22"/>
                <w:szCs w:val="22"/>
                <w:color w:val="auto"/>
              </w:rPr>
            </w:pP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Regulatory, public policy or legal</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spacing w:after="0"/>
              <w:rPr>
                <w:sz w:val="22"/>
                <w:szCs w:val="22"/>
                <w:color w:val="auto"/>
              </w:rPr>
            </w:pPr>
          </w:p>
        </w:tc>
        <w:tc>
          <w:tcPr>
            <w:tcW w:w="740" w:type="dxa"/>
            <w:vAlign w:val="bottom"/>
            <w:tcBorders>
              <w:top w:val="single" w:sz="8" w:color="B6B6B6"/>
            </w:tcBorders>
          </w:tcPr>
          <w:p>
            <w:pPr>
              <w:spacing w:after="0"/>
              <w:rPr>
                <w:sz w:val="22"/>
                <w:szCs w:val="22"/>
                <w:color w:val="auto"/>
              </w:rPr>
            </w:pP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Other public board service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spacing w:after="0"/>
              <w:rPr>
                <w:sz w:val="22"/>
                <w:szCs w:val="22"/>
                <w:color w:val="auto"/>
              </w:rPr>
            </w:pP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Financial acumen</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Auditing/Accounting</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spacing w:after="0"/>
              <w:rPr>
                <w:sz w:val="22"/>
                <w:szCs w:val="22"/>
                <w:color w:val="auto"/>
              </w:rPr>
            </w:pPr>
          </w:p>
        </w:tc>
        <w:tc>
          <w:tcPr>
            <w:tcW w:w="76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spacing w:after="0"/>
              <w:rPr>
                <w:sz w:val="22"/>
                <w:szCs w:val="22"/>
                <w:color w:val="auto"/>
              </w:rPr>
            </w:pP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20" w:type="dxa"/>
            <w:vAlign w:val="bottom"/>
            <w:tcBorders>
              <w:top w:val="single" w:sz="8" w:color="B6B6B6"/>
              <w:bottom w:val="single" w:sz="8" w:color="DBDBDB"/>
            </w:tcBorders>
            <w:shd w:val="clear" w:color="auto" w:fill="DBDBDB"/>
          </w:tcPr>
          <w:p>
            <w:pPr>
              <w:spacing w:after="0"/>
              <w:rPr>
                <w:sz w:val="22"/>
                <w:szCs w:val="22"/>
                <w:color w:val="auto"/>
              </w:rPr>
            </w:pP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spacing w:after="0"/>
              <w:rPr>
                <w:sz w:val="22"/>
                <w:szCs w:val="22"/>
                <w:color w:val="auto"/>
              </w:rPr>
            </w:pPr>
          </w:p>
        </w:tc>
      </w:tr>
      <w:tr>
        <w:trPr>
          <w:trHeight w:val="264"/>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Sustainability</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spacing w:after="0"/>
              <w:rPr>
                <w:sz w:val="22"/>
                <w:szCs w:val="22"/>
                <w:color w:val="auto"/>
              </w:rPr>
            </w:pP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57"/>
        </w:trPr>
        <w:tc>
          <w:tcPr>
            <w:tcW w:w="4380" w:type="dxa"/>
            <w:vAlign w:val="bottom"/>
            <w:tcBorders>
              <w:top w:val="single" w:sz="8" w:color="B6B6B6"/>
              <w:bottom w:val="single" w:sz="8" w:color="auto"/>
            </w:tcBorders>
          </w:tcPr>
          <w:p>
            <w:pPr>
              <w:ind w:left="20"/>
              <w:spacing w:after="0"/>
              <w:rPr>
                <w:sz w:val="20"/>
                <w:szCs w:val="20"/>
                <w:color w:val="auto"/>
              </w:rPr>
            </w:pPr>
            <w:r>
              <w:rPr>
                <w:rFonts w:ascii="Arial" w:cs="Arial" w:eastAsia="Arial" w:hAnsi="Arial"/>
                <w:sz w:val="14"/>
                <w:szCs w:val="14"/>
                <w:b w:val="1"/>
                <w:bCs w:val="1"/>
                <w:color w:val="auto"/>
              </w:rPr>
              <w:t>Demographic Background</w:t>
            </w:r>
          </w:p>
        </w:tc>
        <w:tc>
          <w:tcPr>
            <w:tcW w:w="500" w:type="dxa"/>
            <w:vAlign w:val="bottom"/>
            <w:tcBorders>
              <w:top w:val="single" w:sz="8" w:color="B6B6B6"/>
              <w:bottom w:val="single" w:sz="8" w:color="auto"/>
            </w:tcBorders>
            <w:shd w:val="clear" w:color="auto" w:fill="DBDBDB"/>
          </w:tcPr>
          <w:p>
            <w:pPr>
              <w:spacing w:after="0"/>
              <w:rPr>
                <w:sz w:val="22"/>
                <w:szCs w:val="22"/>
                <w:color w:val="auto"/>
              </w:rPr>
            </w:pPr>
          </w:p>
        </w:tc>
        <w:tc>
          <w:tcPr>
            <w:tcW w:w="680" w:type="dxa"/>
            <w:vAlign w:val="bottom"/>
            <w:tcBorders>
              <w:top w:val="single" w:sz="8" w:color="B6B6B6"/>
              <w:bottom w:val="single" w:sz="8" w:color="auto"/>
            </w:tcBorders>
          </w:tcPr>
          <w:p>
            <w:pPr>
              <w:spacing w:after="0"/>
              <w:rPr>
                <w:sz w:val="22"/>
                <w:szCs w:val="22"/>
                <w:color w:val="auto"/>
              </w:rPr>
            </w:pPr>
          </w:p>
        </w:tc>
        <w:tc>
          <w:tcPr>
            <w:tcW w:w="420" w:type="dxa"/>
            <w:vAlign w:val="bottom"/>
            <w:tcBorders>
              <w:top w:val="single" w:sz="8" w:color="B6B6B6"/>
              <w:bottom w:val="single" w:sz="8" w:color="auto"/>
            </w:tcBorders>
            <w:shd w:val="clear" w:color="auto" w:fill="DBDBDB"/>
          </w:tcPr>
          <w:p>
            <w:pPr>
              <w:spacing w:after="0"/>
              <w:rPr>
                <w:sz w:val="22"/>
                <w:szCs w:val="22"/>
                <w:color w:val="auto"/>
              </w:rPr>
            </w:pPr>
          </w:p>
        </w:tc>
        <w:tc>
          <w:tcPr>
            <w:tcW w:w="500" w:type="dxa"/>
            <w:vAlign w:val="bottom"/>
            <w:tcBorders>
              <w:top w:val="single" w:sz="8" w:color="B6B6B6"/>
              <w:bottom w:val="single" w:sz="8" w:color="auto"/>
            </w:tcBorders>
          </w:tcPr>
          <w:p>
            <w:pPr>
              <w:spacing w:after="0"/>
              <w:rPr>
                <w:sz w:val="22"/>
                <w:szCs w:val="22"/>
                <w:color w:val="auto"/>
              </w:rPr>
            </w:pPr>
          </w:p>
        </w:tc>
        <w:tc>
          <w:tcPr>
            <w:tcW w:w="760" w:type="dxa"/>
            <w:vAlign w:val="bottom"/>
            <w:tcBorders>
              <w:top w:val="single" w:sz="8" w:color="B6B6B6"/>
              <w:bottom w:val="single" w:sz="8" w:color="auto"/>
            </w:tcBorders>
            <w:shd w:val="clear" w:color="auto" w:fill="DBDBDB"/>
          </w:tcPr>
          <w:p>
            <w:pPr>
              <w:spacing w:after="0"/>
              <w:rPr>
                <w:sz w:val="22"/>
                <w:szCs w:val="22"/>
                <w:color w:val="auto"/>
              </w:rPr>
            </w:pPr>
          </w:p>
        </w:tc>
        <w:tc>
          <w:tcPr>
            <w:tcW w:w="520" w:type="dxa"/>
            <w:vAlign w:val="bottom"/>
            <w:tcBorders>
              <w:top w:val="single" w:sz="8" w:color="B6B6B6"/>
              <w:bottom w:val="single" w:sz="8" w:color="auto"/>
            </w:tcBorders>
          </w:tcPr>
          <w:p>
            <w:pPr>
              <w:spacing w:after="0"/>
              <w:rPr>
                <w:sz w:val="22"/>
                <w:szCs w:val="22"/>
                <w:color w:val="auto"/>
              </w:rPr>
            </w:pPr>
          </w:p>
        </w:tc>
        <w:tc>
          <w:tcPr>
            <w:tcW w:w="500" w:type="dxa"/>
            <w:vAlign w:val="bottom"/>
            <w:tcBorders>
              <w:top w:val="single" w:sz="8" w:color="B6B6B6"/>
              <w:bottom w:val="single" w:sz="8" w:color="auto"/>
            </w:tcBorders>
            <w:shd w:val="clear" w:color="auto" w:fill="DBDBDB"/>
          </w:tcPr>
          <w:p>
            <w:pPr>
              <w:spacing w:after="0"/>
              <w:rPr>
                <w:sz w:val="22"/>
                <w:szCs w:val="22"/>
                <w:color w:val="auto"/>
              </w:rPr>
            </w:pPr>
          </w:p>
        </w:tc>
        <w:tc>
          <w:tcPr>
            <w:tcW w:w="520" w:type="dxa"/>
            <w:vAlign w:val="bottom"/>
            <w:tcBorders>
              <w:top w:val="single" w:sz="8" w:color="B6B6B6"/>
              <w:bottom w:val="single" w:sz="8" w:color="auto"/>
            </w:tcBorders>
          </w:tcPr>
          <w:p>
            <w:pPr>
              <w:spacing w:after="0"/>
              <w:rPr>
                <w:sz w:val="22"/>
                <w:szCs w:val="22"/>
                <w:color w:val="auto"/>
              </w:rPr>
            </w:pPr>
          </w:p>
        </w:tc>
        <w:tc>
          <w:tcPr>
            <w:tcW w:w="520" w:type="dxa"/>
            <w:vAlign w:val="bottom"/>
            <w:tcBorders>
              <w:top w:val="single" w:sz="8" w:color="B6B6B6"/>
              <w:bottom w:val="single" w:sz="8" w:color="auto"/>
            </w:tcBorders>
            <w:shd w:val="clear" w:color="auto" w:fill="DBDBDB"/>
          </w:tcPr>
          <w:p>
            <w:pPr>
              <w:spacing w:after="0"/>
              <w:rPr>
                <w:sz w:val="22"/>
                <w:szCs w:val="22"/>
                <w:color w:val="auto"/>
              </w:rPr>
            </w:pPr>
          </w:p>
        </w:tc>
        <w:tc>
          <w:tcPr>
            <w:tcW w:w="540" w:type="dxa"/>
            <w:vAlign w:val="bottom"/>
            <w:tcBorders>
              <w:top w:val="single" w:sz="8" w:color="B6B6B6"/>
              <w:bottom w:val="single" w:sz="8" w:color="auto"/>
            </w:tcBorders>
          </w:tcPr>
          <w:p>
            <w:pPr>
              <w:spacing w:after="0"/>
              <w:rPr>
                <w:sz w:val="22"/>
                <w:szCs w:val="22"/>
                <w:color w:val="auto"/>
              </w:rPr>
            </w:pPr>
          </w:p>
        </w:tc>
        <w:tc>
          <w:tcPr>
            <w:tcW w:w="640" w:type="dxa"/>
            <w:vAlign w:val="bottom"/>
            <w:tcBorders>
              <w:top w:val="single" w:sz="8" w:color="B6B6B6"/>
              <w:bottom w:val="single" w:sz="8" w:color="auto"/>
            </w:tcBorders>
            <w:shd w:val="clear" w:color="auto" w:fill="DBDBDB"/>
          </w:tcPr>
          <w:p>
            <w:pPr>
              <w:spacing w:after="0"/>
              <w:rPr>
                <w:sz w:val="22"/>
                <w:szCs w:val="22"/>
                <w:color w:val="auto"/>
              </w:rPr>
            </w:pPr>
          </w:p>
        </w:tc>
        <w:tc>
          <w:tcPr>
            <w:tcW w:w="740" w:type="dxa"/>
            <w:vAlign w:val="bottom"/>
            <w:tcBorders>
              <w:top w:val="single" w:sz="8" w:color="B6B6B6"/>
              <w:bottom w:val="single" w:sz="8" w:color="auto"/>
            </w:tcBorders>
          </w:tcPr>
          <w:p>
            <w:pPr>
              <w:spacing w:after="0"/>
              <w:rPr>
                <w:sz w:val="22"/>
                <w:szCs w:val="22"/>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Tenure (years)</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8</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5</w:t>
            </w: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10</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6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263"/>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Age (years)</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61</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59</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68</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65</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63</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60</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62</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54</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68</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66</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57</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64</w:t>
            </w:r>
          </w:p>
        </w:tc>
      </w:tr>
      <w:tr>
        <w:trPr>
          <w:trHeight w:val="264"/>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Gender</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0"/>
              </w:rPr>
              <w:t>F</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0"/>
              </w:rPr>
              <w:t>F</w:t>
            </w:r>
          </w:p>
        </w:tc>
        <w:tc>
          <w:tcPr>
            <w:tcW w:w="7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M</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0"/>
              </w:rPr>
              <w:t>F</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F</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M</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r>
      <w:tr>
        <w:trPr>
          <w:trHeight w:val="240"/>
        </w:trPr>
        <w:tc>
          <w:tcPr>
            <w:tcW w:w="438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Race/Ethnicity **</w:t>
            </w:r>
          </w:p>
        </w:tc>
        <w:tc>
          <w:tcPr>
            <w:tcW w:w="50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W</w:t>
            </w:r>
          </w:p>
        </w:tc>
        <w:tc>
          <w:tcPr>
            <w:tcW w:w="4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76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3"/>
              </w:rPr>
              <w:t>W</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5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B</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W</w:t>
            </w:r>
          </w:p>
        </w:tc>
        <w:tc>
          <w:tcPr>
            <w:tcW w:w="6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1"/>
              </w:rPr>
              <w:t>H</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r>
      <w:tr>
        <w:trPr>
          <w:trHeight w:val="23"/>
        </w:trPr>
        <w:tc>
          <w:tcPr>
            <w:tcW w:w="4380" w:type="dxa"/>
            <w:vAlign w:val="bottom"/>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DBDBDB"/>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740" w:type="dxa"/>
            <w:vAlign w:val="bottom"/>
          </w:tcPr>
          <w:p>
            <w:pPr>
              <w:spacing w:after="0"/>
              <w:rPr>
                <w:sz w:val="2"/>
                <w:szCs w:val="2"/>
                <w:color w:val="auto"/>
              </w:rPr>
            </w:pPr>
          </w:p>
        </w:tc>
      </w:tr>
    </w:tbl>
    <w:p>
      <w:pPr>
        <w:spacing w:after="0" w:line="14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Elected to the board effective April 1, 2023</w:t>
      </w:r>
    </w:p>
    <w:p>
      <w:pPr>
        <w:spacing w:after="0" w:line="6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 = Black/African American; W = White; H = Hispanic/Latino</w:t>
      </w:r>
    </w:p>
    <w:p>
      <w:pPr>
        <w:spacing w:after="0" w:line="200" w:lineRule="exact"/>
        <w:rPr>
          <w:sz w:val="20"/>
          <w:szCs w:val="20"/>
          <w:color w:val="auto"/>
        </w:rPr>
      </w:pPr>
    </w:p>
    <w:p>
      <w:pPr>
        <w:spacing w:after="0" w:line="2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auto"/>
        </w:rPr>
        <w:t>Nominee criteria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and as stated in our corporate governance guidelines, the Governance and Stockholder Relations (GSR)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considers the following criteria:</w:t>
      </w:r>
    </w:p>
    <w:p>
      <w:pPr>
        <w:spacing w:after="0" w:line="20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Relevant commercial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acumen.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63"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be expected to, represent the interests of any particular group).</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spacing w:after="0" w:line="63"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four other public companies.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Nominee assessment</w:t>
      </w:r>
    </w:p>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it considered director nominees for the 2023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which includes key sustainability matters.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1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(except as to Mr. Farmer who will join the board April 1, 2023), born of previous service on the board, that each of the nominees brings insight to board deliberations as well as a willingness to ask challenging questions.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nominees for directorship are currently directors of the company, including Mr. Farmer, who was elected to the board effective April 1, 2023. He is the only director nominee at the 2023 annual meeting of stockholders who is standing for election by the stockholders for the first time. A search firm retained by the company to assist the GSR Committee in identifying and evaluating potential nominees initially identified Mr. Farmer as a potential director candidate. The search firm conducted research to identify a number of potential candidates, based on qualifications and skills the GSR Committee determined that candidates should possess. It then conducted further research on the candidates in whom the GSR Committee had the most interest. Following this process, Mr. Farmer was unanimously elected to the company’s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its current size is within the desired range as stated in the board’s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u w:val="single" w:color="auto"/>
          <w:color w:val="auto"/>
        </w:rPr>
        <w:t>Director nominees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Blinn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chief executive officer of Flowserve Corporation</w:t>
      </w:r>
    </w:p>
    <w:p>
      <w:pPr>
        <w:spacing w:after="0" w:line="65" w:lineRule="exact"/>
        <w:rPr>
          <w:sz w:val="20"/>
          <w:szCs w:val="20"/>
          <w:color w:val="auto"/>
        </w:rPr>
      </w:pPr>
    </w:p>
    <w:p>
      <w:pPr>
        <w:jc w:val="right"/>
        <w:ind w:right="3360"/>
        <w:spacing w:after="0"/>
        <w:tabs>
          <w:tab w:leader="none" w:pos="2020" w:val="left"/>
        </w:tabs>
        <w:rPr>
          <w:sz w:val="20"/>
          <w:szCs w:val="20"/>
          <w:color w:val="auto"/>
        </w:rPr>
      </w:pPr>
      <w:r>
        <w:rPr>
          <w:rFonts w:ascii="Arial" w:cs="Arial" w:eastAsia="Arial" w:hAnsi="Arial"/>
          <w:sz w:val="18"/>
          <w:szCs w:val="18"/>
          <w:i w:val="1"/>
          <w:iCs w:val="1"/>
          <w:color w:val="auto"/>
        </w:rPr>
        <w:t>Career highlights</w:t>
      </w:r>
      <w:r>
        <w:rPr>
          <w:sz w:val="20"/>
          <w:szCs w:val="20"/>
          <w:color w:val="auto"/>
        </w:rPr>
        <w:tab/>
      </w:r>
      <w:r>
        <w:rPr>
          <w:rFonts w:ascii="Arial" w:cs="Arial" w:eastAsia="Arial" w:hAnsi="Arial"/>
          <w:sz w:val="18"/>
          <w:szCs w:val="18"/>
          <w:i w:val="1"/>
          <w:i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ectPr>
          <w:pgSz w:w="11900" w:h="16838" w:orient="portrait"/>
          <w:cols w:equalWidth="0" w:num="1">
            <w:col w:w="11180"/>
          </w:cols>
          <w:pgMar w:left="340" w:top="1036" w:right="379" w:bottom="1440" w:gutter="0" w:footer="0" w:header="0"/>
        </w:sectPr>
      </w:pPr>
    </w:p>
    <w:p>
      <w:pPr>
        <w:spacing w:after="0" w:line="61" w:lineRule="exact"/>
        <w:rPr>
          <w:sz w:val="20"/>
          <w:szCs w:val="20"/>
          <w:color w:val="auto"/>
        </w:rPr>
      </w:pPr>
    </w:p>
    <w:p>
      <w:pPr>
        <w:ind w:left="2080" w:right="240"/>
        <w:spacing w:after="0" w:line="254" w:lineRule="auto"/>
        <w:rPr>
          <w:sz w:val="20"/>
          <w:szCs w:val="20"/>
          <w:color w:val="auto"/>
        </w:rPr>
      </w:pPr>
      <w:r>
        <w:rPr>
          <w:rFonts w:ascii="Arial" w:cs="Arial" w:eastAsia="Arial" w:hAnsi="Arial"/>
          <w:sz w:val="18"/>
          <w:szCs w:val="18"/>
          <w:color w:val="auto"/>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Todd Bluedorn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Former chairman and chief executive officer of Lennox International Inc.</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40" w:hanging="236"/>
        <w:spacing w:after="0" w:line="263" w:lineRule="auto"/>
        <w:tabs>
          <w:tab w:leader="none" w:pos="2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Emerson Electric Co.</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Globe Life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Leggett &amp; Platt, Incorporated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Flowserve Corporation</w:t>
      </w:r>
    </w:p>
    <w:p>
      <w:pPr>
        <w:spacing w:after="0" w:line="27" w:lineRule="exact"/>
        <w:rPr>
          <w:rFonts w:ascii="Arial" w:cs="Arial" w:eastAsia="Arial" w:hAnsi="Arial"/>
          <w:sz w:val="18"/>
          <w:szCs w:val="18"/>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Kraton Corporation</w:t>
      </w:r>
    </w:p>
    <w:p>
      <w:pPr>
        <w:spacing w:after="0" w:line="614" w:lineRule="exact"/>
        <w:rPr>
          <w:sz w:val="20"/>
          <w:szCs w:val="20"/>
          <w:color w:val="auto"/>
        </w:rPr>
      </w:pPr>
    </w:p>
    <w:p>
      <w:pPr>
        <w:sectPr>
          <w:pgSz w:w="11900" w:h="16838" w:orient="portrait"/>
          <w:cols w:equalWidth="0" w:num="2">
            <w:col w:w="5720" w:space="60"/>
            <w:col w:w="5400"/>
          </w:cols>
          <w:pgMar w:left="340" w:top="1036" w:right="379" w:bottom="1440" w:gutter="0" w:footer="0" w:header="0"/>
          <w:type w:val="continuous"/>
        </w:sectPr>
      </w:pPr>
    </w:p>
    <w:p>
      <w:pPr>
        <w:ind w:left="2080"/>
        <w:spacing w:after="0"/>
        <w:tabs>
          <w:tab w:leader="none" w:pos="5760" w:val="left"/>
        </w:tabs>
        <w:rPr>
          <w:sz w:val="20"/>
          <w:szCs w:val="20"/>
          <w:color w:val="auto"/>
        </w:rPr>
      </w:pPr>
      <w:r>
        <w:rPr>
          <w:rFonts w:ascii="Arial" w:cs="Arial" w:eastAsia="Arial" w:hAnsi="Arial"/>
          <w:sz w:val="18"/>
          <w:szCs w:val="18"/>
          <w:i w:val="1"/>
          <w:iCs w:val="1"/>
          <w:color w:val="auto"/>
        </w:rPr>
        <w:t>Career highlights</w:t>
      </w:r>
      <w:r>
        <w:rPr>
          <w:sz w:val="20"/>
          <w:szCs w:val="20"/>
          <w:color w:val="auto"/>
        </w:rPr>
        <w:tab/>
      </w:r>
      <w:r>
        <w:rPr>
          <w:rFonts w:ascii="Arial" w:cs="Arial" w:eastAsia="Arial" w:hAnsi="Arial"/>
          <w:sz w:val="18"/>
          <w:szCs w:val="18"/>
          <w:i w:val="1"/>
          <w:i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ectPr>
          <w:pgSz w:w="11900" w:h="16838" w:orient="portrait"/>
          <w:cols w:equalWidth="0" w:num="1">
            <w:col w:w="11180"/>
          </w:cols>
          <w:pgMar w:left="340" w:top="1036" w:right="379" w:bottom="1440" w:gutter="0" w:footer="0" w:header="0"/>
          <w:type w:val="continuous"/>
        </w:sectPr>
      </w:pPr>
    </w:p>
    <w:p>
      <w:pPr>
        <w:spacing w:after="0" w:line="61" w:lineRule="exact"/>
        <w:rPr>
          <w:sz w:val="20"/>
          <w:szCs w:val="20"/>
          <w:color w:val="auto"/>
        </w:rPr>
      </w:pPr>
    </w:p>
    <w:p>
      <w:pPr>
        <w:ind w:left="2080" w:right="180"/>
        <w:spacing w:after="0" w:line="269" w:lineRule="auto"/>
        <w:rPr>
          <w:sz w:val="20"/>
          <w:szCs w:val="20"/>
          <w:color w:val="auto"/>
        </w:rPr>
      </w:pPr>
      <w:r>
        <w:rPr>
          <w:rFonts w:ascii="Arial" w:cs="Arial" w:eastAsia="Arial" w:hAnsi="Arial"/>
          <w:sz w:val="17"/>
          <w:szCs w:val="17"/>
          <w:color w:val="auto"/>
        </w:rPr>
        <w:t>Mr. Bluedorn has been vice chair of Madison Industries since 2022. Prior to Madison Industries, he served as chief executive officer of Lennox International from 2007 to 2022 and chairman of</w:t>
      </w:r>
    </w:p>
    <w:p>
      <w:pPr>
        <w:spacing w:after="0" w:line="3" w:lineRule="exact"/>
        <w:rPr>
          <w:sz w:val="20"/>
          <w:szCs w:val="20"/>
          <w:color w:val="auto"/>
        </w:rPr>
      </w:pPr>
    </w:p>
    <w:p>
      <w:pPr>
        <w:ind w:left="2080"/>
        <w:spacing w:after="0" w:line="253" w:lineRule="auto"/>
        <w:rPr>
          <w:sz w:val="20"/>
          <w:szCs w:val="20"/>
          <w:color w:val="auto"/>
        </w:rPr>
      </w:pPr>
      <w:r>
        <w:rPr>
          <w:rFonts w:ascii="Arial" w:cs="Arial" w:eastAsia="Arial" w:hAnsi="Arial"/>
          <w:sz w:val="18"/>
          <w:szCs w:val="18"/>
          <w:color w:val="auto"/>
        </w:rPr>
        <w:t>the board from 2012 to 2022. Prior to that, Mr. Bluedorn held several senior management positions at United Technologies Corporation, including leading Otis Elevator -- North &amp; South America.</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40" w:hanging="236"/>
        <w:spacing w:after="0" w:line="263" w:lineRule="auto"/>
        <w:tabs>
          <w:tab w:leader="none" w:pos="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Eaton Corporation plc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Lennox International Inc.</w:t>
      </w:r>
    </w:p>
    <w:p>
      <w:pPr>
        <w:spacing w:after="0" w:line="125" w:lineRule="exact"/>
        <w:rPr>
          <w:sz w:val="20"/>
          <w:szCs w:val="20"/>
          <w:color w:val="auto"/>
        </w:rPr>
      </w:pPr>
    </w:p>
    <w:p>
      <w:pPr>
        <w:sectPr>
          <w:pgSz w:w="11900" w:h="16838" w:orient="portrait"/>
          <w:cols w:equalWidth="0" w:num="2">
            <w:col w:w="5440" w:space="340"/>
            <w:col w:w="5400"/>
          </w:cols>
          <w:pgMar w:left="340" w:top="1036" w:right="37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Janet Clark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chief financial officer of Marathon Oil Corporation</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line="253" w:lineRule="auto"/>
        <w:rPr>
          <w:sz w:val="20"/>
          <w:szCs w:val="20"/>
          <w:color w:val="auto"/>
        </w:rPr>
      </w:pPr>
      <w:r>
        <w:rPr>
          <w:rFonts w:ascii="Arial" w:cs="Arial" w:eastAsia="Arial" w:hAnsi="Arial"/>
          <w:sz w:val="18"/>
          <w:szCs w:val="18"/>
          <w:color w:val="auto"/>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Dell Inc. and Exterran Holdings, Inc. She also serves as a director of environmental non-profit Resources for 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31" w:lineRule="exact"/>
        <w:rPr>
          <w:rFonts w:ascii="Arial" w:cs="Arial" w:eastAsia="Arial" w:hAnsi="Arial"/>
          <w:sz w:val="18"/>
          <w:szCs w:val="18"/>
          <w:color w:val="auto"/>
        </w:rPr>
      </w:pPr>
    </w:p>
    <w:p>
      <w:pPr>
        <w:ind w:left="240" w:right="100" w:hanging="236"/>
        <w:spacing w:after="0" w:line="276" w:lineRule="auto"/>
        <w:tabs>
          <w:tab w:leader="none" w:pos="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Oversight of large multinational companies, including one in the technology industry</w:t>
      </w:r>
    </w:p>
    <w:p>
      <w:pPr>
        <w:spacing w:after="0" w:line="111"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EOG Resources,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Goldman Sachs BDC,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Goldman Sachs Private Middle Market Credit LLC</w:t>
      </w:r>
    </w:p>
    <w:p>
      <w:pPr>
        <w:spacing w:after="0" w:line="572" w:lineRule="exact"/>
        <w:rPr>
          <w:sz w:val="20"/>
          <w:szCs w:val="20"/>
          <w:color w:val="auto"/>
        </w:rPr>
      </w:pPr>
    </w:p>
    <w:p>
      <w:pPr>
        <w:sectPr>
          <w:pgSz w:w="11900" w:h="16838" w:orient="portrait"/>
          <w:cols w:equalWidth="0" w:num="2">
            <w:col w:w="5500" w:space="280"/>
            <w:col w:w="5400"/>
          </w:cols>
          <w:pgMar w:left="340" w:top="103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36"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Carrie Cox</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Humacyte,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 Pharmacia Corporation.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Martin Craighead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Baker Hughes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At Baker Hughes Inc., 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180" w:hanging="236"/>
        <w:spacing w:after="0" w:line="263" w:lineRule="auto"/>
        <w:tabs>
          <w:tab w:leader="none" w:pos="2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a regulated industry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Cardinal Health,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Organon &amp; Co.</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Selecta Biosciences,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Array BioPharma Inc.</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Celgene Corporation</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electroCore,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120" w:hanging="236"/>
        <w:spacing w:after="0" w:line="263" w:lineRule="auto"/>
        <w:tabs>
          <w:tab w:leader="none" w:pos="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right="17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Emerson Electric Co.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Baker Hughes Company (f/k/a Baker Hughes, a GE company)</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Ecovyst Inc.</w:t>
      </w:r>
    </w:p>
    <w:p>
      <w:pPr>
        <w:spacing w:after="0" w:line="58" w:lineRule="exact"/>
        <w:rPr>
          <w:sz w:val="20"/>
          <w:szCs w:val="20"/>
          <w:color w:val="auto"/>
        </w:rPr>
      </w:pPr>
    </w:p>
    <w:p>
      <w:pPr>
        <w:sectPr>
          <w:pgSz w:w="11900" w:h="16838" w:orient="portrait"/>
          <w:cols w:equalWidth="0" w:num="2">
            <w:col w:w="5500" w:space="280"/>
            <w:col w:w="5200"/>
          </w:cols>
          <w:pgMar w:left="340" w:top="1304" w:right="579" w:bottom="1440" w:gutter="0" w:footer="0" w:header="0"/>
        </w:sectPr>
      </w:pPr>
    </w:p>
    <w:p>
      <w:pPr>
        <w:spacing w:after="0"/>
        <w:rPr>
          <w:sz w:val="20"/>
          <w:szCs w:val="20"/>
          <w:color w:val="auto"/>
        </w:rPr>
      </w:pPr>
      <w:r>
        <w:rPr>
          <w:rFonts w:ascii="Arial" w:cs="Arial" w:eastAsia="Arial" w:hAnsi="Arial"/>
          <w:sz w:val="20"/>
          <w:szCs w:val="20"/>
          <w:b w:val="1"/>
          <w:bCs w:val="1"/>
          <w:color w:val="auto"/>
        </w:rPr>
        <w:t>Curtis C. Farmer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 of Comerica Incorporated</w:t>
      </w:r>
    </w:p>
    <w:p>
      <w:pPr>
        <w:sectPr>
          <w:pgSz w:w="11900" w:h="16838" w:orient="portrait"/>
          <w:cols w:equalWidth="0" w:num="1">
            <w:col w:w="10980"/>
          </w:cols>
          <w:pgMar w:left="340" w:top="1304" w:right="579" w:bottom="1440" w:gutter="0" w:footer="0" w:header="0"/>
          <w:type w:val="continuous"/>
        </w:sectPr>
      </w:pP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line="255" w:lineRule="auto"/>
        <w:rPr>
          <w:sz w:val="20"/>
          <w:szCs w:val="20"/>
          <w:color w:val="auto"/>
        </w:rPr>
      </w:pPr>
      <w:r>
        <w:rPr>
          <w:rFonts w:ascii="Arial" w:cs="Arial" w:eastAsia="Arial" w:hAnsi="Arial"/>
          <w:sz w:val="18"/>
          <w:szCs w:val="18"/>
          <w:color w:val="auto"/>
        </w:rPr>
        <w:t>At Comerica, Mr. Farmer has served as chief executive officer since 2019, chairman since 2020 and president since 2015. Prior to those roles, he was executive vice president from 2008 to 2011, then vice chairman from 2011 to 2015. Mr. Farmer has also held senior leadership positions at Wachovia Corporation.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200" w:hanging="236"/>
        <w:spacing w:after="0" w:line="263" w:lineRule="auto"/>
        <w:tabs>
          <w:tab w:leader="none" w:pos="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financial institution</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w:t>
      </w:r>
    </w:p>
    <w:p>
      <w:pPr>
        <w:spacing w:after="0" w:line="218" w:lineRule="exact"/>
        <w:rPr>
          <w:sz w:val="20"/>
          <w:szCs w:val="20"/>
          <w:color w:val="auto"/>
        </w:rPr>
      </w:pPr>
    </w:p>
    <w:p>
      <w:pPr>
        <w:ind w:right="17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Comerica Incorporated</w:t>
      </w:r>
    </w:p>
    <w:p>
      <w:pPr>
        <w:spacing w:after="0" w:line="103" w:lineRule="exact"/>
        <w:rPr>
          <w:sz w:val="20"/>
          <w:szCs w:val="20"/>
          <w:color w:val="auto"/>
        </w:rPr>
      </w:pPr>
    </w:p>
    <w:p>
      <w:pPr>
        <w:ind w:right="7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580" w:space="200"/>
            <w:col w:w="5200"/>
          </w:cols>
          <w:pgMar w:left="340" w:top="1304"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242424"/>
        </w:rPr>
        <w:t>2023 PROXY STATEMENT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304" w:right="5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Jean Hobby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Retired partner of PricewaterhouseCoopers LLP</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right="160"/>
        <w:spacing w:after="0" w:line="257" w:lineRule="auto"/>
        <w:rPr>
          <w:sz w:val="20"/>
          <w:szCs w:val="20"/>
          <w:color w:val="auto"/>
        </w:rPr>
      </w:pPr>
      <w:r>
        <w:rPr>
          <w:rFonts w:ascii="Arial" w:cs="Arial" w:eastAsia="Arial" w:hAnsi="Arial"/>
          <w:sz w:val="18"/>
          <w:szCs w:val="18"/>
          <w:color w:val="auto"/>
        </w:rPr>
        <w:t>Ms. Hobby was global strategy officer of PricewaterhouseCoopers from 2013 to 2015. Prior to</w:t>
      </w:r>
    </w:p>
    <w:p>
      <w:pPr>
        <w:spacing w:after="0" w:line="1" w:lineRule="exact"/>
        <w:rPr>
          <w:sz w:val="20"/>
          <w:szCs w:val="20"/>
          <w:color w:val="auto"/>
        </w:rPr>
      </w:pPr>
    </w:p>
    <w:p>
      <w:pPr>
        <w:ind w:left="2080"/>
        <w:spacing w:after="0" w:line="255" w:lineRule="auto"/>
        <w:rPr>
          <w:sz w:val="20"/>
          <w:szCs w:val="20"/>
          <w:color w:val="auto"/>
        </w:rPr>
      </w:pPr>
      <w:r>
        <w:rPr>
          <w:rFonts w:ascii="Arial" w:cs="Arial" w:eastAsia="Arial" w:hAnsi="Arial"/>
          <w:sz w:val="18"/>
          <w:szCs w:val="18"/>
          <w:color w:val="auto"/>
        </w:rPr>
        <w:t>that, she held several senior management positions at the firm, including as technology, media and telecom sector leader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Haviv Ilan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400" w:hanging="236"/>
        <w:spacing w:after="0" w:line="263" w:lineRule="auto"/>
        <w:tabs>
          <w:tab w:leader="none" w:pos="2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Extensive audit knowledge and keen appreciation for audit, financial control and technology matters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responsibility at a large, multinational company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planning expertise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Hewlett Packard Enterprise Company</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Integer Holdings Corporation</w:t>
      </w:r>
    </w:p>
    <w:p>
      <w:pPr>
        <w:spacing w:after="0" w:line="218"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CA, Inc.</w:t>
      </w:r>
    </w:p>
    <w:p>
      <w:pPr>
        <w:spacing w:after="0" w:line="236" w:lineRule="exact"/>
        <w:rPr>
          <w:sz w:val="20"/>
          <w:szCs w:val="20"/>
          <w:color w:val="auto"/>
        </w:rPr>
      </w:pPr>
    </w:p>
    <w:p>
      <w:pPr>
        <w:sectPr>
          <w:pgSz w:w="11900" w:h="16838" w:orient="portrait"/>
          <w:cols w:equalWidth="0" w:num="2">
            <w:col w:w="5440" w:space="340"/>
            <w:col w:w="5340"/>
          </w:cols>
          <w:pgMar w:left="340" w:top="1034" w:right="439" w:bottom="1440" w:gutter="0" w:footer="0" w:header="0"/>
        </w:sectPr>
      </w:pPr>
    </w:p>
    <w:p>
      <w:pPr>
        <w:spacing w:after="0"/>
        <w:rPr>
          <w:sz w:val="20"/>
          <w:szCs w:val="20"/>
          <w:color w:val="auto"/>
        </w:rPr>
      </w:pPr>
      <w:r>
        <w:rPr>
          <w:rFonts w:ascii="Arial" w:cs="Arial" w:eastAsia="Arial" w:hAnsi="Arial"/>
          <w:sz w:val="17"/>
          <w:szCs w:val="17"/>
          <w:color w:val="auto"/>
        </w:rPr>
        <w:t>Executive vice president and chief operating officer of Texas Instruments Incorporated</w:t>
      </w:r>
    </w:p>
    <w:p>
      <w:pPr>
        <w:sectPr>
          <w:pgSz w:w="11900" w:h="16838" w:orient="portrait"/>
          <w:cols w:equalWidth="0" w:num="1">
            <w:col w:w="11120"/>
          </w:cols>
          <w:pgMar w:left="340" w:top="1034" w:right="439" w:bottom="1440" w:gutter="0" w:footer="0" w:header="0"/>
          <w:type w:val="continuous"/>
        </w:sectPr>
      </w:pP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Mr. Ilan has been an employee</w:t>
      </w:r>
    </w:p>
    <w:p>
      <w:pPr>
        <w:spacing w:after="0" w:line="27" w:lineRule="exact"/>
        <w:rPr>
          <w:sz w:val="20"/>
          <w:szCs w:val="20"/>
          <w:color w:val="auto"/>
        </w:rPr>
      </w:pPr>
    </w:p>
    <w:p>
      <w:pPr>
        <w:ind w:left="2080" w:right="60"/>
        <w:spacing w:after="0" w:line="250" w:lineRule="auto"/>
        <w:rPr>
          <w:sz w:val="20"/>
          <w:szCs w:val="20"/>
          <w:color w:val="auto"/>
        </w:rPr>
      </w:pPr>
      <w:r>
        <w:rPr>
          <w:rFonts w:ascii="Arial" w:cs="Arial" w:eastAsia="Arial" w:hAnsi="Arial"/>
          <w:sz w:val="18"/>
          <w:szCs w:val="18"/>
          <w:color w:val="auto"/>
        </w:rPr>
        <w:t>of the company for over 20 years, serving since 2014 at a senior level at the company, including</w:t>
      </w:r>
    </w:p>
    <w:p>
      <w:pPr>
        <w:spacing w:after="0" w:line="1" w:lineRule="exact"/>
        <w:rPr>
          <w:sz w:val="20"/>
          <w:szCs w:val="20"/>
          <w:color w:val="auto"/>
        </w:rPr>
      </w:pPr>
    </w:p>
    <w:p>
      <w:pPr>
        <w:ind w:left="2080" w:right="20"/>
        <w:spacing w:after="0" w:line="253" w:lineRule="auto"/>
        <w:rPr>
          <w:sz w:val="20"/>
          <w:szCs w:val="20"/>
          <w:color w:val="auto"/>
        </w:rPr>
      </w:pPr>
      <w:r>
        <w:rPr>
          <w:rFonts w:ascii="Arial" w:cs="Arial" w:eastAsia="Arial" w:hAnsi="Arial"/>
          <w:sz w:val="18"/>
          <w:szCs w:val="18"/>
          <w:color w:val="auto"/>
        </w:rPr>
        <w:t>as director since 2021, executive vice president and chief operating officer since 2020 and senior vice president since 2014. As COO, Mr. Ilan is responsible for leading TI's business, sales, manufacturing and information technology organizations.</w:t>
      </w:r>
    </w:p>
    <w:p>
      <w:pPr>
        <w:spacing w:after="0" w:line="210" w:lineRule="exact"/>
        <w:rPr>
          <w:sz w:val="20"/>
          <w:szCs w:val="20"/>
          <w:color w:val="auto"/>
        </w:rPr>
      </w:pPr>
    </w:p>
    <w:p>
      <w:pPr>
        <w:ind w:left="2080"/>
        <w:spacing w:after="0" w:line="280" w:lineRule="auto"/>
        <w:rPr>
          <w:sz w:val="20"/>
          <w:szCs w:val="20"/>
          <w:color w:val="auto"/>
        </w:rPr>
      </w:pPr>
      <w:r>
        <w:rPr>
          <w:rFonts w:ascii="Arial" w:cs="Arial" w:eastAsia="Arial" w:hAnsi="Arial"/>
          <w:sz w:val="17"/>
          <w:szCs w:val="17"/>
          <w:color w:val="auto"/>
        </w:rPr>
        <w:t>On January 19, 2023, Mr. Ilan was elected by the board of directors to succeed Mr. Templeton as president and chief executive officer, effective April 1,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Ronald Kirk</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responsibility for the company's operations</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Knowledge of the company and the semiconductor industry</w:t>
      </w:r>
    </w:p>
    <w:p>
      <w:pPr>
        <w:spacing w:after="0" w:line="38" w:lineRule="exact"/>
        <w:rPr>
          <w:rFonts w:ascii="Arial" w:cs="Arial" w:eastAsia="Arial" w:hAnsi="Arial"/>
          <w:sz w:val="17"/>
          <w:szCs w:val="17"/>
          <w:i w:val="1"/>
          <w:iCs w:val="1"/>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27"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1627" w:lineRule="exact"/>
        <w:rPr>
          <w:sz w:val="20"/>
          <w:szCs w:val="20"/>
          <w:color w:val="auto"/>
        </w:rPr>
      </w:pPr>
    </w:p>
    <w:p>
      <w:pPr>
        <w:sectPr>
          <w:pgSz w:w="11900" w:h="16838" w:orient="portrait"/>
          <w:cols w:equalWidth="0" w:num="2">
            <w:col w:w="5460" w:space="320"/>
            <w:col w:w="5340"/>
          </w:cols>
          <w:pgMar w:left="340" w:top="1034" w:right="439" w:bottom="1440" w:gutter="0" w:footer="0" w:header="0"/>
          <w:type w:val="continuous"/>
        </w:sectPr>
      </w:pPr>
    </w:p>
    <w:p>
      <w:pPr>
        <w:spacing w:after="0"/>
        <w:rPr>
          <w:sz w:val="20"/>
          <w:szCs w:val="20"/>
          <w:color w:val="auto"/>
        </w:rPr>
      </w:pPr>
      <w:r>
        <w:rPr>
          <w:rFonts w:ascii="Arial" w:cs="Arial" w:eastAsia="Arial" w:hAnsi="Arial"/>
          <w:sz w:val="18"/>
          <w:szCs w:val="18"/>
          <w:color w:val="auto"/>
        </w:rPr>
        <w:t>Senior of counsel at Gibson, Dunn &amp; Crutcher LLP</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Mr. Kirk has been senior of counsel at Gibson, Dunn &amp; Crutcher since 2013, and co-chairs the international trade and ESG practice groups.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360" w:hanging="236"/>
        <w:spacing w:after="0" w:line="263" w:lineRule="auto"/>
        <w:tabs>
          <w:tab w:leader="none" w:pos="2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responsibility of a large, complex organization operating internationally</w:t>
      </w:r>
    </w:p>
    <w:p>
      <w:pPr>
        <w:spacing w:after="0" w:line="1" w:lineRule="exact"/>
        <w:rPr>
          <w:rFonts w:ascii="Arial" w:cs="Arial" w:eastAsia="Arial" w:hAnsi="Arial"/>
          <w:sz w:val="18"/>
          <w:szCs w:val="18"/>
          <w:color w:val="auto"/>
        </w:rPr>
      </w:pPr>
    </w:p>
    <w:p>
      <w:pPr>
        <w:ind w:left="240" w:hanging="236"/>
        <w:spacing w:after="0" w:line="276" w:lineRule="auto"/>
        <w:tabs>
          <w:tab w:leader="none" w:pos="2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Keen insight into issues bearing on global economic activity and international trade policies</w:t>
      </w:r>
    </w:p>
    <w:p>
      <w:pPr>
        <w:spacing w:after="0" w:line="165"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Mister Car Wash,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right="220" w:hanging="236"/>
        <w:spacing w:after="0" w:line="287"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AMF Hawaii Investments, LLC (f/k/a Macquarie Infrastructure Holdings, LLC)</w:t>
      </w:r>
    </w:p>
    <w:p>
      <w:pPr>
        <w:spacing w:after="0" w:line="200" w:lineRule="exact"/>
        <w:rPr>
          <w:sz w:val="20"/>
          <w:szCs w:val="20"/>
          <w:color w:val="auto"/>
        </w:rPr>
      </w:pPr>
    </w:p>
    <w:p>
      <w:pPr>
        <w:sectPr>
          <w:pgSz w:w="11900" w:h="16838" w:orient="portrait"/>
          <w:cols w:equalWidth="0" w:num="2">
            <w:col w:w="5480" w:space="300"/>
            <w:col w:w="5340"/>
          </w:cols>
          <w:pgMar w:left="340" w:top="103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242424"/>
        </w:rPr>
        <w:t>2023 PROXY STATEMENT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34"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Pamela Patsley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MoneyGram International, Inc.</w:t>
      </w:r>
    </w:p>
    <w:p>
      <w:pPr>
        <w:sectPr>
          <w:pgSz w:w="11900" w:h="16838" w:orient="portrait"/>
          <w:cols w:equalWidth="0" w:num="1">
            <w:col w:w="10860"/>
          </w:cols>
          <w:pgMar w:left="340" w:top="1034" w:right="699" w:bottom="1440" w:gutter="0" w:footer="0" w:header="0"/>
        </w:sectPr>
      </w:pP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 MoneyGram, Ms. Patsley</w:t>
      </w:r>
    </w:p>
    <w:p>
      <w:pPr>
        <w:spacing w:after="0" w:line="27" w:lineRule="exact"/>
        <w:rPr>
          <w:sz w:val="20"/>
          <w:szCs w:val="20"/>
          <w:color w:val="auto"/>
        </w:rPr>
      </w:pPr>
    </w:p>
    <w:p>
      <w:pPr>
        <w:ind w:left="2080"/>
        <w:spacing w:after="0" w:line="252" w:lineRule="auto"/>
        <w:rPr>
          <w:sz w:val="20"/>
          <w:szCs w:val="20"/>
          <w:color w:val="auto"/>
        </w:rPr>
      </w:pPr>
      <w:r>
        <w:rPr>
          <w:rFonts w:ascii="Arial" w:cs="Arial" w:eastAsia="Arial" w:hAnsi="Arial"/>
          <w:sz w:val="18"/>
          <w:szCs w:val="18"/>
          <w:color w:val="auto"/>
        </w:rPr>
        <w:t>was chair and chief executive officer from 2009 to 2015, then executive chair until 2018. Prior to that, she was senior executive vice president at First Data Corporation and chief executive officer of Paymentech, Inc. She also served as chief financial officer of First USA, Inc. and began her career as an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Robert Sanchez</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Ryder System,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right="20"/>
        <w:spacing w:after="0" w:line="254" w:lineRule="auto"/>
        <w:rPr>
          <w:sz w:val="20"/>
          <w:szCs w:val="20"/>
          <w:color w:val="auto"/>
        </w:rPr>
      </w:pPr>
      <w:r>
        <w:rPr>
          <w:rFonts w:ascii="Arial" w:cs="Arial" w:eastAsia="Arial" w:hAnsi="Arial"/>
          <w:sz w:val="18"/>
          <w:szCs w:val="18"/>
          <w:color w:val="auto"/>
        </w:rPr>
        <w:t>Mr. Sanchez has been chairman and executive officer of Ryder since 2013. During his career at Ryder, Mr. 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w:t>
      </w:r>
    </w:p>
    <w:p>
      <w:pPr>
        <w:spacing w:after="0" w:line="31" w:lineRule="exact"/>
        <w:rPr>
          <w:rFonts w:ascii="Arial" w:cs="Arial" w:eastAsia="Arial" w:hAnsi="Arial"/>
          <w:sz w:val="18"/>
          <w:szCs w:val="18"/>
          <w:color w:val="auto"/>
        </w:rPr>
      </w:pPr>
    </w:p>
    <w:p>
      <w:pPr>
        <w:ind w:left="240" w:right="60" w:hanging="236"/>
        <w:spacing w:after="0" w:line="276" w:lineRule="auto"/>
        <w:tabs>
          <w:tab w:leader="none" w:pos="2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Keen appreciation for audit, financial control and technology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Hilton Grand Vacations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Keurig Dr Pepper Inc.</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Payoneer Global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ACI Worldwide, Inc.</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MoneyGram International, Inc.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780" w:hanging="236"/>
        <w:spacing w:after="0" w:line="263" w:lineRule="auto"/>
        <w:tabs>
          <w:tab w:leader="none" w:pos="2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transportation and logistics company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7"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Ryder System, Inc.</w:t>
      </w:r>
    </w:p>
    <w:p>
      <w:pPr>
        <w:spacing w:after="0" w:line="103" w:lineRule="exact"/>
        <w:rPr>
          <w:sz w:val="20"/>
          <w:szCs w:val="20"/>
          <w:color w:val="auto"/>
        </w:rPr>
      </w:pPr>
    </w:p>
    <w:p>
      <w:pPr>
        <w:ind w:right="620"/>
        <w:spacing w:after="0" w:line="309"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1" w:lineRule="exact"/>
        <w:rPr>
          <w:sz w:val="20"/>
          <w:szCs w:val="20"/>
          <w:color w:val="auto"/>
        </w:rPr>
      </w:pPr>
    </w:p>
    <w:p>
      <w:pPr>
        <w:sectPr>
          <w:pgSz w:w="11900" w:h="16838" w:orient="portrait"/>
          <w:cols w:equalWidth="0" w:num="2">
            <w:col w:w="5480" w:space="300"/>
            <w:col w:w="5080"/>
          </w:cols>
          <w:pgMar w:left="340" w:top="1034" w:right="69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Rich Templeton</w:t>
      </w:r>
    </w:p>
    <w:p>
      <w:pPr>
        <w:spacing w:after="0" w:line="72" w:lineRule="exact"/>
        <w:rPr>
          <w:sz w:val="20"/>
          <w:szCs w:val="20"/>
          <w:color w:val="auto"/>
        </w:rPr>
      </w:pPr>
    </w:p>
    <w:p>
      <w:pPr>
        <w:jc w:val="center"/>
        <w:spacing w:after="0" w:line="305" w:lineRule="auto"/>
        <w:rPr>
          <w:sz w:val="20"/>
          <w:szCs w:val="20"/>
          <w:color w:val="auto"/>
        </w:rPr>
      </w:pPr>
      <w:r>
        <w:rPr>
          <w:rFonts w:ascii="Arial" w:cs="Arial" w:eastAsia="Arial" w:hAnsi="Arial"/>
          <w:sz w:val="18"/>
          <w:szCs w:val="18"/>
          <w:color w:val="auto"/>
        </w:rPr>
        <w:t xml:space="preserve">Chairman and chief executive officer of Texas Instruments Incorporated </w:t>
      </w: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-149860</wp:posOffset>
            </wp:positionV>
            <wp:extent cx="994410" cy="1174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ind w:left="2080" w:right="180"/>
        <w:spacing w:after="0" w:line="256" w:lineRule="auto"/>
        <w:rPr>
          <w:sz w:val="20"/>
          <w:szCs w:val="20"/>
          <w:color w:val="auto"/>
        </w:rPr>
      </w:pPr>
      <w:r>
        <w:rPr>
          <w:rFonts w:ascii="Arial" w:cs="Arial" w:eastAsia="Arial" w:hAnsi="Arial"/>
          <w:sz w:val="18"/>
          <w:szCs w:val="18"/>
          <w:color w:val="auto"/>
        </w:rPr>
        <w:t>Mr. Templeton is a 40-year veteran of the semiconductor industry, serving the last 28 years at a senior level at the company. He has been the company’s chairman since 2008, and chief executive officer and president from 2004 to June 2018 and July 2018 to present.</w:t>
      </w:r>
    </w:p>
    <w:p>
      <w:pPr>
        <w:spacing w:after="0" w:line="210" w:lineRule="exact"/>
        <w:rPr>
          <w:sz w:val="20"/>
          <w:szCs w:val="20"/>
          <w:color w:val="auto"/>
        </w:rPr>
      </w:pPr>
    </w:p>
    <w:p>
      <w:pPr>
        <w:ind w:left="2080" w:right="200"/>
        <w:spacing w:after="0" w:line="257" w:lineRule="auto"/>
        <w:rPr>
          <w:sz w:val="20"/>
          <w:szCs w:val="20"/>
          <w:color w:val="auto"/>
        </w:rPr>
      </w:pPr>
      <w:r>
        <w:rPr>
          <w:rFonts w:ascii="Arial" w:cs="Arial" w:eastAsia="Arial" w:hAnsi="Arial"/>
          <w:sz w:val="18"/>
          <w:szCs w:val="18"/>
          <w:color w:val="auto"/>
        </w:rPr>
        <w:t>On January 19, 2023, Mr. Ilan was elected by the board of directors to succeed Mr. Templeton as president and chief executive officer, effective April 1, 2023. Mr. Templeton will continue as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460" w:hanging="236"/>
        <w:spacing w:after="0" w:line="263" w:lineRule="auto"/>
        <w:tabs>
          <w:tab w:leader="none" w:pos="2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Deep knowledge of all aspects of the company and the semiconductor industry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responsibility of the company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Responsibility for significant capital and R&amp;D investments</w:t>
      </w:r>
    </w:p>
    <w:p>
      <w:pPr>
        <w:spacing w:after="0" w:line="239"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848" w:lineRule="exact"/>
        <w:rPr>
          <w:sz w:val="20"/>
          <w:szCs w:val="20"/>
          <w:color w:val="auto"/>
        </w:rPr>
      </w:pPr>
    </w:p>
    <w:p>
      <w:pPr>
        <w:sectPr>
          <w:pgSz w:w="11900" w:h="16838" w:orient="portrait"/>
          <w:cols w:equalWidth="0" w:num="2">
            <w:col w:w="5680" w:space="100"/>
            <w:col w:w="5080"/>
          </w:cols>
          <w:pgMar w:left="340" w:top="1034"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242424"/>
        </w:rPr>
        <w:t>2023 PROXY STATEMENT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034" w:right="6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Director nomination process</w:t>
      </w:r>
    </w:p>
    <w:p>
      <w:pPr>
        <w:spacing w:after="0" w:line="2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The Nasdaq Stock Market LLC (Nasdaq) and the board’s corporate governance guidelines. Our board of directors has adopted a written charter for the GSR Committee. It can be found on our website at www.ti.com/corporategovernance.</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must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17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17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the board</w:t>
      </w:r>
    </w:p>
    <w:p>
      <w:pPr>
        <w:spacing w:after="0" w:line="22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34"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board has a long-standing commitment to responsible and effective corporate governance. We annually conduct extensive governance reviews and engage in investor outreach specific to governance, executive compensation and environmental and social matters.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board’s corporate governance guidelines (which include the director independence standards), the charters of each of the board’s committees, TI’s “Living our Values: TI’s ambitions, values and code of conduct,” our code of ethics for our chief executive officer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attendance</w:t>
      </w:r>
    </w:p>
    <w:p>
      <w:pPr>
        <w:spacing w:after="0" w:line="22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It is a policy of the board to encourage directors to attend the annual meeting of stockholders. Attendance allows for interaction between stockholders and board members. In 2022, all directors then in office and standing for re-election attended TI’s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23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has determined that each of our directors is independent, with the exception of Messrs. Templeton and Ilan.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p>
      <w:pPr>
        <w:ind w:left="486" w:hanging="486"/>
        <w:spacing w:after="0"/>
        <w:tabs>
          <w:tab w:leader="none" w:pos="4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63" w:lineRule="exact"/>
        <w:rPr>
          <w:rFonts w:ascii="Arial" w:cs="Arial" w:eastAsia="Arial" w:hAnsi="Arial"/>
          <w:sz w:val="18"/>
          <w:szCs w:val="18"/>
          <w:color w:val="auto"/>
        </w:rPr>
      </w:pPr>
    </w:p>
    <w:p>
      <w:pPr>
        <w:ind w:left="966" w:hanging="480"/>
        <w:spacing w:after="0"/>
        <w:tabs>
          <w:tab w:leader="none" w:pos="9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spacing w:after="0" w:line="63" w:lineRule="exact"/>
        <w:rPr>
          <w:rFonts w:ascii="Arial" w:cs="Arial" w:eastAsia="Arial" w:hAnsi="Arial"/>
          <w:sz w:val="18"/>
          <w:szCs w:val="18"/>
          <w:color w:val="auto"/>
        </w:rPr>
      </w:pPr>
    </w:p>
    <w:p>
      <w:pPr>
        <w:ind w:left="966" w:right="80" w:hanging="480"/>
        <w:spacing w:after="0" w:line="281" w:lineRule="auto"/>
        <w:tabs>
          <w:tab w:leader="none" w:pos="9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family member of the director is (i) a current partner of the company’s independent auditors or (ii)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966" w:right="100" w:hanging="480"/>
        <w:spacing w:after="0" w:line="257" w:lineRule="auto"/>
        <w:tabs>
          <w:tab w:leader="none" w:pos="9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8"/>
          <w:szCs w:val="18"/>
          <w:color w:val="auto"/>
        </w:rPr>
      </w:pPr>
    </w:p>
    <w:p>
      <w:pPr>
        <w:ind w:left="966" w:right="20" w:firstLine="6"/>
        <w:spacing w:after="0" w:line="254" w:lineRule="auto"/>
        <w:tabs>
          <w:tab w:leader="none" w:pos="1216" w:val="left"/>
        </w:tabs>
        <w:numPr>
          <w:ilvl w:val="2"/>
          <w:numId w:val="37"/>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0" w:lineRule="exact"/>
        <w:rPr>
          <w:rFonts w:ascii="Arial" w:cs="Arial" w:eastAsia="Arial" w:hAnsi="Arial"/>
          <w:sz w:val="18"/>
          <w:szCs w:val="18"/>
          <w:color w:val="auto"/>
        </w:rPr>
      </w:pPr>
    </w:p>
    <w:p>
      <w:pPr>
        <w:ind w:left="966" w:right="80" w:hanging="480"/>
        <w:spacing w:after="0" w:line="272" w:lineRule="auto"/>
        <w:tabs>
          <w:tab w:leader="none" w:pos="954" w:val="left"/>
        </w:tabs>
        <w:numPr>
          <w:ilvl w:val="1"/>
          <w:numId w:val="37"/>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7"/>
          <w:szCs w:val="17"/>
          <w:color w:val="auto"/>
        </w:rPr>
      </w:pPr>
    </w:p>
    <w:p>
      <w:pPr>
        <w:ind w:left="966" w:right="80" w:firstLine="6"/>
        <w:spacing w:after="0" w:line="254" w:lineRule="auto"/>
        <w:tabs>
          <w:tab w:leader="none" w:pos="1216" w:val="left"/>
        </w:tabs>
        <w:numPr>
          <w:ilvl w:val="2"/>
          <w:numId w:val="37"/>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74" w:lineRule="exact"/>
        <w:rPr>
          <w:rFonts w:ascii="Arial" w:cs="Arial" w:eastAsia="Arial" w:hAnsi="Arial"/>
          <w:sz w:val="18"/>
          <w:szCs w:val="18"/>
          <w:color w:val="auto"/>
        </w:rPr>
      </w:pPr>
    </w:p>
    <w:p>
      <w:pPr>
        <w:ind w:left="486" w:hanging="486"/>
        <w:spacing w:after="0"/>
        <w:tabs>
          <w:tab w:leader="none" w:pos="4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63" w:lineRule="exact"/>
        <w:rPr>
          <w:rFonts w:ascii="Arial" w:cs="Arial" w:eastAsia="Arial" w:hAnsi="Arial"/>
          <w:sz w:val="18"/>
          <w:szCs w:val="18"/>
          <w:color w:val="auto"/>
        </w:rPr>
      </w:pPr>
    </w:p>
    <w:p>
      <w:pPr>
        <w:ind w:left="966" w:hanging="480"/>
        <w:spacing w:after="0" w:line="281" w:lineRule="auto"/>
        <w:tabs>
          <w:tab w:leader="none" w:pos="9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966" w:hanging="480"/>
        <w:spacing w:after="0"/>
        <w:tabs>
          <w:tab w:leader="none" w:pos="9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spacing w:after="0" w:line="27" w:lineRule="exact"/>
        <w:rPr>
          <w:rFonts w:ascii="Arial" w:cs="Arial" w:eastAsia="Arial" w:hAnsi="Arial"/>
          <w:sz w:val="18"/>
          <w:szCs w:val="18"/>
          <w:color w:val="auto"/>
        </w:rPr>
      </w:pPr>
    </w:p>
    <w:p>
      <w:pPr>
        <w:jc w:val="both"/>
        <w:ind w:left="966" w:firstLine="6"/>
        <w:spacing w:after="0" w:line="258" w:lineRule="auto"/>
        <w:tabs>
          <w:tab w:leader="none" w:pos="1176" w:val="left"/>
        </w:tabs>
        <w:numPr>
          <w:ilvl w:val="2"/>
          <w:numId w:val="38"/>
        </w:numPr>
        <w:rPr>
          <w:rFonts w:ascii="Arial" w:cs="Arial" w:eastAsia="Arial" w:hAnsi="Arial"/>
          <w:sz w:val="18"/>
          <w:szCs w:val="18"/>
          <w:color w:val="auto"/>
        </w:rPr>
      </w:pPr>
      <w:r>
        <w:rPr>
          <w:rFonts w:ascii="Arial" w:cs="Arial" w:eastAsia="Arial" w:hAnsi="Arial"/>
          <w:sz w:val="18"/>
          <w:szCs w:val="18"/>
          <w:color w:val="auto"/>
        </w:rPr>
        <w:t>compensation for board or board committee service, (ii) compensation received for former service lasting no longer than one year as an interim chairman of the board, chief executive officer or other executive officer and (iii) benefits under a tax-qualified retirement plan, or non-discretionary compensation);</w:t>
      </w:r>
    </w:p>
    <w:p>
      <w:pPr>
        <w:spacing w:after="0" w:line="16" w:lineRule="exact"/>
        <w:rPr>
          <w:rFonts w:ascii="Arial" w:cs="Arial" w:eastAsia="Arial" w:hAnsi="Arial"/>
          <w:sz w:val="18"/>
          <w:szCs w:val="18"/>
          <w:color w:val="auto"/>
        </w:rPr>
      </w:pPr>
    </w:p>
    <w:p>
      <w:pPr>
        <w:ind w:left="966" w:hanging="480"/>
        <w:spacing w:after="0"/>
        <w:tabs>
          <w:tab w:leader="none" w:pos="9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63" w:lineRule="exact"/>
        <w:rPr>
          <w:rFonts w:ascii="Arial" w:cs="Arial" w:eastAsia="Arial" w:hAnsi="Arial"/>
          <w:sz w:val="18"/>
          <w:szCs w:val="18"/>
          <w:color w:val="auto"/>
        </w:rPr>
      </w:pPr>
    </w:p>
    <w:p>
      <w:pPr>
        <w:ind w:left="966" w:right="240" w:hanging="480"/>
        <w:spacing w:after="0" w:line="281" w:lineRule="auto"/>
        <w:tabs>
          <w:tab w:leader="none" w:pos="9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966" w:right="740" w:hanging="480"/>
        <w:spacing w:after="0" w:line="281" w:lineRule="auto"/>
        <w:tabs>
          <w:tab w:leader="none" w:pos="9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966" w:right="200" w:hanging="480"/>
        <w:spacing w:after="0" w:line="281" w:lineRule="auto"/>
        <w:tabs>
          <w:tab w:leader="none" w:pos="9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966" w:right="240" w:hanging="480"/>
        <w:spacing w:after="0" w:line="281" w:lineRule="auto"/>
        <w:tabs>
          <w:tab w:leader="none" w:pos="9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966" w:right="80" w:hanging="480"/>
        <w:spacing w:after="0" w:line="287" w:lineRule="auto"/>
        <w:tabs>
          <w:tab w:leader="none" w:pos="9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44" w:lineRule="exact"/>
        <w:rPr>
          <w:rFonts w:ascii="Arial" w:cs="Arial" w:eastAsia="Arial" w:hAnsi="Arial"/>
          <w:sz w:val="18"/>
          <w:szCs w:val="18"/>
          <w:color w:val="auto"/>
        </w:rPr>
      </w:pPr>
    </w:p>
    <w:p>
      <w:pPr>
        <w:ind w:left="486" w:right="20" w:hanging="486"/>
        <w:spacing w:after="0" w:line="259" w:lineRule="auto"/>
        <w:tabs>
          <w:tab w:leader="none" w:pos="4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86"/>
        <w:spacing w:after="0"/>
        <w:rPr>
          <w:sz w:val="20"/>
          <w:szCs w:val="20"/>
          <w:color w:val="auto"/>
        </w:rPr>
      </w:pPr>
      <w:r>
        <w:rPr>
          <w:rFonts w:ascii="Arial" w:cs="Arial" w:eastAsia="Arial" w:hAnsi="Arial"/>
          <w:sz w:val="14"/>
          <w:szCs w:val="14"/>
          <w:color w:val="242424"/>
        </w:rPr>
        <w:t>2023 PROXY STATEMENT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6"/>
          </w:cols>
          <w:pgMar w:left="814" w:top="985" w:right="359" w:bottom="1440" w:gutter="0" w:footer="0" w:header="0"/>
        </w:sectPr>
      </w:pPr>
    </w:p>
    <w:bookmarkStart w:id="14" w:name="page15"/>
    <w:bookmarkEnd w:id="14"/>
    <w:p>
      <w:pPr>
        <w:ind w:left="980" w:hanging="486"/>
        <w:spacing w:after="0" w:line="268" w:lineRule="auto"/>
        <w:tabs>
          <w:tab w:leader="none" w:pos="9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8" w:lineRule="exact"/>
        <w:rPr>
          <w:rFonts w:ascii="Arial" w:cs="Arial" w:eastAsia="Arial" w:hAnsi="Arial"/>
          <w:sz w:val="18"/>
          <w:szCs w:val="18"/>
          <w:color w:val="auto"/>
        </w:rPr>
      </w:pPr>
    </w:p>
    <w:p>
      <w:pPr>
        <w:ind w:left="1460" w:right="180" w:hanging="480"/>
        <w:spacing w:after="0" w:line="281" w:lineRule="auto"/>
        <w:tabs>
          <w:tab w:leader="none" w:pos="14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1460" w:right="680" w:hanging="480"/>
        <w:spacing w:after="0" w:line="287" w:lineRule="auto"/>
        <w:tabs>
          <w:tab w:leader="none" w:pos="14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44" w:lineRule="exact"/>
        <w:rPr>
          <w:rFonts w:ascii="Arial" w:cs="Arial" w:eastAsia="Arial" w:hAnsi="Arial"/>
          <w:sz w:val="18"/>
          <w:szCs w:val="18"/>
          <w:color w:val="auto"/>
        </w:rPr>
      </w:pPr>
    </w:p>
    <w:p>
      <w:pPr>
        <w:jc w:val="both"/>
        <w:ind w:left="980" w:right="60" w:hanging="486"/>
        <w:spacing w:after="0" w:line="268" w:lineRule="auto"/>
        <w:tabs>
          <w:tab w:leader="none" w:pos="9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organization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and committee meetings</w:t>
      </w:r>
    </w:p>
    <w:p>
      <w:pPr>
        <w:spacing w:after="0" w:line="23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2022, the board held eight meetings. The board has three standing committees described below. The standing committees of the board collectively held 19 meetings in 2022. Each director attended at least 90% of the board and relevant committee meetings combined. Overall attendance at board and committee meetings was approximately 99%.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2940" w:type="dxa"/>
            <w:vAlign w:val="bottom"/>
          </w:tcPr>
          <w:p>
            <w:pPr>
              <w:jc w:val="center"/>
              <w:ind w:left="456"/>
              <w:spacing w:after="0"/>
              <w:rPr>
                <w:sz w:val="20"/>
                <w:szCs w:val="20"/>
                <w:color w:val="auto"/>
              </w:rPr>
            </w:pPr>
            <w:r>
              <w:rPr>
                <w:rFonts w:ascii="Arial" w:cs="Arial" w:eastAsia="Arial" w:hAnsi="Arial"/>
                <w:sz w:val="14"/>
                <w:szCs w:val="14"/>
                <w:b w:val="1"/>
                <w:bCs w:val="1"/>
                <w:color w:val="auto"/>
              </w:rPr>
              <w:t>Audit</w:t>
            </w:r>
          </w:p>
        </w:tc>
        <w:tc>
          <w:tcPr>
            <w:tcW w:w="2360" w:type="dxa"/>
            <w:vAlign w:val="bottom"/>
          </w:tcPr>
          <w:p>
            <w:pPr>
              <w:jc w:val="center"/>
              <w:ind w:left="236"/>
              <w:spacing w:after="0"/>
              <w:rPr>
                <w:sz w:val="20"/>
                <w:szCs w:val="20"/>
                <w:color w:val="auto"/>
              </w:rPr>
            </w:pPr>
            <w:r>
              <w:rPr>
                <w:rFonts w:ascii="Arial" w:cs="Arial" w:eastAsia="Arial" w:hAnsi="Arial"/>
                <w:sz w:val="14"/>
                <w:szCs w:val="14"/>
                <w:b w:val="1"/>
                <w:bCs w:val="1"/>
                <w:color w:val="auto"/>
              </w:rPr>
              <w:t>Compensation</w:t>
            </w:r>
          </w:p>
        </w:tc>
        <w:tc>
          <w:tcPr>
            <w:tcW w:w="2780" w:type="dxa"/>
            <w:vAlign w:val="bottom"/>
          </w:tcPr>
          <w:p>
            <w:pPr>
              <w:jc w:val="center"/>
              <w:ind w:left="177"/>
              <w:spacing w:after="0"/>
              <w:rPr>
                <w:sz w:val="20"/>
                <w:szCs w:val="20"/>
                <w:color w:val="auto"/>
              </w:rPr>
            </w:pPr>
            <w:r>
              <w:rPr>
                <w:rFonts w:ascii="Arial" w:cs="Arial" w:eastAsia="Arial" w:hAnsi="Arial"/>
                <w:sz w:val="14"/>
                <w:szCs w:val="14"/>
                <w:b w:val="1"/>
                <w:bCs w:val="1"/>
                <w:color w:val="auto"/>
              </w:rPr>
              <w:t>Governance and Stockholder</w:t>
            </w:r>
          </w:p>
        </w:tc>
      </w:tr>
      <w:tr>
        <w:trPr>
          <w:trHeight w:val="20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2940" w:type="dxa"/>
            <w:vAlign w:val="bottom"/>
            <w:tcBorders>
              <w:bottom w:val="single" w:sz="8" w:color="auto"/>
            </w:tcBorders>
          </w:tcPr>
          <w:p>
            <w:pPr>
              <w:jc w:val="center"/>
              <w:ind w:left="456"/>
              <w:spacing w:after="0"/>
              <w:rPr>
                <w:sz w:val="20"/>
                <w:szCs w:val="20"/>
                <w:color w:val="auto"/>
              </w:rPr>
            </w:pPr>
            <w:r>
              <w:rPr>
                <w:rFonts w:ascii="Arial" w:cs="Arial" w:eastAsia="Arial" w:hAnsi="Arial"/>
                <w:sz w:val="14"/>
                <w:szCs w:val="14"/>
                <w:b w:val="1"/>
                <w:bCs w:val="1"/>
                <w:color w:val="auto"/>
              </w:rPr>
              <w:t>Committee</w:t>
            </w:r>
          </w:p>
        </w:tc>
        <w:tc>
          <w:tcPr>
            <w:tcW w:w="236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rPr>
              <w:t>Committee</w:t>
            </w:r>
          </w:p>
        </w:tc>
        <w:tc>
          <w:tcPr>
            <w:tcW w:w="278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rPr>
              <w:t>Relations Committee</w:t>
            </w:r>
          </w:p>
        </w:tc>
      </w:tr>
      <w:tr>
        <w:trPr>
          <w:trHeight w:val="250"/>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294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4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29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57"/>
              <w:spacing w:after="0"/>
              <w:rPr>
                <w:sz w:val="20"/>
                <w:szCs w:val="20"/>
                <w:color w:val="auto"/>
              </w:rPr>
            </w:pPr>
            <w:r>
              <w:rPr>
                <w:rFonts w:ascii="Arial" w:cs="Arial" w:eastAsia="Arial" w:hAnsi="Arial"/>
                <w:sz w:val="18"/>
                <w:szCs w:val="18"/>
                <w:color w:val="auto"/>
                <w:w w:val="94"/>
              </w:rPr>
              <w:t>•</w:t>
            </w:r>
          </w:p>
        </w:tc>
      </w:tr>
      <w:tr>
        <w:trPr>
          <w:trHeight w:val="23"/>
        </w:trPr>
        <w:tc>
          <w:tcPr>
            <w:tcW w:w="3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2940" w:type="dxa"/>
            <w:vAlign w:val="bottom"/>
            <w:tcBorders>
              <w:bottom w:val="single" w:sz="8" w:color="DBDBDB"/>
            </w:tcBorders>
            <w:shd w:val="clear" w:color="auto" w:fill="DBDBDB"/>
          </w:tcPr>
          <w:p>
            <w:pPr>
              <w:jc w:val="center"/>
              <w:ind w:left="456"/>
              <w:spacing w:after="0"/>
              <w:rPr>
                <w:sz w:val="20"/>
                <w:szCs w:val="20"/>
                <w:color w:val="auto"/>
              </w:rPr>
            </w:pPr>
            <w:r>
              <w:rPr>
                <w:rFonts w:ascii="Arial" w:cs="Arial" w:eastAsia="Arial" w:hAnsi="Arial"/>
                <w:sz w:val="18"/>
                <w:szCs w:val="18"/>
                <w:color w:val="auto"/>
              </w:rPr>
              <w:t>Chair</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4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294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3"/>
        </w:trPr>
        <w:tc>
          <w:tcPr>
            <w:tcW w:w="3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294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40" w:type="dxa"/>
            <w:vAlign w:val="bottom"/>
          </w:tcPr>
          <w:p>
            <w:pPr>
              <w:ind w:left="20"/>
              <w:spacing w:after="0"/>
              <w:rPr>
                <w:sz w:val="20"/>
                <w:szCs w:val="20"/>
                <w:color w:val="auto"/>
              </w:rPr>
            </w:pPr>
            <w:r>
              <w:rPr>
                <w:rFonts w:ascii="Arial" w:cs="Arial" w:eastAsia="Arial" w:hAnsi="Arial"/>
                <w:sz w:val="18"/>
                <w:szCs w:val="18"/>
                <w:color w:val="auto"/>
              </w:rPr>
              <w:t>Curtis C. Farmer *</w:t>
            </w:r>
          </w:p>
        </w:tc>
        <w:tc>
          <w:tcPr>
            <w:tcW w:w="2940" w:type="dxa"/>
            <w:vAlign w:val="bottom"/>
          </w:tcPr>
          <w:p>
            <w:pPr>
              <w:jc w:val="center"/>
              <w:ind w:left="47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M. Hobby</w:t>
            </w:r>
          </w:p>
        </w:tc>
        <w:tc>
          <w:tcPr>
            <w:tcW w:w="2940" w:type="dxa"/>
            <w:vAlign w:val="bottom"/>
            <w:tcBorders>
              <w:bottom w:val="single" w:sz="8" w:color="DBDBDB"/>
            </w:tcBorders>
            <w:shd w:val="clear" w:color="auto" w:fill="DBDBDB"/>
          </w:tcPr>
          <w:p>
            <w:pPr>
              <w:jc w:val="center"/>
              <w:ind w:left="476"/>
              <w:spacing w:after="0"/>
              <w:rPr>
                <w:sz w:val="20"/>
                <w:szCs w:val="20"/>
                <w:color w:val="auto"/>
              </w:rPr>
            </w:pPr>
            <w:r>
              <w:rPr>
                <w:rFonts w:ascii="Arial" w:cs="Arial" w:eastAsia="Arial" w:hAnsi="Arial"/>
                <w:sz w:val="18"/>
                <w:szCs w:val="18"/>
                <w:color w:val="auto"/>
                <w:w w:val="94"/>
              </w:rPr>
              <w:t>•</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40" w:type="dxa"/>
            <w:vAlign w:val="bottom"/>
          </w:tcPr>
          <w:p>
            <w:pPr>
              <w:ind w:left="20"/>
              <w:spacing w:after="0"/>
              <w:rPr>
                <w:sz w:val="20"/>
                <w:szCs w:val="20"/>
                <w:color w:val="auto"/>
              </w:rPr>
            </w:pPr>
            <w:r>
              <w:rPr>
                <w:rFonts w:ascii="Arial" w:cs="Arial" w:eastAsia="Arial" w:hAnsi="Arial"/>
                <w:sz w:val="18"/>
                <w:szCs w:val="18"/>
                <w:color w:val="auto"/>
              </w:rPr>
              <w:t>Michael D. Hsu **</w:t>
            </w:r>
          </w:p>
        </w:tc>
        <w:tc>
          <w:tcPr>
            <w:tcW w:w="2940" w:type="dxa"/>
            <w:vAlign w:val="bottom"/>
          </w:tcPr>
          <w:p>
            <w:pPr>
              <w:jc w:val="center"/>
              <w:ind w:left="47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94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4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29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77"/>
              <w:spacing w:after="0"/>
              <w:rPr>
                <w:sz w:val="20"/>
                <w:szCs w:val="20"/>
                <w:color w:val="auto"/>
              </w:rPr>
            </w:pPr>
            <w:r>
              <w:rPr>
                <w:rFonts w:ascii="Arial" w:cs="Arial" w:eastAsia="Arial" w:hAnsi="Arial"/>
                <w:sz w:val="18"/>
                <w:szCs w:val="18"/>
                <w:color w:val="auto"/>
              </w:rPr>
              <w:t>Chair</w:t>
            </w:r>
          </w:p>
        </w:tc>
      </w:tr>
      <w:tr>
        <w:trPr>
          <w:trHeight w:val="23"/>
        </w:trPr>
        <w:tc>
          <w:tcPr>
            <w:tcW w:w="3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 ***</w:t>
            </w:r>
          </w:p>
        </w:tc>
        <w:tc>
          <w:tcPr>
            <w:tcW w:w="294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Chair</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4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29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57"/>
              <w:spacing w:after="0"/>
              <w:rPr>
                <w:sz w:val="20"/>
                <w:szCs w:val="20"/>
                <w:color w:val="auto"/>
              </w:rPr>
            </w:pPr>
            <w:r>
              <w:rPr>
                <w:rFonts w:ascii="Arial" w:cs="Arial" w:eastAsia="Arial" w:hAnsi="Arial"/>
                <w:sz w:val="18"/>
                <w:szCs w:val="18"/>
                <w:color w:val="auto"/>
                <w:w w:val="94"/>
              </w:rPr>
              <w:t>•</w:t>
            </w:r>
          </w:p>
        </w:tc>
      </w:tr>
      <w:tr>
        <w:trPr>
          <w:trHeight w:val="23"/>
        </w:trPr>
        <w:tc>
          <w:tcPr>
            <w:tcW w:w="3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47"/>
        </w:trPr>
        <w:tc>
          <w:tcPr>
            <w:tcW w:w="3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2940" w:type="dxa"/>
            <w:vAlign w:val="bottom"/>
            <w:shd w:val="clear" w:color="auto" w:fill="DBDBDB"/>
          </w:tcPr>
          <w:p>
            <w:pPr>
              <w:spacing w:after="0"/>
              <w:rPr>
                <w:sz w:val="21"/>
                <w:szCs w:val="21"/>
                <w:color w:val="auto"/>
              </w:rPr>
            </w:pPr>
          </w:p>
        </w:tc>
        <w:tc>
          <w:tcPr>
            <w:tcW w:w="2360" w:type="dxa"/>
            <w:vAlign w:val="bottom"/>
            <w:shd w:val="clear" w:color="auto" w:fill="DBDBDB"/>
          </w:tcPr>
          <w:p>
            <w:pPr>
              <w:spacing w:after="0"/>
              <w:rPr>
                <w:sz w:val="21"/>
                <w:szCs w:val="21"/>
                <w:color w:val="auto"/>
              </w:rPr>
            </w:pPr>
          </w:p>
        </w:tc>
        <w:tc>
          <w:tcPr>
            <w:tcW w:w="2780" w:type="dxa"/>
            <w:vAlign w:val="bottom"/>
            <w:shd w:val="clear" w:color="auto" w:fill="DBDBDB"/>
          </w:tcPr>
          <w:p>
            <w:pPr>
              <w:spacing w:after="0"/>
              <w:rPr>
                <w:sz w:val="21"/>
                <w:szCs w:val="21"/>
                <w:color w:val="auto"/>
              </w:rPr>
            </w:pPr>
          </w:p>
        </w:tc>
      </w:tr>
      <w:tr>
        <w:trPr>
          <w:trHeight w:val="23"/>
        </w:trPr>
        <w:tc>
          <w:tcPr>
            <w:tcW w:w="3140" w:type="dxa"/>
            <w:vAlign w:val="bottom"/>
            <w:shd w:val="clear" w:color="auto" w:fill="DBDBDB"/>
          </w:tcPr>
          <w:p>
            <w:pPr>
              <w:spacing w:after="0"/>
              <w:rPr>
                <w:sz w:val="2"/>
                <w:szCs w:val="2"/>
                <w:color w:val="auto"/>
              </w:rPr>
            </w:pPr>
          </w:p>
        </w:tc>
        <w:tc>
          <w:tcPr>
            <w:tcW w:w="2940" w:type="dxa"/>
            <w:vAlign w:val="bottom"/>
            <w:shd w:val="clear" w:color="auto" w:fill="DBDBDB"/>
          </w:tcPr>
          <w:p>
            <w:pPr>
              <w:spacing w:after="0"/>
              <w:rPr>
                <w:sz w:val="2"/>
                <w:szCs w:val="2"/>
                <w:color w:val="auto"/>
              </w:rPr>
            </w:pPr>
          </w:p>
        </w:tc>
        <w:tc>
          <w:tcPr>
            <w:tcW w:w="2360" w:type="dxa"/>
            <w:vAlign w:val="bottom"/>
            <w:shd w:val="clear" w:color="auto" w:fill="DBDBDB"/>
          </w:tcPr>
          <w:p>
            <w:pPr>
              <w:spacing w:after="0"/>
              <w:rPr>
                <w:sz w:val="2"/>
                <w:szCs w:val="2"/>
                <w:color w:val="auto"/>
              </w:rPr>
            </w:pPr>
          </w:p>
        </w:tc>
        <w:tc>
          <w:tcPr>
            <w:tcW w:w="2780" w:type="dxa"/>
            <w:vAlign w:val="bottom"/>
            <w:shd w:val="clear" w:color="auto" w:fill="DBDBDB"/>
          </w:tcPr>
          <w:p>
            <w:pPr>
              <w:spacing w:after="0"/>
              <w:rPr>
                <w:sz w:val="2"/>
                <w:szCs w:val="2"/>
                <w:color w:val="auto"/>
              </w:rPr>
            </w:pPr>
          </w:p>
        </w:tc>
      </w:tr>
    </w:tbl>
    <w:p>
      <w:pPr>
        <w:spacing w:after="0" w:line="170"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 April 1, 2023</w:t>
      </w:r>
    </w:p>
    <w:p>
      <w:pPr>
        <w:spacing w:after="0" w:line="1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Serving until April 27, 2023</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Lead director</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 of the board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Audit Committee</w:t>
      </w:r>
    </w:p>
    <w:p>
      <w:pPr>
        <w:spacing w:after="0" w:line="2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Since April 22, 2021, the committee members have been Ms. Clark (chair), Ms. Hobby and Mr. Hsu. Mr. Farmer will join the Audit Committee effective April 1, 2023. The Audit Committee is generally responsible for:</w:t>
      </w: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15" w:name="page16"/>
    <w:bookmarkEnd w:id="15"/>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annual report of TI’s independent registered public accounting firm related to quality control.</w:t>
      </w:r>
    </w:p>
    <w:p>
      <w:pPr>
        <w:spacing w:after="0" w:line="63" w:lineRule="exact"/>
        <w:rPr>
          <w:rFonts w:ascii="Arial" w:cs="Arial" w:eastAsia="Arial" w:hAnsi="Arial"/>
          <w:sz w:val="18"/>
          <w:szCs w:val="18"/>
          <w:color w:val="auto"/>
        </w:rPr>
      </w:pPr>
    </w:p>
    <w:p>
      <w:pPr>
        <w:ind w:left="980" w:hanging="324"/>
        <w:spacing w:after="0" w:line="281" w:lineRule="auto"/>
        <w:tabs>
          <w:tab w:leader="none" w:pos="9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TI’s audit plans.</w:t>
      </w:r>
    </w:p>
    <w:p>
      <w:pPr>
        <w:spacing w:after="0" w:line="63" w:lineRule="exact"/>
        <w:rPr>
          <w:rFonts w:ascii="Arial" w:cs="Arial" w:eastAsia="Arial" w:hAnsi="Arial"/>
          <w:sz w:val="18"/>
          <w:szCs w:val="18"/>
          <w:color w:val="auto"/>
        </w:rPr>
      </w:pPr>
    </w:p>
    <w:p>
      <w:pPr>
        <w:ind w:left="980" w:right="80" w:hanging="324"/>
        <w:spacing w:after="0" w:line="281" w:lineRule="auto"/>
        <w:tabs>
          <w:tab w:leader="none" w:pos="9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Relationships between the independent registered public accounting firm and TI.</w:t>
      </w:r>
    </w:p>
    <w:p>
      <w:pPr>
        <w:spacing w:after="0" w:line="63" w:lineRule="exact"/>
        <w:rPr>
          <w:rFonts w:ascii="Arial" w:cs="Arial" w:eastAsia="Arial" w:hAnsi="Arial"/>
          <w:sz w:val="18"/>
          <w:szCs w:val="18"/>
          <w:color w:val="auto"/>
        </w:rPr>
      </w:pPr>
    </w:p>
    <w:p>
      <w:pPr>
        <w:ind w:left="980" w:right="80" w:hanging="324"/>
        <w:spacing w:after="0" w:line="281" w:lineRule="auto"/>
        <w:tabs>
          <w:tab w:leader="none" w:pos="9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TI’s risk assessment and risk management practices, including cybersecurity and environmental-related risks.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TI’s compliance and ethics program.</w:t>
      </w:r>
    </w:p>
    <w:p>
      <w:pPr>
        <w:spacing w:after="0" w:line="63" w:lineRule="exact"/>
        <w:rPr>
          <w:rFonts w:ascii="Arial" w:cs="Arial" w:eastAsia="Arial" w:hAnsi="Arial"/>
          <w:sz w:val="18"/>
          <w:szCs w:val="18"/>
          <w:color w:val="auto"/>
        </w:rPr>
      </w:pPr>
    </w:p>
    <w:p>
      <w:pPr>
        <w:ind w:left="980" w:right="520" w:hanging="324"/>
        <w:spacing w:after="0" w:line="281" w:lineRule="auto"/>
        <w:tabs>
          <w:tab w:leader="none" w:pos="9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report of compliance of management and operating personnel with TI’s code of conduct, including TI’s conflict of interest policy.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TI’s non-employee-related insurance programs.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Changes, if any, in major accounting policies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Trends in accounting policy changes that are relevant to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company’s policy regarding investments and financial derivative products.</w:t>
      </w:r>
    </w:p>
    <w:p>
      <w:pPr>
        <w:spacing w:after="0" w:line="63" w:lineRule="exact"/>
        <w:rPr>
          <w:rFonts w:ascii="Arial" w:cs="Arial" w:eastAsia="Arial" w:hAnsi="Arial"/>
          <w:sz w:val="18"/>
          <w:szCs w:val="18"/>
          <w:color w:val="auto"/>
        </w:rPr>
      </w:pPr>
    </w:p>
    <w:p>
      <w:pPr>
        <w:ind w:left="660" w:right="320" w:hanging="328"/>
        <w:spacing w:after="0" w:line="28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Ms. Clark as the Audit Committee financial expert as defined in the Securities Exchange Act of 1934, as amended.</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Audit Committee met eight times in 2022.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Compensation Committee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the Compensation Committee are independent. Since April 22, 2021, the committee members have been Ms. Patsley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Blinn, Ms. Cox and Mr. Craighead. The Compensation Committee is generally responsible for:</w:t>
      </w:r>
    </w:p>
    <w:p>
      <w:pPr>
        <w:spacing w:after="0" w:line="20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right="160" w:hanging="324"/>
        <w:spacing w:after="0" w:line="268" w:lineRule="auto"/>
        <w:tabs>
          <w:tab w:leader="none" w:pos="9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8" w:lineRule="exact"/>
        <w:rPr>
          <w:rFonts w:ascii="Arial" w:cs="Arial" w:eastAsia="Arial" w:hAnsi="Arial"/>
          <w:sz w:val="18"/>
          <w:szCs w:val="18"/>
          <w:color w:val="auto"/>
        </w:rPr>
      </w:pPr>
    </w:p>
    <w:p>
      <w:pPr>
        <w:ind w:left="980" w:right="740" w:hanging="324"/>
        <w:spacing w:after="0" w:line="281" w:lineRule="auto"/>
        <w:tabs>
          <w:tab w:leader="none" w:pos="9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6" w:name="page17"/>
    <w:bookmarkEnd w:id="16"/>
    <w:p>
      <w:pPr>
        <w:ind w:left="660" w:right="400" w:hanging="328"/>
        <w:spacing w:after="0" w:line="28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5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Compensation Committee met five times in 2022. The Compensation Committee holds regularly scheduled meetings, reports its activities to the board, and consults with the board before setting annual executive compensation.</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as its compensation consultant for the 2022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other engagements with the company or its management. In support of this belief, the committee has a policy on compensation consultants, a copy of which may be found on www.ti.com/corporategovernance. During 2022, the committee determined that its compensation consultant was independent of the company and had no conflict of interest.</w:t>
      </w:r>
    </w:p>
    <w:p>
      <w:pPr>
        <w:spacing w:after="0" w:line="17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his compensation.</w:t>
      </w:r>
    </w:p>
    <w:p>
      <w:pPr>
        <w:spacing w:after="0" w:line="18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Templeton. Upon Mr. Ilan’s re-election to the board, Mr. Ilan will replace Mr. Templeton as the sole member of the special committee effective April 27, 2023. The special committee has no authority to grant, amend or terminate any form of compensation for TI’s executive officers. The Compensation Committee reviews all activity of the special committee.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Governance and Stockholder Relations Committee</w:t>
      </w:r>
    </w:p>
    <w:p>
      <w:pPr>
        <w:spacing w:after="0" w:line="23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All members of the GSR Committee are independent. Since April 23, 2020, the committee members have been Mr. Kirk (chair), Mr. Bluedorn and Mr. Sanchez. The GSR Committee is generally responsible for:</w:t>
      </w:r>
    </w:p>
    <w:p>
      <w:pPr>
        <w:spacing w:after="0" w:line="15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The development and revision of our corporate governance principles.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 w:name="page18"/>
    <w:bookmarkEnd w:id="17"/>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TI’s conflict of interest policy.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Election of executive officers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Topics affecting the relationship between the company and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Public issues likely to affect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Contribution policies of the company and the TI Foundation.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Scope of activities of the company’s political action committee.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Revisions to TI’s code of conduct.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GSR Committee met six times in 2022. The GSR Committee holds regularly scheduled meetings and reports its activities to the board.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evaluation process</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(i) including on each board agenda an opportunity for the independent directors to comment on and influence the proposed strategic agenda for future meetings and (ii) holding an executive session of the independent directors at each board meeting), allows it to maintain the active engagement of independent directors and appropriate oversight of management.</w:t>
      </w:r>
    </w:p>
    <w:p>
      <w:pPr>
        <w:spacing w:after="0" w:line="17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lead director is elected by the independent directors annually. The independent directors have elected Ms. Patsley to serve as lead director. The duties of the lead director are to:</w:t>
      </w:r>
    </w:p>
    <w:p>
      <w:pPr>
        <w:spacing w:after="0" w:line="15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company and its stockholders.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utilizing a lead director.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 by the board</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to the board or Audit Committee.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183"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16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Audit Committee oversees the company’s approach to risk management as a whole, including cybersecurity and environmental-related risks. The company’s chief financial officer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oversight of environmental, social and governance (ESG) matters</w:t>
      </w:r>
    </w:p>
    <w:p>
      <w:pPr>
        <w:spacing w:after="0" w:line="22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Management implements ESG-related policies and practices under the board’s oversight, including by (i) establishing broad policies for guidance of the organization, such as those contained in the document “Living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2023 PROXY STATEMENT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19" w:name="page20"/>
    <w:bookmarkEnd w:id="19"/>
    <w:p>
      <w:pPr>
        <w:ind w:right="280"/>
        <w:spacing w:after="0" w:line="268" w:lineRule="auto"/>
        <w:rPr>
          <w:sz w:val="20"/>
          <w:szCs w:val="20"/>
          <w:color w:val="auto"/>
        </w:rPr>
      </w:pPr>
      <w:r>
        <w:rPr>
          <w:rFonts w:ascii="Arial" w:cs="Arial" w:eastAsia="Arial" w:hAnsi="Arial"/>
          <w:sz w:val="18"/>
          <w:szCs w:val="18"/>
          <w:color w:val="auto"/>
        </w:rPr>
        <w:t>Values: TI’s ambitions, values and code of conduct,” which was approved by the board; (ii) implementing those policies by delegation of authority and assigning responsibility to board committees, the chief executive officer, and other officers or employees as appropriate; and (iii) monitoring and evaluating performance to assure that the stated policies are being followed.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Where ESG-related issues may have significance for TI, these matters are reviewed in the relevant committee. We believe this approach ensures that ESG issues are overseen by the committee with the appropriate focus. For example, climate-related issues are reviewed with the Audit Committee by the vice president of worldwide environmental, safety and health. The GSR Committee also oversees ESG matters in connection with its responsibility to review public issues of interest to company stakeholders. Management also provides updates to the GSR Committee at least annually on shareholder policies and proposals regarding ESG matters that are relevant to the company.</w:t>
      </w:r>
    </w:p>
    <w:p>
      <w:pPr>
        <w:spacing w:after="0" w:line="399" w:lineRule="exact"/>
        <w:rPr>
          <w:sz w:val="20"/>
          <w:szCs w:val="20"/>
          <w:color w:val="auto"/>
        </w:rPr>
      </w:pPr>
    </w:p>
    <w:p>
      <w:pPr>
        <w:ind w:right="280"/>
        <w:spacing w:after="0" w:line="285" w:lineRule="auto"/>
        <w:rPr>
          <w:sz w:val="20"/>
          <w:szCs w:val="20"/>
          <w:color w:val="auto"/>
        </w:rPr>
      </w:pPr>
      <w:r>
        <w:rPr>
          <w:rFonts w:ascii="Arial" w:cs="Arial" w:eastAsia="Arial" w:hAnsi="Arial"/>
          <w:sz w:val="22"/>
          <w:szCs w:val="22"/>
          <w:b w:val="1"/>
          <w:bCs w:val="1"/>
          <w:color w:val="auto"/>
        </w:rPr>
        <w:t>Proposal to approve amendment and restatement of the TI Employees 2014 Stock Purchase Plan to extend the termination date</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asks stockholders to approve the amendment and restatement, in its entirety, of the TI Employees 2014 Stock Purchase Plan (the “ESPP” and, as amended and restated, the “Restated ESPP”) to enable TI employees to continue to purchase shares of the company’s common stock at a discount under the Restated ESPP. The ESPP will expire on April 17, 2024, the 10-year anniversary of the effective date of the ESPP. If approved by stockholders, the Restated ESPP will extend the term until April 27, 2033. The Restated ESPP, like the ESPP, is intended to be qualified under Section 423 of the Internal Revenue Code (the “IRC”).</w:t>
      </w:r>
    </w:p>
    <w:p>
      <w:pPr>
        <w:spacing w:after="0" w:line="1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board adopted the Restated ESPP on December 1, 2022, subject to stockholder approval. The board believes the Restated ESPP is in the best interest of stockholders as it enhances broad-based employee stock ownership (thus further aligning the interest of employees with TI stockholders) and helps the company attract, motivate and retain employees. If approved by stockholders, the Restated ESPP will be effective April 27, 2023, the date of the annual meeting of stockholders.</w:t>
      </w:r>
    </w:p>
    <w:p>
      <w:pPr>
        <w:spacing w:after="0" w:line="176" w:lineRule="exact"/>
        <w:rPr>
          <w:sz w:val="20"/>
          <w:szCs w:val="20"/>
          <w:color w:val="auto"/>
        </w:rPr>
      </w:pPr>
    </w:p>
    <w:p>
      <w:pPr>
        <w:jc w:val="both"/>
        <w:ind w:right="340"/>
        <w:spacing w:after="0" w:line="273" w:lineRule="auto"/>
        <w:rPr>
          <w:sz w:val="20"/>
          <w:szCs w:val="20"/>
          <w:color w:val="auto"/>
        </w:rPr>
      </w:pPr>
      <w:r>
        <w:rPr>
          <w:rFonts w:ascii="Arial" w:cs="Arial" w:eastAsia="Arial" w:hAnsi="Arial"/>
          <w:sz w:val="18"/>
          <w:szCs w:val="18"/>
          <w:color w:val="auto"/>
        </w:rPr>
        <w:t xml:space="preserve">As of March 1, 2023, 32 million of the 40 million shares initially authorized under the ESPP remained available for issuance, representing approximately 4% of our total shares outstanding as of such date. </w:t>
      </w:r>
      <w:r>
        <w:rPr>
          <w:rFonts w:ascii="Arial" w:cs="Arial" w:eastAsia="Arial" w:hAnsi="Arial"/>
          <w:sz w:val="18"/>
          <w:szCs w:val="18"/>
          <w:b w:val="1"/>
          <w:bCs w:val="1"/>
          <w:color w:val="auto"/>
        </w:rPr>
        <w:t>The board is not asking for any additional shares for the Restated</w:t>
      </w:r>
      <w:r>
        <w:rPr>
          <w:rFonts w:ascii="Arial" w:cs="Arial" w:eastAsia="Arial" w:hAnsi="Arial"/>
          <w:sz w:val="18"/>
          <w:szCs w:val="18"/>
          <w:color w:val="auto"/>
        </w:rPr>
        <w:t xml:space="preserve"> </w:t>
      </w:r>
      <w:r>
        <w:rPr>
          <w:rFonts w:ascii="Arial" w:cs="Arial" w:eastAsia="Arial" w:hAnsi="Arial"/>
          <w:sz w:val="18"/>
          <w:szCs w:val="18"/>
          <w:b w:val="1"/>
          <w:bCs w:val="1"/>
          <w:color w:val="auto"/>
        </w:rPr>
        <w:t>ESPP. Extending the term of the ESPP will enable use of its remaining, previously approved shares.</w:t>
      </w:r>
    </w:p>
    <w:p>
      <w:pPr>
        <w:spacing w:after="0" w:line="1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full text of the Restated ESPP is set forth in Appendix B to this proxy statement. The principal features of the Restated ESPP are summarized below. The description below is qualified in its entirety by reference to the text of the Restated ESPP. The terms of the Restated ESPP are substantially similar to those of the ESPP that was approved by stockholders in April 2014. No offerings under the ESPP will be made following the completion of any offering pending on the effective date of the Restated ESPP.</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plan provisions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Eligibility</w:t>
      </w:r>
    </w:p>
    <w:p>
      <w:pPr>
        <w:spacing w:after="0" w:line="2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employees of TI, and such of its subsidiaries as the Compensation Committee of the board of directors shall designate, who are employees on the date of grant of the option (including those on paid or unpaid leave of absence if the company expects that the employee will return to work) will be eligible to participate in offerings of options under the Restated ESPP. On or prior to the date of grant, the Compensation Committee will determine the effect of an employee’s termination of employment during the term of the offering. Directors who are not employees will not be eligible to participate in the Restated ESPP.</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1, 2023, TI and its subsidiaries had approximately 33,000 employees. Under Section 423 of the IRC, all employees of TI and any subsidiary designated by the Compensation Committee are required to be eligible for participation in the Restated ESPP, with limited exception. The basis for participation in the Restated ESPP is the Compensation Committee’s decision that an eligible participant will further the Restated ESPP’s purpose of encouraging a proprietary interest in TI. In exercising its discretion, the Compensation Committee will consider the recommendations of management and the purposes of the Restated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auto"/>
        </w:rPr>
        <w:t>Offerings</w:t>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year during the term of the Restated ESPP, unless the Compensation Committee determines otherwise, TI will make one or more offers to each eligible employee of options to purchase TI common stock. Each eligible employee will be entitled to purchase up to a number or dollar amount of shares as the Compensation Committee may determine (but not exceeding the amount specified in Section 423(b) of the IRC for the offering). The option price for each offering will be determined by the Compensation Committee and will not be less than (i) 85% of the fair market value of TI common stock on the date of grant of the option or (ii) 85% of the fair market value of TI common stock on the date the option is exercised, whichever is lower. The date of grant will be as determined by the Compensation Committee. The fair market value of TI common stock will be determined by the method or procedure established by the Compensation Committee. The closing price for TI common stock on March 1, 2023, was $172.17.</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expiration date of the options will be determined for each offering by the Compensation Committee but will not be later than 27 months from the date of grant of the option.</w:t>
      </w:r>
    </w:p>
    <w:p>
      <w:pPr>
        <w:spacing w:after="0" w:line="15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term of an option will consist of an Enrollment Period, a Payroll Deduction Period and an Exercise Day. The beginning and ending dates of each Enrollment Period and Payroll Deduction Period and the date of each Exercise Day will be determined by the Compensation Committee. The employee may elect to be automatically re-enrolled in subsequent offerings. The employee’s election to participate in the offering will indicate the dollar amount of shares for which the employee wishes to participate and, unless prohibited by local law, will authorize payroll deductions to be made over the Payroll Deduction Period. If local law prohibits payroll deductions, the Compensation Committee may determine an alternative method of payment. During the Payroll Deduction Period, the Compensation Committee may allow participants to cancel or reduce (or both) their payment authorizations. After completion of the Payroll Deduction Period, the option will be automatically exercised on the Exercise Day and shares will be purchased with the amount in the employee’s account.</w:t>
      </w:r>
    </w:p>
    <w:p>
      <w:pPr>
        <w:spacing w:after="0" w:line="18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Under the ESPP, options are currently granted in four sets of offerings each year on the first day that Nasdaq is open for trading in December, March, June and September. The Payroll Deduction Period consists of three calendar months beginning on the first day of the calendar month following the grant date. The Exercise Day is the first day on which Nasdaq is open for trading after the end of the Payroll Deduction Period. The board anticipates that offerings under the Restated ESPP will operate in a similar manner.</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employee will not be granted an option under the Restated ESPP if the employee, immediately after the option is granted, owns stock having 5% or more of the total combined voting power or value of all classes of stock of the company. No employee will be granted an option under the Restated ESPP that permits the employee to accrue rights to purchase stock under all employee stock purchase plans of the company at a rate that exceeds $25,000 (or such other maximum as may be prescribed from time to time under the IRC) of the fair market value of such stock (determined at the date of grant).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Transfer</w:t>
      </w:r>
    </w:p>
    <w:p>
      <w:pPr>
        <w:spacing w:after="0" w:line="21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An option granted under the Restated ESPP may not be transferred except by will or the laws of descent and distribution and, during the lifetime of the employee to whom granted, may be exercised only for the benefit of the employee.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Authorized shares and adjustments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 more than 40 million shares of TI common stock may be sold pursuant to the Restated ESPP, subject to adjustments as described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is not asking for any additional shares for the Restated ESPP.</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the Compensation Committee determines that an adjustment is appropriate by reason of any dividend or other distribution, recapitalization, stock split, or other similar corporate transaction or event (as more fully described in the Restated ESPP under the heading “Adjustments”), it will adjust any or all of (i) the number and type of shares that may be made subject to options, (ii) the number and type of shares subject to outstanding options and (iii) the grant, purchase or exercise price with respect to any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1" w:name="page22"/>
    <w:bookmarkEnd w:id="21"/>
    <w:p>
      <w:pPr>
        <w:ind w:right="660"/>
        <w:spacing w:after="0" w:line="287" w:lineRule="auto"/>
        <w:rPr>
          <w:sz w:val="20"/>
          <w:szCs w:val="20"/>
          <w:color w:val="auto"/>
        </w:rPr>
      </w:pPr>
      <w:r>
        <w:rPr>
          <w:rFonts w:ascii="Arial" w:cs="Arial" w:eastAsia="Arial" w:hAnsi="Arial"/>
          <w:sz w:val="18"/>
          <w:szCs w:val="18"/>
          <w:color w:val="auto"/>
        </w:rPr>
        <w:t>Either authorized and unissued shares or treasury shares may be made subject to options under the Restated ESPP. Any shares not purchased prior to the termination of an option may be again subjected to an option under the Restated ESPP.</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Administration</w:t>
      </w:r>
    </w:p>
    <w:p>
      <w:pPr>
        <w:spacing w:after="0" w:line="2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Restated ESPP will be administered by the Compensation Committee. The Compensation Committee will have full power and authority to construe, interpret and administer the Restated ESPP. The Compensation Committee may delegate such power, authority and rights with respect to the administration of the Restated ESPP (including, without limitation, the designation of subsidiaries whose employees may participate in offerings and the exclusion of employees from specified offerings, in each case to the extent permitted by Section 423 of the IRC) as it deems appropriate to one or more members of the management of TI; provided, however, that any delegation to management will conform with the requirements of applicable law and stock exchange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Amendment, subplans and termination</w:t>
      </w:r>
    </w:p>
    <w:p>
      <w:pPr>
        <w:spacing w:after="0" w:line="21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Compensation Committee may, at any time and from time to time, alter, amend, suspend or terminate the Restated ESPP. The Compensation Committee may also recommend to the board revisions of the Restated ESPP. However, unless the stockholders of TI have first approved thereof, (i) the total number of shares for which options may be exercised under the Restated ESPP will not be increased or decreased, except as described above in “Authorized shares and adjustments,” and (ii) no amendment may be made that allows an option price for offerings under the Restated ESPP to be less than 85% of the fair market value of the common stock of TI on the date of grant of the options or, if lower, 85% of the fair market value of the common stock of TI on the date on which an option is exercised.</w:t>
      </w:r>
    </w:p>
    <w:p>
      <w:pPr>
        <w:spacing w:after="0" w:line="18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Compensation Committee may also adopt and amend stock purchase subplans for employees of subsidiaries with such provisions as are appropriate to conform with local laws, practices and procedures. All such subplans will be subject to the limitations on the amount of stock that may be issued under the Restated ESPP.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offering may be made under the Restated ESPP after April 27, 2033.</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benefits and historical participation</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executive officer of the company qualifies for participation under the Restated ESPP and may be eligible to annually purchase up to $25,000 worth of the company’s common stock at a discount below the market price. However, participation in the Restated ESPP is voluntary and dependent upon the executive officer’s election to participate, and the benefit of participating will depend on the terms of the offerings (if any) and fair market value of the stock on the Exercise Day. Accordingly, future benefits that would be received by the executive officers and other eligible employees under the proposed Restated ESPP are not determinable at this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shares purchased by the named executive officers and other employees under the ESPP during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37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Shares Purchased</w:t>
            </w:r>
          </w:p>
        </w:tc>
      </w:tr>
      <w:tr>
        <w:trPr>
          <w:trHeight w:val="250"/>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 Chairman, President &amp; Chief Executive Officer</w:t>
            </w:r>
          </w:p>
        </w:tc>
        <w:tc>
          <w:tcPr>
            <w:tcW w:w="3780" w:type="dxa"/>
            <w:vAlign w:val="bottom"/>
            <w:tcBorders>
              <w:bottom w:val="single" w:sz="8" w:color="DBDBDB"/>
            </w:tcBorders>
            <w:shd w:val="clear" w:color="auto" w:fill="DBDBDB"/>
          </w:tcPr>
          <w:p>
            <w:pPr>
              <w:jc w:val="right"/>
              <w:ind w:right="718"/>
              <w:spacing w:after="0"/>
              <w:rPr>
                <w:sz w:val="20"/>
                <w:szCs w:val="20"/>
                <w:color w:val="auto"/>
              </w:rPr>
            </w:pPr>
            <w:r>
              <w:rPr>
                <w:rFonts w:ascii="Arial" w:cs="Arial" w:eastAsia="Arial" w:hAnsi="Arial"/>
                <w:sz w:val="14"/>
                <w:szCs w:val="14"/>
                <w:color w:val="auto"/>
              </w:rPr>
              <w:t>—</w:t>
            </w:r>
          </w:p>
        </w:tc>
      </w:tr>
      <w:tr>
        <w:trPr>
          <w:trHeight w:val="247"/>
        </w:trPr>
        <w:tc>
          <w:tcPr>
            <w:tcW w:w="7440" w:type="dxa"/>
            <w:vAlign w:val="bottom"/>
          </w:tcPr>
          <w:p>
            <w:pPr>
              <w:ind w:left="20"/>
              <w:spacing w:after="0"/>
              <w:rPr>
                <w:sz w:val="20"/>
                <w:szCs w:val="20"/>
                <w:color w:val="auto"/>
              </w:rPr>
            </w:pPr>
            <w:r>
              <w:rPr>
                <w:rFonts w:ascii="Arial" w:cs="Arial" w:eastAsia="Arial" w:hAnsi="Arial"/>
                <w:sz w:val="18"/>
                <w:szCs w:val="18"/>
                <w:color w:val="auto"/>
              </w:rPr>
              <w:t>Rafael R. Lizardi, Senior Vice President &amp; Chief Financial Officer</w:t>
            </w:r>
          </w:p>
        </w:tc>
        <w:tc>
          <w:tcPr>
            <w:tcW w:w="3780" w:type="dxa"/>
            <w:vAlign w:val="bottom"/>
          </w:tcPr>
          <w:p>
            <w:pPr>
              <w:jc w:val="right"/>
              <w:ind w:right="678"/>
              <w:spacing w:after="0"/>
              <w:rPr>
                <w:sz w:val="20"/>
                <w:szCs w:val="20"/>
                <w:color w:val="auto"/>
              </w:rPr>
            </w:pPr>
            <w:r>
              <w:rPr>
                <w:rFonts w:ascii="Arial" w:cs="Arial" w:eastAsia="Arial" w:hAnsi="Arial"/>
                <w:sz w:val="18"/>
                <w:szCs w:val="18"/>
                <w:color w:val="auto"/>
              </w:rPr>
              <w:t>136</w:t>
            </w:r>
          </w:p>
        </w:tc>
      </w:tr>
      <w:tr>
        <w:trPr>
          <w:trHeight w:val="23"/>
        </w:trPr>
        <w:tc>
          <w:tcPr>
            <w:tcW w:w="744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50"/>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 Director, Executive Vice President &amp; Chief Operating Officer</w:t>
            </w:r>
          </w:p>
        </w:tc>
        <w:tc>
          <w:tcPr>
            <w:tcW w:w="3780" w:type="dxa"/>
            <w:vAlign w:val="bottom"/>
            <w:tcBorders>
              <w:bottom w:val="single" w:sz="8" w:color="DBDBDB"/>
            </w:tcBorders>
            <w:shd w:val="clear" w:color="auto" w:fill="DBDBDB"/>
          </w:tcPr>
          <w:p>
            <w:pPr>
              <w:jc w:val="right"/>
              <w:ind w:right="718"/>
              <w:spacing w:after="0"/>
              <w:rPr>
                <w:sz w:val="20"/>
                <w:szCs w:val="20"/>
                <w:color w:val="auto"/>
              </w:rPr>
            </w:pPr>
            <w:r>
              <w:rPr>
                <w:rFonts w:ascii="Arial" w:cs="Arial" w:eastAsia="Arial" w:hAnsi="Arial"/>
                <w:sz w:val="14"/>
                <w:szCs w:val="14"/>
                <w:color w:val="auto"/>
              </w:rPr>
              <w:t>—</w:t>
            </w:r>
          </w:p>
        </w:tc>
      </w:tr>
      <w:tr>
        <w:trPr>
          <w:trHeight w:val="247"/>
        </w:trPr>
        <w:tc>
          <w:tcPr>
            <w:tcW w:w="7440" w:type="dxa"/>
            <w:vAlign w:val="bottom"/>
          </w:tcPr>
          <w:p>
            <w:pPr>
              <w:ind w:left="20"/>
              <w:spacing w:after="0"/>
              <w:rPr>
                <w:sz w:val="20"/>
                <w:szCs w:val="20"/>
                <w:color w:val="auto"/>
              </w:rPr>
            </w:pPr>
            <w:r>
              <w:rPr>
                <w:rFonts w:ascii="Arial" w:cs="Arial" w:eastAsia="Arial" w:hAnsi="Arial"/>
                <w:sz w:val="18"/>
                <w:szCs w:val="18"/>
                <w:color w:val="auto"/>
              </w:rPr>
              <w:t>Hagop H. Kozanian, Senior Vice President</w:t>
            </w:r>
          </w:p>
        </w:tc>
        <w:tc>
          <w:tcPr>
            <w:tcW w:w="3780" w:type="dxa"/>
            <w:vAlign w:val="bottom"/>
          </w:tcPr>
          <w:p>
            <w:pPr>
              <w:jc w:val="right"/>
              <w:ind w:right="718"/>
              <w:spacing w:after="0"/>
              <w:rPr>
                <w:sz w:val="20"/>
                <w:szCs w:val="20"/>
                <w:color w:val="auto"/>
              </w:rPr>
            </w:pPr>
            <w:r>
              <w:rPr>
                <w:rFonts w:ascii="Arial" w:cs="Arial" w:eastAsia="Arial" w:hAnsi="Arial"/>
                <w:sz w:val="14"/>
                <w:szCs w:val="14"/>
                <w:color w:val="auto"/>
              </w:rPr>
              <w:t>—</w:t>
            </w:r>
          </w:p>
        </w:tc>
      </w:tr>
      <w:tr>
        <w:trPr>
          <w:trHeight w:val="23"/>
        </w:trPr>
        <w:tc>
          <w:tcPr>
            <w:tcW w:w="744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50"/>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 Senior Vice President</w:t>
            </w:r>
          </w:p>
        </w:tc>
        <w:tc>
          <w:tcPr>
            <w:tcW w:w="3780" w:type="dxa"/>
            <w:vAlign w:val="bottom"/>
            <w:tcBorders>
              <w:bottom w:val="single" w:sz="8" w:color="DBDBDB"/>
            </w:tcBorders>
            <w:shd w:val="clear" w:color="auto" w:fill="DBDBDB"/>
          </w:tcPr>
          <w:p>
            <w:pPr>
              <w:jc w:val="right"/>
              <w:ind w:right="678"/>
              <w:spacing w:after="0"/>
              <w:rPr>
                <w:sz w:val="20"/>
                <w:szCs w:val="20"/>
                <w:color w:val="auto"/>
              </w:rPr>
            </w:pPr>
            <w:r>
              <w:rPr>
                <w:rFonts w:ascii="Arial" w:cs="Arial" w:eastAsia="Arial" w:hAnsi="Arial"/>
                <w:sz w:val="18"/>
                <w:szCs w:val="18"/>
                <w:color w:val="auto"/>
              </w:rPr>
              <w:t>136</w:t>
            </w:r>
          </w:p>
        </w:tc>
      </w:tr>
      <w:tr>
        <w:trPr>
          <w:trHeight w:val="247"/>
        </w:trPr>
        <w:tc>
          <w:tcPr>
            <w:tcW w:w="7440" w:type="dxa"/>
            <w:vAlign w:val="bottom"/>
          </w:tcPr>
          <w:p>
            <w:pPr>
              <w:ind w:left="20"/>
              <w:spacing w:after="0"/>
              <w:rPr>
                <w:sz w:val="20"/>
                <w:szCs w:val="20"/>
                <w:color w:val="auto"/>
              </w:rPr>
            </w:pPr>
            <w:r>
              <w:rPr>
                <w:rFonts w:ascii="Arial" w:cs="Arial" w:eastAsia="Arial" w:hAnsi="Arial"/>
                <w:sz w:val="18"/>
                <w:szCs w:val="18"/>
                <w:color w:val="auto"/>
              </w:rPr>
              <w:t>Executive officers as a group</w:t>
            </w:r>
          </w:p>
        </w:tc>
        <w:tc>
          <w:tcPr>
            <w:tcW w:w="3780" w:type="dxa"/>
            <w:vAlign w:val="bottom"/>
          </w:tcPr>
          <w:p>
            <w:pPr>
              <w:jc w:val="right"/>
              <w:ind w:right="678"/>
              <w:spacing w:after="0"/>
              <w:rPr>
                <w:sz w:val="20"/>
                <w:szCs w:val="20"/>
                <w:color w:val="auto"/>
              </w:rPr>
            </w:pPr>
            <w:r>
              <w:rPr>
                <w:rFonts w:ascii="Arial" w:cs="Arial" w:eastAsia="Arial" w:hAnsi="Arial"/>
                <w:sz w:val="18"/>
                <w:szCs w:val="18"/>
                <w:color w:val="auto"/>
              </w:rPr>
              <w:t>893</w:t>
            </w:r>
          </w:p>
        </w:tc>
      </w:tr>
      <w:tr>
        <w:trPr>
          <w:trHeight w:val="23"/>
        </w:trPr>
        <w:tc>
          <w:tcPr>
            <w:tcW w:w="744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50"/>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Non-employee directors as group (not eligible)</w:t>
            </w:r>
          </w:p>
        </w:tc>
        <w:tc>
          <w:tcPr>
            <w:tcW w:w="3780" w:type="dxa"/>
            <w:vAlign w:val="bottom"/>
            <w:tcBorders>
              <w:bottom w:val="single" w:sz="8" w:color="DBDBDB"/>
            </w:tcBorders>
            <w:shd w:val="clear" w:color="auto" w:fill="DBDBDB"/>
          </w:tcPr>
          <w:p>
            <w:pPr>
              <w:jc w:val="right"/>
              <w:ind w:right="678"/>
              <w:spacing w:after="0"/>
              <w:rPr>
                <w:sz w:val="20"/>
                <w:szCs w:val="20"/>
                <w:color w:val="auto"/>
              </w:rPr>
            </w:pPr>
            <w:r>
              <w:rPr>
                <w:rFonts w:ascii="Arial" w:cs="Arial" w:eastAsia="Arial" w:hAnsi="Arial"/>
                <w:sz w:val="18"/>
                <w:szCs w:val="18"/>
                <w:color w:val="auto"/>
              </w:rPr>
              <w:t>N/A</w:t>
            </w:r>
          </w:p>
        </w:tc>
      </w:tr>
      <w:tr>
        <w:trPr>
          <w:trHeight w:val="247"/>
        </w:trPr>
        <w:tc>
          <w:tcPr>
            <w:tcW w:w="7440" w:type="dxa"/>
            <w:vAlign w:val="bottom"/>
          </w:tcPr>
          <w:p>
            <w:pPr>
              <w:ind w:left="20"/>
              <w:spacing w:after="0"/>
              <w:rPr>
                <w:sz w:val="20"/>
                <w:szCs w:val="20"/>
                <w:color w:val="auto"/>
              </w:rPr>
            </w:pPr>
            <w:r>
              <w:rPr>
                <w:rFonts w:ascii="Arial" w:cs="Arial" w:eastAsia="Arial" w:hAnsi="Arial"/>
                <w:sz w:val="18"/>
                <w:szCs w:val="18"/>
                <w:color w:val="auto"/>
              </w:rPr>
              <w:t>Non-executive officer employees as a group</w:t>
            </w:r>
          </w:p>
        </w:tc>
        <w:tc>
          <w:tcPr>
            <w:tcW w:w="3780" w:type="dxa"/>
            <w:vAlign w:val="bottom"/>
          </w:tcPr>
          <w:p>
            <w:pPr>
              <w:jc w:val="right"/>
              <w:ind w:right="678"/>
              <w:spacing w:after="0"/>
              <w:rPr>
                <w:sz w:val="20"/>
                <w:szCs w:val="20"/>
                <w:color w:val="auto"/>
              </w:rPr>
            </w:pPr>
            <w:r>
              <w:rPr>
                <w:rFonts w:ascii="Arial" w:cs="Arial" w:eastAsia="Arial" w:hAnsi="Arial"/>
                <w:sz w:val="18"/>
                <w:szCs w:val="18"/>
                <w:color w:val="auto"/>
              </w:rPr>
              <w:t>578,013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U.S. federal tax consequences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summary is limited to the U.S. federal tax laws. It does not include the tax laws of any municipality, state or foreign country in which the participant resides.</w:t>
      </w:r>
    </w:p>
    <w:p>
      <w:pPr>
        <w:spacing w:after="0" w:line="15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Restated ESPP is intended to qualify as an “employee stock purchase plan” under Section 423 of the IRC. However, TI does not undertake to maintain such status throughout the term of the Restated ESPP.</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accordance with SEC rules, the following description of tax matters relating to the Restated ESPP is provided. In general, a participant has no taxable event at the time of grant of an option or at the time of exercise of an option, but will realize taxable income at the time the participant sells the shares acquired under the Restated ESPP.</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participant observes certain holding period requirements, the participant’s gain on sale will generally be taxed at capital gains rates, except that in certain circumstances a portion of the participant’s gain will be treated as ordinary income. Those circumstances will generally occur if the exercise price of the shares is established as a percentage less than 100% of the fair market value of the shares at the beginning of the offering period, or if at the beginning of the period it is unknown what the exercise price will be, for example, if the exercise price can be determined only on the Exercise Day. The participant’s ordinary income will not be greater than the excess, if any, of the fair market value of the shares at the time of grant over the exercise price (or, if lower, the actual proceeds of sale over the actual purchase price of the shares). If the exercise price is a function of the value of the shares on the Exercise Day, the exercise price will be determined as if the option was exercised at the time of grant for purposes of calculating this limit. If the participant sells the shares only after satisfying the holding period requirements, the company will not be entitled to a deduction.</w:t>
      </w:r>
    </w:p>
    <w:p>
      <w:pPr>
        <w:spacing w:after="0" w:line="18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the participant sells the shares before satisfying the holding period requirements, then the participant will realize ordinary income in an amount equal to the difference between the exercise price and the fair market value of the stock on the Exercise Day. The company will be entitled to a corresponding deduction. The remainder of the proceeds of sale will be taxed at capital gains rates.</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auto"/>
        </w:rPr>
        <w:t>The board of directors recommends a vote “FOR” the amendment and restatement of the TI Employees 2014 Stock Purchase Plan to extend the termination date.</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in 2022 for the non-employee directors were:</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 retainer of $110,000 for board and committee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annual retainer of $40,000 for service as the lead director.</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annual retainer of $35,000 for service as chair of the Audit Committee; $25,000 for service as chair of the Compensation Committee; and $20,000 for service as chair of the GSR Committee.</w:t>
      </w:r>
    </w:p>
    <w:p>
      <w:pPr>
        <w:spacing w:after="0" w:line="1" w:lineRule="exact"/>
        <w:rPr>
          <w:rFonts w:ascii="Arial" w:cs="Arial" w:eastAsia="Arial" w:hAnsi="Arial"/>
          <w:sz w:val="18"/>
          <w:szCs w:val="18"/>
          <w:color w:val="auto"/>
        </w:rPr>
      </w:pPr>
    </w:p>
    <w:p>
      <w:pPr>
        <w:ind w:left="660" w:right="520" w:hanging="328"/>
        <w:spacing w:after="0" w:line="272"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Annual grant of a 10-year option to purchase TI common stock pursuant to the terms of the Texas Instruments 2018 Director Compensation Plan (Director Plan), which was approved by stockholders in April 2018. The grant date value is approximately $100,000, determined using a Black-Scholes option-pricing model (subject to the board’s ability to adjust the grant downward).</w:t>
      </w:r>
    </w:p>
    <w:p>
      <w:pPr>
        <w:spacing w:after="0" w:line="1" w:lineRule="exact"/>
        <w:rPr>
          <w:rFonts w:ascii="Arial" w:cs="Arial" w:eastAsia="Arial" w:hAnsi="Arial"/>
          <w:sz w:val="17"/>
          <w:szCs w:val="17"/>
          <w:color w:val="auto"/>
        </w:rPr>
      </w:pPr>
    </w:p>
    <w:p>
      <w:pPr>
        <w:ind w:left="660" w:right="60"/>
        <w:spacing w:after="0" w:line="253" w:lineRule="auto"/>
        <w:rPr>
          <w:rFonts w:ascii="Arial" w:cs="Arial" w:eastAsia="Arial" w:hAnsi="Arial"/>
          <w:sz w:val="17"/>
          <w:szCs w:val="17"/>
          <w:color w:val="auto"/>
        </w:rPr>
      </w:pPr>
      <w:r>
        <w:rPr>
          <w:rFonts w:ascii="Arial" w:cs="Arial" w:eastAsia="Arial" w:hAnsi="Arial"/>
          <w:sz w:val="18"/>
          <w:szCs w:val="18"/>
          <w:color w:val="auto"/>
        </w:rPr>
        <w:t>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23" w:name="page24"/>
    <w:bookmarkEnd w:id="23"/>
    <w:p>
      <w:pPr>
        <w:ind w:left="660" w:right="440"/>
        <w:spacing w:after="0" w:line="281" w:lineRule="auto"/>
        <w:rPr>
          <w:sz w:val="20"/>
          <w:szCs w:val="20"/>
          <w:color w:val="auto"/>
        </w:rPr>
      </w:pPr>
      <w:r>
        <w:rPr>
          <w:rFonts w:ascii="Arial" w:cs="Arial" w:eastAsia="Arial" w:hAnsi="Arial"/>
          <w:sz w:val="18"/>
          <w:szCs w:val="18"/>
          <w:color w:val="auto"/>
        </w:rPr>
        <w:t>shall be exercisable for 30 days after the date of termination, but only to the extent such options were exercisable on the date of termination.</w:t>
      </w:r>
    </w:p>
    <w:p>
      <w:pPr>
        <w:spacing w:after="0" w:line="1" w:lineRule="exact"/>
        <w:rPr>
          <w:sz w:val="20"/>
          <w:szCs w:val="20"/>
          <w:color w:val="auto"/>
        </w:rPr>
      </w:pPr>
    </w:p>
    <w:p>
      <w:pPr>
        <w:ind w:left="660" w:hanging="328"/>
        <w:spacing w:after="0" w:line="255"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spacing w:after="0" w:line="63"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one-time grant of restricted stock units with a grant date value of approximately $200,000 upon a director’s initial election to the board.</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2022, that rate was 2.70%.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2022 director compensation</w:t>
      </w:r>
    </w:p>
    <w:p>
      <w:pPr>
        <w:spacing w:after="0" w:line="23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2022 for services in all capacities to TI in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and Non-</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qualified Deferred</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1940" w:type="dxa"/>
            <w:vAlign w:val="bottom"/>
          </w:tcPr>
          <w:p>
            <w:pPr>
              <w:spacing w:after="0"/>
              <w:rPr>
                <w:sz w:val="14"/>
                <w:szCs w:val="14"/>
                <w:color w:val="auto"/>
              </w:rPr>
            </w:pPr>
          </w:p>
        </w:tc>
        <w:tc>
          <w:tcPr>
            <w:tcW w:w="1480" w:type="dxa"/>
            <w:vAlign w:val="bottom"/>
            <w:gridSpan w:val="2"/>
          </w:tcPr>
          <w:p>
            <w:pPr>
              <w:ind w:left="320"/>
              <w:spacing w:after="0"/>
              <w:rPr>
                <w:sz w:val="20"/>
                <w:szCs w:val="20"/>
                <w:color w:val="auto"/>
              </w:rPr>
            </w:pPr>
            <w:r>
              <w:rPr>
                <w:rFonts w:ascii="Arial" w:cs="Arial" w:eastAsia="Arial" w:hAnsi="Arial"/>
                <w:sz w:val="14"/>
                <w:szCs w:val="14"/>
                <w:b w:val="1"/>
                <w:bCs w:val="1"/>
                <w:color w:val="auto"/>
              </w:rPr>
              <w:t>Fees Earned or</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40" w:type="dxa"/>
            <w:vAlign w:val="bottom"/>
          </w:tcPr>
          <w:p>
            <w:pPr>
              <w:spacing w:after="0"/>
              <w:rPr>
                <w:sz w:val="14"/>
                <w:szCs w:val="14"/>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9"/>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(1)</w:t>
            </w:r>
          </w:p>
        </w:tc>
        <w:tc>
          <w:tcPr>
            <w:tcW w:w="14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Paid in Cash (2)</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(4)</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Earnings (5)</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Compensation (6)</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110,000</w:t>
            </w:r>
          </w:p>
        </w:tc>
        <w:tc>
          <w:tcPr>
            <w:tcW w:w="36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ind w:right="132"/>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310,019</w:t>
            </w:r>
          </w:p>
        </w:tc>
      </w:tr>
      <w:tr>
        <w:trPr>
          <w:trHeight w:val="247"/>
        </w:trPr>
        <w:tc>
          <w:tcPr>
            <w:tcW w:w="194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110,000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310,019</w:t>
            </w:r>
          </w:p>
        </w:tc>
      </w:tr>
      <w:tr>
        <w:trPr>
          <w:trHeight w:val="23"/>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158,333</w:t>
            </w:r>
          </w:p>
        </w:tc>
        <w:tc>
          <w:tcPr>
            <w:tcW w:w="36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ind w:right="132"/>
              <w:spacing w:after="0"/>
              <w:rPr>
                <w:sz w:val="20"/>
                <w:szCs w:val="20"/>
                <w:color w:val="auto"/>
              </w:rPr>
            </w:pPr>
            <w:r>
              <w:rPr>
                <w:rFonts w:ascii="Arial" w:cs="Arial" w:eastAsia="Arial" w:hAnsi="Arial"/>
                <w:sz w:val="18"/>
                <w:szCs w:val="18"/>
                <w:color w:val="auto"/>
              </w:rPr>
              <w:t>30,040</w:t>
            </w:r>
          </w:p>
        </w:tc>
        <w:tc>
          <w:tcPr>
            <w:tcW w:w="30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388,352</w:t>
            </w:r>
          </w:p>
        </w:tc>
      </w:tr>
      <w:tr>
        <w:trPr>
          <w:trHeight w:val="247"/>
        </w:trPr>
        <w:tc>
          <w:tcPr>
            <w:tcW w:w="194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110,000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5,761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30,040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345,780</w:t>
            </w:r>
          </w:p>
        </w:tc>
      </w:tr>
      <w:tr>
        <w:trPr>
          <w:trHeight w:val="23"/>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110,000</w:t>
            </w:r>
          </w:p>
        </w:tc>
        <w:tc>
          <w:tcPr>
            <w:tcW w:w="36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ind w:right="132"/>
              <w:spacing w:after="0"/>
              <w:rPr>
                <w:sz w:val="20"/>
                <w:szCs w:val="20"/>
                <w:color w:val="auto"/>
              </w:rPr>
            </w:pPr>
            <w:r>
              <w:rPr>
                <w:rFonts w:ascii="Arial" w:cs="Arial" w:eastAsia="Arial" w:hAnsi="Arial"/>
                <w:sz w:val="18"/>
                <w:szCs w:val="18"/>
                <w:color w:val="auto"/>
              </w:rPr>
              <w:t>27,540</w:t>
            </w:r>
          </w:p>
        </w:tc>
        <w:tc>
          <w:tcPr>
            <w:tcW w:w="30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337,519</w:t>
            </w:r>
          </w:p>
        </w:tc>
      </w:tr>
      <w:tr>
        <w:trPr>
          <w:trHeight w:val="247"/>
        </w:trPr>
        <w:tc>
          <w:tcPr>
            <w:tcW w:w="194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110,000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30,040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340,019</w:t>
            </w:r>
          </w:p>
        </w:tc>
      </w:tr>
      <w:tr>
        <w:trPr>
          <w:trHeight w:val="23"/>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 *</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110,000</w:t>
            </w:r>
          </w:p>
        </w:tc>
        <w:tc>
          <w:tcPr>
            <w:tcW w:w="36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ind w:right="132"/>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310,019</w:t>
            </w:r>
          </w:p>
        </w:tc>
      </w:tr>
      <w:tr>
        <w:trPr>
          <w:trHeight w:val="247"/>
        </w:trPr>
        <w:tc>
          <w:tcPr>
            <w:tcW w:w="194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130,000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30,040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360,019</w:t>
            </w:r>
          </w:p>
        </w:tc>
      </w:tr>
      <w:tr>
        <w:trPr>
          <w:trHeight w:val="23"/>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161,667</w:t>
            </w:r>
          </w:p>
        </w:tc>
        <w:tc>
          <w:tcPr>
            <w:tcW w:w="36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ind w:right="132"/>
              <w:spacing w:after="0"/>
              <w:rPr>
                <w:sz w:val="20"/>
                <w:szCs w:val="20"/>
                <w:color w:val="auto"/>
              </w:rPr>
            </w:pPr>
            <w:r>
              <w:rPr>
                <w:rFonts w:ascii="Arial" w:cs="Arial" w:eastAsia="Arial" w:hAnsi="Arial"/>
                <w:sz w:val="18"/>
                <w:szCs w:val="18"/>
                <w:color w:val="auto"/>
              </w:rPr>
              <w:t>30,040</w:t>
            </w:r>
          </w:p>
        </w:tc>
        <w:tc>
          <w:tcPr>
            <w:tcW w:w="30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391,686</w:t>
            </w:r>
          </w:p>
        </w:tc>
      </w:tr>
      <w:tr>
        <w:trPr>
          <w:trHeight w:val="247"/>
        </w:trPr>
        <w:tc>
          <w:tcPr>
            <w:tcW w:w="194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110,000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ind w:left="180"/>
              <w:spacing w:after="0"/>
              <w:rPr>
                <w:sz w:val="20"/>
                <w:szCs w:val="20"/>
                <w:color w:val="auto"/>
              </w:rPr>
            </w:pPr>
            <w:r>
              <w:rPr>
                <w:rFonts w:ascii="Arial" w:cs="Arial" w:eastAsia="Arial" w:hAnsi="Arial"/>
                <w:sz w:val="18"/>
                <w:szCs w:val="18"/>
                <w:color w:val="auto"/>
              </w:rPr>
              <w:t>99,991</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ind w:left="160"/>
              <w:spacing w:after="0"/>
              <w:rPr>
                <w:sz w:val="20"/>
                <w:szCs w:val="20"/>
                <w:color w:val="auto"/>
              </w:rPr>
            </w:pPr>
            <w:r>
              <w:rPr>
                <w:rFonts w:ascii="Arial" w:cs="Arial" w:eastAsia="Arial" w:hAnsi="Arial"/>
                <w:sz w:val="18"/>
                <w:szCs w:val="18"/>
                <w:color w:val="auto"/>
              </w:rPr>
              <w:t>99,988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15,040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325,019</w:t>
            </w:r>
          </w:p>
        </w:tc>
      </w:tr>
    </w:tbl>
    <w:p>
      <w:pPr>
        <w:spacing w:after="0" w:line="301"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Serving until April 27, 2023</w:t>
      </w:r>
    </w:p>
    <w:p>
      <w:pPr>
        <w:spacing w:after="0" w:line="117" w:lineRule="exact"/>
        <w:rPr>
          <w:sz w:val="20"/>
          <w:szCs w:val="20"/>
          <w:color w:val="auto"/>
        </w:rPr>
      </w:pPr>
    </w:p>
    <w:p>
      <w:pPr>
        <w:ind w:left="500" w:right="140" w:hanging="492"/>
        <w:spacing w:after="0" w:line="287" w:lineRule="auto"/>
        <w:tabs>
          <w:tab w:leader="none" w:pos="4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Farmer was elected to the board effective April 1, 2023, and accordingly received no compensation for services as a TI director in 2022.</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500" w:right="120" w:hanging="492"/>
        <w:spacing w:after="0" w:line="255" w:lineRule="auto"/>
        <w:tabs>
          <w:tab w:leader="none" w:pos="4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2022 calculated in accordance with Financial Accounting Standards Board Accounting Standards Codification™ Topic 718, Compensation-Stock Compensation (ASC 718). The assumptions used for purposes of calculating the grant date fair value are described in Note 3 to the financial statements contained in Item 8 (“Note 3 to the 2022 financial statements”) in TI’s annual report on Form 10-K for the year ended December 31, 2022.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see the discussion on pages 45-46.</w:t>
      </w:r>
    </w:p>
    <w:p>
      <w:pPr>
        <w:spacing w:after="0" w:line="76" w:lineRule="exact"/>
        <w:rPr>
          <w:rFonts w:ascii="Arial" w:cs="Arial" w:eastAsia="Arial" w:hAnsi="Arial"/>
          <w:sz w:val="18"/>
          <w:szCs w:val="18"/>
          <w:color w:val="auto"/>
        </w:rPr>
      </w:pPr>
    </w:p>
    <w:p>
      <w:pPr>
        <w:ind w:left="500" w:right="80"/>
        <w:spacing w:after="0" w:line="287" w:lineRule="auto"/>
        <w:rPr>
          <w:rFonts w:ascii="Arial" w:cs="Arial" w:eastAsia="Arial" w:hAnsi="Arial"/>
          <w:sz w:val="18"/>
          <w:szCs w:val="18"/>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2022.</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4640" w:type="dxa"/>
            <w:vAlign w:val="bottom"/>
          </w:tcPr>
          <w:p>
            <w:pPr>
              <w:spacing w:after="0"/>
              <w:rPr>
                <w:sz w:val="15"/>
                <w:szCs w:val="15"/>
                <w:color w:val="auto"/>
              </w:rPr>
            </w:pPr>
          </w:p>
        </w:tc>
        <w:tc>
          <w:tcPr>
            <w:tcW w:w="4840" w:type="dxa"/>
            <w:vAlign w:val="bottom"/>
          </w:tcPr>
          <w:p>
            <w:pPr>
              <w:jc w:val="right"/>
              <w:ind w:right="193"/>
              <w:spacing w:after="0"/>
              <w:rPr>
                <w:sz w:val="20"/>
                <w:szCs w:val="20"/>
                <w:color w:val="auto"/>
              </w:rPr>
            </w:pPr>
            <w:r>
              <w:rPr>
                <w:rFonts w:ascii="Arial" w:cs="Arial" w:eastAsia="Arial" w:hAnsi="Arial"/>
                <w:sz w:val="14"/>
                <w:szCs w:val="14"/>
                <w:b w:val="1"/>
                <w:bCs w:val="1"/>
                <w:color w:val="auto"/>
              </w:rPr>
              <w:t>Restricted Stock Units</w:t>
            </w: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8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(Shares)</w:t>
            </w: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12,156</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2,885</w:t>
            </w:r>
          </w:p>
        </w:tc>
      </w:tr>
      <w:tr>
        <w:trPr>
          <w:trHeight w:val="23"/>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8,942</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32,088</w:t>
            </w:r>
          </w:p>
        </w:tc>
      </w:tr>
      <w:tr>
        <w:trPr>
          <w:trHeight w:val="23"/>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2,885</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2,885</w:t>
            </w:r>
          </w:p>
        </w:tc>
      </w:tr>
      <w:tr>
        <w:trPr>
          <w:trHeight w:val="23"/>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3,226</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2,885</w:t>
            </w:r>
          </w:p>
        </w:tc>
      </w:tr>
      <w:tr>
        <w:trPr>
          <w:trHeight w:val="23"/>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4,885</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8,795</w:t>
            </w:r>
          </w:p>
        </w:tc>
      </w:tr>
    </w:tbl>
    <w:p>
      <w:pPr>
        <w:spacing w:after="0" w:line="200" w:lineRule="exact"/>
        <w:rPr>
          <w:sz w:val="20"/>
          <w:szCs w:val="20"/>
          <w:color w:val="auto"/>
        </w:rPr>
      </w:pP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25" w:name="page26"/>
    <w:bookmarkEnd w:id="25"/>
    <w:p>
      <w:pPr>
        <w:ind w:left="500" w:right="40" w:hanging="492"/>
        <w:spacing w:after="0" w:line="262" w:lineRule="auto"/>
        <w:tabs>
          <w:tab w:leader="none" w:pos="4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2022 calculated in accordance with ASC 718. The discussion of the assumptions used for purposes of calculating the grant date fair value appears in Note 3 to the 2022 financial statements. The terms of these options are as set forth on page 44. The table below shows the aggregate number of shares underlying outstanding stock options held by the named individuals as of December 31, 2022.</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7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Options (Shares)</w:t>
            </w: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8,058</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17,718</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23,783</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33,773</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13,412</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23,783</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4,969</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56,611</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44,312</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44,312</w:t>
            </w:r>
          </w:p>
        </w:tc>
      </w:tr>
    </w:tbl>
    <w:p>
      <w:pPr>
        <w:spacing w:after="0" w:line="315" w:lineRule="exact"/>
        <w:rPr>
          <w:sz w:val="20"/>
          <w:szCs w:val="20"/>
          <w:color w:val="auto"/>
        </w:rPr>
      </w:pPr>
    </w:p>
    <w:p>
      <w:pPr>
        <w:ind w:left="500" w:right="40" w:hanging="492"/>
        <w:spacing w:after="0" w:line="259" w:lineRule="auto"/>
        <w:tabs>
          <w:tab w:leader="none" w:pos="4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of the applicable federal long-term interest rate with compounding. Under the terms of the Director Plan, deferred compensation cash amounts earn interest at a rate based on Moody’s Seasoned Aaa Corporate Bonds. For 2022, this interest rate exceeded the Federal Rate by 0.65 percentage points. Shown is the amount of interest earned on the directors’ deferred compensation accounts that was in excess of the Federal Rate.</w:t>
      </w:r>
    </w:p>
    <w:p>
      <w:pPr>
        <w:spacing w:after="0" w:line="71" w:lineRule="exact"/>
        <w:rPr>
          <w:rFonts w:ascii="Arial" w:cs="Arial" w:eastAsia="Arial" w:hAnsi="Arial"/>
          <w:sz w:val="18"/>
          <w:szCs w:val="18"/>
          <w:color w:val="auto"/>
        </w:rPr>
      </w:pPr>
    </w:p>
    <w:p>
      <w:pPr>
        <w:ind w:left="500" w:hanging="492"/>
        <w:spacing w:after="0" w:line="268" w:lineRule="auto"/>
        <w:tabs>
          <w:tab w:leader="none" w:pos="4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(i) the annual cost ($40 per director) of premiums for travel and accident insurance policies and (ii) contributions under the TI Foundation matching gift program of $30,000 for Ms. Clark, $30,000 for Ms. Cox, $27,500 for Mr. Craighead, $30,000 for Ms. Hobby, $30,000 for Mr. Kirk, $30,000 for Ms. Patsley and $15,000 for Mr. Sanchez.</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w:t>
      </w:r>
    </w:p>
    <w:p>
      <w:pPr>
        <w:spacing w:after="0" w:line="2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advisory vote on future advisory votes on executive compensation</w:t>
      </w:r>
    </w:p>
    <w:p>
      <w:pPr>
        <w:spacing w:after="0" w:line="22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board asks shareholders to cast an advisory vote on whether future advisory votes on executive officer compensation should be held every year, every two years or every three years.</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board requests that shareholders vote in favor of future advisory votes to be held annually. An annual advisory vote will allow our shareholders to provide us with their direct and timely input on our compensation philosophy, policies and practices and is consistent with our policy of seeking input from, and engaging in discussions with, our shareholders on corporate governance matters and our executive compensation philosophy, policies and practices.</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Although the outcome of the vote is not binding on the company, the board will consider the outcome when setting the frequency of future advisory votes.</w:t>
      </w:r>
    </w:p>
    <w:p>
      <w:pPr>
        <w:spacing w:after="0" w:line="180" w:lineRule="exact"/>
        <w:rPr>
          <w:sz w:val="20"/>
          <w:szCs w:val="20"/>
          <w:color w:val="auto"/>
        </w:rPr>
      </w:pPr>
    </w:p>
    <w:p>
      <w:pPr>
        <w:ind w:right="620"/>
        <w:spacing w:after="0" w:line="296" w:lineRule="auto"/>
        <w:rPr>
          <w:sz w:val="20"/>
          <w:szCs w:val="20"/>
          <w:color w:val="auto"/>
        </w:rPr>
      </w:pPr>
      <w:r>
        <w:rPr>
          <w:rFonts w:ascii="Arial" w:cs="Arial" w:eastAsia="Arial" w:hAnsi="Arial"/>
          <w:sz w:val="18"/>
          <w:szCs w:val="18"/>
          <w:b w:val="1"/>
          <w:bCs w:val="1"/>
          <w:color w:val="auto"/>
        </w:rPr>
        <w:t>The board of directors recommends a vote of EVERY YEAR for future advisory votes on the compensation of the company’s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3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“named executive officers” are the chief executive officer, the chief financial officer and the three other most highly compensated executive officers, as named in the compensation tables on pages 41-55.</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We ask shareholders to approve the following resolution:</w:t>
      </w:r>
    </w:p>
    <w:p>
      <w:pPr>
        <w:spacing w:after="0" w:line="225" w:lineRule="exact"/>
        <w:rPr>
          <w:sz w:val="20"/>
          <w:szCs w:val="20"/>
          <w:color w:val="auto"/>
        </w:rPr>
      </w:pPr>
    </w:p>
    <w:p>
      <w:pPr>
        <w:ind w:left="500" w:right="12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26-55 of this proxy statement, is hereby approved.</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2022. We believe that the policies and programs serve the interests of our shareholders and that the compensation received by the named executive officers is commensurate with the performance and strategic position of the company.</w:t>
      </w:r>
    </w:p>
    <w:p>
      <w:pPr>
        <w:spacing w:after="0" w:line="17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53"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2022, as disclosed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elements of the 2022 compensation program, why we selected them and how they relate to one another;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2022.</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executive officers of TI have the broadest job responsibilities and policy-making authority in the company. We hold them accountable for the company’s performance and for maintaining a culture of strong ethics and compliance. Details of compensation for our CEO, our CFO and the three other highest paid individuals who were executive officers in 2022 (collectively called the “named executive officers” (NEOs)) can be found in the tables following the Compensation Committee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Executive summary</w:t>
      </w:r>
    </w:p>
    <w:p>
      <w:pPr>
        <w:spacing w:after="0" w:line="218" w:lineRule="exact"/>
        <w:rPr>
          <w:sz w:val="20"/>
          <w:szCs w:val="20"/>
          <w:color w:val="auto"/>
        </w:rPr>
      </w:pPr>
    </w:p>
    <w:p>
      <w:pPr>
        <w:ind w:left="660" w:right="160" w:hanging="328"/>
        <w:spacing w:after="0" w:line="262" w:lineRule="auto"/>
        <w:tabs>
          <w:tab w:leader="none" w:pos="65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4" w:lineRule="exact"/>
        <w:rPr>
          <w:rFonts w:ascii="Arial" w:cs="Arial" w:eastAsia="Arial" w:hAnsi="Arial"/>
          <w:sz w:val="18"/>
          <w:szCs w:val="18"/>
          <w:b w:val="1"/>
          <w:bCs w:val="1"/>
          <w:color w:val="auto"/>
        </w:rPr>
      </w:pPr>
    </w:p>
    <w:p>
      <w:pPr>
        <w:ind w:left="660" w:hanging="328"/>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2022 compensation decisions for the CEO:</w:t>
      </w:r>
    </w:p>
    <w:p>
      <w:pPr>
        <w:spacing w:after="0" w:line="63" w:lineRule="exact"/>
        <w:rPr>
          <w:rFonts w:ascii="Arial" w:cs="Arial" w:eastAsia="Arial" w:hAnsi="Arial"/>
          <w:sz w:val="18"/>
          <w:szCs w:val="18"/>
          <w:b w:val="1"/>
          <w:bCs w:val="1"/>
          <w:color w:val="auto"/>
        </w:rPr>
      </w:pPr>
    </w:p>
    <w:p>
      <w:pPr>
        <w:ind w:left="980" w:hanging="324"/>
        <w:spacing w:after="0"/>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Base salary was increased by 4.0% over 2021.</w:t>
      </w:r>
    </w:p>
    <w:p>
      <w:pPr>
        <w:spacing w:after="0" w:line="63" w:lineRule="exact"/>
        <w:rPr>
          <w:rFonts w:ascii="Arial" w:cs="Arial" w:eastAsia="Arial" w:hAnsi="Arial"/>
          <w:sz w:val="18"/>
          <w:szCs w:val="18"/>
          <w:color w:val="auto"/>
        </w:rPr>
      </w:pPr>
    </w:p>
    <w:p>
      <w:pPr>
        <w:ind w:left="980" w:right="100" w:hanging="324"/>
        <w:spacing w:after="0" w:line="281" w:lineRule="auto"/>
        <w:tabs>
          <w:tab w:leader="none" w:pos="97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grant date fair value of equity compensation awarded in 2022 increased by 15% from 2021, reflecting an effort to align with the projected market range for similarly situated CEOs in our Comparator Group (as defined below).</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bonus decision was based primarily on the following performance results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2023 PROXY STATEMENT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7" w:name="page28"/>
    <w:bookmarkEnd w:id="27"/>
    <w:tbl>
      <w:tblPr>
        <w:tblLayout w:type="fixed"/>
        <w:tblInd w:w="670" w:type="dxa"/>
        <w:tblCellMar>
          <w:top w:w="0" w:type="dxa"/>
          <w:left w:w="0" w:type="dxa"/>
          <w:bottom w:w="0" w:type="dxa"/>
          <w:right w:w="0" w:type="dxa"/>
        </w:tblCellMar>
      </w:tblPr>
      <w:tr>
        <w:trPr>
          <w:trHeight w:val="237"/>
        </w:trPr>
        <w:tc>
          <w:tcPr>
            <w:tcW w:w="132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c>
          <w:tcPr>
            <w:tcW w:w="2400" w:type="dxa"/>
            <w:vAlign w:val="bottom"/>
            <w:tcBorders>
              <w:top w:val="single" w:sz="8" w:color="auto"/>
              <w:bottom w:val="single" w:sz="8" w:color="auto"/>
              <w:right w:val="single" w:sz="8" w:color="auto"/>
            </w:tcBorders>
            <w:gridSpan w:val="3"/>
            <w:shd w:val="clear" w:color="auto" w:fill="E5E5E5"/>
          </w:tcPr>
          <w:p>
            <w:pPr>
              <w:jc w:val="right"/>
              <w:ind w:right="170"/>
              <w:spacing w:after="0"/>
              <w:rPr>
                <w:sz w:val="20"/>
                <w:szCs w:val="20"/>
                <w:color w:val="auto"/>
              </w:rPr>
            </w:pPr>
            <w:r>
              <w:rPr>
                <w:rFonts w:ascii="Arial" w:cs="Arial" w:eastAsia="Arial" w:hAnsi="Arial"/>
                <w:sz w:val="14"/>
                <w:szCs w:val="14"/>
                <w:b w:val="1"/>
                <w:bCs w:val="1"/>
                <w:color w:val="auto"/>
              </w:rPr>
              <w:t>2022 Absolute Performance</w:t>
            </w:r>
          </w:p>
        </w:tc>
        <w:tc>
          <w:tcPr>
            <w:tcW w:w="2380" w:type="dxa"/>
            <w:vAlign w:val="bottom"/>
            <w:tcBorders>
              <w:top w:val="single" w:sz="8" w:color="auto"/>
              <w:bottom w:val="single" w:sz="8" w:color="auto"/>
              <w:right w:val="single" w:sz="8" w:color="auto"/>
            </w:tcBorders>
            <w:gridSpan w:val="2"/>
            <w:shd w:val="clear" w:color="auto" w:fill="E5E5E5"/>
          </w:tcPr>
          <w:p>
            <w:pPr>
              <w:jc w:val="center"/>
              <w:ind w:right="20"/>
              <w:spacing w:after="0"/>
              <w:rPr>
                <w:sz w:val="20"/>
                <w:szCs w:val="20"/>
                <w:color w:val="auto"/>
              </w:rPr>
            </w:pPr>
            <w:r>
              <w:rPr>
                <w:rFonts w:ascii="Arial" w:cs="Arial" w:eastAsia="Arial" w:hAnsi="Arial"/>
                <w:sz w:val="14"/>
                <w:szCs w:val="14"/>
                <w:b w:val="1"/>
                <w:bCs w:val="1"/>
                <w:color w:val="auto"/>
              </w:rPr>
              <w:t>2022 Relative Performance *</w:t>
            </w:r>
          </w:p>
        </w:tc>
        <w:tc>
          <w:tcPr>
            <w:tcW w:w="0" w:type="dxa"/>
            <w:vAlign w:val="bottom"/>
          </w:tcPr>
          <w:p>
            <w:pPr>
              <w:spacing w:after="0"/>
              <w:rPr>
                <w:sz w:val="1"/>
                <w:szCs w:val="1"/>
                <w:color w:val="auto"/>
              </w:rPr>
            </w:pPr>
          </w:p>
        </w:tc>
      </w:tr>
      <w:tr>
        <w:trPr>
          <w:trHeight w:val="270"/>
        </w:trPr>
        <w:tc>
          <w:tcPr>
            <w:tcW w:w="4760" w:type="dxa"/>
            <w:vAlign w:val="bottom"/>
            <w:tcBorders>
              <w:left w:val="single" w:sz="8" w:color="auto"/>
              <w:bottom w:val="single" w:sz="8" w:color="E5E5E5"/>
              <w:right w:val="single" w:sz="8" w:color="auto"/>
            </w:tcBorders>
            <w:gridSpan w:val="2"/>
            <w:shd w:val="clear" w:color="auto" w:fill="E5E5E5"/>
          </w:tcPr>
          <w:p>
            <w:pPr>
              <w:ind w:left="140"/>
              <w:spacing w:after="0"/>
              <w:rPr>
                <w:sz w:val="20"/>
                <w:szCs w:val="20"/>
                <w:color w:val="auto"/>
              </w:rPr>
            </w:pPr>
            <w:r>
              <w:rPr>
                <w:rFonts w:ascii="Arial" w:cs="Arial" w:eastAsia="Arial" w:hAnsi="Arial"/>
                <w:sz w:val="18"/>
                <w:szCs w:val="18"/>
                <w:color w:val="auto"/>
              </w:rPr>
              <w:t>Revenue growth: Total TI</w:t>
            </w:r>
          </w:p>
        </w:tc>
        <w:tc>
          <w:tcPr>
            <w:tcW w:w="860" w:type="dxa"/>
            <w:vAlign w:val="bottom"/>
          </w:tcPr>
          <w:p>
            <w:pPr>
              <w:spacing w:after="0"/>
              <w:rPr>
                <w:sz w:val="23"/>
                <w:szCs w:val="23"/>
                <w:color w:val="auto"/>
              </w:rPr>
            </w:pPr>
          </w:p>
        </w:tc>
        <w:tc>
          <w:tcPr>
            <w:tcW w:w="1540" w:type="dxa"/>
            <w:vAlign w:val="bottom"/>
            <w:tcBorders>
              <w:right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9.2%</w:t>
            </w:r>
          </w:p>
        </w:tc>
        <w:tc>
          <w:tcPr>
            <w:tcW w:w="23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218"/>
        </w:trPr>
        <w:tc>
          <w:tcPr>
            <w:tcW w:w="4760" w:type="dxa"/>
            <w:vAlign w:val="bottom"/>
            <w:tcBorders>
              <w:top w:val="single" w:sz="8" w:color="auto"/>
              <w:left w:val="single" w:sz="8" w:color="auto"/>
              <w:right w:val="single" w:sz="8" w:color="auto"/>
            </w:tcBorders>
            <w:gridSpan w:val="2"/>
            <w:shd w:val="clear" w:color="auto" w:fill="E5E5E5"/>
          </w:tcPr>
          <w:p>
            <w:pPr>
              <w:ind w:left="140"/>
              <w:spacing w:after="0"/>
              <w:rPr>
                <w:sz w:val="20"/>
                <w:szCs w:val="20"/>
                <w:color w:val="auto"/>
              </w:rPr>
            </w:pPr>
            <w:r>
              <w:rPr>
                <w:rFonts w:ascii="Arial" w:cs="Arial" w:eastAsia="Arial" w:hAnsi="Arial"/>
                <w:sz w:val="18"/>
                <w:szCs w:val="18"/>
                <w:color w:val="auto"/>
              </w:rPr>
              <w:t>Profit from Operations as a % of Revenue (operating</w:t>
            </w:r>
          </w:p>
        </w:tc>
        <w:tc>
          <w:tcPr>
            <w:tcW w:w="860" w:type="dxa"/>
            <w:vAlign w:val="bottom"/>
            <w:tcBorders>
              <w:top w:val="single" w:sz="8" w:color="auto"/>
            </w:tcBorders>
          </w:tcPr>
          <w:p>
            <w:pPr>
              <w:spacing w:after="0"/>
              <w:rPr>
                <w:sz w:val="18"/>
                <w:szCs w:val="18"/>
                <w:color w:val="auto"/>
              </w:rPr>
            </w:pPr>
          </w:p>
        </w:tc>
        <w:tc>
          <w:tcPr>
            <w:tcW w:w="1540" w:type="dxa"/>
            <w:vAlign w:val="bottom"/>
            <w:tcBorders>
              <w:top w:val="single" w:sz="8" w:color="auto"/>
              <w:right w:val="single" w:sz="8" w:color="auto"/>
            </w:tcBorders>
            <w:gridSpan w:val="2"/>
            <w:vMerge w:val="restart"/>
          </w:tcPr>
          <w:p>
            <w:pPr>
              <w:jc w:val="right"/>
              <w:ind w:right="870"/>
              <w:spacing w:after="0"/>
              <w:rPr>
                <w:sz w:val="20"/>
                <w:szCs w:val="20"/>
                <w:color w:val="auto"/>
              </w:rPr>
            </w:pPr>
            <w:r>
              <w:rPr>
                <w:rFonts w:ascii="Arial" w:cs="Arial" w:eastAsia="Arial" w:hAnsi="Arial"/>
                <w:sz w:val="18"/>
                <w:szCs w:val="18"/>
                <w:color w:val="auto"/>
              </w:rPr>
              <w:t>50.6%</w:t>
            </w:r>
          </w:p>
        </w:tc>
        <w:tc>
          <w:tcPr>
            <w:tcW w:w="238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131"/>
        </w:trPr>
        <w:tc>
          <w:tcPr>
            <w:tcW w:w="4760" w:type="dxa"/>
            <w:vAlign w:val="bottom"/>
            <w:tcBorders>
              <w:left w:val="single" w:sz="8" w:color="auto"/>
              <w:right w:val="single" w:sz="8" w:color="auto"/>
            </w:tcBorders>
            <w:gridSpan w:val="2"/>
            <w:vMerge w:val="restart"/>
            <w:shd w:val="clear" w:color="auto" w:fill="E5E5E5"/>
          </w:tcPr>
          <w:p>
            <w:pPr>
              <w:ind w:left="140"/>
              <w:spacing w:after="0"/>
              <w:rPr>
                <w:sz w:val="20"/>
                <w:szCs w:val="20"/>
                <w:color w:val="auto"/>
              </w:rPr>
            </w:pPr>
            <w:r>
              <w:rPr>
                <w:rFonts w:ascii="Arial" w:cs="Arial" w:eastAsia="Arial" w:hAnsi="Arial"/>
                <w:sz w:val="18"/>
                <w:szCs w:val="18"/>
                <w:color w:val="auto"/>
              </w:rPr>
              <w:t>profit margin)</w:t>
            </w:r>
          </w:p>
        </w:tc>
        <w:tc>
          <w:tcPr>
            <w:tcW w:w="860" w:type="dxa"/>
            <w:vAlign w:val="bottom"/>
          </w:tcPr>
          <w:p>
            <w:pPr>
              <w:spacing w:after="0"/>
              <w:rPr>
                <w:sz w:val="11"/>
                <w:szCs w:val="11"/>
                <w:color w:val="auto"/>
              </w:rPr>
            </w:pPr>
          </w:p>
        </w:tc>
        <w:tc>
          <w:tcPr>
            <w:tcW w:w="1540" w:type="dxa"/>
            <w:vAlign w:val="bottom"/>
            <w:tcBorders>
              <w:right w:val="single" w:sz="8" w:color="auto"/>
            </w:tcBorders>
            <w:gridSpan w:val="2"/>
            <w:vMerge w:val="continue"/>
          </w:tcPr>
          <w:p>
            <w:pPr>
              <w:spacing w:after="0"/>
              <w:rPr>
                <w:sz w:val="11"/>
                <w:szCs w:val="11"/>
                <w:color w:val="auto"/>
              </w:rPr>
            </w:pPr>
          </w:p>
        </w:tc>
        <w:tc>
          <w:tcPr>
            <w:tcW w:w="23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60" w:type="dxa"/>
            <w:vAlign w:val="bottom"/>
            <w:tcBorders>
              <w:left w:val="single" w:sz="8" w:color="auto"/>
              <w:bottom w:val="single" w:sz="8" w:color="E5E5E5"/>
              <w:right w:val="single" w:sz="8" w:color="auto"/>
            </w:tcBorders>
            <w:gridSpan w:val="2"/>
            <w:vMerge w:val="continue"/>
            <w:shd w:val="clear" w:color="auto" w:fill="E5E5E5"/>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760" w:type="dxa"/>
            <w:vAlign w:val="bottom"/>
            <w:tcBorders>
              <w:top w:val="single" w:sz="8" w:color="auto"/>
              <w:left w:val="single" w:sz="8" w:color="auto"/>
              <w:bottom w:val="single" w:sz="8" w:color="E5E5E5"/>
              <w:right w:val="single" w:sz="8" w:color="auto"/>
            </w:tcBorders>
            <w:gridSpan w:val="2"/>
            <w:shd w:val="clear" w:color="auto" w:fill="E5E5E5"/>
          </w:tcPr>
          <w:p>
            <w:pPr>
              <w:ind w:left="140"/>
              <w:spacing w:after="0"/>
              <w:rPr>
                <w:sz w:val="20"/>
                <w:szCs w:val="20"/>
                <w:color w:val="auto"/>
              </w:rPr>
            </w:pPr>
            <w:r>
              <w:rPr>
                <w:rFonts w:ascii="Arial" w:cs="Arial" w:eastAsia="Arial" w:hAnsi="Arial"/>
                <w:sz w:val="18"/>
                <w:szCs w:val="18"/>
                <w:color w:val="auto"/>
              </w:rPr>
              <w:t>Total Shareholder Return (TSR)</w:t>
            </w:r>
          </w:p>
        </w:tc>
        <w:tc>
          <w:tcPr>
            <w:tcW w:w="860" w:type="dxa"/>
            <w:vAlign w:val="bottom"/>
            <w:tcBorders>
              <w:top w:val="single" w:sz="8" w:color="auto"/>
            </w:tcBorders>
          </w:tcPr>
          <w:p>
            <w:pPr>
              <w:spacing w:after="0"/>
              <w:rPr>
                <w:sz w:val="22"/>
                <w:szCs w:val="22"/>
                <w:color w:val="auto"/>
              </w:rPr>
            </w:pPr>
          </w:p>
        </w:tc>
        <w:tc>
          <w:tcPr>
            <w:tcW w:w="1540" w:type="dxa"/>
            <w:vAlign w:val="bottom"/>
            <w:tcBorders>
              <w:top w:val="single" w:sz="8" w:color="auto"/>
              <w:right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-9.8%</w:t>
            </w:r>
          </w:p>
        </w:tc>
        <w:tc>
          <w:tcPr>
            <w:tcW w:w="23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331"/>
        </w:trPr>
        <w:tc>
          <w:tcPr>
            <w:tcW w:w="1320" w:type="dxa"/>
            <w:vAlign w:val="bottom"/>
            <w:tcBorders>
              <w:top w:val="single" w:sz="8" w:color="auto"/>
            </w:tcBorders>
          </w:tcPr>
          <w:p>
            <w:pPr>
              <w:spacing w:after="0"/>
              <w:rPr>
                <w:sz w:val="24"/>
                <w:szCs w:val="24"/>
                <w:color w:val="auto"/>
              </w:rPr>
            </w:pPr>
          </w:p>
        </w:tc>
        <w:tc>
          <w:tcPr>
            <w:tcW w:w="4300" w:type="dxa"/>
            <w:vAlign w:val="bottom"/>
            <w:tcBorders>
              <w:top w:val="single" w:sz="8" w:color="auto"/>
              <w:bottom w:val="single" w:sz="8" w:color="auto"/>
            </w:tcBorders>
            <w:gridSpan w:val="2"/>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4300" w:type="dxa"/>
            <w:vAlign w:val="bottom"/>
            <w:gridSpan w:val="2"/>
            <w:shd w:val="clear" w:color="auto" w:fill="E5E5E5"/>
          </w:tcPr>
          <w:p>
            <w:pPr>
              <w:jc w:val="center"/>
              <w:ind w:left="1170"/>
              <w:spacing w:after="0"/>
              <w:rPr>
                <w:sz w:val="20"/>
                <w:szCs w:val="20"/>
                <w:color w:val="auto"/>
              </w:rPr>
            </w:pPr>
            <w:r>
              <w:rPr>
                <w:rFonts w:ascii="Arial" w:cs="Arial" w:eastAsia="Arial" w:hAnsi="Arial"/>
                <w:sz w:val="18"/>
                <w:szCs w:val="18"/>
                <w:color w:val="auto"/>
                <w:w w:val="98"/>
              </w:rPr>
              <w:t>Year-on-Year Change in CEO Bonus</w:t>
            </w:r>
          </w:p>
        </w:tc>
        <w:tc>
          <w:tcPr>
            <w:tcW w:w="400" w:type="dxa"/>
            <w:vAlign w:val="bottom"/>
            <w:tcBorders>
              <w:right w:val="single" w:sz="8" w:color="auto"/>
            </w:tcBorders>
            <w:shd w:val="clear" w:color="auto" w:fill="E5E5E5"/>
          </w:tcPr>
          <w:p>
            <w:pPr>
              <w:spacing w:after="0"/>
              <w:rPr>
                <w:sz w:val="18"/>
                <w:szCs w:val="18"/>
                <w:color w:val="auto"/>
              </w:rPr>
            </w:pPr>
          </w:p>
        </w:tc>
        <w:tc>
          <w:tcPr>
            <w:tcW w:w="2040" w:type="dxa"/>
            <w:vAlign w:val="bottom"/>
            <w:tcBorders>
              <w:right w:val="single" w:sz="8" w:color="auto"/>
            </w:tcBorders>
            <w:gridSpan w:val="2"/>
            <w:vMerge w:val="restart"/>
          </w:tcPr>
          <w:p>
            <w:pPr>
              <w:ind w:left="460"/>
              <w:spacing w:after="0"/>
              <w:rPr>
                <w:sz w:val="20"/>
                <w:szCs w:val="20"/>
                <w:color w:val="auto"/>
              </w:rPr>
            </w:pPr>
            <w:r>
              <w:rPr>
                <w:rFonts w:ascii="Arial" w:cs="Arial" w:eastAsia="Arial" w:hAnsi="Arial"/>
                <w:sz w:val="18"/>
                <w:szCs w:val="18"/>
                <w:color w:val="auto"/>
              </w:rPr>
              <w:t>10% increase</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320" w:type="dxa"/>
            <w:vAlign w:val="bottom"/>
            <w:tcBorders>
              <w:right w:val="single" w:sz="8" w:color="auto"/>
            </w:tcBorders>
          </w:tcPr>
          <w:p>
            <w:pPr>
              <w:spacing w:after="0"/>
              <w:rPr>
                <w:sz w:val="11"/>
                <w:szCs w:val="11"/>
                <w:color w:val="auto"/>
              </w:rPr>
            </w:pPr>
          </w:p>
        </w:tc>
        <w:tc>
          <w:tcPr>
            <w:tcW w:w="4300" w:type="dxa"/>
            <w:vAlign w:val="bottom"/>
            <w:gridSpan w:val="2"/>
            <w:vMerge w:val="restart"/>
            <w:shd w:val="clear" w:color="auto" w:fill="E5E5E5"/>
          </w:tcPr>
          <w:p>
            <w:pPr>
              <w:jc w:val="center"/>
              <w:ind w:left="1170"/>
              <w:spacing w:after="0"/>
              <w:rPr>
                <w:sz w:val="20"/>
                <w:szCs w:val="20"/>
                <w:color w:val="auto"/>
              </w:rPr>
            </w:pPr>
            <w:r>
              <w:rPr>
                <w:rFonts w:ascii="Arial" w:cs="Arial" w:eastAsia="Arial" w:hAnsi="Arial"/>
                <w:sz w:val="18"/>
                <w:szCs w:val="18"/>
                <w:color w:val="auto"/>
                <w:w w:val="99"/>
              </w:rPr>
              <w:t>(2022 bonus compared with 2021)</w:t>
            </w:r>
          </w:p>
        </w:tc>
        <w:tc>
          <w:tcPr>
            <w:tcW w:w="400" w:type="dxa"/>
            <w:vAlign w:val="bottom"/>
            <w:tcBorders>
              <w:right w:val="single" w:sz="8" w:color="auto"/>
            </w:tcBorders>
            <w:shd w:val="clear" w:color="auto" w:fill="E5E5E5"/>
          </w:tcPr>
          <w:p>
            <w:pPr>
              <w:spacing w:after="0"/>
              <w:rPr>
                <w:sz w:val="11"/>
                <w:szCs w:val="11"/>
                <w:color w:val="auto"/>
              </w:rPr>
            </w:pPr>
          </w:p>
        </w:tc>
        <w:tc>
          <w:tcPr>
            <w:tcW w:w="2040" w:type="dxa"/>
            <w:vAlign w:val="bottom"/>
            <w:tcBorders>
              <w:right w:val="single" w:sz="8" w:color="auto"/>
            </w:tcBorders>
            <w:gridSpan w:val="2"/>
            <w:vMerge w:val="continue"/>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320" w:type="dxa"/>
            <w:vAlign w:val="bottom"/>
            <w:tcBorders>
              <w:right w:val="single" w:sz="8" w:color="auto"/>
            </w:tcBorders>
          </w:tcPr>
          <w:p>
            <w:pPr>
              <w:spacing w:after="0"/>
              <w:rPr>
                <w:sz w:val="9"/>
                <w:szCs w:val="9"/>
                <w:color w:val="auto"/>
              </w:rPr>
            </w:pPr>
          </w:p>
        </w:tc>
        <w:tc>
          <w:tcPr>
            <w:tcW w:w="4300" w:type="dxa"/>
            <w:vAlign w:val="bottom"/>
            <w:tcBorders>
              <w:bottom w:val="single" w:sz="8" w:color="E5E5E5"/>
            </w:tcBorders>
            <w:gridSpan w:val="2"/>
            <w:vMerge w:val="continue"/>
            <w:shd w:val="clear" w:color="auto" w:fill="E5E5E5"/>
          </w:tcPr>
          <w:p>
            <w:pPr>
              <w:spacing w:after="0"/>
              <w:rPr>
                <w:sz w:val="9"/>
                <w:szCs w:val="9"/>
                <w:color w:val="auto"/>
              </w:rPr>
            </w:pPr>
          </w:p>
        </w:tc>
        <w:tc>
          <w:tcPr>
            <w:tcW w:w="400" w:type="dxa"/>
            <w:vAlign w:val="bottom"/>
            <w:tcBorders>
              <w:bottom w:val="single" w:sz="8" w:color="E5E5E5"/>
              <w:right w:val="single" w:sz="8" w:color="auto"/>
            </w:tcBorders>
            <w:shd w:val="clear" w:color="auto" w:fill="E5E5E5"/>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auto"/>
            </w:tcBorders>
          </w:tcPr>
          <w:p>
            <w:pPr>
              <w:spacing w:after="0" w:line="20" w:lineRule="exact"/>
              <w:rPr>
                <w:sz w:val="1"/>
                <w:szCs w:val="1"/>
                <w:color w:val="auto"/>
              </w:rPr>
            </w:pPr>
          </w:p>
        </w:tc>
        <w:tc>
          <w:tcPr>
            <w:tcW w:w="34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980" w:right="240" w:hanging="324"/>
        <w:spacing w:after="0" w:line="262" w:lineRule="auto"/>
        <w:tabs>
          <w:tab w:leader="none" w:pos="969"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Relative to semiconductor competitors as outlined below; includes estimates and projections of certain competitors’ financial results. See “Analysis of compensation determinations – Bonus – Assessment of 2022 performance” for details of the Compensation Committee’s assessment of TI’s performance. (It is important to note that the median growth rate of competitor companies includes the benefit of acquisitions, whereas TI’s growth rate is entirely organic.)</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spacing w:after="0" w:line="8" w:lineRule="exact"/>
        <w:rPr>
          <w:rFonts w:ascii="Arial" w:cs="Arial" w:eastAsia="Arial" w:hAnsi="Arial"/>
          <w:sz w:val="18"/>
          <w:szCs w:val="18"/>
          <w:color w:val="auto"/>
        </w:rPr>
      </w:pPr>
    </w:p>
    <w:p>
      <w:pPr>
        <w:ind w:left="980" w:right="380" w:hanging="324"/>
        <w:spacing w:after="0" w:line="281" w:lineRule="auto"/>
        <w:rPr>
          <w:rFonts w:ascii="Arial" w:cs="Arial" w:eastAsia="Arial" w:hAnsi="Arial"/>
          <w:sz w:val="18"/>
          <w:szCs w:val="18"/>
          <w:color w:val="auto"/>
        </w:rPr>
      </w:pPr>
      <w:r>
        <w:rPr>
          <w:rFonts w:ascii="Arial" w:cs="Arial" w:eastAsia="Arial" w:hAnsi="Arial"/>
          <w:sz w:val="18"/>
          <w:szCs w:val="18"/>
          <w:color w:val="auto"/>
        </w:rPr>
        <w:t>◦ Executive officers do not have employment contracts and are not guaranteed salary increases, bonus amounts or awards of equity compensation.</w:t>
      </w:r>
    </w:p>
    <w:p>
      <w:pPr>
        <w:spacing w:after="0" w:line="1" w:lineRule="exact"/>
        <w:rPr>
          <w:rFonts w:ascii="Arial" w:cs="Arial" w:eastAsia="Arial" w:hAnsi="Arial"/>
          <w:sz w:val="18"/>
          <w:szCs w:val="18"/>
          <w:color w:val="auto"/>
        </w:rPr>
      </w:pPr>
    </w:p>
    <w:p>
      <w:pPr>
        <w:ind w:left="980" w:right="400" w:hanging="324"/>
        <w:spacing w:after="0" w:line="268" w:lineRule="auto"/>
        <w:rPr>
          <w:rFonts w:ascii="Arial" w:cs="Arial" w:eastAsia="Arial" w:hAnsi="Arial"/>
          <w:sz w:val="18"/>
          <w:szCs w:val="18"/>
          <w:color w:val="auto"/>
        </w:rPr>
      </w:pPr>
      <w:r>
        <w:rPr>
          <w:rFonts w:ascii="Arial" w:cs="Arial" w:eastAsia="Arial" w:hAnsi="Arial"/>
          <w:sz w:val="18"/>
          <w:szCs w:val="18"/>
          <w:color w:val="auto"/>
        </w:rPr>
        <w:t>◦ We have never repriced stock options. We do not grant reload options. We grant equity compensation with double-trigger change in control terms, which accelerate the vesting of grants only if the grantee has been terminated involuntarily within a limited time after a change in control of the company.</w:t>
      </w:r>
    </w:p>
    <w:p>
      <w:pPr>
        <w:spacing w:after="0" w:line="8" w:lineRule="exact"/>
        <w:rPr>
          <w:rFonts w:ascii="Arial" w:cs="Arial" w:eastAsia="Arial" w:hAnsi="Arial"/>
          <w:sz w:val="18"/>
          <w:szCs w:val="18"/>
          <w:color w:val="auto"/>
        </w:rPr>
      </w:pPr>
    </w:p>
    <w:p>
      <w:pPr>
        <w:ind w:left="660" w:right="1280"/>
        <w:spacing w:after="0" w:line="313" w:lineRule="auto"/>
        <w:rPr>
          <w:rFonts w:ascii="Arial" w:cs="Arial" w:eastAsia="Arial" w:hAnsi="Arial"/>
          <w:sz w:val="18"/>
          <w:szCs w:val="18"/>
          <w:color w:val="auto"/>
        </w:rPr>
      </w:pPr>
      <w:r>
        <w:rPr>
          <w:rFonts w:ascii="Arial" w:cs="Arial" w:eastAsia="Arial" w:hAnsi="Arial"/>
          <w:sz w:val="18"/>
          <w:szCs w:val="18"/>
          <w:color w:val="auto"/>
        </w:rPr>
        <w:t>◦ Bonus and equity compensation awards are subject to clawback as described under “Recoupment policy” below. ◦ We do not provide excessive perquisites. We provide no tax gross-ups for perquisites.</w:t>
      </w:r>
    </w:p>
    <w:p>
      <w:pPr>
        <w:ind w:left="660"/>
        <w:spacing w:after="0"/>
        <w:rPr>
          <w:rFonts w:ascii="Arial" w:cs="Arial" w:eastAsia="Arial" w:hAnsi="Arial"/>
          <w:sz w:val="18"/>
          <w:szCs w:val="18"/>
          <w:color w:val="auto"/>
        </w:rPr>
      </w:pPr>
      <w:r>
        <w:rPr>
          <w:rFonts w:ascii="Arial" w:cs="Arial" w:eastAsia="Arial" w:hAnsi="Arial"/>
          <w:sz w:val="18"/>
          <w:szCs w:val="18"/>
          <w:color w:val="auto"/>
        </w:rPr>
        <w:t>◦   We do not guarantee a return or provide above-market returns on compensation that has been deferred.</w:t>
      </w:r>
    </w:p>
    <w:p>
      <w:pPr>
        <w:spacing w:after="0" w:line="63" w:lineRule="exact"/>
        <w:rPr>
          <w:rFonts w:ascii="Arial" w:cs="Arial" w:eastAsia="Arial" w:hAnsi="Arial"/>
          <w:sz w:val="18"/>
          <w:szCs w:val="18"/>
          <w:color w:val="auto"/>
        </w:rPr>
      </w:pPr>
    </w:p>
    <w:p>
      <w:pPr>
        <w:ind w:left="980" w:right="180" w:hanging="324"/>
        <w:spacing w:after="0" w:line="287" w:lineRule="auto"/>
        <w:rPr>
          <w:rFonts w:ascii="Arial" w:cs="Arial" w:eastAsia="Arial" w:hAnsi="Arial"/>
          <w:sz w:val="18"/>
          <w:szCs w:val="18"/>
          <w:color w:val="auto"/>
        </w:rPr>
      </w:pPr>
      <w:r>
        <w:rPr>
          <w:rFonts w:ascii="Arial" w:cs="Arial" w:eastAsia="Arial" w:hAnsi="Arial"/>
          <w:sz w:val="18"/>
          <w:szCs w:val="18"/>
          <w:color w:val="auto"/>
        </w:rPr>
        <w:t>◦ Pension benefits are calculated on salary and bonus only; the proceeds earned on equity or other performance awards are not part of the pension calculation.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Detailed discussion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philosophy and elements</w:t>
      </w:r>
    </w:p>
    <w:p>
      <w:pPr>
        <w:spacing w:after="0" w:line="2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years, we have run our business and invested in our people and communities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(ESG) and sustainability, is a belief that in order for all stakeholders to benefit, the company must grow stronger over the long term. Our compensation program is structured with these ambitions in mind.</w:t>
      </w:r>
    </w:p>
    <w:p>
      <w:pPr>
        <w:spacing w:after="0" w:line="18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before setting annual compensation for the executives. The committee chair regularly reports on committee actions at board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2023 PROXY STATEMENT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4" w:right="379" w:bottom="1440" w:gutter="0" w:footer="0" w:header="0"/>
        </w:sectPr>
      </w:pPr>
    </w:p>
    <w:bookmarkStart w:id="28" w:name="page29"/>
    <w:bookmarkEnd w:id="28"/>
    <w:p>
      <w:pPr>
        <w:ind w:right="120"/>
        <w:spacing w:after="0" w:line="256" w:lineRule="auto"/>
        <w:rPr>
          <w:sz w:val="20"/>
          <w:szCs w:val="20"/>
          <w:color w:val="auto"/>
        </w:rPr>
      </w:pPr>
      <w:r>
        <w:rPr>
          <w:rFonts w:ascii="Arial" w:cs="Arial" w:eastAsia="Arial" w:hAnsi="Arial"/>
          <w:sz w:val="18"/>
          <w:szCs w:val="18"/>
          <w:color w:val="auto"/>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tcPr>
          <w:p>
            <w:pPr>
              <w:ind w:left="20"/>
              <w:spacing w:after="0"/>
              <w:rPr>
                <w:sz w:val="20"/>
                <w:szCs w:val="20"/>
                <w:color w:val="auto"/>
              </w:rPr>
            </w:pPr>
            <w:r>
              <w:rPr>
                <w:rFonts w:ascii="Arial" w:cs="Arial" w:eastAsia="Arial" w:hAnsi="Arial"/>
                <w:sz w:val="18"/>
                <w:szCs w:val="18"/>
                <w:color w:val="auto"/>
              </w:rPr>
              <w:t>Purpose</w:t>
            </w:r>
          </w:p>
        </w:tc>
        <w:tc>
          <w:tcPr>
            <w:tcW w:w="10100" w:type="dxa"/>
            <w:vAlign w:val="bottom"/>
          </w:tcPr>
          <w:p>
            <w:pPr>
              <w:ind w:left="14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409"/>
        </w:trPr>
        <w:tc>
          <w:tcPr>
            <w:tcW w:w="112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100" w:type="dxa"/>
            <w:vAlign w:val="bottom"/>
          </w:tcPr>
          <w:p>
            <w:pPr>
              <w:ind w:left="14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39"/>
        </w:trPr>
        <w:tc>
          <w:tcPr>
            <w:tcW w:w="112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qualified executives.</w:t>
            </w:r>
          </w:p>
        </w:tc>
      </w:tr>
      <w:tr>
        <w:trPr>
          <w:trHeight w:val="432"/>
        </w:trPr>
        <w:tc>
          <w:tcPr>
            <w:tcW w:w="1120" w:type="dxa"/>
            <w:vAlign w:val="bottom"/>
          </w:tcPr>
          <w:p>
            <w:pPr>
              <w:ind w:left="20"/>
              <w:spacing w:after="0"/>
              <w:rPr>
                <w:sz w:val="20"/>
                <w:szCs w:val="20"/>
                <w:color w:val="auto"/>
              </w:rPr>
            </w:pPr>
            <w:r>
              <w:rPr>
                <w:rFonts w:ascii="Arial" w:cs="Arial" w:eastAsia="Arial" w:hAnsi="Arial"/>
                <w:sz w:val="18"/>
                <w:szCs w:val="18"/>
                <w:color w:val="auto"/>
              </w:rPr>
              <w:t>Terms</w:t>
            </w:r>
          </w:p>
        </w:tc>
        <w:tc>
          <w:tcPr>
            <w:tcW w:w="10100" w:type="dxa"/>
            <w:vAlign w:val="bottom"/>
          </w:tcPr>
          <w:p>
            <w:pPr>
              <w:ind w:left="140"/>
              <w:spacing w:after="0"/>
              <w:rPr>
                <w:sz w:val="20"/>
                <w:szCs w:val="20"/>
                <w:color w:val="auto"/>
              </w:rPr>
            </w:pPr>
            <w:r>
              <w:rPr>
                <w:rFonts w:ascii="Arial" w:cs="Arial" w:eastAsia="Arial" w:hAnsi="Arial"/>
                <w:sz w:val="18"/>
                <w:szCs w:val="18"/>
                <w:color w:val="auto"/>
              </w:rPr>
              <w:t>Paid twice monthly.</w:t>
            </w:r>
          </w:p>
        </w:tc>
      </w:tr>
      <w:tr>
        <w:trPr>
          <w:trHeight w:val="678"/>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Profit Sharing</w:t>
            </w:r>
          </w:p>
        </w:tc>
        <w:tc>
          <w:tcPr>
            <w:tcW w:w="10100" w:type="dxa"/>
            <w:vAlign w:val="bottom"/>
            <w:tcBorders>
              <w:bottom w:val="single" w:sz="8" w:color="auto"/>
            </w:tcBorders>
          </w:tcPr>
          <w:p>
            <w:pPr>
              <w:spacing w:after="0"/>
              <w:rPr>
                <w:sz w:val="24"/>
                <w:szCs w:val="24"/>
                <w:color w:val="auto"/>
              </w:rPr>
            </w:pPr>
          </w:p>
        </w:tc>
      </w:tr>
      <w:tr>
        <w:trPr>
          <w:trHeight w:val="224"/>
        </w:trPr>
        <w:tc>
          <w:tcPr>
            <w:tcW w:w="1120" w:type="dxa"/>
            <w:vAlign w:val="bottom"/>
          </w:tcPr>
          <w:p>
            <w:pPr>
              <w:ind w:left="20"/>
              <w:spacing w:after="0"/>
              <w:rPr>
                <w:sz w:val="20"/>
                <w:szCs w:val="20"/>
                <w:color w:val="auto"/>
              </w:rPr>
            </w:pPr>
            <w:r>
              <w:rPr>
                <w:rFonts w:ascii="Arial" w:cs="Arial" w:eastAsia="Arial" w:hAnsi="Arial"/>
                <w:sz w:val="18"/>
                <w:szCs w:val="18"/>
                <w:color w:val="auto"/>
              </w:rPr>
              <w:t>Purpose</w:t>
            </w:r>
          </w:p>
        </w:tc>
        <w:tc>
          <w:tcPr>
            <w:tcW w:w="10100" w:type="dxa"/>
            <w:vAlign w:val="bottom"/>
          </w:tcPr>
          <w:p>
            <w:pPr>
              <w:ind w:left="140"/>
              <w:spacing w:after="0"/>
              <w:rPr>
                <w:sz w:val="20"/>
                <w:szCs w:val="20"/>
                <w:color w:val="auto"/>
              </w:rPr>
            </w:pPr>
            <w:r>
              <w:rPr>
                <w:rFonts w:ascii="Arial" w:cs="Arial" w:eastAsia="Arial" w:hAnsi="Arial"/>
                <w:sz w:val="18"/>
                <w:szCs w:val="18"/>
                <w:color w:val="auto"/>
              </w:rPr>
              <w:t>Broad-based program designed to emphasize that each employee contributes to the company’s profitability and can share in</w:t>
            </w:r>
          </w:p>
        </w:tc>
      </w:tr>
      <w:tr>
        <w:trPr>
          <w:trHeight w:val="239"/>
        </w:trPr>
        <w:tc>
          <w:tcPr>
            <w:tcW w:w="112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it.</w:t>
            </w:r>
          </w:p>
        </w:tc>
      </w:tr>
      <w:tr>
        <w:trPr>
          <w:trHeight w:val="301"/>
        </w:trPr>
        <w:tc>
          <w:tcPr>
            <w:tcW w:w="112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100" w:type="dxa"/>
            <w:vAlign w:val="bottom"/>
          </w:tcPr>
          <w:p>
            <w:pPr>
              <w:ind w:left="140"/>
              <w:spacing w:after="0"/>
              <w:rPr>
                <w:sz w:val="20"/>
                <w:szCs w:val="20"/>
                <w:color w:val="auto"/>
              </w:rPr>
            </w:pPr>
            <w:r>
              <w:rPr>
                <w:rFonts w:ascii="Arial" w:cs="Arial" w:eastAsia="Arial" w:hAnsi="Arial"/>
                <w:sz w:val="18"/>
                <w:szCs w:val="18"/>
                <w:color w:val="auto"/>
              </w:rPr>
              <w:t>Pay according to a formula that is the same for all employees to focus them on a company goal, and set pay-out potential at</w:t>
            </w:r>
          </w:p>
        </w:tc>
      </w:tr>
      <w:tr>
        <w:trPr>
          <w:trHeight w:val="239"/>
        </w:trPr>
        <w:tc>
          <w:tcPr>
            <w:tcW w:w="112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a level that will affect behavior. Profit sharing is paid in addition to any performance bonus awarded for the year.</w:t>
            </w:r>
          </w:p>
        </w:tc>
      </w:tr>
      <w:tr>
        <w:trPr>
          <w:trHeight w:val="301"/>
        </w:trPr>
        <w:tc>
          <w:tcPr>
            <w:tcW w:w="1120" w:type="dxa"/>
            <w:vAlign w:val="bottom"/>
          </w:tcPr>
          <w:p>
            <w:pPr>
              <w:spacing w:after="0"/>
              <w:rPr>
                <w:sz w:val="24"/>
                <w:szCs w:val="24"/>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For the last 18 years, the formula has been based on company-level annual operating profit margin. The formula was set by</w:t>
            </w:r>
          </w:p>
        </w:tc>
      </w:tr>
      <w:tr>
        <w:trPr>
          <w:trHeight w:val="239"/>
        </w:trPr>
        <w:tc>
          <w:tcPr>
            <w:tcW w:w="112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the TI board. The committee’s practice has been not to adjust amounts earned under the formula.</w:t>
            </w:r>
          </w:p>
        </w:tc>
      </w:tr>
      <w:tr>
        <w:trPr>
          <w:trHeight w:val="432"/>
        </w:trPr>
        <w:tc>
          <w:tcPr>
            <w:tcW w:w="1120" w:type="dxa"/>
            <w:vAlign w:val="bottom"/>
          </w:tcPr>
          <w:p>
            <w:pPr>
              <w:ind w:left="20"/>
              <w:spacing w:after="0"/>
              <w:rPr>
                <w:sz w:val="20"/>
                <w:szCs w:val="20"/>
                <w:color w:val="auto"/>
              </w:rPr>
            </w:pPr>
            <w:r>
              <w:rPr>
                <w:rFonts w:ascii="Arial" w:cs="Arial" w:eastAsia="Arial" w:hAnsi="Arial"/>
                <w:sz w:val="18"/>
                <w:szCs w:val="18"/>
                <w:color w:val="auto"/>
              </w:rPr>
              <w:t>Terms</w:t>
            </w:r>
          </w:p>
        </w:tc>
        <w:tc>
          <w:tcPr>
            <w:tcW w:w="10100" w:type="dxa"/>
            <w:vAlign w:val="bottom"/>
          </w:tcPr>
          <w:p>
            <w:pPr>
              <w:ind w:left="140"/>
              <w:spacing w:after="0"/>
              <w:rPr>
                <w:sz w:val="20"/>
                <w:szCs w:val="20"/>
                <w:color w:val="auto"/>
              </w:rPr>
            </w:pPr>
            <w:r>
              <w:rPr>
                <w:rFonts w:ascii="Arial" w:cs="Arial" w:eastAsia="Arial" w:hAnsi="Arial"/>
                <w:sz w:val="18"/>
                <w:szCs w:val="18"/>
                <w:color w:val="auto"/>
              </w:rPr>
              <w:t>Payable in a single cash payment shortly after the end of the performance year.</w:t>
            </w:r>
          </w:p>
        </w:tc>
      </w:tr>
      <w:tr>
        <w:trPr>
          <w:trHeight w:val="324"/>
        </w:trPr>
        <w:tc>
          <w:tcPr>
            <w:tcW w:w="1120" w:type="dxa"/>
            <w:vAlign w:val="bottom"/>
          </w:tcPr>
          <w:p>
            <w:pPr>
              <w:spacing w:after="0"/>
              <w:rPr>
                <w:sz w:val="24"/>
                <w:szCs w:val="24"/>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As in recent years, the formula for 2022 was:</w:t>
            </w:r>
          </w:p>
        </w:tc>
      </w:tr>
    </w:tbl>
    <w:p>
      <w:pPr>
        <w:spacing w:after="0" w:line="85" w:lineRule="exact"/>
        <w:rPr>
          <w:sz w:val="20"/>
          <w:szCs w:val="20"/>
          <w:color w:val="auto"/>
        </w:rPr>
      </w:pPr>
    </w:p>
    <w:p>
      <w:pPr>
        <w:ind w:left="1920" w:right="720" w:hanging="328"/>
        <w:spacing w:after="0" w:line="281" w:lineRule="auto"/>
        <w:tabs>
          <w:tab w:leader="none" w:pos="19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Below 10% company-level annual operating profit as a percentage of revenue (“operating profit margin”): no profit sharing</w:t>
      </w:r>
    </w:p>
    <w:p>
      <w:pPr>
        <w:spacing w:after="0" w:line="1" w:lineRule="exact"/>
        <w:rPr>
          <w:rFonts w:ascii="Arial" w:cs="Arial" w:eastAsia="Arial" w:hAnsi="Arial"/>
          <w:sz w:val="18"/>
          <w:szCs w:val="18"/>
          <w:color w:val="auto"/>
        </w:rPr>
      </w:pPr>
    </w:p>
    <w:p>
      <w:pPr>
        <w:ind w:left="1920" w:hanging="328"/>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10% operating profit margin: profit sharing = 2% of base salary</w:t>
      </w:r>
    </w:p>
    <w:p>
      <w:pPr>
        <w:spacing w:after="0" w:line="63" w:lineRule="exact"/>
        <w:rPr>
          <w:rFonts w:ascii="Arial" w:cs="Arial" w:eastAsia="Arial" w:hAnsi="Arial"/>
          <w:sz w:val="18"/>
          <w:szCs w:val="18"/>
          <w:color w:val="auto"/>
        </w:rPr>
      </w:pPr>
    </w:p>
    <w:p>
      <w:pPr>
        <w:jc w:val="both"/>
        <w:ind w:left="1920" w:right="180" w:hanging="328"/>
        <w:spacing w:after="0" w:line="268" w:lineRule="auto"/>
        <w:tabs>
          <w:tab w:leader="none" w:pos="19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operating profit margin above 10%: profit sharing increases by 0.5% of base salary for each percentage point of operating profit margin between 10% and 24%, and 1% of base salary for each percentage point of operating profit margin above 24%. The maximum profit sharing is 20% of base salary.</w:t>
      </w:r>
    </w:p>
    <w:p>
      <w:pPr>
        <w:spacing w:after="0" w:line="63" w:lineRule="exact"/>
        <w:rPr>
          <w:sz w:val="20"/>
          <w:szCs w:val="20"/>
          <w:color w:val="auto"/>
        </w:rPr>
      </w:pPr>
    </w:p>
    <w:p>
      <w:pPr>
        <w:ind w:left="1260" w:right="640"/>
        <w:spacing w:after="0" w:line="287" w:lineRule="auto"/>
        <w:rPr>
          <w:sz w:val="20"/>
          <w:szCs w:val="20"/>
          <w:color w:val="auto"/>
        </w:rPr>
      </w:pPr>
      <w:r>
        <w:rPr>
          <w:rFonts w:ascii="Arial" w:cs="Arial" w:eastAsia="Arial" w:hAnsi="Arial"/>
          <w:sz w:val="18"/>
          <w:szCs w:val="18"/>
          <w:color w:val="auto"/>
        </w:rPr>
        <w:t>In 2022, TI delivered operating profit margin of 50.6%. As a result, all eligible employees, including executive officers, received profit sharing of 20% of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14"/>
          <w:szCs w:val="14"/>
          <w:b w:val="1"/>
          <w:bCs w:val="1"/>
          <w:color w:val="auto"/>
        </w:rPr>
        <w:t>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Purpose</w:t>
            </w:r>
          </w:p>
        </w:tc>
        <w:tc>
          <w:tcPr>
            <w:tcW w:w="10180" w:type="dxa"/>
            <w:vAlign w:val="bottom"/>
          </w:tcPr>
          <w:p>
            <w:pPr>
              <w:ind w:left="280"/>
              <w:spacing w:after="0"/>
              <w:rPr>
                <w:sz w:val="20"/>
                <w:szCs w:val="20"/>
                <w:color w:val="auto"/>
              </w:rPr>
            </w:pPr>
            <w:r>
              <w:rPr>
                <w:rFonts w:ascii="Arial" w:cs="Arial" w:eastAsia="Arial" w:hAnsi="Arial"/>
                <w:sz w:val="18"/>
                <w:szCs w:val="18"/>
                <w:color w:val="auto"/>
              </w:rPr>
              <w:t>To motivate executives and reward them according to the company’s relative and absolute performance and the executive’s</w:t>
            </w:r>
          </w:p>
        </w:tc>
      </w:tr>
      <w:tr>
        <w:trPr>
          <w:trHeight w:val="239"/>
        </w:trPr>
        <w:tc>
          <w:tcPr>
            <w:tcW w:w="960" w:type="dxa"/>
            <w:vAlign w:val="bottom"/>
          </w:tcPr>
          <w:p>
            <w:pPr>
              <w:spacing w:after="0"/>
              <w:rPr>
                <w:sz w:val="20"/>
                <w:szCs w:val="20"/>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individual performance.</w:t>
            </w:r>
          </w:p>
        </w:tc>
      </w:tr>
      <w:tr>
        <w:trPr>
          <w:trHeight w:val="450"/>
        </w:trPr>
        <w:tc>
          <w:tcPr>
            <w:tcW w:w="960" w:type="dxa"/>
            <w:vAlign w:val="bottom"/>
          </w:tcPr>
          <w:p>
            <w:pPr>
              <w:spacing w:after="0"/>
              <w:rPr>
                <w:sz w:val="20"/>
                <w:szCs w:val="20"/>
                <w:color w:val="auto"/>
              </w:rPr>
            </w:pPr>
            <w:r>
              <w:rPr>
                <w:rFonts w:ascii="Arial" w:cs="Arial" w:eastAsia="Arial" w:hAnsi="Arial"/>
                <w:sz w:val="18"/>
                <w:szCs w:val="18"/>
                <w:color w:val="auto"/>
              </w:rPr>
              <w:t>Strategy</w:t>
            </w:r>
          </w:p>
        </w:tc>
        <w:tc>
          <w:tcPr>
            <w:tcW w:w="10180" w:type="dxa"/>
            <w:vAlign w:val="bottom"/>
          </w:tcPr>
          <w:p>
            <w:pPr>
              <w:ind w:left="2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w:t>
            </w:r>
          </w:p>
        </w:tc>
      </w:tr>
      <w:tr>
        <w:trPr>
          <w:trHeight w:val="216"/>
        </w:trPr>
        <w:tc>
          <w:tcPr>
            <w:tcW w:w="96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9"/>
              </w:rPr>
              <w:t>percent, operating profit margin and total shareholder return</w:t>
            </w:r>
            <w:r>
              <w:rPr>
                <w:rFonts w:ascii="Arial" w:cs="Arial" w:eastAsia="Arial" w:hAnsi="Arial"/>
                <w:sz w:val="10"/>
                <w:szCs w:val="10"/>
                <w:color w:val="auto"/>
                <w:w w:val="99"/>
              </w:rPr>
              <w:t>1</w:t>
            </w:r>
            <w:r>
              <w:rPr>
                <w:rFonts w:ascii="Arial" w:cs="Arial" w:eastAsia="Arial" w:hAnsi="Arial"/>
                <w:sz w:val="18"/>
                <w:szCs w:val="18"/>
                <w:color w:val="auto"/>
                <w:w w:val="99"/>
              </w:rPr>
              <w:t>) as compared with competitors and on our strategic progress in</w:t>
            </w:r>
          </w:p>
        </w:tc>
      </w:tr>
      <w:tr>
        <w:trPr>
          <w:trHeight w:val="216"/>
        </w:trPr>
        <w:tc>
          <w:tcPr>
            <w:tcW w:w="96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key markets and with customers. These factors have been chosen to reflect our near-term financial performance as well as</w:t>
            </w:r>
          </w:p>
        </w:tc>
      </w:tr>
      <w:tr>
        <w:trPr>
          <w:trHeight w:val="239"/>
        </w:trPr>
        <w:tc>
          <w:tcPr>
            <w:tcW w:w="960" w:type="dxa"/>
            <w:vAlign w:val="bottom"/>
          </w:tcPr>
          <w:p>
            <w:pPr>
              <w:spacing w:after="0"/>
              <w:rPr>
                <w:sz w:val="20"/>
                <w:szCs w:val="20"/>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our progress in building long-term shareholder value.</w:t>
            </w:r>
          </w:p>
        </w:tc>
      </w:tr>
      <w:tr>
        <w:trPr>
          <w:trHeight w:val="301"/>
        </w:trPr>
        <w:tc>
          <w:tcPr>
            <w:tcW w:w="960" w:type="dxa"/>
            <w:vAlign w:val="bottom"/>
          </w:tcPr>
          <w:p>
            <w:pPr>
              <w:spacing w:after="0"/>
              <w:rPr>
                <w:sz w:val="24"/>
                <w:szCs w:val="24"/>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median if</w:t>
            </w:r>
          </w:p>
        </w:tc>
      </w:tr>
      <w:tr>
        <w:trPr>
          <w:trHeight w:val="216"/>
        </w:trPr>
        <w:tc>
          <w:tcPr>
            <w:tcW w:w="96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company performance is above that of competitors, and pay total cash compensation appropriately below the median if</w:t>
            </w:r>
          </w:p>
        </w:tc>
      </w:tr>
      <w:tr>
        <w:trPr>
          <w:trHeight w:val="239"/>
        </w:trPr>
        <w:tc>
          <w:tcPr>
            <w:tcW w:w="960" w:type="dxa"/>
            <w:vAlign w:val="bottom"/>
          </w:tcPr>
          <w:p>
            <w:pPr>
              <w:spacing w:after="0"/>
              <w:rPr>
                <w:sz w:val="20"/>
                <w:szCs w:val="20"/>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company performance is below competitors.</w:t>
            </w:r>
          </w:p>
        </w:tc>
      </w:tr>
      <w:tr>
        <w:trPr>
          <w:trHeight w:val="299"/>
        </w:trPr>
        <w:tc>
          <w:tcPr>
            <w:tcW w:w="960" w:type="dxa"/>
            <w:vAlign w:val="bottom"/>
          </w:tcPr>
          <w:p>
            <w:pPr>
              <w:spacing w:after="0"/>
              <w:rPr>
                <w:sz w:val="24"/>
                <w:szCs w:val="24"/>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 judgment based on its</w:t>
            </w:r>
          </w:p>
        </w:tc>
      </w:tr>
      <w:tr>
        <w:trPr>
          <w:trHeight w:val="311"/>
        </w:trPr>
        <w:tc>
          <w:tcPr>
            <w:tcW w:w="960" w:type="dxa"/>
            <w:vAlign w:val="bottom"/>
          </w:tcPr>
          <w:p>
            <w:pPr>
              <w:spacing w:after="0"/>
              <w:rPr>
                <w:sz w:val="24"/>
                <w:szCs w:val="24"/>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assessment of the factors described above.</w:t>
            </w:r>
            <w:r>
              <w:rPr>
                <w:rFonts w:ascii="Arial" w:cs="Arial" w:eastAsia="Arial" w:hAnsi="Arial"/>
                <w:sz w:val="18"/>
                <w:szCs w:val="18"/>
                <w:color w:val="FFFFFF"/>
              </w:rPr>
              <w:t>.</w:t>
            </w:r>
            <w:r>
              <w:rPr>
                <w:rFonts w:ascii="Arial" w:cs="Arial" w:eastAsia="Arial" w:hAnsi="Arial"/>
                <w:sz w:val="23"/>
                <w:szCs w:val="23"/>
                <w:color w:val="FFFFFF"/>
                <w:vertAlign w:val="superscript"/>
              </w:rPr>
              <w:t>1</w:t>
            </w:r>
          </w:p>
        </w:tc>
      </w:tr>
      <w:tr>
        <w:trPr>
          <w:trHeight w:val="363"/>
        </w:trPr>
        <w:tc>
          <w:tcPr>
            <w:tcW w:w="960" w:type="dxa"/>
            <w:vAlign w:val="bottom"/>
          </w:tcPr>
          <w:p>
            <w:pPr>
              <w:spacing w:after="0"/>
              <w:rPr>
                <w:sz w:val="20"/>
                <w:szCs w:val="20"/>
                <w:color w:val="auto"/>
              </w:rPr>
            </w:pPr>
            <w:r>
              <w:rPr>
                <w:rFonts w:ascii="Arial" w:cs="Arial" w:eastAsia="Arial" w:hAnsi="Arial"/>
                <w:sz w:val="18"/>
                <w:szCs w:val="18"/>
                <w:color w:val="auto"/>
              </w:rPr>
              <w:t>Terms</w:t>
            </w:r>
          </w:p>
        </w:tc>
        <w:tc>
          <w:tcPr>
            <w:tcW w:w="10180" w:type="dxa"/>
            <w:vAlign w:val="bottom"/>
          </w:tcPr>
          <w:p>
            <w:pPr>
              <w:ind w:left="2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compensation, awarded in equity</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 Options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Alignment with shareholders; long-term focus; balance retention, particularly with respect to restricted stock units, and performance.</w:t>
      </w:r>
    </w:p>
    <w:p>
      <w:pPr>
        <w:spacing w:after="0" w:line="153"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 equity compensation awarded to executives in similar positions within the Comparator Group. The committee does not rely on formulas or performance targets or thresholds.</w:t>
      </w:r>
    </w:p>
    <w:p>
      <w:pPr>
        <w:spacing w:after="0" w:line="171"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ind w:right="300"/>
        <w:spacing w:after="0" w:line="287" w:lineRule="auto"/>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 at fiscal year-end 2022.” The committee’s grant procedures are described under “Process for equity grants.”</w:t>
      </w:r>
    </w:p>
    <w:p>
      <w:pPr>
        <w:spacing w:after="0" w:line="200" w:lineRule="exact"/>
        <w:rPr>
          <w:sz w:val="20"/>
          <w:szCs w:val="20"/>
          <w:color w:val="auto"/>
        </w:rPr>
      </w:pPr>
    </w:p>
    <w:p>
      <w:pPr>
        <w:sectPr>
          <w:pgSz w:w="11900" w:h="16838" w:orient="portrait"/>
          <w:cols w:equalWidth="0" w:num="2">
            <w:col w:w="540" w:space="720"/>
            <w:col w:w="9960"/>
          </w:cols>
          <w:pgMar w:left="320" w:top="832" w:right="35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Comparator group</w:t>
      </w:r>
    </w:p>
    <w:p>
      <w:pPr>
        <w:spacing w:after="0" w:line="23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(i) are U.S.-based,</w:t>
      </w:r>
    </w:p>
    <w:p>
      <w:pPr>
        <w:spacing w:after="0" w:line="27" w:lineRule="exact"/>
        <w:rPr>
          <w:sz w:val="20"/>
          <w:szCs w:val="20"/>
          <w:color w:val="auto"/>
        </w:rPr>
      </w:pPr>
    </w:p>
    <w:p>
      <w:pPr>
        <w:ind w:firstLine="8"/>
        <w:spacing w:after="0" w:line="258" w:lineRule="auto"/>
        <w:tabs>
          <w:tab w:leader="none" w:pos="2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6" w:lineRule="exact"/>
        <w:rPr>
          <w:sz w:val="20"/>
          <w:szCs w:val="20"/>
          <w:color w:val="auto"/>
        </w:rPr>
      </w:pPr>
    </w:p>
    <w:p>
      <w:pPr>
        <w:ind w:right="320" w:firstLine="8"/>
        <w:spacing w:after="0" w:line="237" w:lineRule="auto"/>
        <w:tabs>
          <w:tab w:leader="none" w:pos="115"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color w:val="auto"/>
        </w:rPr>
        <w:t>Shown in the table below is the Comparator Group used for the compensation decisions for 2022.</w:t>
      </w:r>
    </w:p>
    <w:p>
      <w:pPr>
        <w:sectPr>
          <w:pgSz w:w="11900" w:h="16838" w:orient="portrait"/>
          <w:cols w:equalWidth="0" w:num="1">
            <w:col w:w="11220"/>
          </w:cols>
          <w:pgMar w:left="320" w:top="769" w:right="359" w:bottom="1440" w:gutter="0" w:footer="0" w:header="0"/>
        </w:sect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3M Company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Intel Corporation</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Accenture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Medtronic plc</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Micron Technology, Inc.</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Motorola Solutions, Inc.</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NVIDIA Corporation</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Cisco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Corning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 Connectivity Ltd.</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Thermo Fisher Scientific Inc.</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jc w:val="center"/>
        <w:ind w:left="740"/>
        <w:spacing w:after="0"/>
        <w:rPr>
          <w:sz w:val="20"/>
          <w:szCs w:val="20"/>
          <w:color w:val="auto"/>
        </w:rPr>
      </w:pPr>
      <w:r>
        <w:rPr>
          <w:rFonts w:ascii="Arial" w:cs="Arial" w:eastAsia="Arial" w:hAnsi="Arial"/>
          <w:sz w:val="18"/>
          <w:szCs w:val="18"/>
          <w:color w:val="auto"/>
        </w:rPr>
        <w:t>Honeywell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Western Digital Corporation</w:t>
      </w:r>
    </w:p>
    <w:p>
      <w:pPr>
        <w:spacing w:after="0" w:line="211"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set the Comparator Group in July 2021 for the base salary and equity compensation decisions it made in 2022. For a discussion of the factors considered by the committee in setting the Comparator Group in July 2021, please see “Comparator group” on page 25 of the company’s 2022 proxy statement.</w:t>
      </w:r>
    </w:p>
    <w:p>
      <w:pPr>
        <w:spacing w:after="0" w:line="14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July 2022, the committee conducted its regular review of the Comparator Group in terms of industry, revenue and market capitalization. With the advice of its compensation consultant, the committee decided to make no changes to the group. Accordingly, the committee used the same Comparator Group for the bonus decisions in January 2023 relating to 2022 performance. The table below compares the Comparator Group to TI in terms of revenue and market capitalization.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40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Revenue ($ Billion) *</w:t>
            </w:r>
          </w:p>
        </w:tc>
        <w:tc>
          <w:tcPr>
            <w:tcW w:w="27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Market Cap ($ Billion) *</w:t>
            </w: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Intel Corporation</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69.5</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109.1</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Accenture plc</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62.4</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175.7</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Cisco Systems, Inc.</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52.3</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195.7</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QUALCOMM Incorporated</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44.2</w:t>
            </w:r>
          </w:p>
        </w:tc>
        <w:tc>
          <w:tcPr>
            <w:tcW w:w="2700" w:type="dxa"/>
            <w:vAlign w:val="bottom"/>
          </w:tcPr>
          <w:p>
            <w:pPr>
              <w:jc w:val="right"/>
              <w:ind w:right="911"/>
              <w:spacing w:after="0"/>
              <w:rPr>
                <w:sz w:val="20"/>
                <w:szCs w:val="20"/>
                <w:color w:val="auto"/>
              </w:rPr>
            </w:pPr>
            <w:r>
              <w:rPr>
                <w:rFonts w:ascii="Arial" w:cs="Arial" w:eastAsia="Arial" w:hAnsi="Arial"/>
                <w:sz w:val="18"/>
                <w:szCs w:val="18"/>
                <w:color w:val="auto"/>
              </w:rPr>
              <w:t>123.2</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Thermo Fisher Scientific Inc.</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44.2</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216.0</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Honeywell International Inc.</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34.9</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144.1</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3M Company</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34.8</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66.3</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Broadcom Inc.</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33.2</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233.7</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Medtronic plc</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30.8</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103.4</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NVIDIA Corporation</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28.6</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359.5</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Micron Technology, Inc.</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27.2</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54.5</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25.8</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82.2</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Emerson Electric Co.</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19.6</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56.8</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Western Digital Corporation</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17.5</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10.0</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TE Connectivity Ltd.</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16.3</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36.4</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Corning Incorporated</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14.5</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27.0</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Analog Devices, Inc.</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12.0</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83.5</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Motorola Solutions, Inc.</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8.7</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43.1</w:t>
            </w:r>
          </w:p>
        </w:tc>
      </w:tr>
      <w:tr>
        <w:trPr>
          <w:trHeight w:val="23"/>
        </w:trPr>
        <w:tc>
          <w:tcPr>
            <w:tcW w:w="4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Median</w:t>
            </w:r>
          </w:p>
        </w:tc>
        <w:tc>
          <w:tcPr>
            <w:tcW w:w="404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29.7</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93.5</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Texas Instruments Incorporated</w:t>
            </w:r>
          </w:p>
        </w:tc>
        <w:tc>
          <w:tcPr>
            <w:tcW w:w="4040" w:type="dxa"/>
            <w:vAlign w:val="bottom"/>
          </w:tcPr>
          <w:p>
            <w:pPr>
              <w:jc w:val="right"/>
              <w:ind w:right="1011"/>
              <w:spacing w:after="0"/>
              <w:rPr>
                <w:sz w:val="20"/>
                <w:szCs w:val="20"/>
                <w:color w:val="auto"/>
              </w:rPr>
            </w:pPr>
            <w:r>
              <w:rPr>
                <w:rFonts w:ascii="Arial" w:cs="Arial" w:eastAsia="Arial" w:hAnsi="Arial"/>
                <w:sz w:val="18"/>
                <w:szCs w:val="18"/>
                <w:color w:val="auto"/>
              </w:rPr>
              <w:t>20.2</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149.9</w:t>
            </w:r>
          </w:p>
        </w:tc>
      </w:tr>
    </w:tbl>
    <w:p>
      <w:pPr>
        <w:spacing w:after="0" w:line="207"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Trailing four-quarter revenue and market capitalization is as reported by Thomson Reuters on January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i w:val="1"/>
          <w:iCs w:val="1"/>
          <w:color w:val="auto"/>
        </w:rPr>
        <w:t>Analysis of compensation determinations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 the 2022 rate of base salary for the following named executive officers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4020" w:type="dxa"/>
            <w:vAlign w:val="bottom"/>
            <w:tcBorders>
              <w:bottom w:val="single" w:sz="8" w:color="auto"/>
            </w:tcBorders>
            <w:gridSpan w:val="2"/>
          </w:tcPr>
          <w:p>
            <w:pPr>
              <w:ind w:left="2300"/>
              <w:spacing w:after="0"/>
              <w:rPr>
                <w:sz w:val="20"/>
                <w:szCs w:val="20"/>
                <w:color w:val="auto"/>
              </w:rPr>
            </w:pPr>
            <w:r>
              <w:rPr>
                <w:rFonts w:ascii="Arial" w:cs="Arial" w:eastAsia="Arial" w:hAnsi="Arial"/>
                <w:sz w:val="14"/>
                <w:szCs w:val="14"/>
                <w:b w:val="1"/>
                <w:bCs w:val="1"/>
                <w:color w:val="auto"/>
              </w:rPr>
              <w:t>2022 Annual Rate</w:t>
            </w:r>
          </w:p>
        </w:tc>
        <w:tc>
          <w:tcPr>
            <w:tcW w:w="3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 from 2021 Annual Rate</w:t>
            </w:r>
          </w:p>
        </w:tc>
      </w:tr>
      <w:tr>
        <w:trPr>
          <w:trHeight w:val="250"/>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2500" w:type="dxa"/>
            <w:vAlign w:val="bottom"/>
            <w:tcBorders>
              <w:bottom w:val="single" w:sz="8" w:color="DBDBDB"/>
            </w:tcBorders>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1,435,000</w:t>
            </w:r>
          </w:p>
        </w:tc>
        <w:tc>
          <w:tcPr>
            <w:tcW w:w="3160" w:type="dxa"/>
            <w:vAlign w:val="bottom"/>
            <w:tcBorders>
              <w:bottom w:val="single" w:sz="8" w:color="DBDBDB"/>
            </w:tcBorders>
            <w:shd w:val="clear" w:color="auto" w:fill="DBDBDB"/>
          </w:tcPr>
          <w:p>
            <w:pPr>
              <w:jc w:val="right"/>
              <w:ind w:right="953"/>
              <w:spacing w:after="0"/>
              <w:rPr>
                <w:sz w:val="20"/>
                <w:szCs w:val="20"/>
                <w:color w:val="auto"/>
              </w:rPr>
            </w:pPr>
            <w:r>
              <w:rPr>
                <w:rFonts w:ascii="Arial" w:cs="Arial" w:eastAsia="Arial" w:hAnsi="Arial"/>
                <w:sz w:val="18"/>
                <w:szCs w:val="18"/>
                <w:color w:val="auto"/>
              </w:rPr>
              <w:t>4.0 %</w:t>
            </w: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2500" w:type="dxa"/>
            <w:vAlign w:val="bottom"/>
          </w:tcPr>
          <w:p>
            <w:pPr>
              <w:ind w:left="2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770,000</w:t>
            </w:r>
          </w:p>
        </w:tc>
        <w:tc>
          <w:tcPr>
            <w:tcW w:w="3160" w:type="dxa"/>
            <w:vAlign w:val="bottom"/>
          </w:tcPr>
          <w:p>
            <w:pPr>
              <w:jc w:val="right"/>
              <w:ind w:right="953"/>
              <w:spacing w:after="0"/>
              <w:rPr>
                <w:sz w:val="20"/>
                <w:szCs w:val="20"/>
                <w:color w:val="auto"/>
              </w:rPr>
            </w:pPr>
            <w:r>
              <w:rPr>
                <w:rFonts w:ascii="Arial" w:cs="Arial" w:eastAsia="Arial" w:hAnsi="Arial"/>
                <w:sz w:val="18"/>
                <w:szCs w:val="18"/>
                <w:color w:val="auto"/>
              </w:rPr>
              <w:t>4.1 %</w:t>
            </w:r>
          </w:p>
        </w:tc>
      </w:tr>
      <w:tr>
        <w:trPr>
          <w:trHeight w:val="23"/>
        </w:trPr>
        <w:tc>
          <w:tcPr>
            <w:tcW w:w="4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500" w:type="dxa"/>
            <w:vAlign w:val="bottom"/>
            <w:tcBorders>
              <w:bottom w:val="single" w:sz="8" w:color="DBDBDB"/>
            </w:tcBorders>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915,000</w:t>
            </w:r>
          </w:p>
        </w:tc>
        <w:tc>
          <w:tcPr>
            <w:tcW w:w="3160" w:type="dxa"/>
            <w:vAlign w:val="bottom"/>
            <w:tcBorders>
              <w:bottom w:val="single" w:sz="8" w:color="DBDBDB"/>
            </w:tcBorders>
            <w:shd w:val="clear" w:color="auto" w:fill="DBDBDB"/>
          </w:tcPr>
          <w:p>
            <w:pPr>
              <w:jc w:val="right"/>
              <w:ind w:right="953"/>
              <w:spacing w:after="0"/>
              <w:rPr>
                <w:sz w:val="20"/>
                <w:szCs w:val="20"/>
                <w:color w:val="auto"/>
              </w:rPr>
            </w:pPr>
            <w:r>
              <w:rPr>
                <w:rFonts w:ascii="Arial" w:cs="Arial" w:eastAsia="Arial" w:hAnsi="Arial"/>
                <w:sz w:val="18"/>
                <w:szCs w:val="18"/>
                <w:color w:val="auto"/>
              </w:rPr>
              <w:t>4.0 %</w:t>
            </w: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2500" w:type="dxa"/>
            <w:vAlign w:val="bottom"/>
          </w:tcPr>
          <w:p>
            <w:pPr>
              <w:ind w:left="2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730,000</w:t>
            </w:r>
          </w:p>
        </w:tc>
        <w:tc>
          <w:tcPr>
            <w:tcW w:w="3160" w:type="dxa"/>
            <w:vAlign w:val="bottom"/>
          </w:tcPr>
          <w:p>
            <w:pPr>
              <w:jc w:val="right"/>
              <w:ind w:right="953"/>
              <w:spacing w:after="0"/>
              <w:rPr>
                <w:sz w:val="20"/>
                <w:szCs w:val="20"/>
                <w:color w:val="auto"/>
              </w:rPr>
            </w:pPr>
            <w:r>
              <w:rPr>
                <w:rFonts w:ascii="Arial" w:cs="Arial" w:eastAsia="Arial" w:hAnsi="Arial"/>
                <w:sz w:val="18"/>
                <w:szCs w:val="18"/>
                <w:color w:val="auto"/>
              </w:rPr>
              <w:t>7.4 %</w:t>
            </w:r>
          </w:p>
        </w:tc>
      </w:tr>
      <w:tr>
        <w:trPr>
          <w:trHeight w:val="23"/>
        </w:trPr>
        <w:tc>
          <w:tcPr>
            <w:tcW w:w="4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47"/>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2500" w:type="dxa"/>
            <w:vAlign w:val="bottom"/>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BDBDB"/>
          </w:tcPr>
          <w:p>
            <w:pPr>
              <w:jc w:val="right"/>
              <w:ind w:right="510"/>
              <w:spacing w:after="0"/>
              <w:rPr>
                <w:sz w:val="20"/>
                <w:szCs w:val="20"/>
                <w:color w:val="auto"/>
              </w:rPr>
            </w:pPr>
            <w:r>
              <w:rPr>
                <w:rFonts w:ascii="Arial" w:cs="Arial" w:eastAsia="Arial" w:hAnsi="Arial"/>
                <w:sz w:val="18"/>
                <w:szCs w:val="18"/>
                <w:color w:val="auto"/>
              </w:rPr>
              <w:t>730,000</w:t>
            </w:r>
          </w:p>
        </w:tc>
        <w:tc>
          <w:tcPr>
            <w:tcW w:w="3160" w:type="dxa"/>
            <w:vAlign w:val="bottom"/>
            <w:shd w:val="clear" w:color="auto" w:fill="DBDBDB"/>
          </w:tcPr>
          <w:p>
            <w:pPr>
              <w:jc w:val="right"/>
              <w:ind w:right="953"/>
              <w:spacing w:after="0"/>
              <w:rPr>
                <w:sz w:val="20"/>
                <w:szCs w:val="20"/>
                <w:color w:val="auto"/>
              </w:rPr>
            </w:pPr>
            <w:r>
              <w:rPr>
                <w:rFonts w:ascii="Arial" w:cs="Arial" w:eastAsia="Arial" w:hAnsi="Arial"/>
                <w:sz w:val="18"/>
                <w:szCs w:val="18"/>
                <w:color w:val="auto"/>
              </w:rPr>
              <w:t>4.3 %</w:t>
            </w:r>
          </w:p>
        </w:tc>
      </w:tr>
      <w:tr>
        <w:trPr>
          <w:trHeight w:val="23"/>
        </w:trPr>
        <w:tc>
          <w:tcPr>
            <w:tcW w:w="4040" w:type="dxa"/>
            <w:vAlign w:val="bottom"/>
            <w:shd w:val="clear" w:color="auto" w:fill="DBDBDB"/>
          </w:tcPr>
          <w:p>
            <w:pPr>
              <w:spacing w:after="0"/>
              <w:rPr>
                <w:sz w:val="2"/>
                <w:szCs w:val="2"/>
                <w:color w:val="auto"/>
              </w:rPr>
            </w:pPr>
          </w:p>
        </w:tc>
        <w:tc>
          <w:tcPr>
            <w:tcW w:w="250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316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each of these executive officers, the committee set the 2022 base-salary rate listed above in January 2022. In keeping with its strategy, the committee targeted the annual base-salary rates to be at the estimated median level of salaries expected to be paid to similarly situated executives (considering job scope and tenure) of companies within the Comparator Group in January 2022.</w:t>
      </w:r>
    </w:p>
    <w:p>
      <w:pPr>
        <w:spacing w:after="0" w:line="1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(considering job scope and tenure) for each officer and not the application of a formula designed to maintain a differential between the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2022, the committee awarded equity compensation to each of the named executive officers listed below. The grants are shown in the table under “Grants of plan-based awards in 2022.” The grant date fair value of the awards is reflected in that table and in the “Stock Awards” and “Option Awards” columns of the 2022 summary compensation table. The table below is provided to assist the reader in comparing the grant date fair values and number of shares for each of the years shown in the summary compensation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Stock Options</w:t>
            </w:r>
          </w:p>
        </w:tc>
        <w:tc>
          <w:tcPr>
            <w:tcW w:w="1500" w:type="dxa"/>
            <w:vAlign w:val="bottom"/>
          </w:tcPr>
          <w:p>
            <w:pPr>
              <w:jc w:val="center"/>
              <w:ind w:left="7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500" w:type="dxa"/>
            <w:vAlign w:val="bottom"/>
          </w:tcPr>
          <w:p>
            <w:pPr>
              <w:jc w:val="center"/>
              <w:ind w:left="33"/>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21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2500" w:type="dxa"/>
            <w:vAlign w:val="bottom"/>
            <w:tcBorders>
              <w:bottom w:val="single" w:sz="8" w:color="auto"/>
            </w:tcBorders>
          </w:tcPr>
          <w:p>
            <w:pPr>
              <w:jc w:val="center"/>
              <w:ind w:left="1071"/>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 *</w:t>
            </w:r>
          </w:p>
        </w:tc>
        <w:tc>
          <w:tcPr>
            <w:tcW w:w="17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150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45"/>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15,000,082</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188,423</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13,000,129</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159,706</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13,000,042</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254,216</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49,801</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3,800,025</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47,734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3,300,173</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40,541</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3,300,044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64,532</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9,000,162</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113,054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7,000,036</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85,996</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4,500,043</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87,998</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17,239</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4,400,179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55,271</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3,800,144</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46,684</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3,000,089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58,666</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4,200,199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52,759</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3,600,131</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44,227</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360" w:type="dxa"/>
            <w:vAlign w:val="bottom"/>
            <w:shd w:val="clear" w:color="auto" w:fill="DBDBDB"/>
          </w:tcPr>
          <w:p>
            <w:pPr>
              <w:spacing w:after="0"/>
              <w:rPr>
                <w:sz w:val="21"/>
                <w:szCs w:val="21"/>
                <w:color w:val="auto"/>
              </w:rPr>
            </w:pPr>
          </w:p>
        </w:tc>
        <w:tc>
          <w:tcPr>
            <w:tcW w:w="2500" w:type="dxa"/>
            <w:vAlign w:val="bottom"/>
            <w:shd w:val="clear" w:color="auto" w:fill="DBDBDB"/>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DBDBDB"/>
          </w:tcPr>
          <w:p>
            <w:pPr>
              <w:jc w:val="right"/>
              <w:ind w:right="232"/>
              <w:spacing w:after="0"/>
              <w:rPr>
                <w:sz w:val="20"/>
                <w:szCs w:val="20"/>
                <w:color w:val="auto"/>
              </w:rPr>
            </w:pPr>
            <w:r>
              <w:rPr>
                <w:rFonts w:ascii="Arial" w:cs="Arial" w:eastAsia="Arial" w:hAnsi="Arial"/>
                <w:sz w:val="18"/>
                <w:szCs w:val="18"/>
                <w:color w:val="auto"/>
              </w:rPr>
              <w:t>3,600,024</w:t>
            </w:r>
          </w:p>
        </w:tc>
        <w:tc>
          <w:tcPr>
            <w:tcW w:w="1720" w:type="dxa"/>
            <w:vAlign w:val="bottom"/>
            <w:shd w:val="clear" w:color="auto" w:fill="DBDBDB"/>
          </w:tcPr>
          <w:p>
            <w:pPr>
              <w:jc w:val="right"/>
              <w:ind w:right="372"/>
              <w:spacing w:after="0"/>
              <w:rPr>
                <w:sz w:val="20"/>
                <w:szCs w:val="20"/>
                <w:color w:val="auto"/>
              </w:rPr>
            </w:pPr>
            <w:r>
              <w:rPr>
                <w:rFonts w:ascii="Arial" w:cs="Arial" w:eastAsia="Arial" w:hAnsi="Arial"/>
                <w:sz w:val="18"/>
                <w:szCs w:val="18"/>
                <w:color w:val="auto"/>
              </w:rPr>
              <w:t>70,399</w:t>
            </w:r>
          </w:p>
        </w:tc>
        <w:tc>
          <w:tcPr>
            <w:tcW w:w="1500" w:type="dxa"/>
            <w:vAlign w:val="bottom"/>
            <w:shd w:val="clear" w:color="auto" w:fill="DBDBDB"/>
          </w:tcPr>
          <w:p>
            <w:pPr>
              <w:jc w:val="right"/>
              <w:ind w:right="193"/>
              <w:spacing w:after="0"/>
              <w:rPr>
                <w:sz w:val="20"/>
                <w:szCs w:val="20"/>
                <w:color w:val="auto"/>
              </w:rPr>
            </w:pPr>
            <w:r>
              <w:rPr>
                <w:rFonts w:ascii="Arial" w:cs="Arial" w:eastAsia="Arial" w:hAnsi="Arial"/>
                <w:sz w:val="18"/>
                <w:szCs w:val="18"/>
                <w:color w:val="auto"/>
              </w:rPr>
              <w:t>13,791</w:t>
            </w:r>
          </w:p>
        </w:tc>
        <w:tc>
          <w:tcPr>
            <w:tcW w:w="0" w:type="dxa"/>
            <w:vAlign w:val="bottom"/>
          </w:tcPr>
          <w:p>
            <w:pPr>
              <w:spacing w:after="0"/>
              <w:rPr>
                <w:sz w:val="1"/>
                <w:szCs w:val="1"/>
                <w:color w:val="auto"/>
              </w:rPr>
            </w:pPr>
          </w:p>
        </w:tc>
      </w:tr>
      <w:tr>
        <w:trPr>
          <w:trHeight w:val="23"/>
        </w:trPr>
        <w:tc>
          <w:tcPr>
            <w:tcW w:w="3360" w:type="dxa"/>
            <w:vAlign w:val="bottom"/>
            <w:shd w:val="clear" w:color="auto" w:fill="DBDBDB"/>
          </w:tcPr>
          <w:p>
            <w:pPr>
              <w:spacing w:after="0"/>
              <w:rPr>
                <w:sz w:val="2"/>
                <w:szCs w:val="2"/>
                <w:color w:val="auto"/>
              </w:rPr>
            </w:pPr>
          </w:p>
        </w:tc>
        <w:tc>
          <w:tcPr>
            <w:tcW w:w="250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46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 Notes 2 and 3 to the summary compensation table for information on how grant date fair value was calculated.</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January 2022,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7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176"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interests with those of shareholders.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71"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exercise price of the options was the closing price of TI stock on January 27, 2022, the second trading day after the company released its annual and fourth-quarter financial results for 2021. All grants were made under the Texas Instruments 2009 Long-Term Incentive Plan, which shareholders approved in April 2009 and amended in 2016.</w:t>
      </w:r>
    </w:p>
    <w:p>
      <w:pPr>
        <w:sectPr>
          <w:pgSz w:w="11900" w:h="16838" w:orient="portrait"/>
          <w:cols w:equalWidth="0" w:num="1">
            <w:col w:w="11240"/>
          </w:cols>
          <w:pgMar w:left="320" w:top="9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33" w:name="page34"/>
    <w:bookmarkEnd w:id="33"/>
    <w:p>
      <w:pPr>
        <w:jc w:val="both"/>
        <w:ind w:right="20"/>
        <w:spacing w:after="0" w:line="268" w:lineRule="auto"/>
        <w:rPr>
          <w:sz w:val="20"/>
          <w:szCs w:val="20"/>
          <w:color w:val="auto"/>
        </w:rPr>
      </w:pPr>
      <w:r>
        <w:rPr>
          <w:rFonts w:ascii="Arial" w:cs="Arial" w:eastAsia="Arial" w:hAnsi="Arial"/>
          <w:sz w:val="18"/>
          <w:szCs w:val="18"/>
          <w:color w:val="auto"/>
        </w:rPr>
        <w:t>All grants have the terms described under “Outstanding equity awards at fiscal year-end 2022.”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In January 2023, the committee set the 2022 bonus compensation for executive officers based on its assessment of 2022 performance. In setting the bonuses, the committee used the following performance measures to assess the company:</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competitor companies, as measured by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total shareholder return,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addition, the committee considered strategic progress by reviewing company and strategic positioning (including ESG), operating performance, and revenue growth, including TI competitiveness in key markets with core products and technologies, and the strength of relationships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p>
    <w:p>
      <w:pPr>
        <w:sectPr>
          <w:pgSz w:w="11900" w:h="16838" w:orient="portrait"/>
          <w:cols w:equalWidth="0" w:num="1">
            <w:col w:w="11240"/>
          </w:cols>
          <w:pgMar w:left="320" w:top="769" w:right="339" w:bottom="1440" w:gutter="0" w:footer="0" w:header="0"/>
        </w:sect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Advanced Micro Devices,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NXP Semiconductors N.V.</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7"/>
          <w:szCs w:val="17"/>
          <w:color w:val="auto"/>
        </w:rPr>
        <w:t>ON Semiconductor Corporation</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Qorvo, Inc.</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Renesas Electronics Corporation</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Marvell Technology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Skyworks Solutions, Inc.</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STMicroelectronics N.V.</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NVIDIA Corporation</w:t>
      </w:r>
    </w:p>
    <w:p>
      <w:pPr>
        <w:sectPr>
          <w:pgSz w:w="11900" w:h="16838" w:orient="portrait"/>
          <w:cols w:equalWidth="0" w:num="1">
            <w:col w:w="11240"/>
          </w:cols>
          <w:pgMar w:left="320" w:top="769" w:right="339" w:bottom="1440" w:gutter="0" w:footer="0" w:header="0"/>
          <w:type w:val="continuous"/>
        </w:sectPr>
      </w:pPr>
    </w:p>
    <w:p>
      <w:pPr>
        <w:spacing w:after="0" w:line="3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2022.</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competitor companies in 2022.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Assessment of 2022 performance</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spent extensive time in December and January assessing TI’s results and strategic progress for 2022.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On an absolute basis, revenue and operating profit margin were both positive, with operating profit margin being better than median relative to competitors while revenue remained below median. TSR was down on an absolute basis but still better than median relative to competitors. Free cash flow for the year was $5.92 billion and 29.6% of revenue. In aggregate, the committee determined that the company continued to strengthen its strategic position and operating performance, while also growing 2022 revenue. Therefore, the committee targeted a bonus increase of 10% for 2022. Details on the committee’s assessment are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Strategic progress</w:t>
      </w:r>
    </w:p>
    <w:p>
      <w:pPr>
        <w:spacing w:after="0" w:line="223" w:lineRule="exact"/>
        <w:rPr>
          <w:sz w:val="20"/>
          <w:szCs w:val="20"/>
          <w:color w:val="auto"/>
        </w:rPr>
      </w:pPr>
    </w:p>
    <w:p>
      <w:pPr>
        <w:ind w:left="660" w:right="580" w:hanging="328"/>
        <w:spacing w:after="0" w:line="281"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primary objective is the long-term growth of free cash flow per share. To achieve this objective, the company’s strategy is comprised of having a great business model, a disciplined approach to capital allocation and a focus on efficiency.</w:t>
      </w:r>
    </w:p>
    <w:p>
      <w:pPr>
        <w:spacing w:after="0" w:line="1"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provide tangible benefits and are difficult to replicate. These advantages include (i) a strong foundation of manufacturing and technology, (ii) a broad portfolio of analog and embedded processing products, (iii) the reach of our market channels, and (iv) diversity and longevity of our products, markets and customer positions. In 2022, the company continued investing to strengthen and leverage these advantages for the long term, despite ongoing global challenges and supply chain disruptions across the world.</w:t>
      </w:r>
    </w:p>
    <w:p>
      <w:pPr>
        <w:spacing w:after="0" w:line="17"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company’s strategic focus is on analog and embedded processing products sold into six end markets: industrial, automotive, personal electronics, communications equipment, enterprise systems and other. In 2022, the company continued the disciplined allocation of R&amp;D spending to strengthen its product portfolio, building on the existing foundation for near- and long-term results.</w:t>
      </w:r>
    </w:p>
    <w:p>
      <w:pPr>
        <w:ind w:left="980" w:hanging="324"/>
        <w:spacing w:after="0" w:line="268" w:lineRule="auto"/>
        <w:tabs>
          <w:tab w:leader="none" w:pos="976" w:val="left"/>
        </w:tabs>
        <w:numPr>
          <w:ilvl w:val="1"/>
          <w:numId w:val="67"/>
        </w:numPr>
        <w:rPr>
          <w:rFonts w:ascii="Arial" w:cs="Arial" w:eastAsia="Arial" w:hAnsi="Arial"/>
          <w:sz w:val="18"/>
          <w:szCs w:val="18"/>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2022, greater than 90% of TI’s revenue came from analog and embedded processing semiconductors.</w:t>
      </w:r>
    </w:p>
    <w:p>
      <w:pPr>
        <w:spacing w:after="0" w:line="8" w:lineRule="exact"/>
        <w:rPr>
          <w:rFonts w:ascii="Arial" w:cs="Arial" w:eastAsia="Arial" w:hAnsi="Arial"/>
          <w:sz w:val="18"/>
          <w:szCs w:val="18"/>
          <w:color w:val="auto"/>
        </w:rPr>
      </w:pPr>
    </w:p>
    <w:p>
      <w:pPr>
        <w:ind w:left="980" w:hanging="324"/>
        <w:spacing w:after="0" w:line="268" w:lineRule="auto"/>
        <w:tabs>
          <w:tab w:leader="none" w:pos="976"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places additional strategic emphasis on designing and selling products into the industrial and automotive markets, which it believes represent the best growth opportunity because of the increasing semiconductor content in these markets. In 2022, approximately 65% of TI’s revenue came from industrial and automotive markets.</w:t>
      </w:r>
    </w:p>
    <w:p>
      <w:pPr>
        <w:spacing w:after="0" w:line="8" w:lineRule="exact"/>
        <w:rPr>
          <w:rFonts w:ascii="Arial" w:cs="Arial" w:eastAsia="Arial" w:hAnsi="Arial"/>
          <w:sz w:val="18"/>
          <w:szCs w:val="18"/>
          <w:color w:val="auto"/>
        </w:rPr>
      </w:pPr>
    </w:p>
    <w:p>
      <w:pPr>
        <w:ind w:left="660" w:right="580" w:hanging="328"/>
        <w:spacing w:after="0" w:line="281"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TI’s in-house capability to manufacture semiconductors remains a competitive advantage by providing lower costs and greater control of the supply chain. In 2022, TI continued to invest to strengthen its competitive advantage in manufacturing and technology as part of the company's long-term capacity planning. The company began production in its new 300-millimeter wafer fabrication facilities in Richardson, Texas (RFAB2), and Lehi, Utah (LFAB), and started construction on its next 300-millimeter wafer fabrication facilities in Sherman, Texas (SM1 and SM2).</w:t>
      </w:r>
    </w:p>
    <w:p>
      <w:pPr>
        <w:spacing w:after="0" w:line="17"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2022, the company continued to make progress in building closer direct relationships with its customers to further strengthen and extend its reach of market channels. The company continues to build on prior multiyear investments in its sales and marketing team, TI.com, business processes and logistics to build closer direct relationships with its customers. For example, in 2022 about 70% of the company’s revenue was direct. In addition, the company continues to invest in TI.com, delivering additional customer convenience for online sales. TI’s reach of market channels provides access to more customers and more of their design projects, leading to the opportunity to sell more TI products into each design, and also provides better insight and knowledge of customers’ needs and design trends.</w:t>
      </w:r>
    </w:p>
    <w:p>
      <w:pPr>
        <w:spacing w:after="0" w:line="2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margin</w:t>
      </w:r>
    </w:p>
    <w:p>
      <w:pPr>
        <w:spacing w:after="0" w:line="22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61" w:lineRule="exact"/>
        <w:rPr>
          <w:rFonts w:ascii="Arial" w:cs="Arial" w:eastAsia="Arial" w:hAnsi="Arial"/>
          <w:sz w:val="18"/>
          <w:szCs w:val="18"/>
          <w:color w:val="auto"/>
        </w:rPr>
      </w:pPr>
    </w:p>
    <w:p>
      <w:pPr>
        <w:ind w:left="980" w:right="60" w:hanging="324"/>
        <w:spacing w:after="0" w:line="268" w:lineRule="auto"/>
        <w:tabs>
          <w:tab w:leader="none" w:pos="976" w:val="left"/>
        </w:tabs>
        <w:numPr>
          <w:ilvl w:val="1"/>
          <w:numId w:val="68"/>
        </w:numPr>
        <w:rPr>
          <w:rFonts w:ascii="Arial" w:cs="Arial" w:eastAsia="Arial" w:hAnsi="Arial"/>
          <w:sz w:val="18"/>
          <w:szCs w:val="18"/>
          <w:color w:val="auto"/>
        </w:rPr>
      </w:pPr>
      <w:r>
        <w:rPr>
          <w:rFonts w:ascii="Arial" w:cs="Arial" w:eastAsia="Arial" w:hAnsi="Arial"/>
          <w:sz w:val="18"/>
          <w:szCs w:val="18"/>
          <w:color w:val="auto"/>
        </w:rPr>
        <w:t>TI’s revenue was higher in 2022 than in the prior year, increasing by 9.2%, and was below the median growth rate of competitor companies. It is important to note that the median growth rate of competitor companies includes the benefit of acquisitions, whereas TI’s growth rate is entirely organic.</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Revenues for the company’s core businesses of analog and embedded processing increased 9.3% and 7.0%, respectively.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Operating profit margin was 50.6%, which was above both the prior year’s margin and the median comparison with competitors.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spacing w:after="0" w:line="61" w:lineRule="exact"/>
        <w:rPr>
          <w:rFonts w:ascii="Arial" w:cs="Arial" w:eastAsia="Arial" w:hAnsi="Arial"/>
          <w:sz w:val="18"/>
          <w:szCs w:val="18"/>
          <w:color w:val="auto"/>
        </w:rPr>
      </w:pPr>
    </w:p>
    <w:p>
      <w:pPr>
        <w:ind w:left="980" w:right="80" w:hanging="324"/>
        <w:spacing w:after="0" w:line="268" w:lineRule="auto"/>
        <w:tabs>
          <w:tab w:leader="none" w:pos="976"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Compound annual revenue growth for 2020-2022 was 11.7%, which was below the median competitor comparison. It is important to note that the median growth rate of competitor companies includes the benefit of acquisitions, whereas TI’s growth rate is entirely organic.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242424"/>
        </w:rPr>
        <w:t>2023 PROXY STATEMENT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7" w:right="419" w:bottom="1440" w:gutter="0" w:footer="0" w:header="0"/>
        </w:sectPr>
      </w:pPr>
    </w:p>
    <w:bookmarkStart w:id="35" w:name="page36"/>
    <w:bookmarkEnd w:id="35"/>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Average operating profit margin for 2020-2022 was 47.3%, which was above the median competitor comparison.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shareholder return (TSR)</w:t>
      </w:r>
    </w:p>
    <w:p>
      <w:pPr>
        <w:spacing w:after="0" w:line="223"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One-year TSR was down 9.8%, better than the median TSR as compared with competitor companies.</w:t>
      </w:r>
    </w:p>
    <w:p>
      <w:pPr>
        <w:spacing w:after="0" w:line="60" w:lineRule="exact"/>
        <w:rPr>
          <w:rFonts w:ascii="Arial" w:cs="Arial" w:eastAsia="Arial" w:hAnsi="Arial"/>
          <w:sz w:val="18"/>
          <w:szCs w:val="18"/>
          <w:color w:val="auto"/>
        </w:rPr>
      </w:pPr>
    </w:p>
    <w:p>
      <w:pPr>
        <w:ind w:left="660" w:hanging="328"/>
        <w:spacing w:after="0" w:line="24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again generated strong cash, with free cash flow at 29.6% of revenue.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company returned $7.91 billion to shareholders in 2022 through dividends and share repurchases. Dividends represented 72.5% of free cash flow, and the quarterly dividend rate increased 8%, marking 19 consecutive years of dividend increases. The company used $3.62 billion to repurchase 22.2 million shares of stock. Dividend increases and share repurchases are important elements of TI’s capital management.</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$9.07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11.5%, slightly below the median competitor comparison.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125" w:lineRule="exact"/>
        <w:rPr>
          <w:sz w:val="20"/>
          <w:szCs w:val="20"/>
          <w:color w:val="auto"/>
        </w:rPr>
      </w:pPr>
    </w:p>
    <w:p>
      <w:pPr>
        <w:ind w:left="5140"/>
        <w:spacing w:after="0"/>
        <w:tabs>
          <w:tab w:leader="none" w:pos="6720" w:val="left"/>
        </w:tabs>
        <w:rPr>
          <w:sz w:val="20"/>
          <w:szCs w:val="20"/>
          <w:color w:val="auto"/>
        </w:rPr>
      </w:pPr>
      <w:r>
        <w:rPr>
          <w:rFonts w:ascii="Arial" w:cs="Arial" w:eastAsia="Arial" w:hAnsi="Arial"/>
          <w:sz w:val="14"/>
          <w:szCs w:val="14"/>
          <w:b w:val="1"/>
          <w:bCs w:val="1"/>
          <w:color w:val="auto"/>
        </w:rPr>
        <w:t>1-Year</w:t>
      </w:r>
      <w:r>
        <w:rPr>
          <w:sz w:val="20"/>
          <w:szCs w:val="20"/>
          <w:color w:val="auto"/>
        </w:rPr>
        <w:tab/>
      </w:r>
      <w:r>
        <w:rPr>
          <w:rFonts w:ascii="Arial" w:cs="Arial" w:eastAsia="Arial" w:hAnsi="Arial"/>
          <w:sz w:val="14"/>
          <w:szCs w:val="14"/>
          <w:b w:val="1"/>
          <w:bCs w:val="1"/>
          <w:color w:val="auto"/>
        </w:rPr>
        <w:t>3-Year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32385</wp:posOffset>
            </wp:positionV>
            <wp:extent cx="421767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17670" cy="17970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7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Revenue growth: total TI</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profit margin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Free cash flow as % of revenue</w:t>
      </w:r>
    </w:p>
    <w:p>
      <w:pPr>
        <w:spacing w:after="0" w:line="75" w:lineRule="exact"/>
        <w:rPr>
          <w:sz w:val="20"/>
          <w:szCs w:val="20"/>
          <w:color w:val="auto"/>
        </w:rPr>
      </w:pPr>
    </w:p>
    <w:p>
      <w:pPr>
        <w:ind w:left="1320" w:right="660" w:firstLine="2"/>
        <w:spacing w:after="0" w:line="277" w:lineRule="auto"/>
        <w:tabs>
          <w:tab w:leader="none" w:pos="15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 free cash flow returned to shareholders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11.7% CAGR</w:t>
            </w:r>
          </w:p>
        </w:tc>
      </w:tr>
      <w:tr>
        <w:trPr>
          <w:trHeight w:val="270"/>
        </w:trPr>
        <w:tc>
          <w:tcPr>
            <w:tcW w:w="940" w:type="dxa"/>
            <w:vAlign w:val="bottom"/>
          </w:tcPr>
          <w:p>
            <w:pPr>
              <w:jc w:val="right"/>
              <w:ind w:right="230"/>
              <w:spacing w:after="0"/>
              <w:rPr>
                <w:sz w:val="20"/>
                <w:szCs w:val="20"/>
                <w:color w:val="auto"/>
              </w:rPr>
            </w:pPr>
            <w:r>
              <w:rPr>
                <w:rFonts w:ascii="Arial" w:cs="Arial" w:eastAsia="Arial" w:hAnsi="Arial"/>
                <w:sz w:val="18"/>
                <w:szCs w:val="18"/>
                <w:color w:val="auto"/>
              </w:rPr>
              <w:t>50.6%</w:t>
            </w:r>
          </w:p>
        </w:tc>
        <w:tc>
          <w:tcPr>
            <w:tcW w:w="1620" w:type="dxa"/>
            <w:vAlign w:val="bottom"/>
          </w:tcPr>
          <w:p>
            <w:pPr>
              <w:jc w:val="right"/>
              <w:spacing w:after="0"/>
              <w:rPr>
                <w:sz w:val="20"/>
                <w:szCs w:val="20"/>
                <w:color w:val="auto"/>
              </w:rPr>
            </w:pPr>
            <w:r>
              <w:rPr>
                <w:rFonts w:ascii="Arial" w:cs="Arial" w:eastAsia="Arial" w:hAnsi="Arial"/>
                <w:sz w:val="18"/>
                <w:szCs w:val="18"/>
                <w:color w:val="auto"/>
              </w:rPr>
              <w:t>47.3% average</w:t>
            </w:r>
          </w:p>
        </w:tc>
      </w:tr>
      <w:tr>
        <w:trPr>
          <w:trHeight w:val="270"/>
        </w:trPr>
        <w:tc>
          <w:tcPr>
            <w:tcW w:w="940" w:type="dxa"/>
            <w:vAlign w:val="bottom"/>
          </w:tcPr>
          <w:p>
            <w:pPr>
              <w:jc w:val="right"/>
              <w:ind w:right="230"/>
              <w:spacing w:after="0"/>
              <w:rPr>
                <w:sz w:val="20"/>
                <w:szCs w:val="20"/>
                <w:color w:val="auto"/>
              </w:rPr>
            </w:pPr>
            <w:r>
              <w:rPr>
                <w:rFonts w:ascii="Arial" w:cs="Arial" w:eastAsia="Arial" w:hAnsi="Arial"/>
                <w:sz w:val="18"/>
                <w:szCs w:val="18"/>
                <w:color w:val="auto"/>
              </w:rPr>
              <w:t>29.6%</w:t>
            </w:r>
          </w:p>
        </w:tc>
        <w:tc>
          <w:tcPr>
            <w:tcW w:w="1620" w:type="dxa"/>
            <w:vAlign w:val="bottom"/>
          </w:tcPr>
          <w:p>
            <w:pPr>
              <w:jc w:val="right"/>
              <w:spacing w:after="0"/>
              <w:rPr>
                <w:sz w:val="20"/>
                <w:szCs w:val="20"/>
                <w:color w:val="auto"/>
              </w:rPr>
            </w:pPr>
            <w:r>
              <w:rPr>
                <w:rFonts w:ascii="Arial" w:cs="Arial" w:eastAsia="Arial" w:hAnsi="Arial"/>
                <w:sz w:val="18"/>
                <w:szCs w:val="18"/>
                <w:color w:val="auto"/>
              </w:rPr>
              <w:t>33.5% average</w:t>
            </w:r>
          </w:p>
        </w:tc>
      </w:tr>
      <w:tr>
        <w:trPr>
          <w:trHeight w:val="378"/>
        </w:trPr>
        <w:tc>
          <w:tcPr>
            <w:tcW w:w="940" w:type="dxa"/>
            <w:vAlign w:val="bottom"/>
          </w:tcPr>
          <w:p>
            <w:pPr>
              <w:jc w:val="right"/>
              <w:ind w:right="230"/>
              <w:spacing w:after="0"/>
              <w:rPr>
                <w:sz w:val="20"/>
                <w:szCs w:val="20"/>
                <w:color w:val="auto"/>
              </w:rPr>
            </w:pPr>
            <w:r>
              <w:rPr>
                <w:rFonts w:ascii="Arial" w:cs="Arial" w:eastAsia="Arial" w:hAnsi="Arial"/>
                <w:sz w:val="18"/>
                <w:szCs w:val="18"/>
                <w:color w:val="auto"/>
                <w:w w:val="98"/>
              </w:rPr>
              <w:t>133.6%</w:t>
            </w:r>
          </w:p>
        </w:tc>
        <w:tc>
          <w:tcPr>
            <w:tcW w:w="1620" w:type="dxa"/>
            <w:vAlign w:val="bottom"/>
          </w:tcPr>
          <w:p>
            <w:pPr>
              <w:jc w:val="right"/>
              <w:spacing w:after="0"/>
              <w:rPr>
                <w:sz w:val="20"/>
                <w:szCs w:val="20"/>
                <w:color w:val="auto"/>
              </w:rPr>
            </w:pPr>
            <w:r>
              <w:rPr>
                <w:rFonts w:ascii="Arial" w:cs="Arial" w:eastAsia="Arial" w:hAnsi="Arial"/>
                <w:sz w:val="18"/>
                <w:szCs w:val="18"/>
                <w:color w:val="auto"/>
              </w:rPr>
              <w:t>103.4% average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-396240</wp:posOffset>
            </wp:positionV>
            <wp:extent cx="421767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17670" cy="17145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420" w:space="720"/>
            <w:col w:w="6100"/>
          </w:cols>
          <w:pgMar w:left="320" w:top="823" w:right="339" w:bottom="1440" w:gutter="0" w:footer="0" w:header="0"/>
          <w:type w:val="continuous"/>
        </w:sectPr>
      </w:pPr>
    </w:p>
    <w:tbl>
      <w:tblPr>
        <w:tblLayout w:type="fixed"/>
        <w:tblInd w:w="1300" w:type="dxa"/>
        <w:tblCellMar>
          <w:top w:w="0" w:type="dxa"/>
          <w:left w:w="0" w:type="dxa"/>
          <w:bottom w:w="0" w:type="dxa"/>
          <w:right w:w="0" w:type="dxa"/>
        </w:tblCellMar>
      </w:tblPr>
      <w:tr>
        <w:trPr>
          <w:trHeight w:val="270"/>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Increase in quarterly dividend rate</w:t>
            </w:r>
          </w:p>
        </w:tc>
        <w:tc>
          <w:tcPr>
            <w:tcW w:w="15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8%</w:t>
            </w:r>
          </w:p>
        </w:tc>
        <w:tc>
          <w:tcPr>
            <w:tcW w:w="1820" w:type="dxa"/>
            <w:vAlign w:val="bottom"/>
            <w:shd w:val="clear" w:color="auto" w:fill="DBDBDB"/>
          </w:tcPr>
          <w:p>
            <w:pPr>
              <w:jc w:val="right"/>
              <w:ind w:right="830"/>
              <w:spacing w:after="0"/>
              <w:rPr>
                <w:sz w:val="20"/>
                <w:szCs w:val="20"/>
                <w:color w:val="auto"/>
              </w:rPr>
            </w:pPr>
            <w:r>
              <w:rPr>
                <w:rFonts w:ascii="Arial" w:cs="Arial" w:eastAsia="Arial" w:hAnsi="Arial"/>
                <w:sz w:val="18"/>
                <w:szCs w:val="18"/>
                <w:color w:val="auto"/>
              </w:rPr>
              <w:t>38%</w:t>
            </w:r>
          </w:p>
        </w:tc>
      </w:tr>
      <w:tr>
        <w:trPr>
          <w:trHeight w:val="247"/>
        </w:trPr>
        <w:tc>
          <w:tcPr>
            <w:tcW w:w="3320" w:type="dxa"/>
            <w:vAlign w:val="bottom"/>
          </w:tcPr>
          <w:p>
            <w:pPr>
              <w:ind w:left="20"/>
              <w:spacing w:after="0"/>
              <w:rPr>
                <w:sz w:val="20"/>
                <w:szCs w:val="20"/>
                <w:color w:val="auto"/>
              </w:rPr>
            </w:pPr>
            <w:r>
              <w:rPr>
                <w:rFonts w:ascii="Arial" w:cs="Arial" w:eastAsia="Arial" w:hAnsi="Arial"/>
                <w:sz w:val="18"/>
                <w:szCs w:val="18"/>
                <w:color w:val="auto"/>
              </w:rPr>
              <w:t>Total shareholder return (TSR)</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-9.8 %</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11.5 %</w:t>
            </w:r>
          </w:p>
        </w:tc>
      </w:tr>
    </w:tbl>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CAGR (compound annual growth rate) is calculated using the formula (Ending Value/Beginning Value)</w:t>
      </w:r>
      <w:r>
        <w:rPr>
          <w:rFonts w:ascii="Arial" w:cs="Arial" w:eastAsia="Arial" w:hAnsi="Arial"/>
          <w:sz w:val="20"/>
          <w:szCs w:val="20"/>
          <w:color w:val="auto"/>
          <w:vertAlign w:val="superscript"/>
        </w:rPr>
        <w:t>1/number of years</w:t>
      </w:r>
      <w:r>
        <w:rPr>
          <w:rFonts w:ascii="Arial" w:cs="Arial" w:eastAsia="Arial" w:hAnsi="Arial"/>
          <w:sz w:val="17"/>
          <w:szCs w:val="17"/>
          <w:color w:val="auto"/>
        </w:rPr>
        <w:t xml:space="preserve"> minus 1.</w:t>
      </w:r>
    </w:p>
    <w:p>
      <w:pPr>
        <w:spacing w:after="0" w:line="94" w:lineRule="exact"/>
        <w:rPr>
          <w:sz w:val="20"/>
          <w:szCs w:val="20"/>
          <w:color w:val="auto"/>
        </w:rPr>
      </w:pPr>
    </w:p>
    <w:p>
      <w:pPr>
        <w:ind w:left="1300" w:right="160"/>
        <w:spacing w:after="0" w:line="287" w:lineRule="auto"/>
        <w:rPr>
          <w:sz w:val="20"/>
          <w:szCs w:val="20"/>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Ilan is responsible for all business and sales operations, information technology, and global technology and manufacturing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noted the financial performance and strategic position of the product lines and activities for which he was responsible.</w:t>
      </w:r>
    </w:p>
    <w:p>
      <w:pPr>
        <w:spacing w:after="0" w:line="207"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Mr. Kozanian is responsible for our analog signal chain product line within our analog business. The committee noted the financial performance and strategic position of this product line.</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Mr. Flessner is responsible for our semiconductor technology and manufacturing operations. The committee noted the performance of those operations, including their cost-competitiveness and inventory management.</w:t>
      </w:r>
    </w:p>
    <w:p>
      <w:pPr>
        <w:spacing w:after="0" w:line="15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bonuses awarded for 2022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9" w:lineRule="exact"/>
        <w:rPr>
          <w:sz w:val="20"/>
          <w:szCs w:val="20"/>
          <w:color w:val="auto"/>
        </w:rPr>
      </w:pPr>
    </w:p>
    <w:p>
      <w:pPr>
        <w:ind w:right="640" w:firstLine="8"/>
        <w:spacing w:after="0" w:line="231" w:lineRule="auto"/>
        <w:tabs>
          <w:tab w:leader="none" w:pos="115" w:val="left"/>
        </w:tabs>
        <w:numPr>
          <w:ilvl w:val="0"/>
          <w:numId w:val="72"/>
        </w:numPr>
        <w:rPr>
          <w:rFonts w:ascii="Arial" w:cs="Arial" w:eastAsia="Arial" w:hAnsi="Arial"/>
          <w:sz w:val="23"/>
          <w:szCs w:val="23"/>
          <w:color w:val="auto"/>
          <w:vertAlign w:val="superscript"/>
        </w:rPr>
      </w:pPr>
      <w:r>
        <w:rPr>
          <w:rFonts w:ascii="Arial" w:cs="Arial" w:eastAsia="Arial" w:hAnsi="Arial"/>
          <w:sz w:val="18"/>
          <w:szCs w:val="18"/>
          <w:color w:val="auto"/>
        </w:rPr>
        <w:t>Free cash flow was calculated by subtracting Capital expenditures from the GAAP-based Cash flows from operating activities. For a reconciliation to GAAP, see Appendix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based on market level of pay and consistent with the objectives of the program.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5"/>
                <w:szCs w:val="15"/>
                <w:color w:val="auto"/>
              </w:rPr>
            </w:pPr>
          </w:p>
        </w:tc>
        <w:tc>
          <w:tcPr>
            <w:tcW w:w="10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Profit</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rPr>
              <w:t>(Grant Date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122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b w:val="1"/>
                <w:bCs w:val="1"/>
                <w:color w:val="auto"/>
                <w:w w:val="98"/>
              </w:rPr>
              <w:t>Year</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(Annual Rate)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Sharing</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Bonus</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1,435,000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286,083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4,550,000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15,000,082</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21,271,165</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1,380,000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275,333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4,125,000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13,000,129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18,780,462</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1,340,000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267,333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3,745,000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13,000,042</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18,352,375</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770,000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153,500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1,210,000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3,800,025</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5,933,525</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740,000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147,333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1,100,000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3,300,173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5,287,506</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139,333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1,000,000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3,300,044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5,139,377</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915,000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182,417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2,070,000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9,000,162</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12,167,579</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880,000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175,500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1,875,000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7,000,036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9,930,536</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850,000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155,833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1,700,000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4,500,043</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7,205,876</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730,000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145,167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1,460,000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4,400,179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6,735,346</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680,000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134,667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1,393,000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3,800,144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6,007,811</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118,750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1,200,000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3,000,089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4,918,839</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730,000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145,500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1,460,000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4,200,199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6,535,699</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139,333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1,395,000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3,600,131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5,834,464</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320" w:type="dxa"/>
            <w:vAlign w:val="bottom"/>
            <w:shd w:val="clear" w:color="auto" w:fill="DBDBDB"/>
          </w:tcPr>
          <w:p>
            <w:pPr>
              <w:spacing w:after="0"/>
              <w:rPr>
                <w:sz w:val="21"/>
                <w:szCs w:val="21"/>
                <w:color w:val="auto"/>
              </w:rPr>
            </w:pPr>
          </w:p>
        </w:tc>
        <w:tc>
          <w:tcPr>
            <w:tcW w:w="1220" w:type="dxa"/>
            <w:vAlign w:val="bottom"/>
            <w:shd w:val="clear" w:color="auto" w:fill="DBDBDB"/>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660,000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131,000</w:t>
            </w:r>
          </w:p>
        </w:tc>
        <w:tc>
          <w:tcPr>
            <w:tcW w:w="4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1,200,000</w:t>
            </w:r>
          </w:p>
        </w:tc>
        <w:tc>
          <w:tcPr>
            <w:tcW w:w="180" w:type="dxa"/>
            <w:vAlign w:val="bottom"/>
            <w:shd w:val="clear" w:color="auto" w:fill="DBDBDB"/>
          </w:tcPr>
          <w:p>
            <w:pPr>
              <w:spacing w:after="0"/>
              <w:rPr>
                <w:sz w:val="21"/>
                <w:szCs w:val="21"/>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ind w:right="74"/>
              <w:spacing w:after="0"/>
              <w:rPr>
                <w:sz w:val="20"/>
                <w:szCs w:val="20"/>
                <w:color w:val="auto"/>
              </w:rPr>
            </w:pPr>
            <w:r>
              <w:rPr>
                <w:rFonts w:ascii="Arial" w:cs="Arial" w:eastAsia="Arial" w:hAnsi="Arial"/>
                <w:sz w:val="18"/>
                <w:szCs w:val="18"/>
                <w:color w:val="auto"/>
              </w:rPr>
              <w:t>3,600,024</w:t>
            </w:r>
          </w:p>
        </w:tc>
        <w:tc>
          <w:tcPr>
            <w:tcW w:w="4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5,591,024</w:t>
            </w:r>
          </w:p>
        </w:tc>
        <w:tc>
          <w:tcPr>
            <w:tcW w:w="0" w:type="dxa"/>
            <w:vAlign w:val="bottom"/>
          </w:tcPr>
          <w:p>
            <w:pPr>
              <w:spacing w:after="0"/>
              <w:rPr>
                <w:sz w:val="1"/>
                <w:szCs w:val="1"/>
                <w:color w:val="auto"/>
              </w:rPr>
            </w:pPr>
          </w:p>
        </w:tc>
      </w:tr>
      <w:tr>
        <w:trPr>
          <w:trHeight w:val="23"/>
        </w:trPr>
        <w:tc>
          <w:tcPr>
            <w:tcW w:w="232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right="200" w:hanging="332"/>
        <w:spacing w:after="0" w:line="268" w:lineRule="auto"/>
        <w:tabs>
          <w:tab w:leader="none" w:pos="2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performance bonus awarded for 2021 in the amount of $1,325,000 for Mr. Kozanian and $1,325,000 for Mr. Flessner, and a one-time cash bonus of $68,000 for Mr. Kozanian and $70,000 for Mr. Flessner for extraordinary effort managing issues related to the semiconductor supply shortage.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Please see Notes 2 and 3 to the summary compensation table for information about how grant date fair value was calculated.</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“Total” for all named executive officers for 2022 was higher than 2021 primarily due to higher equity awards in 2022, reflecting an effort to align with the projected market range for similarly situated executives in our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compensation decisions shown above resulted in the following 2022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154940</wp:posOffset>
            </wp:positionV>
            <wp:extent cx="4646295" cy="2271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4629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Average data for the named executive officers other than Mr. Templeton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dilution</w:t>
      </w:r>
    </w:p>
    <w:p>
      <w:pPr>
        <w:spacing w:after="0" w:line="2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Compensation Committee’s goal is to keep net annual dilution from equity compensation under 2%. “Net annual dilution” means the number of shares under equity awards granted by the committee each year to all employees (net of award forfeitures) as a percentage of the shares of the company’s outstanding common stock. Equity awards granted in 2022 resulted in 0.6% net annual dilution.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Process for equity grants</w:t>
      </w:r>
    </w:p>
    <w:p>
      <w:pPr>
        <w:spacing w:after="0" w:line="23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5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do not back date stock options or restricted stock units. We do not accelerate or delay the release of information due to plans for making equity grants.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practice is to make grants effective (i) on the second trading day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2023 PROXY STATEMENT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Arial" w:cs="Arial" w:eastAsia="Arial" w:hAnsi="Arial"/>
          <w:sz w:val="20"/>
          <w:szCs w:val="20"/>
          <w:i w:val="1"/>
          <w:iCs w:val="1"/>
          <w:color w:val="auto"/>
        </w:rPr>
        <w:t>Recoupment policy</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or senior vice president whose fraud or willful misconduct contributed to the need for such restatement. Such action may include (i) seeking reimbursement of any bonus paid to such officer exceeding the amount that, in the judgment of the committee, would have been paid had the financial results been properly reported and (ii)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Most recent stockholder advisory vote on executive compensation</w:t>
      </w:r>
    </w:p>
    <w:p>
      <w:pPr>
        <w:spacing w:after="0" w:line="21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April 2022, our shareholders cast an advisory vote on the company’s executive compensation decisions and policies as disclosed in the proxy statement issued by the company in March 2022. Approximately 83%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 enhanced defined contribution plan. Messrs. Templeton and Flessner chose to have their benefits frozen. The other named executive officers joined the company after 1997 and are not eligible to participate in the defined benefit plan.</w:t>
      </w:r>
    </w:p>
    <w:p>
      <w:pPr>
        <w:spacing w:after="0" w:line="1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“2022 pension benefits.”</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w:t>
      </w:r>
    </w:p>
    <w:p>
      <w:pPr>
        <w:spacing w:after="0" w:line="17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All employees who are not accruing benefits in the qualified pension plan are eligible to participate in a defined contribution plan that provides employer matching contributions. All named executive officers participate. This plan provides for (i) a fixed employer contribution plus an employer matching contribution for employees hired on or before December 31, 2003, or (ii) an employer matching contribution for employees hired after December 31, 2003.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the potential effect on the executives’ retirement benefits when it sets salary and performance bonus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2022 because no “above market” rates were earned on deferred amounts in that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Templeton, at his option, to use company aircraft for personal air travel. Please see Note 6 to the summary compensation table for 2022 and “Potential payments upon termination or change in control – Termination – Perquisites” for further details. The company provides no tax gross-ups for perquisites to any of the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following employment termination or change in control</w:t>
      </w:r>
    </w:p>
    <w:p>
      <w:pPr>
        <w:spacing w:after="0" w:line="23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2022 based on this review.</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Texas Instruments 2009 Long-Term Incentive Plan generally establishes double-trigger change in control terms.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0" w:name="page41"/>
    <w:bookmarkEnd w:id="40"/>
    <w:p>
      <w:pPr>
        <w:spacing w:after="0"/>
        <w:rPr>
          <w:sz w:val="20"/>
          <w:szCs w:val="20"/>
          <w:color w:val="auto"/>
        </w:rPr>
      </w:pPr>
      <w:r>
        <w:rPr>
          <w:rFonts w:ascii="Arial" w:cs="Arial" w:eastAsia="Arial" w:hAnsi="Arial"/>
          <w:sz w:val="20"/>
          <w:szCs w:val="20"/>
          <w:i w:val="1"/>
          <w:iCs w:val="1"/>
          <w:color w:val="auto"/>
        </w:rPr>
        <w:t>Stock ownership guidelines and policy against hedging</w:t>
      </w:r>
    </w:p>
    <w:p>
      <w:pPr>
        <w:spacing w:after="0" w:line="2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Consideration of tax and accounting treatment of compensation</w:t>
      </w:r>
    </w:p>
    <w:p>
      <w:pPr>
        <w:spacing w:after="0" w:line="2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2022 is discussed under “Analysis of compensation determinations – Equity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committee has reviewed and discussed the Compensation Discussion and Analysis with the company’s management. Based on that review and discussion, the committee has recommended to the board of directors that the Compensation Discussion and Analysis be included in the company’s annual report on Form 10-K for 2022 and the company’s proxy statement for the 2023 annual meeting of stockholders.</w:t>
      </w:r>
    </w:p>
    <w:p>
      <w:pPr>
        <w:spacing w:after="0" w:line="122" w:lineRule="exact"/>
        <w:rPr>
          <w:sz w:val="20"/>
          <w:szCs w:val="20"/>
          <w:color w:val="auto"/>
        </w:rPr>
      </w:pPr>
    </w:p>
    <w:p>
      <w:pPr>
        <w:ind w:left="560"/>
        <w:spacing w:after="0"/>
        <w:tabs>
          <w:tab w:leader="none" w:pos="3880" w:val="left"/>
          <w:tab w:leader="none" w:pos="6260" w:val="left"/>
          <w:tab w:leader="none" w:pos="8680" w:val="left"/>
        </w:tabs>
        <w:rPr>
          <w:sz w:val="20"/>
          <w:szCs w:val="20"/>
          <w:color w:val="auto"/>
        </w:rPr>
      </w:pPr>
      <w:r>
        <w:rPr>
          <w:rFonts w:ascii="Arial" w:cs="Arial" w:eastAsia="Arial" w:hAnsi="Arial"/>
          <w:sz w:val="18"/>
          <w:szCs w:val="18"/>
          <w:color w:val="auto"/>
        </w:rPr>
        <w:t>Pamela H. Patsley, Chair</w:t>
      </w:r>
      <w:r>
        <w:rPr>
          <w:sz w:val="20"/>
          <w:szCs w:val="20"/>
          <w:color w:val="auto"/>
        </w:rPr>
        <w:tab/>
      </w:r>
      <w:r>
        <w:rPr>
          <w:rFonts w:ascii="Arial" w:cs="Arial" w:eastAsia="Arial" w:hAnsi="Arial"/>
          <w:sz w:val="18"/>
          <w:szCs w:val="18"/>
          <w:color w:val="auto"/>
        </w:rPr>
        <w:t>Mark A. Blinn</w:t>
      </w:r>
      <w:r>
        <w:rPr>
          <w:sz w:val="20"/>
          <w:szCs w:val="20"/>
          <w:color w:val="auto"/>
        </w:rPr>
        <w:tab/>
      </w:r>
      <w:r>
        <w:rPr>
          <w:rFonts w:ascii="Arial" w:cs="Arial" w:eastAsia="Arial" w:hAnsi="Arial"/>
          <w:sz w:val="18"/>
          <w:szCs w:val="18"/>
          <w:color w:val="auto"/>
        </w:rPr>
        <w:t>Carrie S. Cox</w:t>
      </w:r>
      <w:r>
        <w:rPr>
          <w:sz w:val="20"/>
          <w:szCs w:val="20"/>
          <w:color w:val="auto"/>
        </w:rPr>
        <w:tab/>
      </w:r>
      <w:r>
        <w:rPr>
          <w:rFonts w:ascii="Arial" w:cs="Arial" w:eastAsia="Arial" w:hAnsi="Arial"/>
          <w:sz w:val="17"/>
          <w:szCs w:val="17"/>
          <w:color w:val="auto"/>
        </w:rPr>
        <w:t>Martin S. Craighead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2023 PROXY STATEMENT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2022 summary compensation table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compensation of the named executive officers for services in all capacities to the company in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88"/>
              <w:spacing w:after="0"/>
              <w:rPr>
                <w:sz w:val="20"/>
                <w:szCs w:val="20"/>
                <w:color w:val="auto"/>
              </w:rPr>
            </w:pPr>
            <w:r>
              <w:rPr>
                <w:rFonts w:ascii="Arial" w:cs="Arial" w:eastAsia="Arial" w:hAnsi="Arial"/>
                <w:sz w:val="14"/>
                <w:szCs w:val="14"/>
                <w:b w:val="1"/>
                <w:bCs w:val="1"/>
                <w:color w:val="auto"/>
              </w:rPr>
              <w:t>Change in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 Value and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rPr>
              <w:t>Non-Equity</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Incentive Plan</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Deferred Compen-</w:t>
            </w:r>
          </w:p>
        </w:tc>
        <w:tc>
          <w:tcPr>
            <w:tcW w:w="1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sation Earnings</w:t>
            </w:r>
          </w:p>
        </w:tc>
        <w:tc>
          <w:tcPr>
            <w:tcW w:w="18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Compen-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9"/>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 (1)</w:t>
            </w: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Bonus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Awards (2)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Awards (3)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(5)</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sation (6)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09"/>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Richard K. Templeton</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1,430,417</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4,550,000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7,500,048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7,500,034</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286,083</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363,004</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21,629,586</w:t>
            </w:r>
          </w:p>
        </w:tc>
      </w:tr>
      <w:tr>
        <w:trPr>
          <w:trHeight w:val="208"/>
        </w:trPr>
        <w:tc>
          <w:tcPr>
            <w:tcW w:w="1880" w:type="dxa"/>
            <w:vAlign w:val="bottom"/>
          </w:tcPr>
          <w:p>
            <w:pPr>
              <w:ind w:left="20"/>
              <w:spacing w:after="0"/>
              <w:rPr>
                <w:sz w:val="20"/>
                <w:szCs w:val="20"/>
                <w:color w:val="auto"/>
              </w:rPr>
            </w:pPr>
            <w:r>
              <w:rPr>
                <w:rFonts w:ascii="Arial" w:cs="Arial" w:eastAsia="Arial" w:hAnsi="Arial"/>
                <w:sz w:val="14"/>
                <w:szCs w:val="14"/>
                <w:color w:val="auto"/>
              </w:rPr>
              <w:t>Chairman, President &amp;</w:t>
            </w:r>
          </w:p>
        </w:tc>
        <w:tc>
          <w:tcPr>
            <w:tcW w:w="620" w:type="dxa"/>
            <w:vAlign w:val="bottom"/>
          </w:tcPr>
          <w:p>
            <w:pPr>
              <w:ind w:left="240"/>
              <w:spacing w:after="0"/>
              <w:rPr>
                <w:sz w:val="20"/>
                <w:szCs w:val="20"/>
                <w:color w:val="auto"/>
              </w:rPr>
            </w:pPr>
            <w:r>
              <w:rPr>
                <w:rFonts w:ascii="Arial" w:cs="Arial" w:eastAsia="Arial" w:hAnsi="Arial"/>
                <w:sz w:val="14"/>
                <w:szCs w:val="14"/>
                <w:color w:val="auto"/>
              </w:rPr>
              <w:t>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1,376,667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ind w:left="80"/>
              <w:spacing w:after="0"/>
              <w:rPr>
                <w:sz w:val="20"/>
                <w:szCs w:val="20"/>
                <w:color w:val="auto"/>
              </w:rPr>
            </w:pPr>
            <w:r>
              <w:rPr>
                <w:rFonts w:ascii="Arial" w:cs="Arial" w:eastAsia="Arial" w:hAnsi="Arial"/>
                <w:sz w:val="14"/>
                <w:szCs w:val="14"/>
                <w:color w:val="auto"/>
              </w:rPr>
              <w:t>4,125,000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6,500,124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6,500,005</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275,333</w:t>
            </w:r>
          </w:p>
        </w:tc>
        <w:tc>
          <w:tcPr>
            <w:tcW w:w="320" w:type="dxa"/>
            <w:vAlign w:val="bottom"/>
          </w:tcPr>
          <w:p>
            <w:pPr>
              <w:spacing w:after="0"/>
              <w:rPr>
                <w:sz w:val="18"/>
                <w:szCs w:val="18"/>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418,282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19,195,411</w:t>
            </w:r>
          </w:p>
        </w:tc>
      </w:tr>
      <w:tr>
        <w:trPr>
          <w:trHeight w:val="22"/>
        </w:trPr>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1,336,667</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3,745,000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6,500,027</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6,500,015</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267,333</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199,431</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508,179</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19,056,652</w:t>
            </w:r>
          </w:p>
        </w:tc>
      </w:tr>
      <w:tr>
        <w:trPr>
          <w:trHeight w:val="257"/>
        </w:trPr>
        <w:tc>
          <w:tcPr>
            <w:tcW w:w="1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Rafael R. Lizardi</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767,500</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1,210,000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1,900,010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1,900,015</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153,500</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124,280</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6,055,305</w:t>
            </w:r>
          </w:p>
        </w:tc>
      </w:tr>
      <w:tr>
        <w:trPr>
          <w:trHeight w:val="208"/>
        </w:trPr>
        <w:tc>
          <w:tcPr>
            <w:tcW w:w="1880" w:type="dxa"/>
            <w:vAlign w:val="bottom"/>
          </w:tcPr>
          <w:p>
            <w:pPr>
              <w:ind w:left="20"/>
              <w:spacing w:after="0"/>
              <w:rPr>
                <w:sz w:val="20"/>
                <w:szCs w:val="20"/>
                <w:color w:val="auto"/>
              </w:rPr>
            </w:pPr>
            <w:r>
              <w:rPr>
                <w:rFonts w:ascii="Arial" w:cs="Arial" w:eastAsia="Arial" w:hAnsi="Arial"/>
                <w:sz w:val="14"/>
                <w:szCs w:val="14"/>
                <w:color w:val="auto"/>
              </w:rPr>
              <w:t>Senior Vice President &amp;</w:t>
            </w:r>
          </w:p>
        </w:tc>
        <w:tc>
          <w:tcPr>
            <w:tcW w:w="620" w:type="dxa"/>
            <w:vAlign w:val="bottom"/>
          </w:tcPr>
          <w:p>
            <w:pPr>
              <w:ind w:left="240"/>
              <w:spacing w:after="0"/>
              <w:rPr>
                <w:sz w:val="20"/>
                <w:szCs w:val="20"/>
                <w:color w:val="auto"/>
              </w:rPr>
            </w:pPr>
            <w:r>
              <w:rPr>
                <w:rFonts w:ascii="Arial" w:cs="Arial" w:eastAsia="Arial" w:hAnsi="Arial"/>
                <w:sz w:val="14"/>
                <w:szCs w:val="14"/>
                <w:color w:val="auto"/>
              </w:rPr>
              <w:t>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736,667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ind w:left="80"/>
              <w:spacing w:after="0"/>
              <w:rPr>
                <w:sz w:val="20"/>
                <w:szCs w:val="20"/>
                <w:color w:val="auto"/>
              </w:rPr>
            </w:pPr>
            <w:r>
              <w:rPr>
                <w:rFonts w:ascii="Arial" w:cs="Arial" w:eastAsia="Arial" w:hAnsi="Arial"/>
                <w:sz w:val="14"/>
                <w:szCs w:val="14"/>
                <w:color w:val="auto"/>
              </w:rPr>
              <w:t>1,100,000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1,650,162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1,650,011</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147,333</w:t>
            </w:r>
          </w:p>
        </w:tc>
        <w:tc>
          <w:tcPr>
            <w:tcW w:w="320" w:type="dxa"/>
            <w:vAlign w:val="bottom"/>
          </w:tcPr>
          <w:p>
            <w:pPr>
              <w:spacing w:after="0"/>
              <w:rPr>
                <w:sz w:val="18"/>
                <w:szCs w:val="18"/>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112,797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5,396,970</w:t>
            </w:r>
          </w:p>
        </w:tc>
      </w:tr>
      <w:tr>
        <w:trPr>
          <w:trHeight w:val="22"/>
        </w:trPr>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696,667</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1,000,000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1,650,034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1,650,010</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139,333</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116,989</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5,253,033</w:t>
            </w:r>
          </w:p>
        </w:tc>
      </w:tr>
      <w:tr>
        <w:trPr>
          <w:trHeight w:val="257"/>
        </w:trPr>
        <w:tc>
          <w:tcPr>
            <w:tcW w:w="1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Haviv Ilan, Director</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912,083</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2,070,000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4,500,134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4,500,028</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182,417</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127,334</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12,291,996</w:t>
            </w:r>
          </w:p>
        </w:tc>
      </w:tr>
      <w:tr>
        <w:trPr>
          <w:trHeight w:val="208"/>
        </w:trPr>
        <w:tc>
          <w:tcPr>
            <w:tcW w:w="188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620" w:type="dxa"/>
            <w:vAlign w:val="bottom"/>
          </w:tcPr>
          <w:p>
            <w:pPr>
              <w:ind w:left="240"/>
              <w:spacing w:after="0"/>
              <w:rPr>
                <w:sz w:val="20"/>
                <w:szCs w:val="20"/>
                <w:color w:val="auto"/>
              </w:rPr>
            </w:pPr>
            <w:r>
              <w:rPr>
                <w:rFonts w:ascii="Arial" w:cs="Arial" w:eastAsia="Arial" w:hAnsi="Arial"/>
                <w:sz w:val="14"/>
                <w:szCs w:val="14"/>
                <w:color w:val="auto"/>
              </w:rPr>
              <w:t>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877,500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ind w:left="80"/>
              <w:spacing w:after="0"/>
              <w:rPr>
                <w:sz w:val="20"/>
                <w:szCs w:val="20"/>
                <w:color w:val="auto"/>
              </w:rPr>
            </w:pPr>
            <w:r>
              <w:rPr>
                <w:rFonts w:ascii="Arial" w:cs="Arial" w:eastAsia="Arial" w:hAnsi="Arial"/>
                <w:sz w:val="14"/>
                <w:szCs w:val="14"/>
                <w:color w:val="auto"/>
              </w:rPr>
              <w:t>1,875,000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3,500,015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3,500,021</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175,500</w:t>
            </w:r>
          </w:p>
        </w:tc>
        <w:tc>
          <w:tcPr>
            <w:tcW w:w="320" w:type="dxa"/>
            <w:vAlign w:val="bottom"/>
          </w:tcPr>
          <w:p>
            <w:pPr>
              <w:spacing w:after="0"/>
              <w:rPr>
                <w:sz w:val="18"/>
                <w:szCs w:val="18"/>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100,282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10,028,318</w:t>
            </w:r>
          </w:p>
        </w:tc>
      </w:tr>
      <w:tr>
        <w:trPr>
          <w:trHeight w:val="22"/>
        </w:trPr>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&amp; Chief Operating Officer</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779,167</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1,700,000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2,250,034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2,250,009</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155,833</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87,458</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7,222,501</w:t>
            </w:r>
          </w:p>
        </w:tc>
      </w:tr>
      <w:tr>
        <w:trPr>
          <w:trHeight w:val="256"/>
        </w:trPr>
        <w:tc>
          <w:tcPr>
            <w:tcW w:w="1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Hagop H. Kozanian</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725,833</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1,460,000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2,200,159</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2,200,020</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145,167</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86,047</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6,817,226</w:t>
            </w:r>
          </w:p>
        </w:tc>
      </w:tr>
      <w:tr>
        <w:trPr>
          <w:trHeight w:val="208"/>
        </w:trPr>
        <w:tc>
          <w:tcPr>
            <w:tcW w:w="188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620" w:type="dxa"/>
            <w:vAlign w:val="bottom"/>
          </w:tcPr>
          <w:p>
            <w:pPr>
              <w:ind w:left="240"/>
              <w:spacing w:after="0"/>
              <w:rPr>
                <w:sz w:val="20"/>
                <w:szCs w:val="20"/>
                <w:color w:val="auto"/>
              </w:rPr>
            </w:pPr>
            <w:r>
              <w:rPr>
                <w:rFonts w:ascii="Arial" w:cs="Arial" w:eastAsia="Arial" w:hAnsi="Arial"/>
                <w:sz w:val="14"/>
                <w:szCs w:val="14"/>
                <w:color w:val="auto"/>
              </w:rPr>
              <w:t>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673,333</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ind w:left="80"/>
              <w:spacing w:after="0"/>
              <w:rPr>
                <w:sz w:val="20"/>
                <w:szCs w:val="20"/>
                <w:color w:val="auto"/>
              </w:rPr>
            </w:pPr>
            <w:r>
              <w:rPr>
                <w:rFonts w:ascii="Arial" w:cs="Arial" w:eastAsia="Arial" w:hAnsi="Arial"/>
                <w:sz w:val="14"/>
                <w:szCs w:val="14"/>
                <w:color w:val="auto"/>
              </w:rPr>
              <w:t>1,393,000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1,900,114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1,900,030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134,667</w:t>
            </w:r>
          </w:p>
        </w:tc>
        <w:tc>
          <w:tcPr>
            <w:tcW w:w="320" w:type="dxa"/>
            <w:vAlign w:val="bottom"/>
          </w:tcPr>
          <w:p>
            <w:pPr>
              <w:spacing w:after="0"/>
              <w:rPr>
                <w:sz w:val="18"/>
                <w:szCs w:val="18"/>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216,790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6,217,934</w:t>
            </w:r>
          </w:p>
        </w:tc>
      </w:tr>
      <w:tr>
        <w:trPr>
          <w:trHeight w:val="22"/>
        </w:trPr>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88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593,750</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1,200,000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1,500,066</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1,500,023</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118,750</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47,905</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4,960,494</w:t>
            </w:r>
          </w:p>
        </w:tc>
      </w:tr>
      <w:tr>
        <w:trPr>
          <w:trHeight w:val="256"/>
        </w:trPr>
        <w:tc>
          <w:tcPr>
            <w:tcW w:w="1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Kyle M. Flessner</w:t>
            </w:r>
          </w:p>
        </w:tc>
        <w:tc>
          <w:tcPr>
            <w:tcW w:w="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727,500</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1,460,000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2,100,167</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2,100,032</w:t>
            </w:r>
          </w:p>
        </w:tc>
        <w:tc>
          <w:tcPr>
            <w:tcW w:w="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145,500</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139,176</w:t>
            </w:r>
          </w:p>
        </w:tc>
        <w:tc>
          <w:tcPr>
            <w:tcW w:w="3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6,672,375</w:t>
            </w:r>
          </w:p>
        </w:tc>
      </w:tr>
      <w:tr>
        <w:trPr>
          <w:trHeight w:val="208"/>
        </w:trPr>
        <w:tc>
          <w:tcPr>
            <w:tcW w:w="188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620" w:type="dxa"/>
            <w:vAlign w:val="bottom"/>
          </w:tcPr>
          <w:p>
            <w:pPr>
              <w:ind w:left="240"/>
              <w:spacing w:after="0"/>
              <w:rPr>
                <w:sz w:val="20"/>
                <w:szCs w:val="20"/>
                <w:color w:val="auto"/>
              </w:rPr>
            </w:pPr>
            <w:r>
              <w:rPr>
                <w:rFonts w:ascii="Arial" w:cs="Arial" w:eastAsia="Arial" w:hAnsi="Arial"/>
                <w:sz w:val="14"/>
                <w:szCs w:val="14"/>
                <w:color w:val="auto"/>
              </w:rPr>
              <w:t>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696,667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ind w:left="80"/>
              <w:spacing w:after="0"/>
              <w:rPr>
                <w:sz w:val="20"/>
                <w:szCs w:val="20"/>
                <w:color w:val="auto"/>
              </w:rPr>
            </w:pPr>
            <w:r>
              <w:rPr>
                <w:rFonts w:ascii="Arial" w:cs="Arial" w:eastAsia="Arial" w:hAnsi="Arial"/>
                <w:sz w:val="14"/>
                <w:szCs w:val="14"/>
                <w:color w:val="auto"/>
              </w:rPr>
              <w:t>1,395,000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1,800,100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1,800,031</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139,333</w:t>
            </w:r>
          </w:p>
        </w:tc>
        <w:tc>
          <w:tcPr>
            <w:tcW w:w="320" w:type="dxa"/>
            <w:vAlign w:val="bottom"/>
          </w:tcPr>
          <w:p>
            <w:pPr>
              <w:spacing w:after="0"/>
              <w:rPr>
                <w:sz w:val="18"/>
                <w:szCs w:val="18"/>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138,892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5,970,023</w:t>
            </w:r>
          </w:p>
        </w:tc>
      </w:tr>
      <w:tr>
        <w:trPr>
          <w:trHeight w:val="22"/>
        </w:trPr>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1880" w:type="dxa"/>
            <w:vAlign w:val="bottom"/>
            <w:shd w:val="clear" w:color="auto" w:fill="DBDBDB"/>
          </w:tcPr>
          <w:p>
            <w:pPr>
              <w:spacing w:after="0"/>
              <w:rPr>
                <w:sz w:val="18"/>
                <w:szCs w:val="18"/>
                <w:color w:val="auto"/>
              </w:rPr>
            </w:pPr>
          </w:p>
        </w:tc>
        <w:tc>
          <w:tcPr>
            <w:tcW w:w="6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655,000</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ind w:left="80"/>
              <w:spacing w:after="0"/>
              <w:rPr>
                <w:sz w:val="20"/>
                <w:szCs w:val="20"/>
                <w:color w:val="auto"/>
              </w:rPr>
            </w:pPr>
            <w:r>
              <w:rPr>
                <w:rFonts w:ascii="Arial" w:cs="Arial" w:eastAsia="Arial" w:hAnsi="Arial"/>
                <w:sz w:val="14"/>
                <w:szCs w:val="14"/>
                <w:color w:val="auto"/>
              </w:rPr>
              <w:t>1,200,000</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1,800,001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1,800,023</w:t>
            </w:r>
          </w:p>
        </w:tc>
        <w:tc>
          <w:tcPr>
            <w:tcW w:w="220" w:type="dxa"/>
            <w:vAlign w:val="bottom"/>
            <w:shd w:val="clear" w:color="auto" w:fill="DBDBDB"/>
          </w:tcPr>
          <w:p>
            <w:pPr>
              <w:ind w:lef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131,000</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4,324</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107,992</w:t>
            </w:r>
          </w:p>
        </w:tc>
        <w:tc>
          <w:tcPr>
            <w:tcW w:w="3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5,698,340</w:t>
            </w:r>
          </w:p>
        </w:tc>
      </w:tr>
      <w:tr>
        <w:trPr>
          <w:trHeight w:val="22"/>
        </w:trPr>
        <w:tc>
          <w:tcPr>
            <w:tcW w:w="1880" w:type="dxa"/>
            <w:vAlign w:val="bottom"/>
            <w:shd w:val="clear" w:color="auto" w:fill="DBDBDB"/>
          </w:tcPr>
          <w:p>
            <w:pPr>
              <w:spacing w:after="0" w:line="20" w:lineRule="exact"/>
              <w:rPr>
                <w:sz w:val="1"/>
                <w:szCs w:val="1"/>
                <w:color w:val="auto"/>
              </w:rPr>
            </w:pPr>
          </w:p>
        </w:tc>
        <w:tc>
          <w:tcPr>
            <w:tcW w:w="62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76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78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84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88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980" w:type="dxa"/>
            <w:vAlign w:val="bottom"/>
            <w:shd w:val="clear" w:color="auto" w:fill="DBDBDB"/>
          </w:tcPr>
          <w:p>
            <w:pPr>
              <w:spacing w:after="0" w:line="20" w:lineRule="exact"/>
              <w:rPr>
                <w:sz w:val="1"/>
                <w:szCs w:val="1"/>
                <w:color w:val="auto"/>
              </w:rPr>
            </w:pPr>
          </w:p>
        </w:tc>
        <w:tc>
          <w:tcPr>
            <w:tcW w:w="32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180" w:type="dxa"/>
            <w:vAlign w:val="bottom"/>
            <w:shd w:val="clear" w:color="auto" w:fill="DBDBDB"/>
          </w:tcPr>
          <w:p>
            <w:pPr>
              <w:spacing w:after="0" w:line="20" w:lineRule="exact"/>
              <w:rPr>
                <w:sz w:val="1"/>
                <w:szCs w:val="1"/>
                <w:color w:val="auto"/>
              </w:rPr>
            </w:pPr>
          </w:p>
        </w:tc>
        <w:tc>
          <w:tcPr>
            <w:tcW w:w="820" w:type="dxa"/>
            <w:vAlign w:val="bottom"/>
            <w:shd w:val="clear" w:color="auto" w:fill="DBDBDB"/>
          </w:tcPr>
          <w:p>
            <w:pPr>
              <w:spacing w:after="0" w:line="20" w:lineRule="exact"/>
              <w:rPr>
                <w:sz w:val="1"/>
                <w:szCs w:val="1"/>
                <w:color w:val="auto"/>
              </w:rPr>
            </w:pPr>
          </w:p>
        </w:tc>
        <w:tc>
          <w:tcPr>
            <w:tcW w:w="300" w:type="dxa"/>
            <w:vAlign w:val="bottom"/>
            <w:shd w:val="clear" w:color="auto" w:fill="DBDBDB"/>
          </w:tcPr>
          <w:p>
            <w:pPr>
              <w:spacing w:after="0" w:line="20" w:lineRule="exact"/>
              <w:rPr>
                <w:sz w:val="1"/>
                <w:szCs w:val="1"/>
                <w:color w:val="auto"/>
              </w:rPr>
            </w:pPr>
          </w:p>
        </w:tc>
        <w:tc>
          <w:tcPr>
            <w:tcW w:w="880" w:type="dxa"/>
            <w:vAlign w:val="bottom"/>
            <w:shd w:val="clear" w:color="auto" w:fill="DBDBDB"/>
          </w:tcPr>
          <w:p>
            <w:pPr>
              <w:spacing w:after="0" w:line="20" w:lineRule="exact"/>
              <w:rPr>
                <w:sz w:val="1"/>
                <w:szCs w:val="1"/>
                <w:color w:val="auto"/>
              </w:rPr>
            </w:pPr>
          </w:p>
        </w:tc>
      </w:tr>
    </w:tbl>
    <w:p>
      <w:pPr>
        <w:spacing w:after="0" w:line="278" w:lineRule="exact"/>
        <w:rPr>
          <w:sz w:val="20"/>
          <w:szCs w:val="20"/>
          <w:color w:val="auto"/>
        </w:rPr>
      </w:pPr>
    </w:p>
    <w:p>
      <w:pPr>
        <w:ind w:left="500" w:right="80" w:hanging="492"/>
        <w:spacing w:after="0" w:line="287" w:lineRule="auto"/>
        <w:tabs>
          <w:tab w:leader="none" w:pos="4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Templeton will be the company’s president and chief executive officer through March 31, 2023. Mr. Ilan will become the company’s president and chief executive officer on April 1, 2023. Mr. Templeton will continue as the company’s chairman.</w:t>
      </w:r>
    </w:p>
    <w:p>
      <w:pPr>
        <w:spacing w:after="0" w:line="44" w:lineRule="exact"/>
        <w:rPr>
          <w:rFonts w:ascii="Arial" w:cs="Arial" w:eastAsia="Arial" w:hAnsi="Arial"/>
          <w:sz w:val="18"/>
          <w:szCs w:val="18"/>
          <w:color w:val="auto"/>
        </w:rPr>
      </w:pPr>
    </w:p>
    <w:p>
      <w:pPr>
        <w:ind w:left="500" w:hanging="492"/>
        <w:spacing w:after="0" w:line="275" w:lineRule="auto"/>
        <w:tabs>
          <w:tab w:leader="none" w:pos="49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2022 appears in Note 3 to the 2022 financial statements. For a description of the grant terms, see the discussion following the outstanding equity awards at fiscal year-end 2022 table. The discussion of the assumptions used for purposes of the valuation of the awards granted in 2021 and 2020 appears in Note 3 to the financial statements in TI’s annual report on Form 10-K for the year ended December 31, 2021 (2021 financial statements), and the financial statements in TI’s annual report on Form 10-K for the year ended December 31, 2020 (2020 financial statements).</w:t>
      </w:r>
    </w:p>
    <w:p>
      <w:pPr>
        <w:spacing w:after="0" w:line="60" w:lineRule="exact"/>
        <w:rPr>
          <w:rFonts w:ascii="Arial" w:cs="Arial" w:eastAsia="Arial" w:hAnsi="Arial"/>
          <w:sz w:val="17"/>
          <w:szCs w:val="17"/>
          <w:color w:val="auto"/>
        </w:rPr>
      </w:pPr>
    </w:p>
    <w:p>
      <w:pPr>
        <w:ind w:left="500" w:right="180" w:hanging="492"/>
        <w:spacing w:after="0" w:line="259" w:lineRule="auto"/>
        <w:tabs>
          <w:tab w:leader="none" w:pos="4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2022 appears in Note 3 to the 2022 financial statements. For a description of the grant terms, see the discussion following the outstanding equity awards at fiscal year-end 2022 table. The discussion of the assumptions used for purposes of the valuation of the awards granted in 2021 and 2020 appears in Note 3 to the 2021 and 2020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2" w:name="page43"/>
    <w:bookmarkEnd w:id="42"/>
    <w:p>
      <w:pPr>
        <w:ind w:left="472" w:hanging="472"/>
        <w:spacing w:after="0"/>
        <w:tabs>
          <w:tab w:leader="none" w:pos="4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the profit sharing amount paid to each of the named executive officers for 2022.</w:t>
      </w:r>
    </w:p>
    <w:p>
      <w:pPr>
        <w:spacing w:after="0" w:line="117" w:lineRule="exact"/>
        <w:rPr>
          <w:rFonts w:ascii="Arial" w:cs="Arial" w:eastAsia="Arial" w:hAnsi="Arial"/>
          <w:sz w:val="18"/>
          <w:szCs w:val="18"/>
          <w:color w:val="auto"/>
        </w:rPr>
      </w:pPr>
    </w:p>
    <w:p>
      <w:pPr>
        <w:ind w:left="492" w:right="80" w:hanging="492"/>
        <w:spacing w:after="0" w:line="255" w:lineRule="auto"/>
        <w:tabs>
          <w:tab w:leader="none" w:pos="4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2021, through December 31, 2022. This “change in the actuarial value” is the difference between the 2021 and 2022 present value of the pension benefit accumulated as of year-end by the named executive officer, assuming that benefit is not paid until age 65. Mr. Templeton’s and Mr. Flessner’s benefits under the company’s pension plans were frozen as of December 31, 1997. Messrs. Lizardi, Ilan and Kozanian do not participate in any of the company’s defined benefit pension plans.</w:t>
      </w:r>
    </w:p>
    <w:p>
      <w:pPr>
        <w:spacing w:after="0" w:line="76" w:lineRule="exact"/>
        <w:rPr>
          <w:rFonts w:ascii="Arial" w:cs="Arial" w:eastAsia="Arial" w:hAnsi="Arial"/>
          <w:sz w:val="18"/>
          <w:szCs w:val="18"/>
          <w:color w:val="auto"/>
        </w:rPr>
      </w:pPr>
    </w:p>
    <w:p>
      <w:pPr>
        <w:ind w:left="492" w:right="200" w:hanging="492"/>
        <w:spacing w:after="0" w:line="304" w:lineRule="auto"/>
        <w:tabs>
          <w:tab w:leader="none" w:pos="482"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tbl>
      <w:tblPr>
        <w:tblLayout w:type="fixed"/>
        <w:tblInd w:w="492"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vMerge w:val="restart"/>
          </w:tcPr>
          <w:p>
            <w:pPr>
              <w:jc w:val="right"/>
              <w:ind w:right="735"/>
              <w:spacing w:after="0"/>
              <w:rPr>
                <w:sz w:val="20"/>
                <w:szCs w:val="20"/>
                <w:color w:val="auto"/>
              </w:rPr>
            </w:pPr>
            <w:r>
              <w:rPr>
                <w:rFonts w:ascii="Arial" w:cs="Arial" w:eastAsia="Arial" w:hAnsi="Arial"/>
                <w:sz w:val="14"/>
                <w:szCs w:val="14"/>
                <w:b w:val="1"/>
                <w:bCs w:val="1"/>
                <w:color w:val="auto"/>
              </w:rPr>
              <w:t>401(k)</w:t>
            </w:r>
          </w:p>
        </w:tc>
        <w:tc>
          <w:tcPr>
            <w:tcW w:w="820" w:type="dxa"/>
            <w:vAlign w:val="bottom"/>
          </w:tcPr>
          <w:p>
            <w:pPr>
              <w:spacing w:after="0"/>
              <w:rPr>
                <w:sz w:val="15"/>
                <w:szCs w:val="15"/>
                <w:color w:val="auto"/>
              </w:rPr>
            </w:pPr>
          </w:p>
        </w:tc>
        <w:tc>
          <w:tcPr>
            <w:tcW w:w="1340" w:type="dxa"/>
            <w:vAlign w:val="bottom"/>
          </w:tcPr>
          <w:p>
            <w:pPr>
              <w:jc w:val="center"/>
              <w:ind w:right="573"/>
              <w:spacing w:after="0"/>
              <w:rPr>
                <w:sz w:val="20"/>
                <w:szCs w:val="20"/>
                <w:color w:val="auto"/>
              </w:rPr>
            </w:pPr>
            <w:r>
              <w:rPr>
                <w:rFonts w:ascii="Arial" w:cs="Arial" w:eastAsia="Arial" w:hAnsi="Arial"/>
                <w:sz w:val="14"/>
                <w:szCs w:val="14"/>
                <w:b w:val="1"/>
                <w:bCs w:val="1"/>
                <w:color w:val="auto"/>
              </w:rPr>
              <w:t>Defined</w:t>
            </w:r>
          </w:p>
        </w:tc>
        <w:tc>
          <w:tcPr>
            <w:tcW w:w="50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16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rPr>
              <w:t>Contribution</w:t>
            </w:r>
          </w:p>
        </w:tc>
        <w:tc>
          <w:tcPr>
            <w:tcW w:w="500" w:type="dxa"/>
            <w:vAlign w:val="bottom"/>
          </w:tcPr>
          <w:p>
            <w:pPr>
              <w:spacing w:after="0"/>
              <w:rPr>
                <w:sz w:val="14"/>
                <w:szCs w:val="14"/>
                <w:color w:val="auto"/>
              </w:rPr>
            </w:pPr>
          </w:p>
        </w:tc>
        <w:tc>
          <w:tcPr>
            <w:tcW w:w="900" w:type="dxa"/>
            <w:vAlign w:val="bottom"/>
          </w:tcPr>
          <w:p>
            <w:pPr>
              <w:jc w:val="center"/>
              <w:ind w:right="137"/>
              <w:spacing w:after="0"/>
              <w:rPr>
                <w:sz w:val="20"/>
                <w:szCs w:val="20"/>
                <w:color w:val="auto"/>
              </w:rPr>
            </w:pPr>
            <w:r>
              <w:rPr>
                <w:rFonts w:ascii="Arial" w:cs="Arial" w:eastAsia="Arial" w:hAnsi="Arial"/>
                <w:sz w:val="14"/>
                <w:szCs w:val="14"/>
                <w:b w:val="1"/>
                <w:bCs w:val="1"/>
                <w:color w:val="auto"/>
              </w:rPr>
              <w:t>Vacation</w:t>
            </w:r>
          </w:p>
        </w:tc>
        <w:tc>
          <w:tcPr>
            <w:tcW w:w="0" w:type="dxa"/>
            <w:vAlign w:val="bottom"/>
          </w:tcPr>
          <w:p>
            <w:pPr>
              <w:spacing w:after="0"/>
              <w:rPr>
                <w:sz w:val="1"/>
                <w:szCs w:val="1"/>
                <w:color w:val="auto"/>
              </w:rPr>
            </w:pPr>
          </w:p>
        </w:tc>
      </w:tr>
      <w:tr>
        <w:trPr>
          <w:trHeight w:val="211"/>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9"/>
              </w:rPr>
              <w:t>Contribution</w:t>
            </w:r>
          </w:p>
        </w:tc>
        <w:tc>
          <w:tcPr>
            <w:tcW w:w="216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4"/>
                <w:szCs w:val="14"/>
                <w:b w:val="1"/>
                <w:bCs w:val="1"/>
                <w:color w:val="auto"/>
              </w:rPr>
              <w:t>Retirement Plan (a)</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Time (b)</w:t>
            </w:r>
          </w:p>
        </w:tc>
        <w:tc>
          <w:tcPr>
            <w:tcW w:w="0" w:type="dxa"/>
            <w:vAlign w:val="bottom"/>
          </w:tcPr>
          <w:p>
            <w:pPr>
              <w:spacing w:after="0"/>
              <w:rPr>
                <w:sz w:val="1"/>
                <w:szCs w:val="1"/>
                <w:color w:val="auto"/>
              </w:rPr>
            </w:pPr>
          </w:p>
        </w:tc>
      </w:tr>
      <w:tr>
        <w:trPr>
          <w:trHeight w:val="245"/>
        </w:trPr>
        <w:tc>
          <w:tcPr>
            <w:tcW w:w="3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435"/>
              <w:spacing w:after="0"/>
              <w:rPr>
                <w:sz w:val="20"/>
                <w:szCs w:val="20"/>
                <w:color w:val="auto"/>
              </w:rPr>
            </w:pPr>
            <w:r>
              <w:rPr>
                <w:rFonts w:ascii="Arial" w:cs="Arial" w:eastAsia="Arial" w:hAnsi="Arial"/>
                <w:sz w:val="18"/>
                <w:szCs w:val="18"/>
                <w:color w:val="auto"/>
              </w:rPr>
              <w:t>12,200</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BDBDB"/>
            </w:tcBorders>
            <w:shd w:val="clear" w:color="auto" w:fill="DBDBDB"/>
          </w:tcPr>
          <w:p>
            <w:pPr>
              <w:jc w:val="right"/>
              <w:ind w:right="373"/>
              <w:spacing w:after="0"/>
              <w:rPr>
                <w:sz w:val="20"/>
                <w:szCs w:val="20"/>
                <w:color w:val="auto"/>
              </w:rPr>
            </w:pPr>
            <w:r>
              <w:rPr>
                <w:rFonts w:ascii="Arial" w:cs="Arial" w:eastAsia="Arial" w:hAnsi="Arial"/>
                <w:sz w:val="18"/>
                <w:szCs w:val="18"/>
                <w:color w:val="auto"/>
              </w:rPr>
              <w:t>305,047</w:t>
            </w:r>
          </w:p>
        </w:tc>
        <w:tc>
          <w:tcPr>
            <w:tcW w:w="50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38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35"/>
              <w:spacing w:after="0"/>
              <w:rPr>
                <w:sz w:val="20"/>
                <w:szCs w:val="20"/>
                <w:color w:val="auto"/>
              </w:rPr>
            </w:pPr>
            <w:r>
              <w:rPr>
                <w:rFonts w:ascii="Arial" w:cs="Arial" w:eastAsia="Arial" w:hAnsi="Arial"/>
                <w:sz w:val="18"/>
                <w:szCs w:val="18"/>
                <w:color w:val="auto"/>
              </w:rPr>
              <w:t>12,200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3"/>
              <w:spacing w:after="0"/>
              <w:rPr>
                <w:sz w:val="20"/>
                <w:szCs w:val="20"/>
                <w:color w:val="auto"/>
              </w:rPr>
            </w:pPr>
            <w:r>
              <w:rPr>
                <w:rFonts w:ascii="Arial" w:cs="Arial" w:eastAsia="Arial" w:hAnsi="Arial"/>
                <w:sz w:val="18"/>
                <w:szCs w:val="18"/>
                <w:color w:val="auto"/>
              </w:rPr>
              <w:t>95,315</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435"/>
              <w:spacing w:after="0"/>
              <w:rPr>
                <w:sz w:val="20"/>
                <w:szCs w:val="20"/>
                <w:color w:val="auto"/>
              </w:rPr>
            </w:pPr>
            <w:r>
              <w:rPr>
                <w:rFonts w:ascii="Arial" w:cs="Arial" w:eastAsia="Arial" w:hAnsi="Arial"/>
                <w:sz w:val="18"/>
                <w:szCs w:val="18"/>
                <w:color w:val="auto"/>
              </w:rPr>
              <w:t>12,200</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BDBDB"/>
            </w:tcBorders>
            <w:shd w:val="clear" w:color="auto" w:fill="DBDBDB"/>
          </w:tcPr>
          <w:p>
            <w:pPr>
              <w:jc w:val="right"/>
              <w:ind w:right="373"/>
              <w:spacing w:after="0"/>
              <w:rPr>
                <w:sz w:val="20"/>
                <w:szCs w:val="20"/>
                <w:color w:val="auto"/>
              </w:rPr>
            </w:pPr>
            <w:r>
              <w:rPr>
                <w:rFonts w:ascii="Arial" w:cs="Arial" w:eastAsia="Arial" w:hAnsi="Arial"/>
                <w:sz w:val="18"/>
                <w:szCs w:val="18"/>
                <w:color w:val="auto"/>
              </w:rPr>
              <w:t>92,619</w:t>
            </w:r>
          </w:p>
        </w:tc>
        <w:tc>
          <w:tcPr>
            <w:tcW w:w="50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38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35"/>
              <w:spacing w:after="0"/>
              <w:rPr>
                <w:sz w:val="20"/>
                <w:szCs w:val="20"/>
                <w:color w:val="auto"/>
              </w:rPr>
            </w:pPr>
            <w:r>
              <w:rPr>
                <w:rFonts w:ascii="Arial" w:cs="Arial" w:eastAsia="Arial" w:hAnsi="Arial"/>
                <w:sz w:val="18"/>
                <w:szCs w:val="18"/>
                <w:color w:val="auto"/>
              </w:rPr>
              <w:t>12,200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3"/>
              <w:spacing w:after="0"/>
              <w:rPr>
                <w:sz w:val="20"/>
                <w:szCs w:val="20"/>
                <w:color w:val="auto"/>
              </w:rPr>
            </w:pPr>
            <w:r>
              <w:rPr>
                <w:rFonts w:ascii="Arial" w:cs="Arial" w:eastAsia="Arial" w:hAnsi="Arial"/>
                <w:sz w:val="18"/>
                <w:szCs w:val="18"/>
                <w:color w:val="auto"/>
              </w:rPr>
              <w:t>61,732</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BDBDB"/>
          </w:tcPr>
          <w:p>
            <w:pPr>
              <w:jc w:val="right"/>
              <w:ind w:right="435"/>
              <w:spacing w:after="0"/>
              <w:rPr>
                <w:sz w:val="20"/>
                <w:szCs w:val="20"/>
                <w:color w:val="auto"/>
              </w:rPr>
            </w:pPr>
            <w:r>
              <w:rPr>
                <w:rFonts w:ascii="Arial" w:cs="Arial" w:eastAsia="Arial" w:hAnsi="Arial"/>
                <w:sz w:val="18"/>
                <w:szCs w:val="18"/>
                <w:color w:val="auto"/>
              </w:rPr>
              <w:t>12,200</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jc w:val="right"/>
              <w:ind w:right="373"/>
              <w:spacing w:after="0"/>
              <w:rPr>
                <w:sz w:val="20"/>
                <w:szCs w:val="20"/>
                <w:color w:val="auto"/>
              </w:rPr>
            </w:pPr>
            <w:r>
              <w:rPr>
                <w:rFonts w:ascii="Arial" w:cs="Arial" w:eastAsia="Arial" w:hAnsi="Arial"/>
                <w:sz w:val="18"/>
                <w:szCs w:val="18"/>
                <w:color w:val="auto"/>
              </w:rPr>
              <w:t>108,399</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3"/>
        </w:trPr>
        <w:tc>
          <w:tcPr>
            <w:tcW w:w="338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146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972" w:hanging="486"/>
        <w:spacing w:after="0" w:line="259" w:lineRule="auto"/>
        <w:tabs>
          <w:tab w:leader="none" w:pos="9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$6,100 for Messrs. Templeton, Lizardi and Flessner and (ii) an additional amount of $298,947 for Mr. Templeton, $89,215 for Mr. Lizardi, $92,619 for Mr. Ilan, $61,732 for Mr. Kozanian and $102,299 for Mr. Flessner, applied by TI to offset IRC limitations on amounts that could be contributed to the enhanced defined contribution retirement plan, which amount is also shown in the 2022 non-qualified deferred compensation table.</w:t>
      </w:r>
    </w:p>
    <w:p>
      <w:pPr>
        <w:spacing w:after="0" w:line="71" w:lineRule="exact"/>
        <w:rPr>
          <w:rFonts w:ascii="Arial" w:cs="Arial" w:eastAsia="Arial" w:hAnsi="Arial"/>
          <w:sz w:val="18"/>
          <w:szCs w:val="18"/>
          <w:color w:val="auto"/>
        </w:rPr>
      </w:pPr>
    </w:p>
    <w:p>
      <w:pPr>
        <w:ind w:left="972" w:hanging="486"/>
        <w:spacing w:after="0"/>
        <w:tabs>
          <w:tab w:leader="none" w:pos="9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Mr. Flessner, represents payment for unused vacation time that could not be carried forward.</w:t>
      </w:r>
    </w:p>
    <w:p>
      <w:pPr>
        <w:spacing w:after="0" w:line="117" w:lineRule="exact"/>
        <w:rPr>
          <w:sz w:val="20"/>
          <w:szCs w:val="20"/>
          <w:color w:val="auto"/>
        </w:rPr>
      </w:pPr>
    </w:p>
    <w:p>
      <w:pPr>
        <w:ind w:left="492" w:right="40"/>
        <w:spacing w:after="0" w:line="259" w:lineRule="auto"/>
        <w:rPr>
          <w:sz w:val="20"/>
          <w:szCs w:val="20"/>
          <w:color w:val="auto"/>
        </w:rPr>
      </w:pPr>
      <w:r>
        <w:rPr>
          <w:rFonts w:ascii="Arial" w:cs="Arial" w:eastAsia="Arial" w:hAnsi="Arial"/>
          <w:sz w:val="18"/>
          <w:szCs w:val="18"/>
          <w:color w:val="auto"/>
        </w:rPr>
        <w:t>The perquisites and personal benefits for 2022 are $45,756 for Mr. Templeton, consisting of financial counseling, an executive physical and personal use of company aircraft ($28,669), $16,765 for Mr. Lizardi and $22,515 for Mr. Ilan, consisting of financial counseling and an executive physical, and $12,115 for Mr. Kozanian consisting of financial counseling. Financial counseling and an executive physical were made available to the other named executive officers, but the amounts attributable to those officers were below the disclosure thresholds.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242424"/>
        </w:rPr>
        <w:t>2023 PROXY STATEMENT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77" w:right="35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Grants of plan-based awards in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980" w:type="dxa"/>
            <w:vAlign w:val="bottom"/>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Awards: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5"/>
                <w:szCs w:val="15"/>
                <w:color w:val="auto"/>
              </w:rPr>
            </w:pPr>
          </w:p>
        </w:tc>
        <w:tc>
          <w:tcPr>
            <w:tcW w:w="980" w:type="dxa"/>
            <w:vAlign w:val="bottom"/>
          </w:tcPr>
          <w:p>
            <w:pPr>
              <w:jc w:val="center"/>
              <w:ind w:right="180"/>
              <w:spacing w:after="0"/>
              <w:rPr>
                <w:sz w:val="20"/>
                <w:szCs w:val="20"/>
                <w:color w:val="auto"/>
              </w:rPr>
            </w:pPr>
            <w:r>
              <w:rPr>
                <w:rFonts w:ascii="Arial" w:cs="Arial" w:eastAsia="Arial" w:hAnsi="Arial"/>
                <w:sz w:val="14"/>
                <w:szCs w:val="14"/>
                <w:b w:val="1"/>
                <w:bCs w:val="1"/>
                <w:color w:val="auto"/>
              </w:rPr>
              <w:t>or Base</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5"/>
                <w:szCs w:val="15"/>
                <w:color w:val="auto"/>
              </w:rPr>
            </w:pPr>
          </w:p>
        </w:tc>
        <w:tc>
          <w:tcPr>
            <w:tcW w:w="980" w:type="dxa"/>
            <w:vAlign w:val="bottom"/>
          </w:tcPr>
          <w:p>
            <w:pPr>
              <w:jc w:val="center"/>
              <w:ind w:right="180"/>
              <w:spacing w:after="0"/>
              <w:rPr>
                <w:sz w:val="20"/>
                <w:szCs w:val="20"/>
                <w:color w:val="auto"/>
              </w:rPr>
            </w:pPr>
            <w:r>
              <w:rPr>
                <w:rFonts w:ascii="Arial" w:cs="Arial" w:eastAsia="Arial" w:hAnsi="Arial"/>
                <w:sz w:val="14"/>
                <w:szCs w:val="14"/>
                <w:b w:val="1"/>
                <w:bCs w:val="1"/>
                <w:color w:val="auto"/>
              </w:rPr>
              <w:t>Price of</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5"/>
                <w:szCs w:val="15"/>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Date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980" w:type="dxa"/>
            <w:vAlign w:val="bottom"/>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3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and Option</w:t>
            </w:r>
          </w:p>
        </w:tc>
      </w:tr>
      <w:tr>
        <w:trPr>
          <w:trHeight w:val="219"/>
        </w:trPr>
        <w:tc>
          <w:tcPr>
            <w:tcW w:w="22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 Action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 (2)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($/Sh) (4)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Awards (5)</w:t>
            </w: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8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188,423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174.81</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7,500,034</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42,904</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7,500,048</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8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47,734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174.81</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1,900,015</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10,869</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1,900,010</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8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113,054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174.81</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4,500,028</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25,743</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4,500,134</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18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55,271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174.81</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2,200,020</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12,586</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2,200,159</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8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52,759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174.81</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2,100,032</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1/27/2022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1/20/2022</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12,014</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2,100,167</w:t>
            </w:r>
          </w:p>
        </w:tc>
      </w:tr>
    </w:tbl>
    <w:p>
      <w:pPr>
        <w:spacing w:after="0" w:line="301" w:lineRule="exact"/>
        <w:rPr>
          <w:sz w:val="20"/>
          <w:szCs w:val="20"/>
          <w:color w:val="auto"/>
        </w:rPr>
      </w:pPr>
    </w:p>
    <w:p>
      <w:pPr>
        <w:ind w:left="500" w:hanging="492"/>
        <w:spacing w:after="0" w:line="268" w:lineRule="auto"/>
        <w:tabs>
          <w:tab w:leader="none" w:pos="4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 quarter and year 2021. The company released these results on January 25, 2022.</w:t>
      </w:r>
    </w:p>
    <w:p>
      <w:pPr>
        <w:spacing w:after="0" w:line="62" w:lineRule="exact"/>
        <w:rPr>
          <w:rFonts w:ascii="Arial" w:cs="Arial" w:eastAsia="Arial" w:hAnsi="Arial"/>
          <w:sz w:val="18"/>
          <w:szCs w:val="18"/>
          <w:color w:val="auto"/>
        </w:rPr>
      </w:pPr>
    </w:p>
    <w:p>
      <w:pPr>
        <w:ind w:left="500" w:right="100" w:hanging="492"/>
        <w:spacing w:after="0" w:line="268" w:lineRule="auto"/>
        <w:tabs>
          <w:tab w:leader="none" w:pos="4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2022 were RSU awards. These awards were made under the company’s 2009 Long-Term Incentive Plan. For information on the terms and conditions of these RSU awards, see the discussion following the outstanding equity awards at fiscal year-end 2022 table.</w:t>
      </w:r>
    </w:p>
    <w:p>
      <w:pPr>
        <w:spacing w:after="0" w:line="62" w:lineRule="exact"/>
        <w:rPr>
          <w:rFonts w:ascii="Arial" w:cs="Arial" w:eastAsia="Arial" w:hAnsi="Arial"/>
          <w:sz w:val="18"/>
          <w:szCs w:val="18"/>
          <w:color w:val="auto"/>
        </w:rPr>
      </w:pPr>
    </w:p>
    <w:p>
      <w:pPr>
        <w:ind w:left="500" w:right="180" w:hanging="492"/>
        <w:spacing w:after="0" w:line="287" w:lineRule="auto"/>
        <w:tabs>
          <w:tab w:leader="none" w:pos="4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2022 table.</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27, 2022.</w:t>
      </w:r>
    </w:p>
    <w:p>
      <w:pPr>
        <w:spacing w:after="0" w:line="117" w:lineRule="exact"/>
        <w:rPr>
          <w:rFonts w:ascii="Arial" w:cs="Arial" w:eastAsia="Arial" w:hAnsi="Arial"/>
          <w:sz w:val="18"/>
          <w:szCs w:val="18"/>
          <w:color w:val="auto"/>
        </w:rPr>
      </w:pPr>
    </w:p>
    <w:p>
      <w:pPr>
        <w:jc w:val="both"/>
        <w:ind w:left="500" w:right="1100" w:hanging="492"/>
        <w:spacing w:after="0" w:line="318" w:lineRule="auto"/>
        <w:tabs>
          <w:tab w:leader="none" w:pos="49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2022. The discussion of the assumptions used for purposes of the valuation appears in Note 3 to the 2022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 xml:space="preserve">Outstanding equity awards at fiscal year-end </w:t>
      </w:r>
      <w:r>
        <w:rPr>
          <w:rFonts w:ascii="Arial" w:cs="Arial" w:eastAsia="Arial" w:hAnsi="Arial"/>
          <w:sz w:val="17"/>
          <w:szCs w:val="17"/>
          <w:b w:val="1"/>
          <w:bCs w:val="1"/>
          <w:color w:val="auto"/>
        </w:rPr>
        <w:t>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973"/>
              <w:spacing w:after="0"/>
              <w:rPr>
                <w:sz w:val="20"/>
                <w:szCs w:val="20"/>
                <w:color w:val="auto"/>
              </w:rPr>
            </w:pPr>
            <w:r>
              <w:rPr>
                <w:rFonts w:ascii="Arial" w:cs="Arial" w:eastAsia="Arial" w:hAnsi="Arial"/>
                <w:sz w:val="14"/>
                <w:szCs w:val="14"/>
                <w:b w:val="1"/>
                <w:bCs w:val="1"/>
                <w:color w:val="auto"/>
              </w:rPr>
              <w:t>Stock Awards</w:t>
            </w:r>
          </w:p>
        </w:tc>
      </w:tr>
      <w:tr>
        <w:trPr>
          <w:trHeight w:val="193"/>
        </w:trPr>
        <w:tc>
          <w:tcPr>
            <w:tcW w:w="2660" w:type="dxa"/>
            <w:vAlign w:val="bottom"/>
          </w:tcPr>
          <w:p>
            <w:pPr>
              <w:spacing w:after="0"/>
              <w:rPr>
                <w:sz w:val="16"/>
                <w:szCs w:val="16"/>
                <w:color w:val="auto"/>
              </w:rPr>
            </w:pPr>
          </w:p>
        </w:tc>
        <w:tc>
          <w:tcPr>
            <w:tcW w:w="1260" w:type="dxa"/>
            <w:vAlign w:val="bottom"/>
          </w:tcPr>
          <w:p>
            <w:pPr>
              <w:jc w:val="center"/>
              <w:ind w:right="13"/>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6"/>
        </w:trPr>
        <w:tc>
          <w:tcPr>
            <w:tcW w:w="2660" w:type="dxa"/>
            <w:vAlign w:val="bottom"/>
          </w:tcPr>
          <w:p>
            <w:pPr>
              <w:spacing w:after="0"/>
              <w:rPr>
                <w:sz w:val="15"/>
                <w:szCs w:val="15"/>
                <w:color w:val="auto"/>
              </w:rPr>
            </w:pPr>
          </w:p>
        </w:tc>
        <w:tc>
          <w:tcPr>
            <w:tcW w:w="1260" w:type="dxa"/>
            <w:vAlign w:val="bottom"/>
          </w:tcPr>
          <w:p>
            <w:pPr>
              <w:jc w:val="center"/>
              <w:ind w:right="13"/>
              <w:spacing w:after="0"/>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Securities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5"/>
                <w:szCs w:val="15"/>
                <w:color w:val="auto"/>
              </w:rPr>
            </w:pPr>
          </w:p>
        </w:tc>
        <w:tc>
          <w:tcPr>
            <w:tcW w:w="1260" w:type="dxa"/>
            <w:vAlign w:val="bottom"/>
          </w:tcPr>
          <w:p>
            <w:pPr>
              <w:jc w:val="center"/>
              <w:ind w:right="93"/>
              <w:spacing w:after="0"/>
              <w:rPr>
                <w:sz w:val="20"/>
                <w:szCs w:val="20"/>
                <w:color w:val="auto"/>
              </w:rPr>
            </w:pPr>
            <w:r>
              <w:rPr>
                <w:rFonts w:ascii="Arial" w:cs="Arial" w:eastAsia="Arial" w:hAnsi="Arial"/>
                <w:sz w:val="14"/>
                <w:szCs w:val="14"/>
                <w:b w:val="1"/>
                <w:bCs w:val="1"/>
                <w:color w:val="auto"/>
              </w:rPr>
              <w:t>Market Value</w:t>
            </w:r>
          </w:p>
        </w:tc>
      </w:tr>
      <w:tr>
        <w:trPr>
          <w:trHeight w:val="175"/>
        </w:trPr>
        <w:tc>
          <w:tcPr>
            <w:tcW w:w="2660" w:type="dxa"/>
            <w:vAlign w:val="bottom"/>
          </w:tcPr>
          <w:p>
            <w:pPr>
              <w:spacing w:after="0"/>
              <w:rPr>
                <w:sz w:val="15"/>
                <w:szCs w:val="15"/>
                <w:color w:val="auto"/>
              </w:rPr>
            </w:pPr>
          </w:p>
        </w:tc>
        <w:tc>
          <w:tcPr>
            <w:tcW w:w="1260" w:type="dxa"/>
            <w:vAlign w:val="bottom"/>
          </w:tcPr>
          <w:p>
            <w:pPr>
              <w:jc w:val="center"/>
              <w:ind w:right="13"/>
              <w:spacing w:after="0"/>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Underlying</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320" w:type="dxa"/>
            <w:vAlign w:val="bottom"/>
          </w:tcPr>
          <w:p>
            <w:pPr>
              <w:spacing w:after="0"/>
              <w:rPr>
                <w:sz w:val="15"/>
                <w:szCs w:val="15"/>
                <w:color w:val="auto"/>
              </w:rPr>
            </w:pPr>
          </w:p>
        </w:tc>
        <w:tc>
          <w:tcPr>
            <w:tcW w:w="1260" w:type="dxa"/>
            <w:vAlign w:val="bottom"/>
          </w:tcPr>
          <w:p>
            <w:pPr>
              <w:jc w:val="center"/>
              <w:ind w:right="93"/>
              <w:spacing w:after="0"/>
              <w:rPr>
                <w:sz w:val="20"/>
                <w:szCs w:val="20"/>
                <w:color w:val="auto"/>
              </w:rPr>
            </w:pPr>
            <w:r>
              <w:rPr>
                <w:rFonts w:ascii="Arial" w:cs="Arial" w:eastAsia="Arial" w:hAnsi="Arial"/>
                <w:sz w:val="14"/>
                <w:szCs w:val="14"/>
                <w:b w:val="1"/>
                <w:bCs w:val="1"/>
                <w:color w:val="auto"/>
              </w:rPr>
              <w:t>of Shares or</w:t>
            </w:r>
          </w:p>
        </w:tc>
      </w:tr>
      <w:tr>
        <w:trPr>
          <w:trHeight w:val="176"/>
        </w:trPr>
        <w:tc>
          <w:tcPr>
            <w:tcW w:w="2660" w:type="dxa"/>
            <w:vAlign w:val="bottom"/>
          </w:tcPr>
          <w:p>
            <w:pPr>
              <w:spacing w:after="0"/>
              <w:rPr>
                <w:sz w:val="15"/>
                <w:szCs w:val="15"/>
                <w:color w:val="auto"/>
              </w:rPr>
            </w:pPr>
          </w:p>
        </w:tc>
        <w:tc>
          <w:tcPr>
            <w:tcW w:w="1260" w:type="dxa"/>
            <w:vAlign w:val="bottom"/>
          </w:tcPr>
          <w:p>
            <w:pPr>
              <w:jc w:val="center"/>
              <w:ind w:right="33"/>
              <w:spacing w:after="0"/>
              <w:rPr>
                <w:sz w:val="20"/>
                <w:szCs w:val="20"/>
                <w:color w:val="auto"/>
              </w:rPr>
            </w:pPr>
            <w:r>
              <w:rPr>
                <w:rFonts w:ascii="Arial" w:cs="Arial" w:eastAsia="Arial" w:hAnsi="Arial"/>
                <w:sz w:val="14"/>
                <w:szCs w:val="14"/>
                <w:b w:val="1"/>
                <w:bCs w:val="1"/>
                <w:color w:val="auto"/>
              </w:rPr>
              <w:t>Unexercised</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Unexercised</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b w:val="1"/>
                <w:bCs w:val="1"/>
                <w:color w:val="auto"/>
              </w:rPr>
              <w:t>Option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Units of Stock</w:t>
            </w:r>
          </w:p>
        </w:tc>
        <w:tc>
          <w:tcPr>
            <w:tcW w:w="320" w:type="dxa"/>
            <w:vAlign w:val="bottom"/>
          </w:tcPr>
          <w:p>
            <w:pPr>
              <w:spacing w:after="0"/>
              <w:rPr>
                <w:sz w:val="15"/>
                <w:szCs w:val="15"/>
                <w:color w:val="auto"/>
              </w:rPr>
            </w:pPr>
          </w:p>
        </w:tc>
        <w:tc>
          <w:tcPr>
            <w:tcW w:w="1260" w:type="dxa"/>
            <w:vAlign w:val="bottom"/>
          </w:tcPr>
          <w:p>
            <w:pPr>
              <w:jc w:val="center"/>
              <w:ind w:right="93"/>
              <w:spacing w:after="0"/>
              <w:rPr>
                <w:sz w:val="20"/>
                <w:szCs w:val="20"/>
                <w:color w:val="auto"/>
              </w:rPr>
            </w:pPr>
            <w:r>
              <w:rPr>
                <w:rFonts w:ascii="Arial" w:cs="Arial" w:eastAsia="Arial" w:hAnsi="Arial"/>
                <w:sz w:val="14"/>
                <w:szCs w:val="14"/>
                <w:b w:val="1"/>
                <w:bCs w:val="1"/>
                <w:color w:val="auto"/>
              </w:rPr>
              <w:t>Units of Stock</w:t>
            </w:r>
          </w:p>
        </w:tc>
      </w:tr>
      <w:tr>
        <w:trPr>
          <w:trHeight w:val="175"/>
        </w:trPr>
        <w:tc>
          <w:tcPr>
            <w:tcW w:w="2660" w:type="dxa"/>
            <w:vAlign w:val="bottom"/>
          </w:tcPr>
          <w:p>
            <w:pPr>
              <w:spacing w:after="0"/>
              <w:rPr>
                <w:sz w:val="15"/>
                <w:szCs w:val="15"/>
                <w:color w:val="auto"/>
              </w:rPr>
            </w:pPr>
          </w:p>
        </w:tc>
        <w:tc>
          <w:tcPr>
            <w:tcW w:w="1260" w:type="dxa"/>
            <w:vAlign w:val="bottom"/>
          </w:tcPr>
          <w:p>
            <w:pPr>
              <w:jc w:val="center"/>
              <w:ind w:right="33"/>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jc w:val="center"/>
              <w:ind w:left="134"/>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b w:val="1"/>
                <w:bCs w:val="1"/>
                <w:color w:val="auto"/>
              </w:rPr>
              <w:t>Exercise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 Not</w:t>
            </w:r>
          </w:p>
        </w:tc>
        <w:tc>
          <w:tcPr>
            <w:tcW w:w="320" w:type="dxa"/>
            <w:vAlign w:val="bottom"/>
          </w:tcPr>
          <w:p>
            <w:pPr>
              <w:spacing w:after="0"/>
              <w:rPr>
                <w:sz w:val="15"/>
                <w:szCs w:val="15"/>
                <w:color w:val="auto"/>
              </w:rPr>
            </w:pPr>
          </w:p>
        </w:tc>
        <w:tc>
          <w:tcPr>
            <w:tcW w:w="1260" w:type="dxa"/>
            <w:vAlign w:val="bottom"/>
          </w:tcPr>
          <w:p>
            <w:pPr>
              <w:jc w:val="center"/>
              <w:ind w:right="93"/>
              <w:spacing w:after="0"/>
              <w:rPr>
                <w:sz w:val="20"/>
                <w:szCs w:val="20"/>
                <w:color w:val="auto"/>
              </w:rPr>
            </w:pPr>
            <w:r>
              <w:rPr>
                <w:rFonts w:ascii="Arial" w:cs="Arial" w:eastAsia="Arial" w:hAnsi="Arial"/>
                <w:sz w:val="14"/>
                <w:szCs w:val="14"/>
                <w:b w:val="1"/>
                <w:bCs w:val="1"/>
                <w:color w:val="auto"/>
              </w:rPr>
              <w:t>That Have Not</w:t>
            </w:r>
          </w:p>
        </w:tc>
      </w:tr>
      <w:tr>
        <w:trPr>
          <w:trHeight w:val="20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Exercisable</w:t>
            </w:r>
          </w:p>
        </w:tc>
        <w:tc>
          <w:tcPr>
            <w:tcW w:w="15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9"/>
              </w:rPr>
              <w:t>Price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378"/>
              <w:spacing w:after="0"/>
              <w:rPr>
                <w:sz w:val="20"/>
                <w:szCs w:val="20"/>
                <w:color w:val="auto"/>
              </w:rPr>
            </w:pPr>
            <w:r>
              <w:rPr>
                <w:rFonts w:ascii="Arial" w:cs="Arial" w:eastAsia="Arial" w:hAnsi="Arial"/>
                <w:sz w:val="14"/>
                <w:szCs w:val="14"/>
                <w:b w:val="1"/>
                <w:bCs w:val="1"/>
                <w:color w:val="auto"/>
              </w:rPr>
              <w:t>Vested</w:t>
            </w:r>
          </w:p>
        </w:tc>
        <w:tc>
          <w:tcPr>
            <w:tcW w:w="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Vested (1)</w:t>
            </w:r>
          </w:p>
        </w:tc>
      </w:tr>
      <w:tr>
        <w:trPr>
          <w:trHeight w:val="25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188,423</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174.81</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1/27/2032</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42,904</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7,088,599</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39,926</w:t>
            </w:r>
          </w:p>
        </w:tc>
        <w:tc>
          <w:tcPr>
            <w:tcW w:w="1120" w:type="dxa"/>
            <w:vAlign w:val="bottom"/>
          </w:tcPr>
          <w:p>
            <w:pPr>
              <w:jc w:val="right"/>
              <w:spacing w:after="0"/>
              <w:rPr>
                <w:sz w:val="20"/>
                <w:szCs w:val="20"/>
                <w:color w:val="auto"/>
              </w:rPr>
            </w:pPr>
            <w:r>
              <w:rPr>
                <w:rFonts w:ascii="Arial" w:cs="Arial" w:eastAsia="Arial" w:hAnsi="Arial"/>
                <w:sz w:val="18"/>
                <w:szCs w:val="18"/>
                <w:color w:val="auto"/>
              </w:rPr>
              <w:t>119,780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169.23</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1/28/2031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38,410</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6,346,100</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127,108</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127,108</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130.52</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1/24/2030</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49,801</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8,228,121</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220,970</w:t>
            </w:r>
          </w:p>
        </w:tc>
        <w:tc>
          <w:tcPr>
            <w:tcW w:w="1120" w:type="dxa"/>
            <w:vAlign w:val="bottom"/>
          </w:tcPr>
          <w:p>
            <w:pPr>
              <w:jc w:val="right"/>
              <w:spacing w:after="0"/>
              <w:rPr>
                <w:sz w:val="20"/>
                <w:szCs w:val="20"/>
                <w:color w:val="auto"/>
              </w:rPr>
            </w:pPr>
            <w:r>
              <w:rPr>
                <w:rFonts w:ascii="Arial" w:cs="Arial" w:eastAsia="Arial" w:hAnsi="Arial"/>
                <w:sz w:val="18"/>
                <w:szCs w:val="18"/>
                <w:color w:val="auto"/>
              </w:rPr>
              <w:t>73,657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104.41</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1/25/2029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62,255</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10,285,771</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258,403</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110.15</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1/25/2028</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333,615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79.26</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1/26/2027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489,557</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52.93</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1/29/2026</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516,440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53.94</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1/28/2025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266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42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r>
      <w:tr>
        <w:trPr>
          <w:trHeight w:val="247"/>
        </w:trPr>
        <w:tc>
          <w:tcPr>
            <w:tcW w:w="266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47,734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174.81</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1/27/2032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10,869</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1,795,776</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10,135</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30,406</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169.23</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1/28/2031</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9,751</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1,611,060</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32,266</w:t>
            </w:r>
          </w:p>
        </w:tc>
        <w:tc>
          <w:tcPr>
            <w:tcW w:w="1120" w:type="dxa"/>
            <w:vAlign w:val="bottom"/>
          </w:tcPr>
          <w:p>
            <w:pPr>
              <w:jc w:val="right"/>
              <w:spacing w:after="0"/>
              <w:rPr>
                <w:sz w:val="20"/>
                <w:szCs w:val="20"/>
                <w:color w:val="auto"/>
              </w:rPr>
            </w:pPr>
            <w:r>
              <w:rPr>
                <w:rFonts w:ascii="Arial" w:cs="Arial" w:eastAsia="Arial" w:hAnsi="Arial"/>
                <w:sz w:val="18"/>
                <w:szCs w:val="18"/>
                <w:color w:val="auto"/>
              </w:rPr>
              <w:t>32,266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130.52</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1/24/2030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12,642</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2,088,711</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16,998</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16,998</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104.41</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1/25/2029</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14,367</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2,373,716</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12,921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110.15</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1/25/2028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266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42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r>
      <w:tr>
        <w:trPr>
          <w:trHeight w:val="247"/>
        </w:trPr>
        <w:tc>
          <w:tcPr>
            <w:tcW w:w="266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113,054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174.81</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1/27/2032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25,743</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4,253,258</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21,499</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64,497</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169.23</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1/28/2031</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20,682</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3,417,080</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43,999</w:t>
            </w:r>
          </w:p>
        </w:tc>
        <w:tc>
          <w:tcPr>
            <w:tcW w:w="1120" w:type="dxa"/>
            <w:vAlign w:val="bottom"/>
          </w:tcPr>
          <w:p>
            <w:pPr>
              <w:jc w:val="right"/>
              <w:spacing w:after="0"/>
              <w:rPr>
                <w:sz w:val="20"/>
                <w:szCs w:val="20"/>
                <w:color w:val="auto"/>
              </w:rPr>
            </w:pPr>
            <w:r>
              <w:rPr>
                <w:rFonts w:ascii="Arial" w:cs="Arial" w:eastAsia="Arial" w:hAnsi="Arial"/>
                <w:sz w:val="18"/>
                <w:szCs w:val="18"/>
                <w:color w:val="auto"/>
              </w:rPr>
              <w:t>43,999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130.52</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1/24/2030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17,239</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2,848,228</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64,591</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21,531</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104.41</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1/25/2029</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18,198</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3,006,674</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81,828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110.15</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1/25/2028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58,151</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79.26</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1/26/2027</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55,271</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174.81</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1/27/2032</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12,586</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2,079,459</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11,671</w:t>
            </w:r>
          </w:p>
        </w:tc>
        <w:tc>
          <w:tcPr>
            <w:tcW w:w="1120" w:type="dxa"/>
            <w:vAlign w:val="bottom"/>
          </w:tcPr>
          <w:p>
            <w:pPr>
              <w:jc w:val="right"/>
              <w:spacing w:after="0"/>
              <w:rPr>
                <w:sz w:val="20"/>
                <w:szCs w:val="20"/>
                <w:color w:val="auto"/>
              </w:rPr>
            </w:pPr>
            <w:r>
              <w:rPr>
                <w:rFonts w:ascii="Arial" w:cs="Arial" w:eastAsia="Arial" w:hAnsi="Arial"/>
                <w:sz w:val="18"/>
                <w:szCs w:val="18"/>
                <w:color w:val="auto"/>
              </w:rPr>
              <w:t>35,031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169.23</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1/28/2031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11,228</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1,855,090</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29,333</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130.52</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1/24/2030</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11,493</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1,898,873</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11,332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104.41</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1/25/2029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9,578</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1,582,477</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266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42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r>
      <w:tr>
        <w:trPr>
          <w:trHeight w:val="247"/>
        </w:trPr>
        <w:tc>
          <w:tcPr>
            <w:tcW w:w="2660" w:type="dxa"/>
            <w:vAlign w:val="bottom"/>
          </w:tcPr>
          <w:p>
            <w:pPr>
              <w:ind w:left="20"/>
              <w:spacing w:after="0"/>
              <w:rPr>
                <w:sz w:val="20"/>
                <w:szCs w:val="20"/>
                <w:color w:val="auto"/>
              </w:rPr>
            </w:pPr>
            <w:r>
              <w:rPr>
                <w:rFonts w:ascii="Arial" w:cs="Arial" w:eastAsia="Arial" w:hAnsi="Arial"/>
                <w:sz w:val="18"/>
                <w:szCs w:val="18"/>
                <w:color w:val="auto"/>
              </w:rPr>
              <w:t>Kyle M. Flessner</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52,759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174.81</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1/27/2032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12,014</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1,984,953</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11,056</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33,171</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169.23</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1/28/2031</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10,637</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1,757,445</w:t>
            </w:r>
          </w:p>
        </w:tc>
      </w:tr>
      <w:tr>
        <w:trPr>
          <w:trHeight w:val="247"/>
        </w:trPr>
        <w:tc>
          <w:tcPr>
            <w:tcW w:w="26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35,199</w:t>
            </w:r>
          </w:p>
        </w:tc>
        <w:tc>
          <w:tcPr>
            <w:tcW w:w="1120" w:type="dxa"/>
            <w:vAlign w:val="bottom"/>
          </w:tcPr>
          <w:p>
            <w:pPr>
              <w:jc w:val="right"/>
              <w:spacing w:after="0"/>
              <w:rPr>
                <w:sz w:val="20"/>
                <w:szCs w:val="20"/>
                <w:color w:val="auto"/>
              </w:rPr>
            </w:pPr>
            <w:r>
              <w:rPr>
                <w:rFonts w:ascii="Arial" w:cs="Arial" w:eastAsia="Arial" w:hAnsi="Arial"/>
                <w:sz w:val="18"/>
                <w:szCs w:val="18"/>
                <w:color w:val="auto"/>
              </w:rPr>
              <w:t>35,200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130.52</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1/24/2030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13,791</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2,278,549</w:t>
            </w:r>
          </w:p>
        </w:tc>
      </w:tr>
      <w:tr>
        <w:trPr>
          <w:trHeight w:val="23"/>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8"/>
                <w:szCs w:val="18"/>
                <w:color w:val="auto"/>
              </w:rPr>
              <w:t>50,993</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16,998</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104.41</w:t>
            </w:r>
          </w:p>
        </w:tc>
        <w:tc>
          <w:tcPr>
            <w:tcW w:w="11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1/25/2029</w:t>
            </w:r>
          </w:p>
        </w:tc>
        <w:tc>
          <w:tcPr>
            <w:tcW w:w="10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14,367</w:t>
            </w:r>
          </w:p>
        </w:tc>
        <w:tc>
          <w:tcPr>
            <w:tcW w:w="4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2,373,716</w:t>
            </w:r>
          </w:p>
        </w:tc>
      </w:tr>
      <w:tr>
        <w:trPr>
          <w:trHeight w:val="20"/>
        </w:trPr>
        <w:tc>
          <w:tcPr>
            <w:tcW w:w="2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78" w:lineRule="exact"/>
        <w:rPr>
          <w:sz w:val="20"/>
          <w:szCs w:val="20"/>
          <w:color w:val="auto"/>
        </w:rPr>
      </w:pPr>
    </w:p>
    <w:p>
      <w:pPr>
        <w:ind w:left="480" w:hanging="472"/>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30, 2022 ($165.22).</w:t>
      </w:r>
    </w:p>
    <w:p>
      <w:pPr>
        <w:spacing w:after="0" w:line="117" w:lineRule="exact"/>
        <w:rPr>
          <w:rFonts w:ascii="Arial" w:cs="Arial" w:eastAsia="Arial" w:hAnsi="Arial"/>
          <w:sz w:val="18"/>
          <w:szCs w:val="18"/>
          <w:color w:val="auto"/>
        </w:rPr>
      </w:pPr>
    </w:p>
    <w:p>
      <w:pPr>
        <w:ind w:left="500" w:right="160" w:hanging="492"/>
        <w:spacing w:after="0" w:line="287"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27, 2023, and one-third of the remaining shares become exercisable on each of January 27, 2024 and January 27, 2025 and January 27, 2026.</w:t>
      </w:r>
    </w:p>
    <w:p>
      <w:pPr>
        <w:spacing w:after="0" w:line="44"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28, 2023, and one-half of the remaining shares become exercisable on each of January 28, 2024 and January 28, 2025.</w:t>
      </w:r>
    </w:p>
    <w:p>
      <w:pPr>
        <w:spacing w:after="0" w:line="44" w:lineRule="exact"/>
        <w:rPr>
          <w:rFonts w:ascii="Arial" w:cs="Arial" w:eastAsia="Arial" w:hAnsi="Arial"/>
          <w:sz w:val="18"/>
          <w:szCs w:val="18"/>
          <w:color w:val="auto"/>
        </w:rPr>
      </w:pPr>
    </w:p>
    <w:p>
      <w:pPr>
        <w:ind w:left="500" w:right="300" w:hanging="492"/>
        <w:spacing w:after="0" w:line="287"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24, 2023, and the remaining one-half become exercisable on January 24, 2024.</w:t>
      </w:r>
    </w:p>
    <w:p>
      <w:pPr>
        <w:sectPr>
          <w:pgSz w:w="11900" w:h="16838" w:orient="portrait"/>
          <w:cols w:equalWidth="0" w:num="1">
            <w:col w:w="11040"/>
          </w:cols>
          <w:pgMar w:left="320" w:top="98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242424"/>
        </w:rPr>
        <w:t>2023 PROXY STATEMENT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0" w:right="539" w:bottom="1440" w:gutter="0" w:footer="0" w:header="0"/>
          <w:type w:val="continuous"/>
        </w:sectPr>
      </w:pPr>
    </w:p>
    <w:bookmarkStart w:id="45" w:name="page46"/>
    <w:bookmarkEnd w:id="45"/>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Became fully exercisable on January 25, 2023.</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Vesting date is January 30, 2026.</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Vesting date is January 31, 2025.</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Vesting date is January 31, 2024.</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Vested on January 31, 2023.</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Option awards</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2022. The Compensation Committee of the board of directors established these termination provisions to promote employee retention while offering competitive terms.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4480" w:type="dxa"/>
            <w:vAlign w:val="bottom"/>
          </w:tcPr>
          <w:p>
            <w:pPr>
              <w:jc w:val="center"/>
              <w:ind w:left="200"/>
              <w:spacing w:after="0"/>
              <w:rPr>
                <w:sz w:val="20"/>
                <w:szCs w:val="20"/>
                <w:color w:val="auto"/>
              </w:rPr>
            </w:pPr>
            <w:r>
              <w:rPr>
                <w:rFonts w:ascii="Arial" w:cs="Arial" w:eastAsia="Arial" w:hAnsi="Arial"/>
                <w:sz w:val="14"/>
                <w:szCs w:val="14"/>
                <w:b w:val="1"/>
                <w:bCs w:val="1"/>
                <w:color w:val="auto"/>
              </w:rPr>
              <w:t>Employment Termination due to</w:t>
            </w:r>
          </w:p>
        </w:tc>
        <w:tc>
          <w:tcPr>
            <w:tcW w:w="190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76"/>
        </w:trPr>
        <w:tc>
          <w:tcPr>
            <w:tcW w:w="2100" w:type="dxa"/>
            <w:vAlign w:val="bottom"/>
          </w:tcPr>
          <w:p>
            <w:pPr>
              <w:spacing w:after="0"/>
              <w:rPr>
                <w:sz w:val="15"/>
                <w:szCs w:val="15"/>
                <w:color w:val="auto"/>
              </w:rPr>
            </w:pPr>
          </w:p>
        </w:tc>
        <w:tc>
          <w:tcPr>
            <w:tcW w:w="4480" w:type="dxa"/>
            <w:vAlign w:val="bottom"/>
          </w:tcPr>
          <w:p>
            <w:pPr>
              <w:jc w:val="center"/>
              <w:ind w:left="240"/>
              <w:spacing w:after="0"/>
              <w:rPr>
                <w:sz w:val="20"/>
                <w:szCs w:val="20"/>
                <w:color w:val="auto"/>
              </w:rPr>
            </w:pPr>
            <w:r>
              <w:rPr>
                <w:rFonts w:ascii="Arial" w:cs="Arial" w:eastAsia="Arial" w:hAnsi="Arial"/>
                <w:sz w:val="14"/>
                <w:szCs w:val="14"/>
                <w:b w:val="1"/>
                <w:bCs w:val="1"/>
                <w:color w:val="auto"/>
              </w:rPr>
              <w:t>Death or Permanent Disability or at Least 6 Months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2740" w:type="dxa"/>
            <w:vAlign w:val="bottom"/>
          </w:tcPr>
          <w:p>
            <w:pPr>
              <w:jc w:val="center"/>
              <w:ind w:left="219"/>
              <w:spacing w:after="0"/>
              <w:rPr>
                <w:sz w:val="20"/>
                <w:szCs w:val="20"/>
                <w:color w:val="auto"/>
              </w:rPr>
            </w:pPr>
            <w:r>
              <w:rPr>
                <w:rFonts w:ascii="Arial" w:cs="Arial" w:eastAsia="Arial" w:hAnsi="Arial"/>
                <w:sz w:val="14"/>
                <w:szCs w:val="14"/>
                <w:b w:val="1"/>
                <w:bCs w:val="1"/>
                <w:color w:val="auto"/>
              </w:rPr>
              <w:t>Other Circumstances</w:t>
            </w:r>
          </w:p>
        </w:tc>
      </w:tr>
      <w:tr>
        <w:trPr>
          <w:trHeight w:val="175"/>
        </w:trPr>
        <w:tc>
          <w:tcPr>
            <w:tcW w:w="2100" w:type="dxa"/>
            <w:vAlign w:val="bottom"/>
          </w:tcPr>
          <w:p>
            <w:pPr>
              <w:spacing w:after="0"/>
              <w:rPr>
                <w:sz w:val="15"/>
                <w:szCs w:val="15"/>
                <w:color w:val="auto"/>
              </w:rPr>
            </w:pPr>
          </w:p>
        </w:tc>
        <w:tc>
          <w:tcPr>
            <w:tcW w:w="4480" w:type="dxa"/>
            <w:vAlign w:val="bottom"/>
          </w:tcPr>
          <w:p>
            <w:pPr>
              <w:jc w:val="center"/>
              <w:ind w:left="180"/>
              <w:spacing w:after="0"/>
              <w:rPr>
                <w:sz w:val="20"/>
                <w:szCs w:val="20"/>
                <w:color w:val="auto"/>
              </w:rPr>
            </w:pPr>
            <w:r>
              <w:rPr>
                <w:rFonts w:ascii="Arial" w:cs="Arial" w:eastAsia="Arial" w:hAnsi="Arial"/>
                <w:sz w:val="14"/>
                <w:szCs w:val="14"/>
                <w:b w:val="1"/>
                <w:bCs w:val="1"/>
                <w:color w:val="auto"/>
              </w:rPr>
              <w:t>after Grant</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2740" w:type="dxa"/>
            <w:vAlign w:val="bottom"/>
          </w:tcPr>
          <w:p>
            <w:pPr>
              <w:jc w:val="center"/>
              <w:ind w:left="259"/>
              <w:spacing w:after="0"/>
              <w:rPr>
                <w:sz w:val="20"/>
                <w:szCs w:val="20"/>
                <w:color w:val="auto"/>
              </w:rPr>
            </w:pPr>
            <w:r>
              <w:rPr>
                <w:rFonts w:ascii="Arial" w:cs="Arial" w:eastAsia="Arial" w:hAnsi="Arial"/>
                <w:sz w:val="14"/>
                <w:szCs w:val="14"/>
                <w:b w:val="1"/>
                <w:bCs w:val="1"/>
                <w:color w:val="auto"/>
              </w:rPr>
              <w:t>of Employment</w:t>
            </w:r>
          </w:p>
        </w:tc>
      </w:tr>
      <w:tr>
        <w:trPr>
          <w:trHeight w:val="205"/>
        </w:trPr>
        <w:tc>
          <w:tcPr>
            <w:tcW w:w="210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rPr>
              <w:t>When Retirement Eligible *</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Cause</w:t>
            </w:r>
          </w:p>
        </w:tc>
        <w:tc>
          <w:tcPr>
            <w:tcW w:w="274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99"/>
              </w:rPr>
              <w:t>Termination</w:t>
            </w:r>
          </w:p>
        </w:tc>
      </w:tr>
      <w:tr>
        <w:trPr>
          <w:trHeight w:val="224"/>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Unexercisable</w:t>
            </w:r>
          </w:p>
        </w:tc>
        <w:tc>
          <w:tcPr>
            <w:tcW w:w="4480" w:type="dxa"/>
            <w:vAlign w:val="bottom"/>
          </w:tcPr>
          <w:p>
            <w:pPr>
              <w:ind w:left="1000"/>
              <w:spacing w:after="0"/>
              <w:rPr>
                <w:sz w:val="20"/>
                <w:szCs w:val="20"/>
                <w:color w:val="auto"/>
              </w:rPr>
            </w:pPr>
            <w:r>
              <w:rPr>
                <w:rFonts w:ascii="Arial" w:cs="Arial" w:eastAsia="Arial" w:hAnsi="Arial"/>
                <w:sz w:val="18"/>
                <w:szCs w:val="18"/>
                <w:color w:val="auto"/>
              </w:rPr>
              <w:t>Continues</w:t>
            </w:r>
          </w:p>
        </w:tc>
        <w:tc>
          <w:tcPr>
            <w:tcW w:w="1900" w:type="dxa"/>
            <w:vAlign w:val="bottom"/>
          </w:tcPr>
          <w:p>
            <w:pPr>
              <w:ind w:left="340"/>
              <w:spacing w:after="0"/>
              <w:rPr>
                <w:sz w:val="20"/>
                <w:szCs w:val="20"/>
                <w:color w:val="auto"/>
              </w:rPr>
            </w:pPr>
            <w:r>
              <w:rPr>
                <w:rFonts w:ascii="Arial" w:cs="Arial" w:eastAsia="Arial" w:hAnsi="Arial"/>
                <w:sz w:val="18"/>
                <w:szCs w:val="18"/>
                <w:color w:val="auto"/>
              </w:rPr>
              <w:t>Stops</w:t>
            </w:r>
          </w:p>
        </w:tc>
        <w:tc>
          <w:tcPr>
            <w:tcW w:w="2740" w:type="dxa"/>
            <w:vAlign w:val="bottom"/>
          </w:tcPr>
          <w:p>
            <w:pPr>
              <w:ind w:left="520"/>
              <w:spacing w:after="0"/>
              <w:rPr>
                <w:sz w:val="20"/>
                <w:szCs w:val="20"/>
                <w:color w:val="auto"/>
              </w:rPr>
            </w:pPr>
            <w:r>
              <w:rPr>
                <w:rFonts w:ascii="Arial" w:cs="Arial" w:eastAsia="Arial" w:hAnsi="Arial"/>
                <w:sz w:val="18"/>
                <w:szCs w:val="18"/>
                <w:color w:val="auto"/>
              </w:rPr>
              <w:t>Stops</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portion of option</w:t>
            </w:r>
          </w:p>
        </w:tc>
        <w:tc>
          <w:tcPr>
            <w:tcW w:w="44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293"/>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Exercisable</w:t>
            </w:r>
          </w:p>
        </w:tc>
        <w:tc>
          <w:tcPr>
            <w:tcW w:w="4480" w:type="dxa"/>
            <w:vAlign w:val="bottom"/>
          </w:tcPr>
          <w:p>
            <w:pPr>
              <w:ind w:left="1000"/>
              <w:spacing w:after="0"/>
              <w:rPr>
                <w:sz w:val="20"/>
                <w:szCs w:val="20"/>
                <w:color w:val="auto"/>
              </w:rPr>
            </w:pPr>
            <w:r>
              <w:rPr>
                <w:rFonts w:ascii="Arial" w:cs="Arial" w:eastAsia="Arial" w:hAnsi="Arial"/>
                <w:sz w:val="18"/>
                <w:szCs w:val="18"/>
                <w:color w:val="auto"/>
              </w:rPr>
              <w:t>Remains exercisable to end</w:t>
            </w:r>
          </w:p>
        </w:tc>
        <w:tc>
          <w:tcPr>
            <w:tcW w:w="1900" w:type="dxa"/>
            <w:vAlign w:val="bottom"/>
          </w:tcPr>
          <w:p>
            <w:pPr>
              <w:ind w:left="340"/>
              <w:spacing w:after="0"/>
              <w:rPr>
                <w:sz w:val="20"/>
                <w:szCs w:val="20"/>
                <w:color w:val="auto"/>
              </w:rPr>
            </w:pPr>
            <w:r>
              <w:rPr>
                <w:rFonts w:ascii="Arial" w:cs="Arial" w:eastAsia="Arial" w:hAnsi="Arial"/>
                <w:sz w:val="18"/>
                <w:szCs w:val="18"/>
                <w:color w:val="auto"/>
              </w:rPr>
              <w:t>Terminates</w:t>
            </w:r>
          </w:p>
        </w:tc>
        <w:tc>
          <w:tcPr>
            <w:tcW w:w="2740" w:type="dxa"/>
            <w:vAlign w:val="bottom"/>
          </w:tcPr>
          <w:p>
            <w:pPr>
              <w:ind w:left="520"/>
              <w:spacing w:after="0"/>
              <w:rPr>
                <w:sz w:val="20"/>
                <w:szCs w:val="20"/>
                <w:color w:val="auto"/>
              </w:rPr>
            </w:pPr>
            <w:r>
              <w:rPr>
                <w:rFonts w:ascii="Arial" w:cs="Arial" w:eastAsia="Arial" w:hAnsi="Arial"/>
                <w:sz w:val="18"/>
                <w:szCs w:val="18"/>
                <w:color w:val="auto"/>
              </w:rPr>
              <w:t>Remains exercisable</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portion of option</w:t>
            </w:r>
          </w:p>
        </w:tc>
        <w:tc>
          <w:tcPr>
            <w:tcW w:w="4480" w:type="dxa"/>
            <w:vAlign w:val="bottom"/>
          </w:tcPr>
          <w:p>
            <w:pPr>
              <w:ind w:left="1000"/>
              <w:spacing w:after="0"/>
              <w:rPr>
                <w:sz w:val="20"/>
                <w:szCs w:val="20"/>
                <w:color w:val="auto"/>
              </w:rPr>
            </w:pPr>
            <w:r>
              <w:rPr>
                <w:rFonts w:ascii="Arial" w:cs="Arial" w:eastAsia="Arial" w:hAnsi="Arial"/>
                <w:sz w:val="18"/>
                <w:szCs w:val="18"/>
                <w:color w:val="auto"/>
              </w:rPr>
              <w:t>of term</w:t>
            </w:r>
          </w:p>
        </w:tc>
        <w:tc>
          <w:tcPr>
            <w:tcW w:w="1900" w:type="dxa"/>
            <w:vAlign w:val="bottom"/>
          </w:tcPr>
          <w:p>
            <w:pPr>
              <w:spacing w:after="0"/>
              <w:rPr>
                <w:sz w:val="21"/>
                <w:szCs w:val="21"/>
                <w:color w:val="auto"/>
              </w:rPr>
            </w:pPr>
          </w:p>
        </w:tc>
        <w:tc>
          <w:tcPr>
            <w:tcW w:w="2740" w:type="dxa"/>
            <w:vAlign w:val="bottom"/>
          </w:tcPr>
          <w:p>
            <w:pPr>
              <w:ind w:left="520"/>
              <w:spacing w:after="0"/>
              <w:rPr>
                <w:sz w:val="20"/>
                <w:szCs w:val="20"/>
                <w:color w:val="auto"/>
              </w:rPr>
            </w:pPr>
            <w:r>
              <w:rPr>
                <w:rFonts w:ascii="Arial" w:cs="Arial" w:eastAsia="Arial" w:hAnsi="Arial"/>
                <w:sz w:val="18"/>
                <w:szCs w:val="18"/>
                <w:color w:val="auto"/>
              </w:rPr>
              <w:t>for 30 days</w:t>
            </w:r>
          </w:p>
        </w:tc>
      </w:tr>
    </w:tbl>
    <w:p>
      <w:pPr>
        <w:spacing w:after="0" w:line="293"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Retirement eligibility is defined for purposes of equity awards as at least age 55 with 10 or more years of TI service or at least age 65.</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Options become fully vested if the grantee is involuntarily terminated from employment with TI (other than for cause) within 24 months after a change in control of TI. “Change in control” is defined as provided in the Texas Instruments 2009 Long-Term Incentive Plan and occurs upon</w:t>
      </w:r>
    </w:p>
    <w:p>
      <w:pPr>
        <w:spacing w:after="0" w:line="2"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acquisition of more than 50% of the voting stock or at least 80% of the assets of TI or (ii) change of a majority of the board of directors in a</w:t>
      </w:r>
    </w:p>
    <w:p>
      <w:pPr>
        <w:spacing w:after="0" w:line="9" w:lineRule="exact"/>
        <w:rPr>
          <w:rFonts w:ascii="Arial" w:cs="Arial" w:eastAsia="Arial" w:hAnsi="Arial"/>
          <w:sz w:val="18"/>
          <w:szCs w:val="18"/>
          <w:color w:val="auto"/>
        </w:rPr>
      </w:pPr>
    </w:p>
    <w:p>
      <w:pPr>
        <w:ind w:right="80"/>
        <w:spacing w:after="0" w:line="258" w:lineRule="auto"/>
        <w:rPr>
          <w:rFonts w:ascii="Arial" w:cs="Arial" w:eastAsia="Arial" w:hAnsi="Arial"/>
          <w:sz w:val="18"/>
          <w:szCs w:val="18"/>
          <w:color w:val="auto"/>
        </w:rPr>
      </w:pPr>
      <w:r>
        <w:rPr>
          <w:rFonts w:ascii="Arial" w:cs="Arial" w:eastAsia="Arial" w:hAnsi="Arial"/>
          <w:sz w:val="18"/>
          <w:szCs w:val="18"/>
          <w:color w:val="auto"/>
        </w:rPr>
        <w:t>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 awards</w:t>
      </w:r>
    </w:p>
    <w:p>
      <w:pPr>
        <w:spacing w:after="0" w:line="23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“Stock Awards” column in the table of outstanding equity awards at fiscal year-end 2022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table below shows the termination provisions of RSUs outstanding as of December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jc w:val="center"/>
              <w:ind w:left="281"/>
              <w:spacing w:after="0"/>
              <w:rPr>
                <w:sz w:val="20"/>
                <w:szCs w:val="20"/>
                <w:color w:val="auto"/>
              </w:rPr>
            </w:pPr>
            <w:r>
              <w:rPr>
                <w:rFonts w:ascii="Arial" w:cs="Arial" w:eastAsia="Arial" w:hAnsi="Arial"/>
                <w:sz w:val="14"/>
                <w:szCs w:val="14"/>
                <w:b w:val="1"/>
                <w:bCs w:val="1"/>
                <w:color w:val="auto"/>
              </w:rPr>
              <w:t>Employment Termination Due to Death or</w:t>
            </w:r>
          </w:p>
        </w:tc>
        <w:tc>
          <w:tcPr>
            <w:tcW w:w="3220" w:type="dxa"/>
            <w:vAlign w:val="bottom"/>
            <w:vMerge w:val="restart"/>
          </w:tcPr>
          <w:p>
            <w:pPr>
              <w:jc w:val="center"/>
              <w:ind w:left="419"/>
              <w:spacing w:after="0"/>
              <w:rPr>
                <w:sz w:val="20"/>
                <w:szCs w:val="20"/>
                <w:color w:val="auto"/>
              </w:rPr>
            </w:pPr>
            <w:r>
              <w:rPr>
                <w:rFonts w:ascii="Arial" w:cs="Arial" w:eastAsia="Arial" w:hAnsi="Arial"/>
                <w:sz w:val="14"/>
                <w:szCs w:val="14"/>
                <w:b w:val="1"/>
                <w:bCs w:val="1"/>
                <w:color w:val="auto"/>
              </w:rPr>
              <w:t>Employment Termination</w:t>
            </w:r>
          </w:p>
        </w:tc>
        <w:tc>
          <w:tcPr>
            <w:tcW w:w="314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rPr>
              <w:t>Other Circumstances of</w:t>
            </w:r>
          </w:p>
        </w:tc>
        <w:tc>
          <w:tcPr>
            <w:tcW w:w="0" w:type="dxa"/>
            <w:vAlign w:val="bottom"/>
          </w:tcPr>
          <w:p>
            <w:pPr>
              <w:spacing w:after="0"/>
              <w:rPr>
                <w:sz w:val="1"/>
                <w:szCs w:val="1"/>
                <w:color w:val="auto"/>
              </w:rPr>
            </w:pPr>
          </w:p>
        </w:tc>
      </w:tr>
      <w:tr>
        <w:trPr>
          <w:trHeight w:val="162"/>
        </w:trPr>
        <w:tc>
          <w:tcPr>
            <w:tcW w:w="4860" w:type="dxa"/>
            <w:vAlign w:val="bottom"/>
          </w:tcPr>
          <w:p>
            <w:pPr>
              <w:jc w:val="center"/>
              <w:ind w:left="301"/>
              <w:spacing w:after="0"/>
              <w:rPr>
                <w:sz w:val="20"/>
                <w:szCs w:val="20"/>
                <w:color w:val="auto"/>
              </w:rPr>
            </w:pPr>
            <w:r>
              <w:rPr>
                <w:rFonts w:ascii="Arial" w:cs="Arial" w:eastAsia="Arial" w:hAnsi="Arial"/>
                <w:sz w:val="14"/>
                <w:szCs w:val="14"/>
                <w:b w:val="1"/>
                <w:bCs w:val="1"/>
                <w:color w:val="auto"/>
              </w:rPr>
              <w:t>Permanent Disability or at Least Six Months</w:t>
            </w:r>
          </w:p>
        </w:tc>
        <w:tc>
          <w:tcPr>
            <w:tcW w:w="322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86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rPr>
              <w:t>after Grant When Retirement Eligible</w:t>
            </w:r>
          </w:p>
        </w:tc>
        <w:tc>
          <w:tcPr>
            <w:tcW w:w="3220" w:type="dxa"/>
            <w:vAlign w:val="bottom"/>
            <w:tcBorders>
              <w:bottom w:val="single" w:sz="8" w:color="auto"/>
            </w:tcBorders>
          </w:tcPr>
          <w:p>
            <w:pPr>
              <w:jc w:val="center"/>
              <w:ind w:left="479"/>
              <w:spacing w:after="0"/>
              <w:rPr>
                <w:sz w:val="20"/>
                <w:szCs w:val="20"/>
                <w:color w:val="auto"/>
              </w:rPr>
            </w:pPr>
            <w:r>
              <w:rPr>
                <w:rFonts w:ascii="Arial" w:cs="Arial" w:eastAsia="Arial" w:hAnsi="Arial"/>
                <w:sz w:val="14"/>
                <w:szCs w:val="14"/>
                <w:b w:val="1"/>
                <w:bCs w:val="1"/>
                <w:color w:val="auto"/>
              </w:rPr>
              <w:t>For Cause</w:t>
            </w:r>
          </w:p>
        </w:tc>
        <w:tc>
          <w:tcPr>
            <w:tcW w:w="314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rPr>
              <w:t>Employment Termination</w:t>
            </w:r>
          </w:p>
        </w:tc>
        <w:tc>
          <w:tcPr>
            <w:tcW w:w="0" w:type="dxa"/>
            <w:vAlign w:val="bottom"/>
          </w:tcPr>
          <w:p>
            <w:pPr>
              <w:spacing w:after="0"/>
              <w:rPr>
                <w:sz w:val="1"/>
                <w:szCs w:val="1"/>
                <w:color w:val="auto"/>
              </w:rPr>
            </w:pPr>
          </w:p>
        </w:tc>
      </w:tr>
      <w:tr>
        <w:trPr>
          <w:trHeight w:val="219"/>
        </w:trPr>
        <w:tc>
          <w:tcPr>
            <w:tcW w:w="4860" w:type="dxa"/>
            <w:vAlign w:val="bottom"/>
          </w:tcPr>
          <w:p>
            <w:pPr>
              <w:ind w:left="680"/>
              <w:spacing w:after="0"/>
              <w:rPr>
                <w:sz w:val="20"/>
                <w:szCs w:val="20"/>
                <w:color w:val="auto"/>
              </w:rPr>
            </w:pPr>
            <w:r>
              <w:rPr>
                <w:rFonts w:ascii="Arial" w:cs="Arial" w:eastAsia="Arial" w:hAnsi="Arial"/>
                <w:sz w:val="18"/>
                <w:szCs w:val="18"/>
                <w:color w:val="auto"/>
              </w:rPr>
              <w:t>Vesting continues; shares are paid</w:t>
            </w:r>
          </w:p>
        </w:tc>
        <w:tc>
          <w:tcPr>
            <w:tcW w:w="3220" w:type="dxa"/>
            <w:vAlign w:val="bottom"/>
          </w:tcPr>
          <w:p>
            <w:pPr>
              <w:ind w:left="720"/>
              <w:spacing w:after="0"/>
              <w:rPr>
                <w:sz w:val="20"/>
                <w:szCs w:val="20"/>
                <w:color w:val="auto"/>
              </w:rPr>
            </w:pPr>
            <w:r>
              <w:rPr>
                <w:rFonts w:ascii="Arial" w:cs="Arial" w:eastAsia="Arial" w:hAnsi="Arial"/>
                <w:sz w:val="18"/>
                <w:szCs w:val="18"/>
                <w:color w:val="auto"/>
              </w:rPr>
              <w:t>Grant cancels; no</w:t>
            </w:r>
          </w:p>
        </w:tc>
        <w:tc>
          <w:tcPr>
            <w:tcW w:w="3140" w:type="dxa"/>
            <w:vAlign w:val="bottom"/>
          </w:tcPr>
          <w:p>
            <w:pPr>
              <w:ind w:left="500"/>
              <w:spacing w:after="0"/>
              <w:rPr>
                <w:sz w:val="20"/>
                <w:szCs w:val="20"/>
                <w:color w:val="auto"/>
              </w:rPr>
            </w:pPr>
            <w:r>
              <w:rPr>
                <w:rFonts w:ascii="Arial" w:cs="Arial" w:eastAsia="Arial" w:hAnsi="Arial"/>
                <w:sz w:val="18"/>
                <w:szCs w:val="18"/>
                <w:color w:val="auto"/>
              </w:rPr>
              <w:t>Grant cancels; no</w:t>
            </w:r>
          </w:p>
        </w:tc>
        <w:tc>
          <w:tcPr>
            <w:tcW w:w="0" w:type="dxa"/>
            <w:vAlign w:val="bottom"/>
          </w:tcPr>
          <w:p>
            <w:pPr>
              <w:spacing w:after="0"/>
              <w:rPr>
                <w:sz w:val="1"/>
                <w:szCs w:val="1"/>
                <w:color w:val="auto"/>
              </w:rPr>
            </w:pPr>
          </w:p>
        </w:tc>
      </w:tr>
      <w:tr>
        <w:trPr>
          <w:trHeight w:val="239"/>
        </w:trPr>
        <w:tc>
          <w:tcPr>
            <w:tcW w:w="4860" w:type="dxa"/>
            <w:vAlign w:val="bottom"/>
          </w:tcPr>
          <w:p>
            <w:pPr>
              <w:ind w:left="680"/>
              <w:spacing w:after="0"/>
              <w:rPr>
                <w:sz w:val="20"/>
                <w:szCs w:val="20"/>
                <w:color w:val="auto"/>
              </w:rPr>
            </w:pPr>
            <w:r>
              <w:rPr>
                <w:rFonts w:ascii="Arial" w:cs="Arial" w:eastAsia="Arial" w:hAnsi="Arial"/>
                <w:sz w:val="18"/>
                <w:szCs w:val="18"/>
                <w:color w:val="auto"/>
              </w:rPr>
              <w:t>at the scheduled vesting date</w:t>
            </w:r>
          </w:p>
        </w:tc>
        <w:tc>
          <w:tcPr>
            <w:tcW w:w="3220" w:type="dxa"/>
            <w:vAlign w:val="bottom"/>
          </w:tcPr>
          <w:p>
            <w:pPr>
              <w:ind w:left="720"/>
              <w:spacing w:after="0"/>
              <w:rPr>
                <w:sz w:val="20"/>
                <w:szCs w:val="20"/>
                <w:color w:val="auto"/>
              </w:rPr>
            </w:pPr>
            <w:r>
              <w:rPr>
                <w:rFonts w:ascii="Arial" w:cs="Arial" w:eastAsia="Arial" w:hAnsi="Arial"/>
                <w:sz w:val="18"/>
                <w:szCs w:val="18"/>
                <w:color w:val="auto"/>
              </w:rPr>
              <w:t>shares are issued</w:t>
            </w:r>
          </w:p>
        </w:tc>
        <w:tc>
          <w:tcPr>
            <w:tcW w:w="3140" w:type="dxa"/>
            <w:vAlign w:val="bottom"/>
          </w:tcPr>
          <w:p>
            <w:pPr>
              <w:ind w:left="500"/>
              <w:spacing w:after="0"/>
              <w:rPr>
                <w:sz w:val="20"/>
                <w:szCs w:val="20"/>
                <w:color w:val="auto"/>
              </w:rPr>
            </w:pPr>
            <w:r>
              <w:rPr>
                <w:rFonts w:ascii="Arial" w:cs="Arial" w:eastAsia="Arial" w:hAnsi="Arial"/>
                <w:sz w:val="18"/>
                <w:szCs w:val="18"/>
                <w:color w:val="auto"/>
              </w:rPr>
              <w:t>shares are issued</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 in control terms are intended to conform RSU terms with those of stock options (to the extent permitted by the IRC) and to achieve the objectives described above in the discussion of stock options.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“Stock Awards” shown in the outstanding equity awards at fiscal year-end 2022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2022 non-qualified deferred compensation table.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option exercises and stock vested</w:t>
      </w: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2022 and the value of any RSUs that vested in 2022.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312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1540" w:type="dxa"/>
            <w:vAlign w:val="bottom"/>
          </w:tcPr>
          <w:p>
            <w:pPr>
              <w:jc w:val="center"/>
              <w:ind w:left="58"/>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Value Realized</w:t>
            </w:r>
          </w:p>
        </w:tc>
        <w:tc>
          <w:tcPr>
            <w:tcW w:w="1560" w:type="dxa"/>
            <w:vAlign w:val="bottom"/>
          </w:tcPr>
          <w:p>
            <w:pPr>
              <w:jc w:val="center"/>
              <w:ind w:left="78"/>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6"/>
                <w:szCs w:val="16"/>
                <w:color w:val="auto"/>
              </w:rPr>
            </w:pPr>
          </w:p>
        </w:tc>
        <w:tc>
          <w:tcPr>
            <w:tcW w:w="12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40" w:type="dxa"/>
            <w:vAlign w:val="bottom"/>
          </w:tcPr>
          <w:p>
            <w:pPr>
              <w:jc w:val="center"/>
              <w:ind w:left="38"/>
              <w:spacing w:after="0"/>
              <w:rPr>
                <w:sz w:val="20"/>
                <w:szCs w:val="20"/>
                <w:color w:val="auto"/>
              </w:rPr>
            </w:pPr>
            <w:r>
              <w:rPr>
                <w:rFonts w:ascii="Arial" w:cs="Arial" w:eastAsia="Arial" w:hAnsi="Arial"/>
                <w:sz w:val="14"/>
                <w:szCs w:val="14"/>
                <w:b w:val="1"/>
                <w:bCs w:val="1"/>
                <w:color w:val="auto"/>
              </w:rPr>
              <w:t>Shares Acquired</w:t>
            </w:r>
          </w:p>
        </w:tc>
        <w:tc>
          <w:tcPr>
            <w:tcW w:w="3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60" w:type="dxa"/>
            <w:vAlign w:val="bottom"/>
          </w:tcPr>
          <w:p>
            <w:pPr>
              <w:jc w:val="center"/>
              <w:ind w:left="58"/>
              <w:spacing w:after="0"/>
              <w:rPr>
                <w:sz w:val="20"/>
                <w:szCs w:val="20"/>
                <w:color w:val="auto"/>
              </w:rPr>
            </w:pPr>
            <w:r>
              <w:rPr>
                <w:rFonts w:ascii="Arial" w:cs="Arial" w:eastAsia="Arial" w:hAnsi="Arial"/>
                <w:sz w:val="14"/>
                <w:szCs w:val="14"/>
                <w:b w:val="1"/>
                <w:bCs w:val="1"/>
                <w:color w:val="auto"/>
              </w:rPr>
              <w:t>Shares Acquired</w:t>
            </w:r>
          </w:p>
        </w:tc>
        <w:tc>
          <w:tcPr>
            <w:tcW w:w="3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rPr>
              <w:t>on Exercise</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on Exercise</w:t>
            </w:r>
          </w:p>
        </w:tc>
        <w:tc>
          <w:tcPr>
            <w:tcW w:w="156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rPr>
              <w:t>on Vesting</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45"/>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5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DBDBDB"/>
            </w:tcBorders>
            <w:shd w:val="clear" w:color="auto" w:fill="DBDBDB"/>
          </w:tcPr>
          <w:p>
            <w:pPr>
              <w:jc w:val="right"/>
              <w:ind w:right="118"/>
              <w:spacing w:after="0"/>
              <w:rPr>
                <w:sz w:val="20"/>
                <w:szCs w:val="20"/>
                <w:color w:val="auto"/>
              </w:rPr>
            </w:pPr>
            <w:r>
              <w:rPr>
                <w:rFonts w:ascii="Arial" w:cs="Arial" w:eastAsia="Arial" w:hAnsi="Arial"/>
                <w:sz w:val="18"/>
                <w:szCs w:val="18"/>
                <w:color w:val="auto"/>
              </w:rPr>
              <w:t>54,472</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9,657,341</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8"/>
              <w:spacing w:after="0"/>
              <w:rPr>
                <w:sz w:val="20"/>
                <w:szCs w:val="20"/>
                <w:color w:val="auto"/>
              </w:rPr>
            </w:pPr>
            <w:r>
              <w:rPr>
                <w:rFonts w:ascii="Arial" w:cs="Arial" w:eastAsia="Arial" w:hAnsi="Arial"/>
                <w:sz w:val="18"/>
                <w:szCs w:val="18"/>
                <w:color w:val="auto"/>
              </w:rPr>
              <w:t>10,895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1,931,575</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5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DBDBDB"/>
            </w:tcBorders>
            <w:shd w:val="clear" w:color="auto" w:fill="DBDBDB"/>
          </w:tcPr>
          <w:p>
            <w:pPr>
              <w:jc w:val="right"/>
              <w:ind w:right="118"/>
              <w:spacing w:after="0"/>
              <w:rPr>
                <w:sz w:val="20"/>
                <w:szCs w:val="20"/>
                <w:color w:val="auto"/>
              </w:rPr>
            </w:pPr>
            <w:r>
              <w:rPr>
                <w:rFonts w:ascii="Arial" w:cs="Arial" w:eastAsia="Arial" w:hAnsi="Arial"/>
                <w:sz w:val="18"/>
                <w:szCs w:val="18"/>
                <w:color w:val="auto"/>
              </w:rPr>
              <w:t>17,250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3,058,253</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31,383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1,784,340</w:t>
            </w:r>
          </w:p>
        </w:tc>
        <w:tc>
          <w:tcPr>
            <w:tcW w:w="120" w:type="dxa"/>
            <w:vAlign w:val="bottom"/>
          </w:tcPr>
          <w:p>
            <w:pPr>
              <w:spacing w:after="0"/>
              <w:rPr>
                <w:sz w:val="21"/>
                <w:szCs w:val="21"/>
                <w:color w:val="auto"/>
              </w:rPr>
            </w:pPr>
          </w:p>
        </w:tc>
        <w:tc>
          <w:tcPr>
            <w:tcW w:w="1560" w:type="dxa"/>
            <w:vAlign w:val="bottom"/>
          </w:tcPr>
          <w:p>
            <w:pPr>
              <w:jc w:val="right"/>
              <w:ind w:right="118"/>
              <w:spacing w:after="0"/>
              <w:rPr>
                <w:sz w:val="20"/>
                <w:szCs w:val="20"/>
                <w:color w:val="auto"/>
              </w:rPr>
            </w:pPr>
            <w:r>
              <w:rPr>
                <w:rFonts w:ascii="Arial" w:cs="Arial" w:eastAsia="Arial" w:hAnsi="Arial"/>
                <w:sz w:val="18"/>
                <w:szCs w:val="18"/>
                <w:color w:val="auto"/>
              </w:rPr>
              <w:t>14,276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2,435,190</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540" w:type="dxa"/>
            <w:vAlign w:val="bottom"/>
            <w:shd w:val="clear" w:color="auto" w:fill="DBDBDB"/>
          </w:tcPr>
          <w:p>
            <w:pPr>
              <w:jc w:val="right"/>
              <w:ind w:right="138"/>
              <w:spacing w:after="0"/>
              <w:rPr>
                <w:sz w:val="20"/>
                <w:szCs w:val="20"/>
                <w:color w:val="auto"/>
              </w:rPr>
            </w:pPr>
            <w:r>
              <w:rPr>
                <w:rFonts w:ascii="Arial" w:cs="Arial" w:eastAsia="Arial" w:hAnsi="Arial"/>
                <w:sz w:val="18"/>
                <w:szCs w:val="18"/>
                <w:color w:val="auto"/>
              </w:rPr>
              <w:t>43,068</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2,961,183</w:t>
            </w: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jc w:val="right"/>
              <w:ind w:right="118"/>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1,609,616</w:t>
            </w:r>
          </w:p>
        </w:tc>
        <w:tc>
          <w:tcPr>
            <w:tcW w:w="0" w:type="dxa"/>
            <w:vAlign w:val="bottom"/>
          </w:tcPr>
          <w:p>
            <w:pPr>
              <w:spacing w:after="0"/>
              <w:rPr>
                <w:sz w:val="1"/>
                <w:szCs w:val="1"/>
                <w:color w:val="auto"/>
              </w:rPr>
            </w:pPr>
          </w:p>
        </w:tc>
      </w:tr>
      <w:tr>
        <w:trPr>
          <w:trHeight w:val="23"/>
        </w:trPr>
        <w:tc>
          <w:tcPr>
            <w:tcW w:w="490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2022 pension benefits</w:t>
      </w:r>
    </w:p>
    <w:p>
      <w:pPr>
        <w:spacing w:after="0" w:line="2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 shows the present value as of December 31, 2022,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center"/>
              <w:ind w:left="196"/>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Present Value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9"/>
              </w:rPr>
              <w:t>Payments</w:t>
            </w:r>
          </w:p>
        </w:tc>
      </w:tr>
      <w:tr>
        <w:trPr>
          <w:trHeight w:val="176"/>
        </w:trPr>
        <w:tc>
          <w:tcPr>
            <w:tcW w:w="23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80" w:type="dxa"/>
            <w:vAlign w:val="bottom"/>
          </w:tcPr>
          <w:p>
            <w:pPr>
              <w:jc w:val="center"/>
              <w:ind w:left="216"/>
              <w:spacing w:after="0"/>
              <w:rPr>
                <w:sz w:val="20"/>
                <w:szCs w:val="20"/>
                <w:color w:val="auto"/>
              </w:rPr>
            </w:pPr>
            <w:r>
              <w:rPr>
                <w:rFonts w:ascii="Arial" w:cs="Arial" w:eastAsia="Arial" w:hAnsi="Arial"/>
                <w:sz w:val="14"/>
                <w:szCs w:val="14"/>
                <w:b w:val="1"/>
                <w:bCs w:val="1"/>
                <w:color w:val="auto"/>
              </w:rPr>
              <w:t>Years Credited</w:t>
            </w:r>
          </w:p>
        </w:tc>
        <w:tc>
          <w:tcPr>
            <w:tcW w:w="300" w:type="dxa"/>
            <w:vAlign w:val="bottom"/>
          </w:tcPr>
          <w:p>
            <w:pPr>
              <w:spacing w:after="0"/>
              <w:rPr>
                <w:sz w:val="15"/>
                <w:szCs w:val="15"/>
                <w:color w:val="auto"/>
              </w:rPr>
            </w:pPr>
          </w:p>
        </w:tc>
        <w:tc>
          <w:tcPr>
            <w:tcW w:w="1260" w:type="dxa"/>
            <w:vAlign w:val="bottom"/>
          </w:tcPr>
          <w:p>
            <w:pPr>
              <w:jc w:val="center"/>
              <w:ind w:right="255"/>
              <w:spacing w:after="0"/>
              <w:rPr>
                <w:sz w:val="20"/>
                <w:szCs w:val="20"/>
                <w:color w:val="auto"/>
              </w:rPr>
            </w:pPr>
            <w:r>
              <w:rPr>
                <w:rFonts w:ascii="Arial" w:cs="Arial" w:eastAsia="Arial" w:hAnsi="Arial"/>
                <w:sz w:val="14"/>
                <w:szCs w:val="14"/>
                <w:b w:val="1"/>
                <w:bCs w:val="1"/>
                <w:color w:val="auto"/>
              </w:rPr>
              <w:t>Accumulated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205"/>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(1)</w:t>
            </w:r>
          </w:p>
        </w:tc>
        <w:tc>
          <w:tcPr>
            <w:tcW w:w="422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Plan Name</w:t>
            </w:r>
          </w:p>
        </w:tc>
        <w:tc>
          <w:tcPr>
            <w:tcW w:w="168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b w:val="1"/>
                <w:bCs w:val="1"/>
                <w:color w:val="auto"/>
              </w:rPr>
              <w:t>Service</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Benefit (5)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250"/>
        </w:trPr>
        <w:tc>
          <w:tcPr>
            <w:tcW w:w="23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Richard K. Templeton (2)</w:t>
            </w:r>
          </w:p>
        </w:tc>
        <w:tc>
          <w:tcPr>
            <w:tcW w:w="42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TI Employees Pension Plan</w:t>
            </w:r>
          </w:p>
        </w:tc>
        <w:tc>
          <w:tcPr>
            <w:tcW w:w="1680" w:type="dxa"/>
            <w:vAlign w:val="bottom"/>
            <w:tcBorders>
              <w:bottom w:val="single" w:sz="8" w:color="DBDBDB"/>
            </w:tcBorders>
            <w:shd w:val="clear" w:color="auto" w:fill="DBDBDB"/>
          </w:tcPr>
          <w:p>
            <w:pPr>
              <w:jc w:val="center"/>
              <w:ind w:left="216"/>
              <w:spacing w:after="0"/>
              <w:rPr>
                <w:sz w:val="20"/>
                <w:szCs w:val="20"/>
                <w:color w:val="auto"/>
              </w:rPr>
            </w:pPr>
            <w:r>
              <w:rPr>
                <w:rFonts w:ascii="Arial" w:cs="Arial" w:eastAsia="Arial" w:hAnsi="Arial"/>
                <w:sz w:val="18"/>
                <w:szCs w:val="18"/>
                <w:color w:val="auto"/>
                <w:w w:val="97"/>
              </w:rPr>
              <w:t>16 (3)</w:t>
            </w:r>
          </w:p>
        </w:tc>
        <w:tc>
          <w:tcPr>
            <w:tcW w:w="3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color w:val="auto"/>
              </w:rPr>
              <w:t>879,873</w:t>
            </w:r>
          </w:p>
        </w:tc>
        <w:tc>
          <w:tcPr>
            <w:tcW w:w="13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47"/>
        </w:trPr>
        <w:tc>
          <w:tcPr>
            <w:tcW w:w="2340" w:type="dxa"/>
            <w:vAlign w:val="bottom"/>
          </w:tcPr>
          <w:p>
            <w:pPr>
              <w:spacing w:after="0"/>
              <w:rPr>
                <w:sz w:val="21"/>
                <w:szCs w:val="21"/>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TI Employees Non-Qualified Pension Plan</w:t>
            </w:r>
          </w:p>
        </w:tc>
        <w:tc>
          <w:tcPr>
            <w:tcW w:w="1680" w:type="dxa"/>
            <w:vAlign w:val="bottom"/>
          </w:tcPr>
          <w:p>
            <w:pPr>
              <w:jc w:val="center"/>
              <w:ind w:left="216"/>
              <w:spacing w:after="0"/>
              <w:rPr>
                <w:sz w:val="20"/>
                <w:szCs w:val="20"/>
                <w:color w:val="auto"/>
              </w:rPr>
            </w:pPr>
            <w:r>
              <w:rPr>
                <w:rFonts w:ascii="Arial" w:cs="Arial" w:eastAsia="Arial" w:hAnsi="Arial"/>
                <w:sz w:val="18"/>
                <w:szCs w:val="18"/>
                <w:color w:val="auto"/>
                <w:w w:val="97"/>
              </w:rPr>
              <w:t>16 (3)</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545,539</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23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340" w:type="dxa"/>
            <w:vAlign w:val="bottom"/>
            <w:tcBorders>
              <w:bottom w:val="single" w:sz="8" w:color="DBDBDB"/>
            </w:tcBorders>
            <w:shd w:val="clear" w:color="auto" w:fill="DBDBDB"/>
          </w:tcPr>
          <w:p>
            <w:pPr>
              <w:spacing w:after="0"/>
              <w:rPr>
                <w:sz w:val="21"/>
                <w:szCs w:val="21"/>
                <w:color w:val="auto"/>
              </w:rPr>
            </w:pPr>
          </w:p>
        </w:tc>
        <w:tc>
          <w:tcPr>
            <w:tcW w:w="42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TI Employees Non-Qualified Pension Plan II</w:t>
            </w:r>
          </w:p>
        </w:tc>
        <w:tc>
          <w:tcPr>
            <w:tcW w:w="1680" w:type="dxa"/>
            <w:vAlign w:val="bottom"/>
            <w:tcBorders>
              <w:bottom w:val="single" w:sz="8" w:color="DBDBDB"/>
            </w:tcBorders>
            <w:shd w:val="clear" w:color="auto" w:fill="DBDBDB"/>
          </w:tcPr>
          <w:p>
            <w:pPr>
              <w:jc w:val="center"/>
              <w:ind w:left="216"/>
              <w:spacing w:after="0"/>
              <w:rPr>
                <w:sz w:val="20"/>
                <w:szCs w:val="20"/>
                <w:color w:val="auto"/>
              </w:rPr>
            </w:pPr>
            <w:r>
              <w:rPr>
                <w:rFonts w:ascii="Arial" w:cs="Arial" w:eastAsia="Arial" w:hAnsi="Arial"/>
                <w:sz w:val="18"/>
                <w:szCs w:val="18"/>
                <w:color w:val="auto"/>
                <w:w w:val="97"/>
              </w:rPr>
              <w:t>16 (4)</w:t>
            </w:r>
          </w:p>
        </w:tc>
        <w:tc>
          <w:tcPr>
            <w:tcW w:w="3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color w:val="auto"/>
              </w:rPr>
              <w:t>104,563</w:t>
            </w:r>
          </w:p>
        </w:tc>
        <w:tc>
          <w:tcPr>
            <w:tcW w:w="13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34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2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 (2)</w:t>
            </w:r>
          </w:p>
        </w:tc>
        <w:tc>
          <w:tcPr>
            <w:tcW w:w="42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TI Employees Pension Plan</w:t>
            </w:r>
          </w:p>
        </w:tc>
        <w:tc>
          <w:tcPr>
            <w:tcW w:w="1680" w:type="dxa"/>
            <w:vAlign w:val="bottom"/>
            <w:tcBorders>
              <w:bottom w:val="single" w:sz="8" w:color="DBDBDB"/>
            </w:tcBorders>
            <w:shd w:val="clear" w:color="auto" w:fill="DBDBDB"/>
          </w:tcPr>
          <w:p>
            <w:pPr>
              <w:jc w:val="center"/>
              <w:ind w:left="216"/>
              <w:spacing w:after="0"/>
              <w:rPr>
                <w:sz w:val="20"/>
                <w:szCs w:val="20"/>
                <w:color w:val="auto"/>
              </w:rPr>
            </w:pPr>
            <w:r>
              <w:rPr>
                <w:rFonts w:ascii="Arial" w:cs="Arial" w:eastAsia="Arial" w:hAnsi="Arial"/>
                <w:sz w:val="18"/>
                <w:szCs w:val="18"/>
                <w:color w:val="auto"/>
              </w:rPr>
              <w:t>4 (3)</w:t>
            </w:r>
          </w:p>
        </w:tc>
        <w:tc>
          <w:tcPr>
            <w:tcW w:w="3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color w:val="auto"/>
              </w:rPr>
              <w:t>12,312</w:t>
            </w:r>
          </w:p>
        </w:tc>
        <w:tc>
          <w:tcPr>
            <w:tcW w:w="13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47"/>
        </w:trPr>
        <w:tc>
          <w:tcPr>
            <w:tcW w:w="2340" w:type="dxa"/>
            <w:vAlign w:val="bottom"/>
          </w:tcPr>
          <w:p>
            <w:pPr>
              <w:spacing w:after="0"/>
              <w:rPr>
                <w:sz w:val="21"/>
                <w:szCs w:val="21"/>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TI Employees Non-Qualified Pension Plan</w:t>
            </w:r>
          </w:p>
        </w:tc>
        <w:tc>
          <w:tcPr>
            <w:tcW w:w="1680" w:type="dxa"/>
            <w:vAlign w:val="bottom"/>
          </w:tcPr>
          <w:p>
            <w:pPr>
              <w:jc w:val="center"/>
              <w:ind w:left="216"/>
              <w:spacing w:after="0"/>
              <w:rPr>
                <w:sz w:val="20"/>
                <w:szCs w:val="20"/>
                <w:color w:val="auto"/>
              </w:rPr>
            </w:pPr>
            <w:r>
              <w:rPr>
                <w:rFonts w:ascii="Arial" w:cs="Arial" w:eastAsia="Arial" w:hAnsi="Arial"/>
                <w:sz w:val="18"/>
                <w:szCs w:val="18"/>
                <w:color w:val="auto"/>
              </w:rPr>
              <w:t>4 (3)</w:t>
            </w:r>
          </w:p>
        </w:tc>
        <w:tc>
          <w:tcPr>
            <w:tcW w:w="300" w:type="dxa"/>
            <w:vAlign w:val="bottom"/>
          </w:tcPr>
          <w:p>
            <w:pPr>
              <w:spacing w:after="0"/>
              <w:rPr>
                <w:sz w:val="21"/>
                <w:szCs w:val="21"/>
                <w:color w:val="auto"/>
              </w:rPr>
            </w:pPr>
          </w:p>
        </w:tc>
        <w:tc>
          <w:tcPr>
            <w:tcW w:w="1260" w:type="dxa"/>
            <w:vAlign w:val="bottom"/>
          </w:tcPr>
          <w:p>
            <w:pPr>
              <w:jc w:val="center"/>
              <w:ind w:right="275"/>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23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2340" w:type="dxa"/>
            <w:vAlign w:val="bottom"/>
            <w:shd w:val="clear" w:color="auto" w:fill="DBDBDB"/>
          </w:tcPr>
          <w:p>
            <w:pPr>
              <w:spacing w:after="0"/>
              <w:rPr>
                <w:sz w:val="21"/>
                <w:szCs w:val="21"/>
                <w:color w:val="auto"/>
              </w:rPr>
            </w:pPr>
          </w:p>
        </w:tc>
        <w:tc>
          <w:tcPr>
            <w:tcW w:w="42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TI Employees Non-Qualified Pension Plan II</w:t>
            </w:r>
          </w:p>
        </w:tc>
        <w:tc>
          <w:tcPr>
            <w:tcW w:w="1680" w:type="dxa"/>
            <w:vAlign w:val="bottom"/>
            <w:shd w:val="clear" w:color="auto" w:fill="DBDBDB"/>
          </w:tcPr>
          <w:p>
            <w:pPr>
              <w:jc w:val="center"/>
              <w:ind w:left="21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spacing w:after="0"/>
              <w:rPr>
                <w:sz w:val="21"/>
                <w:szCs w:val="21"/>
                <w:color w:val="auto"/>
              </w:rPr>
            </w:pPr>
          </w:p>
        </w:tc>
        <w:tc>
          <w:tcPr>
            <w:tcW w:w="1260" w:type="dxa"/>
            <w:vAlign w:val="bottom"/>
            <w:shd w:val="clear" w:color="auto" w:fill="DBDBDB"/>
          </w:tcPr>
          <w:p>
            <w:pPr>
              <w:jc w:val="center"/>
              <w:ind w:right="275"/>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2340" w:type="dxa"/>
            <w:vAlign w:val="bottom"/>
            <w:shd w:val="clear" w:color="auto" w:fill="DBDBDB"/>
          </w:tcPr>
          <w:p>
            <w:pPr>
              <w:spacing w:after="0"/>
              <w:rPr>
                <w:sz w:val="2"/>
                <w:szCs w:val="2"/>
                <w:color w:val="auto"/>
              </w:rPr>
            </w:pPr>
          </w:p>
        </w:tc>
        <w:tc>
          <w:tcPr>
            <w:tcW w:w="422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30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500" w:right="380" w:hanging="492"/>
        <w:spacing w:after="0" w:line="287" w:lineRule="auto"/>
        <w:tabs>
          <w:tab w:leader="none" w:pos="4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Messrs. Lizardi, Ilan and Kozanian do not participate in any of the company’s defined benefit pension plans because they joined TI after these plans were closed to new participants.</w:t>
      </w:r>
    </w:p>
    <w:p>
      <w:pPr>
        <w:spacing w:after="0" w:line="44" w:lineRule="exact"/>
        <w:rPr>
          <w:rFonts w:ascii="Arial" w:cs="Arial" w:eastAsia="Arial" w:hAnsi="Arial"/>
          <w:sz w:val="18"/>
          <w:szCs w:val="18"/>
          <w:color w:val="auto"/>
        </w:rPr>
      </w:pPr>
    </w:p>
    <w:p>
      <w:pPr>
        <w:ind w:left="500" w:right="40" w:hanging="492"/>
        <w:spacing w:after="0" w:line="259" w:lineRule="auto"/>
        <w:tabs>
          <w:tab w:leader="none" w:pos="4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 or participating in a new enhanced defined contribution retirement plan. Mr. Templeton and Mr. Flessner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Flessner’s benefits are included in the 2022 summary compensation table.</w:t>
      </w:r>
    </w:p>
    <w:p>
      <w:pPr>
        <w:spacing w:after="0" w:line="71" w:lineRule="exact"/>
        <w:rPr>
          <w:rFonts w:ascii="Arial" w:cs="Arial" w:eastAsia="Arial" w:hAnsi="Arial"/>
          <w:sz w:val="18"/>
          <w:szCs w:val="18"/>
          <w:color w:val="auto"/>
        </w:rPr>
      </w:pPr>
    </w:p>
    <w:p>
      <w:pPr>
        <w:ind w:left="500" w:right="120" w:hanging="492"/>
        <w:spacing w:after="0" w:line="268" w:lineRule="auto"/>
        <w:tabs>
          <w:tab w:leader="none" w:pos="4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Credited service began on the date the officer became eligible to participate in the plan. Eligibility to participate began on the earlier of 18 months of employment, or January 1 following the completion of one year of employment. Accordingly, Mr. Templeton and Mr. Flessner have been employed by TI for longer than the years of credited service shown in the preceding table.</w:t>
      </w:r>
    </w:p>
    <w:p>
      <w:pPr>
        <w:spacing w:after="0" w:line="62" w:lineRule="exact"/>
        <w:rPr>
          <w:rFonts w:ascii="Arial" w:cs="Arial" w:eastAsia="Arial" w:hAnsi="Arial"/>
          <w:sz w:val="18"/>
          <w:szCs w:val="18"/>
          <w:color w:val="auto"/>
        </w:rPr>
      </w:pPr>
    </w:p>
    <w:p>
      <w:pPr>
        <w:ind w:left="500" w:right="340" w:hanging="492"/>
        <w:spacing w:after="0" w:line="287" w:lineRule="auto"/>
        <w:tabs>
          <w:tab w:leader="none" w:pos="4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w:t>
      </w:r>
    </w:p>
    <w:p>
      <w:pPr>
        <w:spacing w:after="0" w:line="44" w:lineRule="exact"/>
        <w:rPr>
          <w:rFonts w:ascii="Arial" w:cs="Arial" w:eastAsia="Arial" w:hAnsi="Arial"/>
          <w:sz w:val="18"/>
          <w:szCs w:val="18"/>
          <w:color w:val="auto"/>
        </w:rPr>
      </w:pPr>
    </w:p>
    <w:p>
      <w:pPr>
        <w:ind w:left="500" w:hanging="492"/>
        <w:spacing w:after="0" w:line="255" w:lineRule="auto"/>
        <w:tabs>
          <w:tab w:leader="none" w:pos="4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8 to the 2022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2022, is determined using either (i) the Pension Benefit Guaranty Corporation (PBGC) interest assumption of 1.75% in 2023; 2.60% in 2024+ or (ii) the Pension Protection Act of 2006 (PPA) corporate bond yield interest assumption of 4.75% in 2023; and 5.60% in 2024+, whichever rates produce the higher lump-sum amount. A discount rate assumption of 5.67% for the TI Employees Pension Plan and 5.68% for the non-qualified pension plans was used to determine the present value of each lump sum.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 Employees Pension Plan</w:t>
      </w:r>
    </w:p>
    <w:p>
      <w:pPr>
        <w:spacing w:after="0" w:line="2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Plan participants are eligible for normal retirement under the terms of the plan at 65 years of age with one year of credited service.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eligible for early retirement at 55 years of age with 20 years of employment or 60 years of age with five years of employment.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Mr. Templeton was eligible for early retirement.</w:t>
      </w:r>
    </w:p>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survivor annuity, (v) joint and 75% survivor annuity and (vi) joint and 100% survivor annuity. Participants who do not request payment will begin to receive benefits in April of the year after reaching the age of 72 in the form of annuity required under the IRC.</w:t>
      </w:r>
    </w:p>
    <w:p>
      <w:pPr>
        <w:spacing w:after="0" w:line="17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 employees non-qualified pension plans</w:t>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8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76"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ind w:right="20"/>
        <w:spacing w:after="0" w:line="287"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of TI common stock other than through a transaction approved by the board of directors or (ii) 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 Employees Survivor Benefit Plan</w:t>
      </w:r>
    </w:p>
    <w:p>
      <w:pPr>
        <w:spacing w:after="0" w:line="2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early retirement as of December 31, 2022, his beneficiaries would be eligible for benefits under the survivor benefit plan if he were to die.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non-qualified deferred compensation</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2022 and the aggregate amount of his deferred compensation as of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center"/>
              <w:ind w:right="333"/>
              <w:spacing w:after="0"/>
              <w:rPr>
                <w:sz w:val="20"/>
                <w:szCs w:val="20"/>
                <w:color w:val="auto"/>
              </w:rPr>
            </w:pPr>
            <w:r>
              <w:rPr>
                <w:rFonts w:ascii="Arial" w:cs="Arial" w:eastAsia="Arial" w:hAnsi="Arial"/>
                <w:sz w:val="14"/>
                <w:szCs w:val="14"/>
                <w:b w:val="1"/>
                <w:bCs w:val="1"/>
                <w:color w:val="auto"/>
              </w:rPr>
              <w:t>Executive</w:t>
            </w:r>
          </w:p>
        </w:tc>
        <w:tc>
          <w:tcPr>
            <w:tcW w:w="480" w:type="dxa"/>
            <w:vAlign w:val="bottom"/>
          </w:tcPr>
          <w:p>
            <w:pPr>
              <w:spacing w:after="0"/>
              <w:rPr>
                <w:sz w:val="15"/>
                <w:szCs w:val="15"/>
                <w:color w:val="auto"/>
              </w:rPr>
            </w:pPr>
          </w:p>
        </w:tc>
        <w:tc>
          <w:tcPr>
            <w:tcW w:w="1160" w:type="dxa"/>
            <w:vAlign w:val="bottom"/>
          </w:tcPr>
          <w:p>
            <w:pPr>
              <w:jc w:val="center"/>
              <w:ind w:right="313"/>
              <w:spacing w:after="0"/>
              <w:rPr>
                <w:sz w:val="20"/>
                <w:szCs w:val="20"/>
                <w:color w:val="auto"/>
              </w:rPr>
            </w:pPr>
            <w:r>
              <w:rPr>
                <w:rFonts w:ascii="Arial" w:cs="Arial" w:eastAsia="Arial" w:hAnsi="Arial"/>
                <w:sz w:val="14"/>
                <w:szCs w:val="14"/>
                <w:b w:val="1"/>
                <w:bCs w:val="1"/>
                <w:color w:val="auto"/>
              </w:rPr>
              <w:t>Registrant</w:t>
            </w:r>
          </w:p>
        </w:tc>
        <w:tc>
          <w:tcPr>
            <w:tcW w:w="50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rPr>
              <w:t>Aggregate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rPr>
              <w:t>Aggregate</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164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Contributions</w:t>
            </w:r>
          </w:p>
        </w:tc>
        <w:tc>
          <w:tcPr>
            <w:tcW w:w="50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rPr>
              <w:t>Earnings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Withdrawals/</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Balance at Last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8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Last FY (1)</w:t>
            </w:r>
          </w:p>
        </w:tc>
        <w:tc>
          <w:tcPr>
            <w:tcW w:w="1640" w:type="dxa"/>
            <w:vAlign w:val="bottom"/>
            <w:tcBorders>
              <w:bottom w:val="single" w:sz="8" w:color="auto"/>
            </w:tcBorders>
            <w:gridSpan w:val="2"/>
          </w:tcPr>
          <w:p>
            <w:pPr>
              <w:jc w:val="center"/>
              <w:ind w:left="15"/>
              <w:spacing w:after="0"/>
              <w:rPr>
                <w:sz w:val="20"/>
                <w:szCs w:val="20"/>
                <w:color w:val="auto"/>
              </w:rPr>
            </w:pPr>
            <w:r>
              <w:rPr>
                <w:rFonts w:ascii="Arial" w:cs="Arial" w:eastAsia="Arial" w:hAnsi="Arial"/>
                <w:sz w:val="14"/>
                <w:szCs w:val="14"/>
                <w:b w:val="1"/>
                <w:bCs w:val="1"/>
                <w:color w:val="auto"/>
              </w:rPr>
              <w:t>in Last FY (2)</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 Last FY</w:t>
            </w: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FYE (5)</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207,913</w:t>
            </w: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ind w:right="213"/>
              <w:spacing w:after="0"/>
              <w:rPr>
                <w:sz w:val="20"/>
                <w:szCs w:val="20"/>
                <w:color w:val="auto"/>
              </w:rPr>
            </w:pPr>
            <w:r>
              <w:rPr>
                <w:rFonts w:ascii="Arial" w:cs="Arial" w:eastAsia="Arial" w:hAnsi="Arial"/>
                <w:sz w:val="18"/>
                <w:szCs w:val="18"/>
                <w:color w:val="auto"/>
              </w:rPr>
              <w:t>298,947</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(2,205,856)</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1,051,345</w:t>
            </w:r>
          </w:p>
        </w:tc>
        <w:tc>
          <w:tcPr>
            <w:tcW w:w="48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21,109,883</w:t>
            </w:r>
          </w:p>
        </w:tc>
        <w:tc>
          <w:tcPr>
            <w:tcW w:w="5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7"/>
        </w:trPr>
        <w:tc>
          <w:tcPr>
            <w:tcW w:w="208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61,400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89,215</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(108,955)</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247,565</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705,723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326,854</w:t>
            </w: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ind w:right="213"/>
              <w:spacing w:after="0"/>
              <w:rPr>
                <w:sz w:val="20"/>
                <w:szCs w:val="20"/>
                <w:color w:val="auto"/>
              </w:rPr>
            </w:pPr>
            <w:r>
              <w:rPr>
                <w:rFonts w:ascii="Arial" w:cs="Arial" w:eastAsia="Arial" w:hAnsi="Arial"/>
                <w:sz w:val="18"/>
                <w:szCs w:val="18"/>
                <w:color w:val="auto"/>
              </w:rPr>
              <w:t>92,619</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(331,215)</w:t>
            </w:r>
          </w:p>
        </w:tc>
        <w:tc>
          <w:tcPr>
            <w:tcW w:w="4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1,938,863</w:t>
            </w:r>
          </w:p>
        </w:tc>
        <w:tc>
          <w:tcPr>
            <w:tcW w:w="52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8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53,000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61,732</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(30,476)</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60,365</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175,428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233"/>
              <w:spacing w:after="0"/>
              <w:rPr>
                <w:sz w:val="20"/>
                <w:szCs w:val="20"/>
                <w:color w:val="auto"/>
              </w:rPr>
            </w:pPr>
            <w:r>
              <w:rPr>
                <w:rFonts w:ascii="Arial" w:cs="Arial" w:eastAsia="Arial" w:hAnsi="Arial"/>
                <w:sz w:val="18"/>
                <w:szCs w:val="18"/>
                <w:color w:val="auto"/>
              </w:rPr>
              <w:t>66,250</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213"/>
              <w:spacing w:after="0"/>
              <w:rPr>
                <w:sz w:val="20"/>
                <w:szCs w:val="20"/>
                <w:color w:val="auto"/>
              </w:rPr>
            </w:pPr>
            <w:r>
              <w:rPr>
                <w:rFonts w:ascii="Arial" w:cs="Arial" w:eastAsia="Arial" w:hAnsi="Arial"/>
                <w:sz w:val="18"/>
                <w:szCs w:val="18"/>
                <w:color w:val="auto"/>
              </w:rPr>
              <w:t>102,299</w:t>
            </w:r>
          </w:p>
        </w:tc>
        <w:tc>
          <w:tcPr>
            <w:tcW w:w="5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(63,089)</w:t>
            </w:r>
          </w:p>
        </w:tc>
        <w:tc>
          <w:tcPr>
            <w:tcW w:w="420" w:type="dxa"/>
            <w:vAlign w:val="bottom"/>
            <w:shd w:val="clear" w:color="auto" w:fill="DBDBDB"/>
          </w:tcPr>
          <w:p>
            <w:pPr>
              <w:spacing w:after="0"/>
              <w:rPr>
                <w:sz w:val="21"/>
                <w:szCs w:val="21"/>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153,806</w:t>
            </w:r>
          </w:p>
        </w:tc>
        <w:tc>
          <w:tcPr>
            <w:tcW w:w="480" w:type="dxa"/>
            <w:vAlign w:val="bottom"/>
            <w:shd w:val="clear" w:color="auto" w:fill="DBDBDB"/>
          </w:tcPr>
          <w:p>
            <w:pPr>
              <w:spacing w:after="0"/>
              <w:rPr>
                <w:sz w:val="21"/>
                <w:szCs w:val="21"/>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377,994</w:t>
            </w:r>
          </w:p>
        </w:tc>
        <w:tc>
          <w:tcPr>
            <w:tcW w:w="5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8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5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right="120" w:hanging="492"/>
        <w:spacing w:after="0" w:line="287" w:lineRule="auto"/>
        <w:tabs>
          <w:tab w:leader="none" w:pos="4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Amounts shown for Messrs. Templeton and Ilan include a portion of their salary and bonus paid in 2022, for Mr. Lizardi a portion of his salary paid in 2022 and for Messrs. Flessner and Kozanian a portion of their bonus paid in 2022.</w:t>
      </w:r>
    </w:p>
    <w:p>
      <w:pPr>
        <w:spacing w:after="0" w:line="44" w:lineRule="exact"/>
        <w:rPr>
          <w:rFonts w:ascii="Arial" w:cs="Arial" w:eastAsia="Arial" w:hAnsi="Arial"/>
          <w:sz w:val="18"/>
          <w:szCs w:val="18"/>
          <w:color w:val="auto"/>
        </w:rPr>
      </w:pPr>
    </w:p>
    <w:p>
      <w:pPr>
        <w:ind w:left="500" w:right="1200" w:hanging="492"/>
        <w:spacing w:after="0" w:line="287" w:lineRule="auto"/>
        <w:tabs>
          <w:tab w:leader="none" w:pos="4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2022 summary compensation table.</w:t>
      </w:r>
    </w:p>
    <w:p>
      <w:pPr>
        <w:spacing w:after="0" w:line="44" w:lineRule="exact"/>
        <w:rPr>
          <w:rFonts w:ascii="Arial" w:cs="Arial" w:eastAsia="Arial" w:hAnsi="Arial"/>
          <w:sz w:val="18"/>
          <w:szCs w:val="18"/>
          <w:color w:val="auto"/>
        </w:rPr>
      </w:pPr>
    </w:p>
    <w:p>
      <w:pPr>
        <w:ind w:left="500" w:right="20" w:hanging="492"/>
        <w:spacing w:after="0" w:line="278" w:lineRule="auto"/>
        <w:tabs>
          <w:tab w:leader="none" w:pos="4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Consists of: (i) $562,800 in dividend equivalents paid under the 120,000-share 1995 RSU award previously discussed, settlement of which has been deferred until after termination of employment; (ii) a $2,790,000 decrease in the value of the RSU award (calculated by subtracting the value of the award at year-end 2021 from the value of the award at year-end 2022 (in both cases, the number of RSUs is multiplied by the closing price of TI common stock on the last trading date of the year)); and (iii) a $21,344 gain in Mr. Templeton’s deferred compensation account in 2022. Dividend equivalents are paid at the same rate as dividends on TI common stock.</w:t>
      </w:r>
    </w:p>
    <w:p>
      <w:pPr>
        <w:spacing w:after="0" w:line="55" w:lineRule="exact"/>
        <w:rPr>
          <w:rFonts w:ascii="Arial" w:cs="Arial" w:eastAsia="Arial" w:hAnsi="Arial"/>
          <w:sz w:val="17"/>
          <w:szCs w:val="17"/>
          <w:color w:val="auto"/>
        </w:rPr>
      </w:pPr>
    </w:p>
    <w:p>
      <w:pPr>
        <w:ind w:left="500" w:right="400" w:hanging="492"/>
        <w:spacing w:after="0" w:line="287" w:lineRule="auto"/>
        <w:tabs>
          <w:tab w:leader="none" w:pos="4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$488,545 deferred compensation plan account distribution.</w:t>
      </w:r>
    </w:p>
    <w:p>
      <w:pPr>
        <w:spacing w:after="0" w:line="44" w:lineRule="exact"/>
        <w:rPr>
          <w:rFonts w:ascii="Arial" w:cs="Arial" w:eastAsia="Arial" w:hAnsi="Arial"/>
          <w:sz w:val="18"/>
          <w:szCs w:val="18"/>
          <w:color w:val="auto"/>
        </w:rPr>
      </w:pPr>
    </w:p>
    <w:p>
      <w:pPr>
        <w:ind w:left="500" w:right="20" w:hanging="492"/>
        <w:spacing w:after="0" w:line="268" w:lineRule="auto"/>
        <w:tabs>
          <w:tab w:leader="none" w:pos="4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ind w:left="500" w:right="180" w:hanging="492"/>
        <w:spacing w:after="0" w:line="287" w:lineRule="auto"/>
        <w:tabs>
          <w:tab w:leader="none" w:pos="4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this amount, $19,826,400 is attributable to Mr. Templeton’s 1995 RSU award, calculated as described in Note 3. The remainder is the balance of his deferred compensation account.</w:t>
      </w:r>
    </w:p>
    <w:p>
      <w:pPr>
        <w:spacing w:after="0" w:line="153" w:lineRule="exact"/>
        <w:rPr>
          <w:sz w:val="20"/>
          <w:szCs w:val="20"/>
          <w:color w:val="auto"/>
        </w:rPr>
      </w:pPr>
    </w:p>
    <w:p>
      <w:pPr>
        <w:ind w:right="520"/>
        <w:spacing w:after="0" w:line="276" w:lineRule="auto"/>
        <w:rPr>
          <w:sz w:val="20"/>
          <w:szCs w:val="20"/>
          <w:color w:val="auto"/>
        </w:rPr>
      </w:pPr>
      <w:r>
        <w:rPr>
          <w:rFonts w:ascii="Arial" w:cs="Arial" w:eastAsia="Arial" w:hAnsi="Arial"/>
          <w:sz w:val="17"/>
          <w:szCs w:val="17"/>
          <w:color w:val="auto"/>
        </w:rPr>
        <w:t>See “Benefits – Retirement plans” for a discussion of the purpose of the plan. An employee’s deferred compensation account contains eligible compensation the employee has elected to defer and contributions by the company that are in excess of the IRS limits on</w:t>
      </w:r>
    </w:p>
    <w:p>
      <w:pPr>
        <w:ind w:right="220" w:firstLine="8"/>
        <w:spacing w:after="0" w:line="266" w:lineRule="auto"/>
        <w:tabs>
          <w:tab w:leader="none" w:pos="2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2022,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2030 Fund F, BlackRock Lifepath Index 2040 Fund F, BlackRock Lifepath Index 2050 Fund F, BlackRock Lifepath Index 2025 Fund F, BlackRock Lifepath Index 2035 Fund F, BlackRock Lifepath Index 2045 Fund F, BlackRock Lifepath Index 2055 Fund F, BlackRock Lifepath Index 2060 Fund F and BlackRock Lifepath Index Retirement Fund F.</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5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179"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3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2023 PROXY STATEMENT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51" w:name="page52"/>
    <w:bookmarkEnd w:id="51"/>
    <w:p>
      <w:pPr>
        <w:ind w:right="20"/>
        <w:spacing w:after="0" w:line="287" w:lineRule="auto"/>
        <w:rPr>
          <w:sz w:val="20"/>
          <w:szCs w:val="20"/>
          <w:color w:val="auto"/>
        </w:rPr>
      </w:pPr>
      <w:r>
        <w:rPr>
          <w:rFonts w:ascii="Arial" w:cs="Arial" w:eastAsia="Arial" w:hAnsi="Arial"/>
          <w:sz w:val="18"/>
          <w:szCs w:val="18"/>
          <w:color w:val="auto"/>
        </w:rPr>
        <w:t>programs on the compensation decisions for 2022, see “Analysis of compensation determinations – Total compensation” and “Compensation following employment termination or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w:t>
      </w:r>
    </w:p>
    <w:p>
      <w:pPr>
        <w:spacing w:after="0" w:line="2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Bonus</w:t>
      </w:r>
    </w:p>
    <w:p>
      <w:pPr>
        <w:spacing w:after="0" w:line="2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Qualified and non-qualified defined benefit pension plans</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“2022 pension benefits.” The amounts disbursed under the qualified and non-qualified plans are paid, respectively, by the TI Employees Pension Trust and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Survivor benefit plan</w:t>
      </w:r>
    </w:p>
    <w:p>
      <w:pPr>
        <w:spacing w:after="0" w:line="218"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“2022 pension benefits – TI Employees Survivor Benefit Plan.” Amounts distributed are paid by the TI Employees Health Benefit Trust.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Deferred compensation plan</w:t>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The timing of payments is discussed under “2022 non-qualified deferred compensation” and except in the case of death, payments are made according to the participant’s distribution election. Amounts distributed are paid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compensation</w:t>
      </w:r>
    </w:p>
    <w:p>
      <w:pPr>
        <w:spacing w:after="0" w:line="2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2022 table. RSU awards include a right to receive dividend equivalents. The dividend equivalents are paid annually by the company in a single cash payment after the last dividend payment of the year.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Perquisites</w:t>
      </w:r>
    </w:p>
    <w:p>
      <w:pPr>
        <w:spacing w:after="0" w:line="21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ind w:right="20"/>
        <w:spacing w:after="0" w:line="259" w:lineRule="auto"/>
        <w:rPr>
          <w:sz w:val="20"/>
          <w:szCs w:val="20"/>
          <w:color w:val="auto"/>
        </w:rPr>
      </w:pPr>
      <w:r>
        <w:rPr>
          <w:rFonts w:ascii="Arial" w:cs="Arial" w:eastAsia="Arial" w:hAnsi="Arial"/>
          <w:sz w:val="18"/>
          <w:szCs w:val="18"/>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 in control</w:t>
      </w:r>
    </w:p>
    <w:p>
      <w:pPr>
        <w:spacing w:after="0" w:line="23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2022, would have accelerated payment of the balance under that plan. See “2022 pension benefits – TI employees non-qualified pension plans” for a discussion of the purpose of change in control provisions of that plan as well as the circumstances and the timing of payment.</w:t>
      </w:r>
    </w:p>
    <w:p>
      <w:pPr>
        <w:spacing w:after="0" w:line="17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2022 table for further information concerning change in control provisions relating to stock options and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2023 PROXY STATEMENT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3" w:name="page54"/>
    <w:bookmarkEnd w:id="53"/>
    <w:p>
      <w:pPr>
        <w:ind w:right="580"/>
        <w:spacing w:after="0" w:line="287" w:lineRule="auto"/>
        <w:rPr>
          <w:sz w:val="20"/>
          <w:szCs w:val="20"/>
          <w:color w:val="auto"/>
        </w:rPr>
      </w:pPr>
      <w:r>
        <w:rPr>
          <w:rFonts w:ascii="Arial" w:cs="Arial" w:eastAsia="Arial" w:hAnsi="Arial"/>
          <w:sz w:val="18"/>
          <w:szCs w:val="18"/>
          <w:color w:val="auto"/>
        </w:rPr>
        <w:t>The table below shows as of December 31, 2022, the potential payments upon termination or change in control for each of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Resignation;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108"/>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Termination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Disability</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Death</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for Cause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for Cause)</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Retirement</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 Control</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Richard K. Templeton (1)</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861,154</w:t>
            </w:r>
          </w:p>
        </w:tc>
        <w:tc>
          <w:tcPr>
            <w:tcW w:w="360" w:type="dxa"/>
            <w:vAlign w:val="bottom"/>
          </w:tcPr>
          <w:p>
            <w:pPr>
              <w:ind w:left="40"/>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466,560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927,649</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940,228</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927,649</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line="135" w:lineRule="exact"/>
              <w:rPr>
                <w:sz w:val="20"/>
                <w:szCs w:val="20"/>
                <w:color w:val="auto"/>
              </w:rPr>
            </w:pPr>
            <w:r>
              <w:rPr>
                <w:rFonts w:ascii="Arial" w:cs="Arial" w:eastAsia="Arial" w:hAnsi="Arial"/>
                <w:sz w:val="14"/>
                <w:szCs w:val="14"/>
                <w:color w:val="auto"/>
              </w:rPr>
              <w:t>Plan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609,677</w:t>
            </w:r>
          </w:p>
        </w:tc>
        <w:tc>
          <w:tcPr>
            <w:tcW w:w="36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(2)</w:t>
            </w:r>
          </w:p>
        </w:tc>
        <w:tc>
          <w:tcPr>
            <w:tcW w:w="26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288,685</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(3)</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573,983</w:t>
            </w: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609,677</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(4)</w:t>
            </w: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573,983</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(4)</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573,983</w:t>
            </w: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vMerge w:val="continue"/>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vMerge w:val="continue"/>
            <w:shd w:val="clear" w:color="auto" w:fill="DBDBDB"/>
          </w:tcPr>
          <w:p>
            <w:pPr>
              <w:spacing w:after="0"/>
              <w:rPr>
                <w:sz w:val="9"/>
                <w:szCs w:val="9"/>
                <w:color w:val="auto"/>
              </w:rPr>
            </w:pPr>
          </w:p>
        </w:tc>
        <w:tc>
          <w:tcPr>
            <w:tcW w:w="260" w:type="dxa"/>
            <w:vAlign w:val="bottom"/>
            <w:vMerge w:val="continue"/>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4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vMerge w:val="continue"/>
            <w:shd w:val="clear" w:color="auto" w:fill="DBDBDB"/>
          </w:tcPr>
          <w:p>
            <w:pPr>
              <w:spacing w:after="0"/>
              <w:rPr>
                <w:sz w:val="9"/>
                <w:szCs w:val="9"/>
                <w:color w:val="auto"/>
              </w:rPr>
            </w:pPr>
          </w:p>
        </w:tc>
        <w:tc>
          <w:tcPr>
            <w:tcW w:w="160" w:type="dxa"/>
            <w:vAlign w:val="bottom"/>
            <w:vMerge w:val="continue"/>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80" w:type="dxa"/>
            <w:vAlign w:val="bottom"/>
            <w:vMerge w:val="continue"/>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2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2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26,656</w:t>
            </w:r>
          </w:p>
        </w:tc>
        <w:tc>
          <w:tcPr>
            <w:tcW w:w="360" w:type="dxa"/>
            <w:vAlign w:val="bottom"/>
            <w:vMerge w:val="restart"/>
          </w:tcPr>
          <w:p>
            <w:pPr>
              <w:ind w:left="40"/>
              <w:spacing w:after="0"/>
              <w:rPr>
                <w:sz w:val="20"/>
                <w:szCs w:val="20"/>
                <w:color w:val="auto"/>
              </w:rPr>
            </w:pPr>
            <w:r>
              <w:rPr>
                <w:rFonts w:ascii="Arial" w:cs="Arial" w:eastAsia="Arial" w:hAnsi="Arial"/>
                <w:sz w:val="14"/>
                <w:szCs w:val="14"/>
                <w:color w:val="auto"/>
              </w:rPr>
              <w:t>(5)</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55,334</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110,020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80,701</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110,020</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801,073</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1,283,483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51,774,991</w:t>
            </w:r>
          </w:p>
        </w:tc>
        <w:tc>
          <w:tcPr>
            <w:tcW w:w="36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51,774,991</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248"/>
              <w:spacing w:after="0"/>
              <w:rPr>
                <w:sz w:val="20"/>
                <w:szCs w:val="20"/>
                <w:color w:val="auto"/>
              </w:rPr>
            </w:pPr>
            <w:r>
              <w:rPr>
                <w:rFonts w:ascii="Arial" w:cs="Arial" w:eastAsia="Arial" w:hAnsi="Arial"/>
                <w:sz w:val="14"/>
                <w:szCs w:val="14"/>
                <w:color w:val="auto"/>
              </w:rPr>
              <w:t>19,826,400</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51,774,991</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51,774,991</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248"/>
              <w:spacing w:after="0"/>
              <w:rPr>
                <w:sz w:val="20"/>
                <w:szCs w:val="20"/>
                <w:color w:val="auto"/>
              </w:rPr>
            </w:pPr>
            <w:r>
              <w:rPr>
                <w:rFonts w:ascii="Arial" w:cs="Arial" w:eastAsia="Arial" w:hAnsi="Arial"/>
                <w:sz w:val="14"/>
                <w:szCs w:val="14"/>
                <w:color w:val="auto"/>
              </w:rPr>
              <w:t>19,826,400</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182,087,160</w:t>
            </w:r>
          </w:p>
        </w:tc>
        <w:tc>
          <w:tcPr>
            <w:tcW w:w="360" w:type="dxa"/>
            <w:vAlign w:val="bottom"/>
          </w:tcPr>
          <w:p>
            <w:pPr>
              <w:ind w:left="40"/>
              <w:spacing w:after="0"/>
              <w:rPr>
                <w:sz w:val="20"/>
                <w:szCs w:val="20"/>
                <w:color w:val="auto"/>
              </w:rPr>
            </w:pPr>
            <w:r>
              <w:rPr>
                <w:rFonts w:ascii="Arial" w:cs="Arial" w:eastAsia="Arial" w:hAnsi="Arial"/>
                <w:sz w:val="14"/>
                <w:szCs w:val="14"/>
                <w:color w:val="auto"/>
              </w:rPr>
              <w:t>(11)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182,087,160</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182,087,160</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182,087,160</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20" w:type="dxa"/>
            <w:vAlign w:val="bottom"/>
            <w:shd w:val="clear" w:color="auto" w:fill="DBDBDB"/>
          </w:tcPr>
          <w:p>
            <w:pPr>
              <w:ind w:left="180"/>
              <w:spacing w:after="0"/>
              <w:rPr>
                <w:sz w:val="20"/>
                <w:szCs w:val="20"/>
                <w:color w:val="auto"/>
              </w:rPr>
            </w:pPr>
            <w:r>
              <w:rPr>
                <w:rFonts w:ascii="Arial" w:cs="Arial" w:eastAsia="Arial" w:hAnsi="Arial"/>
                <w:sz w:val="14"/>
                <w:szCs w:val="14"/>
                <w:b w:val="1"/>
                <w:bCs w:val="1"/>
                <w:color w:val="auto"/>
              </w:rPr>
              <w:t>R. K. Templeton Total</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235,359,638</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236,757,286</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21,438,052</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235,492,757</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235,473,803</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20,400,383</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Rafael R. Lizardi</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2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2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705,723</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7,869,263</w:t>
            </w:r>
          </w:p>
        </w:tc>
        <w:tc>
          <w:tcPr>
            <w:tcW w:w="360" w:type="dxa"/>
            <w:vAlign w:val="bottom"/>
          </w:tcPr>
          <w:p>
            <w:pPr>
              <w:ind w:left="40"/>
              <w:spacing w:after="0"/>
              <w:rPr>
                <w:sz w:val="20"/>
                <w:szCs w:val="20"/>
                <w:color w:val="auto"/>
              </w:rPr>
            </w:pPr>
            <w:r>
              <w:rPr>
                <w:rFonts w:ascii="Arial" w:cs="Arial" w:eastAsia="Arial" w:hAnsi="Arial"/>
                <w:sz w:val="14"/>
                <w:szCs w:val="14"/>
                <w:color w:val="auto"/>
              </w:rPr>
              <w:t>(8)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7,869,263</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5,018,117</w:t>
            </w:r>
          </w:p>
        </w:tc>
        <w:tc>
          <w:tcPr>
            <w:tcW w:w="36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5,018,117</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2,864,838</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tcPr>
          <w:p>
            <w:pPr>
              <w:ind w:left="140"/>
              <w:spacing w:after="0"/>
              <w:rPr>
                <w:sz w:val="20"/>
                <w:szCs w:val="20"/>
                <w:color w:val="auto"/>
              </w:rPr>
            </w:pPr>
            <w:r>
              <w:rPr>
                <w:rFonts w:ascii="Arial" w:cs="Arial" w:eastAsia="Arial" w:hAnsi="Arial"/>
                <w:sz w:val="14"/>
                <w:szCs w:val="14"/>
                <w:b w:val="1"/>
                <w:bCs w:val="1"/>
                <w:color w:val="auto"/>
              </w:rPr>
              <w:t>R. R. Lizardi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12,887,380</w:t>
            </w:r>
          </w:p>
        </w:tc>
        <w:tc>
          <w:tcPr>
            <w:tcW w:w="360" w:type="dxa"/>
            <w:vAlign w:val="bottom"/>
          </w:tcPr>
          <w:p>
            <w:pPr>
              <w:spacing w:after="0"/>
              <w:rPr>
                <w:sz w:val="19"/>
                <w:szCs w:val="19"/>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13,593,103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2,864,838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Haviv Ilan</w:t>
            </w: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 Pension</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2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1,938,863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13,525,240</w:t>
            </w:r>
          </w:p>
        </w:tc>
        <w:tc>
          <w:tcPr>
            <w:tcW w:w="36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13,525,240</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17,795,537</w:t>
            </w:r>
          </w:p>
        </w:tc>
        <w:tc>
          <w:tcPr>
            <w:tcW w:w="360" w:type="dxa"/>
            <w:vAlign w:val="bottom"/>
          </w:tcPr>
          <w:p>
            <w:pPr>
              <w:ind w:left="40"/>
              <w:spacing w:after="0"/>
              <w:rPr>
                <w:sz w:val="20"/>
                <w:szCs w:val="20"/>
                <w:color w:val="auto"/>
              </w:rPr>
            </w:pPr>
            <w:r>
              <w:rPr>
                <w:rFonts w:ascii="Arial" w:cs="Arial" w:eastAsia="Arial" w:hAnsi="Arial"/>
                <w:sz w:val="14"/>
                <w:szCs w:val="14"/>
                <w:color w:val="auto"/>
              </w:rPr>
              <w:t>(11)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17,795,537</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14,959,472</w:t>
            </w:r>
          </w:p>
        </w:tc>
        <w:tc>
          <w:tcPr>
            <w:tcW w:w="340" w:type="dxa"/>
            <w:vAlign w:val="bottom"/>
          </w:tcPr>
          <w:p>
            <w:pPr>
              <w:ind w:left="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2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H. Ilan Total</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31,320,777</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33,259,640</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14,959,472</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Hagop H. Kozanian</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2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2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175,428</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7,415,900</w:t>
            </w:r>
          </w:p>
        </w:tc>
        <w:tc>
          <w:tcPr>
            <w:tcW w:w="360" w:type="dxa"/>
            <w:vAlign w:val="bottom"/>
          </w:tcPr>
          <w:p>
            <w:pPr>
              <w:ind w:left="40"/>
              <w:spacing w:after="0"/>
              <w:rPr>
                <w:sz w:val="20"/>
                <w:szCs w:val="20"/>
                <w:color w:val="auto"/>
              </w:rPr>
            </w:pPr>
            <w:r>
              <w:rPr>
                <w:rFonts w:ascii="Arial" w:cs="Arial" w:eastAsia="Arial" w:hAnsi="Arial"/>
                <w:sz w:val="14"/>
                <w:szCs w:val="14"/>
                <w:color w:val="auto"/>
              </w:rPr>
              <w:t>(8)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7,415,900</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1,706,954</w:t>
            </w:r>
          </w:p>
        </w:tc>
        <w:tc>
          <w:tcPr>
            <w:tcW w:w="36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1,706,954</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20" w:type="dxa"/>
            <w:vAlign w:val="bottom"/>
          </w:tcPr>
          <w:p>
            <w:pPr>
              <w:ind w:left="140"/>
              <w:spacing w:after="0"/>
              <w:rPr>
                <w:sz w:val="20"/>
                <w:szCs w:val="20"/>
                <w:color w:val="auto"/>
              </w:rPr>
            </w:pPr>
            <w:r>
              <w:rPr>
                <w:rFonts w:ascii="Arial" w:cs="Arial" w:eastAsia="Arial" w:hAnsi="Arial"/>
                <w:sz w:val="14"/>
                <w:szCs w:val="14"/>
                <w:b w:val="1"/>
                <w:bCs w:val="1"/>
                <w:color w:val="auto"/>
              </w:rPr>
              <w:t>H. H. Kozanian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9,122,854</w:t>
            </w:r>
          </w:p>
        </w:tc>
        <w:tc>
          <w:tcPr>
            <w:tcW w:w="360" w:type="dxa"/>
            <w:vAlign w:val="bottom"/>
          </w:tcPr>
          <w:p>
            <w:pPr>
              <w:spacing w:after="0"/>
              <w:rPr>
                <w:sz w:val="18"/>
                <w:szCs w:val="18"/>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9,298,282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Resignation;</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center"/>
              <w:ind w:left="108"/>
              <w:spacing w:after="0"/>
              <w:rPr>
                <w:sz w:val="20"/>
                <w:szCs w:val="20"/>
                <w:color w:val="auto"/>
              </w:rPr>
            </w:pPr>
            <w:r>
              <w:rPr>
                <w:rFonts w:ascii="Arial" w:cs="Arial" w:eastAsia="Arial" w:hAnsi="Arial"/>
                <w:sz w:val="14"/>
                <w:szCs w:val="14"/>
                <w:b w:val="1"/>
                <w:bCs w:val="1"/>
                <w:color w:val="auto"/>
              </w:rPr>
              <w:t>Involuntary</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center"/>
              <w:ind w:left="88"/>
              <w:spacing w:after="0"/>
              <w:rPr>
                <w:sz w:val="20"/>
                <w:szCs w:val="20"/>
                <w:color w:val="auto"/>
              </w:rPr>
            </w:pPr>
            <w:r>
              <w:rPr>
                <w:rFonts w:ascii="Arial" w:cs="Arial" w:eastAsia="Arial" w:hAnsi="Arial"/>
                <w:sz w:val="14"/>
                <w:szCs w:val="14"/>
                <w:b w:val="1"/>
                <w:bCs w:val="1"/>
                <w:color w:val="auto"/>
                <w:w w:val="99"/>
              </w:rPr>
              <w:t>Termination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Termination</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Disability</w:t>
            </w: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Death</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for Cause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for Cause)</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Retirement</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224"/>
        </w:trPr>
        <w:tc>
          <w:tcPr>
            <w:tcW w:w="23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Kyle M. Flessner</w:t>
            </w:r>
          </w:p>
        </w:tc>
        <w:tc>
          <w:tcPr>
            <w:tcW w:w="2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 Pension</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24,167</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7,622</w:t>
            </w:r>
          </w:p>
        </w:tc>
        <w:tc>
          <w:tcPr>
            <w:tcW w:w="460" w:type="dxa"/>
            <w:vAlign w:val="bottom"/>
            <w:vMerge w:val="restart"/>
          </w:tcPr>
          <w:p>
            <w:pPr>
              <w:ind w:left="40"/>
              <w:spacing w:after="0"/>
              <w:rPr>
                <w:sz w:val="20"/>
                <w:szCs w:val="20"/>
                <w:color w:val="auto"/>
              </w:rPr>
            </w:pPr>
            <w:r>
              <w:rPr>
                <w:rFonts w:ascii="Arial" w:cs="Arial" w:eastAsia="Arial" w:hAnsi="Arial"/>
                <w:sz w:val="14"/>
                <w:szCs w:val="14"/>
                <w:color w:val="auto"/>
              </w:rPr>
              <w:t>(3)</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14,208</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1"/>
              </w:rPr>
              <w:t>(4)</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14,898</w:t>
            </w:r>
          </w:p>
        </w:tc>
        <w:tc>
          <w:tcPr>
            <w:tcW w:w="4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14,208</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(4)</w:t>
            </w:r>
          </w:p>
        </w:tc>
        <w:tc>
          <w:tcPr>
            <w:tcW w:w="130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2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32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 Pension</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22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30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440" w:type="dxa"/>
            <w:vAlign w:val="bottom"/>
            <w:shd w:val="clear" w:color="auto" w:fill="DBDBDB"/>
          </w:tcPr>
          <w:p>
            <w:pPr>
              <w:spacing w:after="0"/>
              <w:rPr>
                <w:sz w:val="9"/>
                <w:szCs w:val="9"/>
                <w:color w:val="auto"/>
              </w:rPr>
            </w:pPr>
          </w:p>
        </w:tc>
        <w:tc>
          <w:tcPr>
            <w:tcW w:w="1120" w:type="dxa"/>
            <w:vAlign w:val="bottom"/>
            <w:vMerge w:val="continue"/>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30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320" w:type="dxa"/>
            <w:vAlign w:val="bottom"/>
            <w:vMerge w:val="continue"/>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30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4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40" w:type="dxa"/>
            <w:vAlign w:val="bottom"/>
            <w:shd w:val="clear" w:color="auto" w:fill="DBDBDB"/>
          </w:tcPr>
          <w:p>
            <w:pPr>
              <w:spacing w:after="0"/>
              <w:rPr>
                <w:sz w:val="7"/>
                <w:szCs w:val="7"/>
                <w:color w:val="auto"/>
              </w:rPr>
            </w:pPr>
          </w:p>
        </w:tc>
        <w:tc>
          <w:tcPr>
            <w:tcW w:w="440" w:type="dxa"/>
            <w:vAlign w:val="bottom"/>
            <w:shd w:val="clear" w:color="auto" w:fill="DBDBDB"/>
          </w:tcPr>
          <w:p>
            <w:pPr>
              <w:spacing w:after="0"/>
              <w:rPr>
                <w:sz w:val="7"/>
                <w:szCs w:val="7"/>
                <w:color w:val="auto"/>
              </w:rPr>
            </w:pPr>
          </w:p>
        </w:tc>
        <w:tc>
          <w:tcPr>
            <w:tcW w:w="1120" w:type="dxa"/>
            <w:vAlign w:val="bottom"/>
            <w:shd w:val="clear" w:color="auto" w:fill="DBDBDB"/>
          </w:tcPr>
          <w:p>
            <w:pPr>
              <w:spacing w:after="0"/>
              <w:rPr>
                <w:sz w:val="7"/>
                <w:szCs w:val="7"/>
                <w:color w:val="auto"/>
              </w:rPr>
            </w:pPr>
          </w:p>
        </w:tc>
        <w:tc>
          <w:tcPr>
            <w:tcW w:w="400" w:type="dxa"/>
            <w:vAlign w:val="bottom"/>
            <w:shd w:val="clear" w:color="auto" w:fill="DBDBDB"/>
          </w:tcPr>
          <w:p>
            <w:pPr>
              <w:spacing w:after="0"/>
              <w:rPr>
                <w:sz w:val="7"/>
                <w:szCs w:val="7"/>
                <w:color w:val="auto"/>
              </w:rPr>
            </w:pPr>
          </w:p>
        </w:tc>
        <w:tc>
          <w:tcPr>
            <w:tcW w:w="13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 Pension</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30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20" w:type="dxa"/>
            <w:vAlign w:val="bottom"/>
            <w:vMerge w:val="restart"/>
          </w:tcPr>
          <w:p>
            <w:pPr>
              <w:ind w:left="20"/>
              <w:spacing w:after="0"/>
              <w:rPr>
                <w:sz w:val="20"/>
                <w:szCs w:val="20"/>
                <w:color w:val="auto"/>
              </w:rPr>
            </w:pPr>
            <w:r>
              <w:rPr>
                <w:rFonts w:ascii="Arial" w:cs="Arial" w:eastAsia="Arial" w:hAnsi="Arial"/>
                <w:sz w:val="14"/>
                <w:szCs w:val="14"/>
                <w:color w:val="auto"/>
              </w:rPr>
              <w:t>Plan II</w:t>
            </w:r>
          </w:p>
        </w:tc>
        <w:tc>
          <w:tcPr>
            <w:tcW w:w="2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22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377,994</w:t>
            </w:r>
          </w:p>
        </w:tc>
        <w:tc>
          <w:tcPr>
            <w:tcW w:w="4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8,394,663</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8,394,663</w:t>
            </w:r>
          </w:p>
        </w:tc>
        <w:tc>
          <w:tcPr>
            <w:tcW w:w="46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0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6,577,378</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6,577,378</w:t>
            </w:r>
          </w:p>
        </w:tc>
        <w:tc>
          <w:tcPr>
            <w:tcW w:w="460" w:type="dxa"/>
            <w:vAlign w:val="bottom"/>
          </w:tcPr>
          <w:p>
            <w:pPr>
              <w:ind w:left="40"/>
              <w:spacing w:after="0"/>
              <w:rPr>
                <w:sz w:val="20"/>
                <w:szCs w:val="20"/>
                <w:color w:val="auto"/>
              </w:rPr>
            </w:pPr>
            <w:r>
              <w:rPr>
                <w:rFonts w:ascii="Arial" w:cs="Arial" w:eastAsia="Arial" w:hAnsi="Arial"/>
                <w:sz w:val="14"/>
                <w:szCs w:val="14"/>
                <w:color w:val="auto"/>
              </w:rPr>
              <w:t>(11)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4,322,290</w:t>
            </w:r>
          </w:p>
        </w:tc>
        <w:tc>
          <w:tcPr>
            <w:tcW w:w="440" w:type="dxa"/>
            <w:vAlign w:val="bottom"/>
          </w:tcPr>
          <w:p>
            <w:pPr>
              <w:ind w:left="40"/>
              <w:spacing w:after="0"/>
              <w:rPr>
                <w:sz w:val="20"/>
                <w:szCs w:val="20"/>
                <w:color w:val="auto"/>
              </w:rPr>
            </w:pPr>
            <w:r>
              <w:rPr>
                <w:rFonts w:ascii="Arial" w:cs="Arial" w:eastAsia="Arial" w:hAnsi="Arial"/>
                <w:sz w:val="14"/>
                <w:szCs w:val="14"/>
                <w:color w:val="auto"/>
              </w:rPr>
              <w:t>(12)</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K. M. Flessner Total</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14,996,208</w:t>
            </w:r>
          </w:p>
        </w:tc>
        <w:tc>
          <w:tcPr>
            <w:tcW w:w="3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15,357,657</w:t>
            </w:r>
          </w:p>
        </w:tc>
        <w:tc>
          <w:tcPr>
            <w:tcW w:w="46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14,208</w:t>
            </w:r>
          </w:p>
        </w:tc>
        <w:tc>
          <w:tcPr>
            <w:tcW w:w="2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4,337,188</w:t>
            </w: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14,208</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ind w:left="8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1120" w:hanging="492"/>
        <w:spacing w:after="0" w:line="287"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Templeton was retirement eligible for purposes of TI’s defined benefit pension plans and under the terms of his equity compensation awards as of December 31, 2022.</w:t>
      </w:r>
    </w:p>
    <w:p>
      <w:pPr>
        <w:spacing w:after="0" w:line="44" w:lineRule="exact"/>
        <w:rPr>
          <w:rFonts w:ascii="Arial" w:cs="Arial" w:eastAsia="Arial" w:hAnsi="Arial"/>
          <w:sz w:val="18"/>
          <w:szCs w:val="18"/>
          <w:color w:val="auto"/>
        </w:rPr>
      </w:pPr>
    </w:p>
    <w:p>
      <w:pPr>
        <w:ind w:left="500" w:right="40" w:hanging="492"/>
        <w:spacing w:after="0" w:line="259"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to the named executive officer in the event of termination as of December 31, 2022,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2022 and are described in Note 5 to the 2022 pension benefits table.</w:t>
      </w:r>
    </w:p>
    <w:p>
      <w:pPr>
        <w:spacing w:after="0" w:line="71" w:lineRule="exact"/>
        <w:rPr>
          <w:rFonts w:ascii="Arial" w:cs="Arial" w:eastAsia="Arial" w:hAnsi="Arial"/>
          <w:sz w:val="18"/>
          <w:szCs w:val="18"/>
          <w:color w:val="auto"/>
        </w:rPr>
      </w:pPr>
    </w:p>
    <w:p>
      <w:pPr>
        <w:jc w:val="both"/>
        <w:ind w:left="500" w:right="700" w:hanging="492"/>
        <w:spacing w:after="0" w:line="268"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of the participant’s accrued benefit, reduced by the age-applicable joint and 50% survivor factor.</w:t>
      </w:r>
    </w:p>
    <w:p>
      <w:pPr>
        <w:spacing w:after="0" w:line="62" w:lineRule="exact"/>
        <w:rPr>
          <w:rFonts w:ascii="Arial" w:cs="Arial" w:eastAsia="Arial" w:hAnsi="Arial"/>
          <w:sz w:val="18"/>
          <w:szCs w:val="18"/>
          <w:color w:val="auto"/>
        </w:rPr>
      </w:pPr>
    </w:p>
    <w:p>
      <w:pPr>
        <w:ind w:left="500" w:right="560" w:hanging="492"/>
        <w:spacing w:after="0" w:line="287"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2022, calculated as required by the terms of the plans assuming the earliest possible payment date.</w:t>
      </w:r>
    </w:p>
    <w:p>
      <w:pPr>
        <w:spacing w:after="0" w:line="44" w:lineRule="exact"/>
        <w:rPr>
          <w:rFonts w:ascii="Arial" w:cs="Arial" w:eastAsia="Arial" w:hAnsi="Arial"/>
          <w:sz w:val="18"/>
          <w:szCs w:val="18"/>
          <w:color w:val="auto"/>
        </w:rPr>
      </w:pPr>
    </w:p>
    <w:p>
      <w:pPr>
        <w:ind w:left="500" w:right="540" w:hanging="492"/>
        <w:spacing w:after="0" w:line="287"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500" w:right="120" w:hanging="492"/>
        <w:spacing w:after="0" w:line="262"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of death, a participant’s deferred compensation balance becomes payable immediately. The amount shown in the column titled “Death” is the balance as of December 31, 2022, under the non-qualified deferred compensation plan. For all separation events other than death, balances are distributed in accordance with the participant’s distribution election as discussed in the narrative following the 2022 non-qualified deferred compensation table.</w:t>
      </w:r>
    </w:p>
    <w:p>
      <w:pPr>
        <w:spacing w:after="0" w:line="68" w:lineRule="exact"/>
        <w:rPr>
          <w:rFonts w:ascii="Arial" w:cs="Arial" w:eastAsia="Arial" w:hAnsi="Arial"/>
          <w:sz w:val="18"/>
          <w:szCs w:val="18"/>
          <w:color w:val="auto"/>
        </w:rPr>
      </w:pPr>
    </w:p>
    <w:p>
      <w:pPr>
        <w:ind w:left="480" w:hanging="472"/>
        <w:spacing w:after="0"/>
        <w:tabs>
          <w:tab w:leader="none" w:pos="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30, 2022</w:t>
      </w:r>
    </w:p>
    <w:p>
      <w:pPr>
        <w:spacing w:after="0" w:line="27" w:lineRule="exact"/>
        <w:rPr>
          <w:rFonts w:ascii="Arial" w:cs="Arial" w:eastAsia="Arial" w:hAnsi="Arial"/>
          <w:sz w:val="18"/>
          <w:szCs w:val="18"/>
          <w:color w:val="auto"/>
        </w:rPr>
      </w:pPr>
    </w:p>
    <w:p>
      <w:pPr>
        <w:jc w:val="both"/>
        <w:ind w:left="500" w:right="300"/>
        <w:spacing w:after="0" w:line="280" w:lineRule="auto"/>
        <w:rPr>
          <w:rFonts w:ascii="Arial" w:cs="Arial" w:eastAsia="Arial" w:hAnsi="Arial"/>
          <w:sz w:val="18"/>
          <w:szCs w:val="18"/>
          <w:color w:val="auto"/>
        </w:rPr>
      </w:pPr>
      <w:r>
        <w:rPr>
          <w:rFonts w:ascii="Arial" w:cs="Arial" w:eastAsia="Arial" w:hAnsi="Arial"/>
          <w:sz w:val="17"/>
          <w:szCs w:val="17"/>
          <w:color w:val="auto"/>
        </w:rPr>
        <w:t>($165.22). In the event of termination due to disability or death, all outstanding awards will continue to vest according to their terms. See the first table under “Outstanding equity awards at fiscal year-end 2022” for the number of unvested RSUs as of December 31, 2022, and the related discussion following that table of an additional outstanding RSU award held by Mr. Templeton.</w:t>
      </w:r>
    </w:p>
    <w:p>
      <w:pPr>
        <w:spacing w:after="0" w:line="53" w:lineRule="exact"/>
        <w:rPr>
          <w:rFonts w:ascii="Arial" w:cs="Arial" w:eastAsia="Arial" w:hAnsi="Arial"/>
          <w:sz w:val="18"/>
          <w:szCs w:val="18"/>
          <w:color w:val="auto"/>
        </w:rPr>
      </w:pPr>
    </w:p>
    <w:p>
      <w:pPr>
        <w:ind w:left="500" w:right="100" w:hanging="492"/>
        <w:spacing w:after="0" w:line="287"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30, 2022 ($165.22).</w:t>
      </w:r>
    </w:p>
    <w:p>
      <w:pPr>
        <w:spacing w:after="0" w:line="44" w:lineRule="exact"/>
        <w:rPr>
          <w:rFonts w:ascii="Arial" w:cs="Arial" w:eastAsia="Arial" w:hAnsi="Arial"/>
          <w:sz w:val="18"/>
          <w:szCs w:val="18"/>
          <w:color w:val="auto"/>
        </w:rPr>
      </w:pPr>
    </w:p>
    <w:p>
      <w:pPr>
        <w:ind w:left="500" w:right="160" w:hanging="492"/>
        <w:spacing w:after="0" w:line="268" w:lineRule="auto"/>
        <w:tabs>
          <w:tab w:leader="none" w:pos="4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30, 2022 ($165.22). RSU awards stay in effect and pay out shares according to the vesting schedule.</w:t>
      </w:r>
    </w:p>
    <w:p>
      <w:pPr>
        <w:spacing w:after="0" w:line="62" w:lineRule="exact"/>
        <w:rPr>
          <w:rFonts w:ascii="Arial" w:cs="Arial" w:eastAsia="Arial" w:hAnsi="Arial"/>
          <w:sz w:val="18"/>
          <w:szCs w:val="18"/>
          <w:color w:val="auto"/>
        </w:rPr>
      </w:pPr>
    </w:p>
    <w:p>
      <w:pPr>
        <w:ind w:left="500" w:right="120" w:hanging="492"/>
        <w:spacing w:after="0" w:line="287" w:lineRule="auto"/>
        <w:tabs>
          <w:tab w:leader="none" w:pos="4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30, 2022 ($165.22), multiplied by the number of shares under such options as of December 31,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55" w:name="page56"/>
    <w:bookmarkEnd w:id="55"/>
    <w:p>
      <w:pPr>
        <w:ind w:left="500" w:right="140" w:hanging="492"/>
        <w:spacing w:after="0" w:line="286" w:lineRule="auto"/>
        <w:tabs>
          <w:tab w:leader="none" w:pos="4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exercisable in-the-money options and the closing price of TI common stock as of December 30, 2022 ($165.22), multiplied by the number of shares under such options as of December 31, 2022</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ratio</w:t>
      </w:r>
    </w:p>
    <w:p>
      <w:pPr>
        <w:spacing w:after="0" w:line="23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2022, the median of annual total compensation of all employees of our company (other than our CEO) was $67,144. The annual total compensation of our CEO was $21,655,191. Based on this information, the ratio of the annual total compensation of our CEO to the median of the annual total compensation of all employees was approximately 323:1.</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There has been no change in the company’s employee population or employee compensation arrangements that would result in a significant change in the pay ratio disclosure. Further, there has been no change in the circumstances of the employee identified as the median employee in 2020. Accordingly, the pay ratio calculation has been made using the 2022 compensation for the median employee identified in 2020.</w:t>
      </w:r>
    </w:p>
    <w:p>
      <w:pPr>
        <w:spacing w:after="0" w:line="1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 to identify the median employee in 2020:</w:t>
      </w:r>
    </w:p>
    <w:p>
      <w:pPr>
        <w:spacing w:after="0" w:line="17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selected October 26, 2020, as the date upon which we would identify the “median employee.”</w:t>
      </w:r>
    </w:p>
    <w:p>
      <w:pPr>
        <w:spacing w:after="0" w:line="63" w:lineRule="exact"/>
        <w:rPr>
          <w:rFonts w:ascii="Arial" w:cs="Arial" w:eastAsia="Arial" w:hAnsi="Arial"/>
          <w:sz w:val="18"/>
          <w:szCs w:val="18"/>
          <w:color w:val="auto"/>
        </w:rPr>
      </w:pPr>
    </w:p>
    <w:p>
      <w:pPr>
        <w:ind w:left="660" w:right="320" w:hanging="328"/>
        <w:spacing w:after="0" w:line="28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29,568 individuals working at the company and consolidated subsidiaries, excluding employees on leaves of absence who are not expected to return to work.</w:t>
      </w:r>
    </w:p>
    <w:p>
      <w:pPr>
        <w:spacing w:after="0" w:line="1" w:lineRule="exact"/>
        <w:rPr>
          <w:rFonts w:ascii="Arial" w:cs="Arial" w:eastAsia="Arial" w:hAnsi="Arial"/>
          <w:sz w:val="18"/>
          <w:szCs w:val="18"/>
          <w:color w:val="auto"/>
        </w:rPr>
      </w:pPr>
    </w:p>
    <w:p>
      <w:pPr>
        <w:ind w:left="660" w:right="500" w:hanging="328"/>
        <w:spacing w:after="0" w:line="268"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2022 in accordance with the requirements of Item 402(c)(2)(x) of Regulation S-K, including the value of the employee’s health and welfare benefits (estimated for the employee and the employee’s eligible dependents) and retirement-related benefits.</w:t>
      </w:r>
    </w:p>
    <w:p>
      <w:pPr>
        <w:spacing w:after="0" w:line="8"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15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annual total compensation of our CEO is the amount reported in the “Total” column of our 2022 summary compensation table, adding in the value of health and welfare benefits (estimated for our CEO and his eligible dependents) and retirement-related benefits. This resulted in annual total compensation for purposes of determining the ratio in the amount of $21,655,191.</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versus performance</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Set forth below are certain disclosures related to executive compensation and company performance using selected financial performance measures required by the SEC. For a discussion of the company’s executive compensation policies and programs and an explanation of how executive compensation decisions are made at TI, please refer to the Compensation Discussion and Analysis.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includes a new calculation of compensation, “compensation actually paid,” that differs significantly from the way in which the company views annual compensation decisions, as discussed in the Compensation Discussion and Analysis, and from the summary compensation table calculation of compensation.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Value of Initial Fixed $100</w:t>
            </w: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Summary</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Investment Based on:</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7"/>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28"/>
              <w:spacing w:after="0"/>
              <w:rPr>
                <w:sz w:val="20"/>
                <w:szCs w:val="20"/>
                <w:color w:val="auto"/>
              </w:rPr>
            </w:pPr>
            <w:r>
              <w:rPr>
                <w:rFonts w:ascii="Arial" w:cs="Arial" w:eastAsia="Arial" w:hAnsi="Arial"/>
                <w:sz w:val="14"/>
                <w:szCs w:val="14"/>
                <w:b w:val="1"/>
                <w:bCs w:val="1"/>
                <w:color w:val="auto"/>
              </w:rPr>
              <w:t>Summary</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28"/>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Table Total for</w:t>
            </w:r>
          </w:p>
        </w:tc>
        <w:tc>
          <w:tcPr>
            <w:tcW w:w="18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S&amp;P IT Index</w:t>
            </w:r>
          </w:p>
        </w:tc>
        <w:tc>
          <w:tcPr>
            <w:tcW w:w="1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Operating</w:t>
            </w:r>
          </w:p>
        </w:tc>
      </w:tr>
      <w:tr>
        <w:trPr>
          <w:trHeight w:val="176"/>
        </w:trPr>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Table Total for</w:t>
            </w:r>
          </w:p>
        </w:tc>
        <w:tc>
          <w:tcPr>
            <w:tcW w:w="200" w:type="dxa"/>
            <w:vAlign w:val="bottom"/>
          </w:tcPr>
          <w:p>
            <w:pPr>
              <w:spacing w:after="0"/>
              <w:rPr>
                <w:sz w:val="15"/>
                <w:szCs w:val="15"/>
                <w:color w:val="auto"/>
              </w:rPr>
            </w:pPr>
          </w:p>
        </w:tc>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Actually Paid to</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28"/>
              <w:spacing w:after="0"/>
              <w:rPr>
                <w:sz w:val="20"/>
                <w:szCs w:val="20"/>
                <w:color w:val="auto"/>
              </w:rPr>
            </w:pPr>
            <w:r>
              <w:rPr>
                <w:rFonts w:ascii="Arial" w:cs="Arial" w:eastAsia="Arial" w:hAnsi="Arial"/>
                <w:sz w:val="14"/>
                <w:szCs w:val="14"/>
                <w:b w:val="1"/>
                <w:bCs w:val="1"/>
                <w:color w:val="auto"/>
              </w:rPr>
              <w:t>Non-CEO NEOs</w:t>
            </w:r>
          </w:p>
        </w:tc>
        <w:tc>
          <w:tcPr>
            <w:tcW w:w="18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Actually Paid to</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 TSR</w:t>
            </w:r>
          </w:p>
        </w:tc>
        <w:tc>
          <w:tcPr>
            <w:tcW w:w="2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 TSR</w:t>
            </w: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Net Income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Profit</w:t>
            </w:r>
          </w:p>
        </w:tc>
      </w:tr>
      <w:tr>
        <w:trPr>
          <w:trHeight w:val="211"/>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CEO (1)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CEO (3)</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Non-CEO NEOs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(millions)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(millions)</w:t>
            </w:r>
          </w:p>
        </w:tc>
      </w:tr>
      <w:tr>
        <w:trPr>
          <w:trHeight w:val="204"/>
        </w:trPr>
        <w:tc>
          <w:tcPr>
            <w:tcW w:w="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21,629,586</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11,834,806</w:t>
            </w:r>
          </w:p>
        </w:tc>
        <w:tc>
          <w:tcPr>
            <w:tcW w:w="3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7,959,226</w:t>
            </w:r>
          </w:p>
        </w:tc>
        <w:tc>
          <w:tcPr>
            <w:tcW w:w="1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5,118,822</w:t>
            </w:r>
          </w:p>
        </w:tc>
        <w:tc>
          <w:tcPr>
            <w:tcW w:w="46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139.51</w:t>
            </w:r>
          </w:p>
        </w:tc>
        <w:tc>
          <w:tcPr>
            <w:tcW w:w="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139.00</w:t>
            </w:r>
          </w:p>
        </w:tc>
        <w:tc>
          <w:tcPr>
            <w:tcW w:w="12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$ 8,749</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$ 10,140</w:t>
            </w:r>
          </w:p>
        </w:tc>
      </w:tr>
      <w:tr>
        <w:trPr>
          <w:trHeight w:val="208"/>
        </w:trPr>
        <w:tc>
          <w:tcPr>
            <w:tcW w:w="500" w:type="dxa"/>
            <w:vAlign w:val="bottom"/>
          </w:tcPr>
          <w:p>
            <w:pPr>
              <w:ind w:left="20"/>
              <w:spacing w:after="0"/>
              <w:rPr>
                <w:sz w:val="20"/>
                <w:szCs w:val="20"/>
                <w:color w:val="auto"/>
              </w:rPr>
            </w:pPr>
            <w:r>
              <w:rPr>
                <w:rFonts w:ascii="Arial" w:cs="Arial" w:eastAsia="Arial" w:hAnsi="Arial"/>
                <w:sz w:val="14"/>
                <w:szCs w:val="14"/>
                <w:color w:val="auto"/>
              </w:rPr>
              <w:t>2021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19,195,411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37,422,531</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6,903,311</w:t>
            </w: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11,327,790</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154.85</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193.58</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$ 7,769</w:t>
            </w:r>
          </w:p>
        </w:tc>
        <w:tc>
          <w:tcPr>
            <w:tcW w:w="980" w:type="dxa"/>
            <w:vAlign w:val="bottom"/>
          </w:tcPr>
          <w:p>
            <w:pPr>
              <w:jc w:val="right"/>
              <w:spacing w:after="0"/>
              <w:rPr>
                <w:sz w:val="20"/>
                <w:szCs w:val="20"/>
                <w:color w:val="auto"/>
              </w:rPr>
            </w:pPr>
            <w:r>
              <w:rPr>
                <w:rFonts w:ascii="Arial" w:cs="Arial" w:eastAsia="Arial" w:hAnsi="Arial"/>
                <w:sz w:val="14"/>
                <w:szCs w:val="14"/>
                <w:color w:val="auto"/>
              </w:rPr>
              <w:t>$ 8,960</w:t>
            </w:r>
          </w:p>
        </w:tc>
      </w:tr>
      <w:tr>
        <w:trPr>
          <w:trHeight w:val="22"/>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8"/>
        </w:trPr>
        <w:tc>
          <w:tcPr>
            <w:tcW w:w="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2020</w:t>
            </w:r>
          </w:p>
        </w:tc>
        <w:tc>
          <w:tcPr>
            <w:tcW w:w="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19,056,652</w:t>
            </w:r>
          </w:p>
        </w:tc>
        <w:tc>
          <w:tcPr>
            <w:tcW w:w="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43,654,015</w:t>
            </w:r>
          </w:p>
        </w:tc>
        <w:tc>
          <w:tcPr>
            <w:tcW w:w="38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(6)</w:t>
            </w:r>
          </w:p>
        </w:tc>
        <w:tc>
          <w:tcPr>
            <w:tcW w:w="240" w:type="dxa"/>
            <w:vAlign w:val="bottom"/>
            <w:shd w:val="clear" w:color="auto" w:fill="DBDBDB"/>
          </w:tcPr>
          <w:p>
            <w:pPr>
              <w:ind w:left="16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5,827,815</w:t>
            </w:r>
          </w:p>
        </w:tc>
        <w:tc>
          <w:tcPr>
            <w:tcW w:w="180" w:type="dxa"/>
            <w:vAlign w:val="bottom"/>
            <w:shd w:val="clear" w:color="auto" w:fill="DBDBDB"/>
          </w:tcPr>
          <w:p>
            <w:pPr>
              <w:ind w:left="10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11,832,752</w:t>
            </w:r>
          </w:p>
        </w:tc>
        <w:tc>
          <w:tcPr>
            <w:tcW w:w="4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(9)</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131.74</w:t>
            </w:r>
          </w:p>
        </w:tc>
        <w:tc>
          <w:tcPr>
            <w:tcW w:w="2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143.89</w:t>
            </w:r>
          </w:p>
        </w:tc>
        <w:tc>
          <w:tcPr>
            <w:tcW w:w="12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$ 5,595</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$ 5,894</w:t>
            </w:r>
          </w:p>
        </w:tc>
      </w:tr>
      <w:tr>
        <w:trPr>
          <w:trHeight w:val="22"/>
        </w:trPr>
        <w:tc>
          <w:tcPr>
            <w:tcW w:w="500" w:type="dxa"/>
            <w:vAlign w:val="bottom"/>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1160" w:type="dxa"/>
            <w:vAlign w:val="bottom"/>
            <w:shd w:val="clear" w:color="auto" w:fill="DBDBDB"/>
          </w:tcPr>
          <w:p>
            <w:pPr>
              <w:spacing w:after="0" w:line="20" w:lineRule="exact"/>
              <w:rPr>
                <w:sz w:val="1"/>
                <w:szCs w:val="1"/>
                <w:color w:val="auto"/>
              </w:rPr>
            </w:pPr>
          </w:p>
        </w:tc>
        <w:tc>
          <w:tcPr>
            <w:tcW w:w="38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1280" w:type="dxa"/>
            <w:vAlign w:val="bottom"/>
            <w:shd w:val="clear" w:color="auto" w:fill="DBDBDB"/>
          </w:tcPr>
          <w:p>
            <w:pPr>
              <w:spacing w:after="0" w:line="20" w:lineRule="exact"/>
              <w:rPr>
                <w:sz w:val="1"/>
                <w:szCs w:val="1"/>
                <w:color w:val="auto"/>
              </w:rPr>
            </w:pPr>
          </w:p>
        </w:tc>
        <w:tc>
          <w:tcPr>
            <w:tcW w:w="18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46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82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820" w:type="dxa"/>
            <w:vAlign w:val="bottom"/>
            <w:shd w:val="clear" w:color="auto" w:fill="DBDBDB"/>
          </w:tcPr>
          <w:p>
            <w:pPr>
              <w:spacing w:after="0" w:line="20" w:lineRule="exact"/>
              <w:rPr>
                <w:sz w:val="1"/>
                <w:szCs w:val="1"/>
                <w:color w:val="auto"/>
              </w:rPr>
            </w:pPr>
          </w:p>
        </w:tc>
        <w:tc>
          <w:tcPr>
            <w:tcW w:w="1200" w:type="dxa"/>
            <w:vAlign w:val="bottom"/>
            <w:shd w:val="clear" w:color="auto" w:fill="DBDBDB"/>
          </w:tcPr>
          <w:p>
            <w:pPr>
              <w:spacing w:after="0" w:line="20" w:lineRule="exact"/>
              <w:rPr>
                <w:sz w:val="1"/>
                <w:szCs w:val="1"/>
                <w:color w:val="auto"/>
              </w:rPr>
            </w:pPr>
          </w:p>
        </w:tc>
        <w:tc>
          <w:tcPr>
            <w:tcW w:w="980" w:type="dxa"/>
            <w:vAlign w:val="bottom"/>
            <w:shd w:val="clear" w:color="auto" w:fill="DBDBDB"/>
          </w:tcPr>
          <w:p>
            <w:pPr>
              <w:spacing w:after="0" w:line="20" w:lineRule="exact"/>
              <w:rPr>
                <w:sz w:val="1"/>
                <w:szCs w:val="1"/>
                <w:color w:val="auto"/>
              </w:rPr>
            </w:pPr>
          </w:p>
        </w:tc>
      </w:tr>
    </w:tbl>
    <w:p>
      <w:pPr>
        <w:spacing w:after="0" w:line="292" w:lineRule="exact"/>
        <w:rPr>
          <w:sz w:val="20"/>
          <w:szCs w:val="20"/>
          <w:color w:val="auto"/>
        </w:rPr>
      </w:pPr>
    </w:p>
    <w:p>
      <w:pPr>
        <w:jc w:val="both"/>
        <w:ind w:left="500" w:right="220" w:hanging="492"/>
        <w:spacing w:after="0" w:line="318" w:lineRule="auto"/>
        <w:tabs>
          <w:tab w:leader="none" w:pos="49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Mr. Templeton, in his capacity as chairman, president and CEO, is the company’s principal executive officer for the applicable period (2020-2022). Compensation for our CEO reflects the amounts reported in the summary compensation table for the respective years.</w:t>
      </w:r>
    </w:p>
    <w:p>
      <w:pPr>
        <w:spacing w:after="0" w:line="21" w:lineRule="exact"/>
        <w:rPr>
          <w:rFonts w:ascii="Arial" w:cs="Arial" w:eastAsia="Arial" w:hAnsi="Arial"/>
          <w:sz w:val="17"/>
          <w:szCs w:val="17"/>
          <w:color w:val="auto"/>
        </w:rPr>
      </w:pPr>
    </w:p>
    <w:p>
      <w:pPr>
        <w:jc w:val="both"/>
        <w:ind w:left="500" w:right="60" w:hanging="492"/>
        <w:spacing w:after="0" w:line="268" w:lineRule="auto"/>
        <w:tabs>
          <w:tab w:leader="none" w:pos="4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remaining non-CEO named executive officers for the applicable period are Rafael R. Lizardi (2020-2022), Haviv Ilan (2020-2022), Hagop H. Kozanian (2020-2022), Kyle M. Flessner (2020-2022) and Niels Anderskouv (2020). Compensation for our non-CEO named executive officers reflects the amounts reported in the summary compensation table for the respective years.</w:t>
      </w:r>
    </w:p>
    <w:p>
      <w:pPr>
        <w:spacing w:after="0" w:line="62" w:lineRule="exact"/>
        <w:rPr>
          <w:rFonts w:ascii="Arial" w:cs="Arial" w:eastAsia="Arial" w:hAnsi="Arial"/>
          <w:sz w:val="18"/>
          <w:szCs w:val="18"/>
          <w:color w:val="auto"/>
        </w:rPr>
      </w:pPr>
    </w:p>
    <w:p>
      <w:pPr>
        <w:ind w:left="500" w:right="200" w:hanging="492"/>
        <w:spacing w:after="0" w:line="256" w:lineRule="auto"/>
        <w:tabs>
          <w:tab w:leader="none" w:pos="4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the value of equity calculated in accordance with the SEC methodology for determining compensation actually paid for each year shown. We estimate the fair values for non-qualified stock options using the Black-Scholes-Merton option-pricing model. The assumptions used for purposes of calculating fair values of options as of the vest date or fiscal year-end date are the same as the assumptions used for purposes of calculating the grant date fair value of options, except that we determine expected lives of options based on the “simplified method” using an average of the remaining vest and remaining term, as of the vest date or fiscal year-end date, and the risk-free interest rate is based on the Treasury Constant Maturity rate closest to the remaining expected life, as of the vest date or fiscal year-end date.</w:t>
      </w:r>
    </w:p>
    <w:p>
      <w:pPr>
        <w:spacing w:after="0" w:line="74" w:lineRule="exact"/>
        <w:rPr>
          <w:rFonts w:ascii="Arial" w:cs="Arial" w:eastAsia="Arial" w:hAnsi="Arial"/>
          <w:sz w:val="18"/>
          <w:szCs w:val="18"/>
          <w:color w:val="auto"/>
        </w:rPr>
      </w:pPr>
    </w:p>
    <w:p>
      <w:pPr>
        <w:ind w:left="500" w:right="140" w:hanging="492"/>
        <w:spacing w:after="0" w:line="272" w:lineRule="auto"/>
        <w:tabs>
          <w:tab w:leader="none" w:pos="49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Adjustments to total compensation for 2022 as reported in the summary compensation table consist of: (a) $15,000,082 deduction for amounts reported under the “Stock Awards” and “Option Awards” columns in the summary compensation table; (b) $14,326,403 increase based on the fair value of equity awards granted in 2022 that remained outstanding and unvested as of December 31, 2022;</w:t>
      </w:r>
    </w:p>
    <w:p>
      <w:pPr>
        <w:spacing w:after="0" w:line="1" w:lineRule="exact"/>
        <w:rPr>
          <w:rFonts w:ascii="Arial" w:cs="Arial" w:eastAsia="Arial" w:hAnsi="Arial"/>
          <w:sz w:val="17"/>
          <w:szCs w:val="17"/>
          <w:color w:val="auto"/>
        </w:rPr>
      </w:pPr>
    </w:p>
    <w:p>
      <w:pPr>
        <w:ind w:left="500" w:right="180" w:hanging="6"/>
        <w:spacing w:after="0" w:line="254" w:lineRule="auto"/>
        <w:tabs>
          <w:tab w:leader="none" w:pos="7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$7,521,569 deduction for equity awards granted in prior fiscal years that remained outstanding and unvested as of December 31, 2022, determined based on the change in fair value of such awards from December 31, 2021, to December 31, 2022; (d) $3,093,391 deduction for awards granted in prior fiscal years that vested in 2022, determined based on the change in fair value of such awards from December 31, 2021, to the vest date; and (e) $1,493,859 increase based on dividend equivalents paid on unvested RSUs in 2022.</w:t>
      </w:r>
    </w:p>
    <w:p>
      <w:pPr>
        <w:spacing w:after="0" w:line="74" w:lineRule="exact"/>
        <w:rPr>
          <w:rFonts w:ascii="Arial" w:cs="Arial" w:eastAsia="Arial" w:hAnsi="Arial"/>
          <w:sz w:val="18"/>
          <w:szCs w:val="18"/>
          <w:color w:val="auto"/>
        </w:rPr>
      </w:pPr>
    </w:p>
    <w:p>
      <w:pPr>
        <w:ind w:left="500" w:right="140" w:hanging="492"/>
        <w:spacing w:after="0" w:line="272" w:lineRule="auto"/>
        <w:tabs>
          <w:tab w:leader="none" w:pos="49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Adjustments to total compensation for 2021 as reported in the summary compensation table consist of: (a) $13,000,129 deduction for amounts reported under the “Stock Awards” and “Option Awards” columns in the summary compensation table; (b) $14,927,094 increase based on the fair value of equity awards granted in 2021 that remained outstanding and unvested as of December 31, 2021;</w:t>
      </w:r>
    </w:p>
    <w:p>
      <w:pPr>
        <w:spacing w:after="0" w:line="1" w:lineRule="exact"/>
        <w:rPr>
          <w:rFonts w:ascii="Arial" w:cs="Arial" w:eastAsia="Arial" w:hAnsi="Arial"/>
          <w:sz w:val="17"/>
          <w:szCs w:val="17"/>
          <w:color w:val="auto"/>
        </w:rPr>
      </w:pPr>
    </w:p>
    <w:p>
      <w:pPr>
        <w:jc w:val="both"/>
        <w:ind w:left="500" w:hanging="6"/>
        <w:spacing w:after="0" w:line="275" w:lineRule="auto"/>
        <w:tabs>
          <w:tab w:leader="none" w:pos="7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$12,003,020 increase for equity awards granted in prior fiscal years that remained outstanding and unvested as of December 31, 2021, determined based on the change in fair value of such awards from December 31, 2020, to December 31, 2021; (d) $2,929,146 increase for awards granted in prior fiscal years that vested in 2021, determined based on the change in fair value of such awards from December 31, 2020, to the vest date; and (e) $1,367,989 increase based on dividend equivalents paid on unvested RSUs in 2021.</w:t>
      </w:r>
    </w:p>
    <w:p>
      <w:pPr>
        <w:spacing w:after="0" w:line="58" w:lineRule="exact"/>
        <w:rPr>
          <w:rFonts w:ascii="Arial" w:cs="Arial" w:eastAsia="Arial" w:hAnsi="Arial"/>
          <w:sz w:val="17"/>
          <w:szCs w:val="17"/>
          <w:color w:val="auto"/>
        </w:rPr>
      </w:pPr>
    </w:p>
    <w:p>
      <w:pPr>
        <w:ind w:left="500" w:right="140" w:hanging="492"/>
        <w:spacing w:after="0" w:line="272" w:lineRule="auto"/>
        <w:tabs>
          <w:tab w:leader="none" w:pos="49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Adjustments to total compensation for 2020 as reported in the summary compensation table consist of: (a) $13,000,042 deduction for amounts reported under the “Stock Awards” and “Option Awards” columns in the summary compensation table; (b) $19,703,975 increase based on the fair value of equity awards granted in 2020 that remained outstanding and unvested as of December 31, 2020;</w:t>
      </w:r>
    </w:p>
    <w:p>
      <w:pPr>
        <w:spacing w:after="0" w:line="1" w:lineRule="exact"/>
        <w:rPr>
          <w:rFonts w:ascii="Arial" w:cs="Arial" w:eastAsia="Arial" w:hAnsi="Arial"/>
          <w:sz w:val="17"/>
          <w:szCs w:val="17"/>
          <w:color w:val="auto"/>
        </w:rPr>
      </w:pPr>
    </w:p>
    <w:p>
      <w:pPr>
        <w:ind w:left="500" w:right="220" w:hanging="6"/>
        <w:spacing w:after="0" w:line="253" w:lineRule="auto"/>
        <w:tabs>
          <w:tab w:leader="none" w:pos="7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$17,619,680 increase for equity awards granted in prior fiscal years that remained outstanding and unvested as of December 31, 2020, determined based on the change in fair value of such awards from December 31, 2019, to December 31, 2020; (d) $850,841 deduction for awards granted in prior fiscal years that vested in 2020, determined based on the change in fair value of such awards from December 31, 2019, to the vest date; (e) $1,324,022 increase based on dividend equivalents paid on unvested RSUs in 2020; and (f) $199,431 deduction for the change in actuarial present values reported under the “Change in Pension Value and Nonqualifed Deferred Compensation Earnings” column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3" w:right="359" w:bottom="1440" w:gutter="0" w:footer="0" w:header="0"/>
        </w:sectPr>
      </w:pPr>
    </w:p>
    <w:bookmarkStart w:id="57" w:name="page58"/>
    <w:bookmarkEnd w:id="57"/>
    <w:p>
      <w:pPr>
        <w:ind w:left="500" w:right="100" w:hanging="492"/>
        <w:spacing w:after="0" w:line="272" w:lineRule="auto"/>
        <w:tabs>
          <w:tab w:leader="none" w:pos="49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Adjustments to the non-CEO named executive officers’ average total compensation for 2022 as reported in the summary compensation table consist of: (a) $5,350,141 deduction for the average amount reported under the “Stock Awards” and “Option Awards” columns in the summary compensation table; (b) $5,109,857 increase based on the average fair value of equity awards granted in 2022 that remained outstanding and unvested as of December 31, 2022; (c) $2,095,368 deduction for equity awards granted in prior fiscal years that remained outstanding and unvested as of December 31, 2022, determined based on the average change in fair value of such awards from December 31, 2021, to December 31, 2022; (d) $776,587 deduction for awards granted in prior fiscal years that vested in 2022, determined based on the average change in fair value of such awards from December 31, 2021, to the vest date; and (e) $271,835 increase based on the average amount of dividend equivalents paid on unvested RSUs in 2022.</w:t>
      </w:r>
    </w:p>
    <w:p>
      <w:pPr>
        <w:spacing w:after="0" w:line="63" w:lineRule="exact"/>
        <w:rPr>
          <w:rFonts w:ascii="Arial" w:cs="Arial" w:eastAsia="Arial" w:hAnsi="Arial"/>
          <w:sz w:val="17"/>
          <w:szCs w:val="17"/>
          <w:color w:val="auto"/>
        </w:rPr>
      </w:pPr>
    </w:p>
    <w:p>
      <w:pPr>
        <w:ind w:left="500" w:right="80" w:hanging="492"/>
        <w:spacing w:after="0" w:line="255" w:lineRule="auto"/>
        <w:tabs>
          <w:tab w:leader="none" w:pos="4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Adjustments to the non-CEO named executive officers’ average total compensation for 2021 as reported in the summary compensation table consist of: (a) $4,425,121 deduction for the average amount reported under the “Stock Awards” and “Option Awards” columns in the summary compensation table; (b) $5,081,041 increase based on the average fair value of equity awards granted in 2021 that remained outstanding and unvested as of December 31, 2021; (c) $2,923,509 increase for equity awards granted in prior fiscal years that remained outstanding and unvested as of December 31, 2021, determined based on the average change in fair value of such awards from December 31, 2020, to December 31, 2021; (d) $615,711 increase for awards granted in prior fiscal years that vested in 2021, determined based on the average change in fair value of such awards from December 31, 2020, to the vest date; and (e) $229,339 increase based on the average amount of dividend equivalents paid on unvested RSUs in 2021.</w:t>
      </w:r>
    </w:p>
    <w:p>
      <w:pPr>
        <w:spacing w:after="0" w:line="76" w:lineRule="exact"/>
        <w:rPr>
          <w:rFonts w:ascii="Arial" w:cs="Arial" w:eastAsia="Arial" w:hAnsi="Arial"/>
          <w:sz w:val="18"/>
          <w:szCs w:val="18"/>
          <w:color w:val="auto"/>
        </w:rPr>
      </w:pPr>
    </w:p>
    <w:p>
      <w:pPr>
        <w:ind w:left="500" w:right="80" w:hanging="492"/>
        <w:spacing w:after="0" w:line="254" w:lineRule="auto"/>
        <w:tabs>
          <w:tab w:leader="none" w:pos="4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Adjustments to the non-CEO named executive officers’ average total compensation for 2020 as reported in the summary compensation table consist of: (a) $3,640,067 deduction for the average amount reported under the “Stock Awards” and “Option Awards” columns in the summary compensation table; (b) $5,517,190 increase based on the average fair value of equity awards granted in 2020 that remained outstanding and unvested as of December 31, 2020; (c) $4,027,257 increase for equity awards granted in prior fiscal years that remained outstanding and unvested as of December 31, 2020, determined based on the average change in fair value of such awards from December 31, 2019, to December 31, 2020; (d) $116,105 deduction for awards granted in prior fiscal years that vested in 2020, determined based on the average change in fair value of such awards from December 31, 2019, to the vest date; (e) $217,527 increase based on the average amount of dividend equivalents paid on unvested RSUs in 2020; and (f) $865 deduction for the change in actuarial present values reported under the “Change in Pension Value and Nonqualifed Deferred Compensation Earnings” column in the summary compensation table.</w:t>
      </w:r>
    </w:p>
    <w:p>
      <w:pPr>
        <w:spacing w:after="0" w:line="77" w:lineRule="exact"/>
        <w:rPr>
          <w:rFonts w:ascii="Arial" w:cs="Arial" w:eastAsia="Arial" w:hAnsi="Arial"/>
          <w:sz w:val="18"/>
          <w:szCs w:val="18"/>
          <w:color w:val="auto"/>
        </w:rPr>
      </w:pPr>
    </w:p>
    <w:p>
      <w:pPr>
        <w:ind w:left="500" w:right="260" w:hanging="492"/>
        <w:spacing w:after="0" w:line="318" w:lineRule="auto"/>
        <w:tabs>
          <w:tab w:leader="none" w:pos="496" w:val="left"/>
        </w:tabs>
        <w:numPr>
          <w:ilvl w:val="0"/>
          <w:numId w:val="91"/>
        </w:numPr>
        <w:rPr>
          <w:rFonts w:ascii="Arial" w:cs="Arial" w:eastAsia="Arial" w:hAnsi="Arial"/>
          <w:sz w:val="17"/>
          <w:szCs w:val="17"/>
          <w:color w:val="auto"/>
        </w:rPr>
      </w:pPr>
      <w:r>
        <w:rPr>
          <w:rFonts w:ascii="Arial" w:cs="Arial" w:eastAsia="Arial" w:hAnsi="Arial"/>
          <w:sz w:val="17"/>
          <w:szCs w:val="17"/>
          <w:color w:val="auto"/>
        </w:rPr>
        <w:t>TSR represents the cumulative TSR for the company and the S&amp;P Information Technology index over a three-year period beginning December 31, 2019, as of the years ended 2022, 2021 and 2020. TSR data is obtained from Research Data Group, Inc. (RDG).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Compensation actually paid compared to TSR, net income and operating profit</w:t>
      </w:r>
    </w:p>
    <w:p>
      <w:pPr>
        <w:spacing w:after="0" w:line="2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Compensation actually paid to the CEO decreased year over year by $25,587,725, or 68%, and $6,231,484, or 14%, in 2022 and 2021, respectively. Compensation actually paid to the remaining non-CEO named executive officers decreased year over year by $6,208,968, or 55%, and $504,962, or 4%, in 2022 and 2021, respectively. During this period, the company’s cumulative TSR was 39.5%. Net income increased year over year by $980 million, or 13%, and $2.17 billion, or 39%, in 2022 and 2021, respectively. Operating profit increased year over year by $1.18 billion, or 13%, and $3.07 billion, or 52%, in 2022 and 2021, respectively.</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TSR, net income and operating profit are some indicators of the company’s overall performance that may impact the value of total compensation; however, other performance measures and factors are considered in setting named executive officers’ compensation. See the Compensation Discussion and Analysis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 TSR compared to S&amp;P IT Index TSR</w:t>
      </w:r>
    </w:p>
    <w:p>
      <w:pPr>
        <w:spacing w:after="0" w:line="21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company’s cumulative TSR of 39.5% for the three-year period ending December 31, 2022, was about the same as the S&amp;P Information Technology Index return for the same period of 39.0%.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auto"/>
        </w:rPr>
        <w:t>2022 financial performance measures</w:t>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four financial performance measures listed in the following table represent an unranked list of the “most important” financial performance measures linking compensation actually paid to the named executive officers for 2022 and company performance. We do not consider any one of the following financial performance measures to be the most important measure for our company or executive compensation program. Additional financial performance measures, based on an absolute and relative basis, and other measures were used to link executive pay to company performance as further described in the Compensation Discussion and Analysis.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growth: total TI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profit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profit margin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shareholder return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79"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(i) the audited financial statements and (ii) management’s report on internal control over financial reporting and the independent accounting firm’s related opinions.</w:t>
      </w:r>
    </w:p>
    <w:p>
      <w:pPr>
        <w:spacing w:after="0" w:line="15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5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5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2022 for filing with the SEC.</w:t>
      </w:r>
    </w:p>
    <w:p>
      <w:pPr>
        <w:spacing w:after="0" w:line="99" w:lineRule="exact"/>
        <w:rPr>
          <w:sz w:val="20"/>
          <w:szCs w:val="20"/>
          <w:color w:val="auto"/>
        </w:rPr>
      </w:pPr>
    </w:p>
    <w:p>
      <w:pPr>
        <w:ind w:left="1060"/>
        <w:spacing w:after="0"/>
        <w:tabs>
          <w:tab w:leader="none" w:pos="4980" w:val="left"/>
          <w:tab w:leader="none" w:pos="8720" w:val="left"/>
        </w:tabs>
        <w:rPr>
          <w:sz w:val="20"/>
          <w:szCs w:val="20"/>
          <w:color w:val="auto"/>
        </w:rPr>
      </w:pPr>
      <w:r>
        <w:rPr>
          <w:rFonts w:ascii="Arial" w:cs="Arial" w:eastAsia="Arial" w:hAnsi="Arial"/>
          <w:sz w:val="18"/>
          <w:szCs w:val="18"/>
          <w:color w:val="auto"/>
        </w:rPr>
        <w:t>Janet F. Clark, Chair</w:t>
      </w:r>
      <w:r>
        <w:rPr>
          <w:sz w:val="20"/>
          <w:szCs w:val="20"/>
          <w:color w:val="auto"/>
        </w:rPr>
        <w:tab/>
      </w:r>
      <w:r>
        <w:rPr>
          <w:rFonts w:ascii="Arial" w:cs="Arial" w:eastAsia="Arial" w:hAnsi="Arial"/>
          <w:sz w:val="18"/>
          <w:szCs w:val="18"/>
          <w:color w:val="auto"/>
        </w:rPr>
        <w:t>Jean M. Hobby</w:t>
      </w:r>
      <w:r>
        <w:rPr>
          <w:sz w:val="20"/>
          <w:szCs w:val="20"/>
          <w:color w:val="auto"/>
        </w:rPr>
        <w:tab/>
      </w:r>
      <w:r>
        <w:rPr>
          <w:rFonts w:ascii="Arial" w:cs="Arial" w:eastAsia="Arial" w:hAnsi="Arial"/>
          <w:sz w:val="17"/>
          <w:szCs w:val="17"/>
          <w:color w:val="auto"/>
        </w:rPr>
        <w:t>Michael D. Hsu</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2023.</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65 years. In order to assure continuing auditor independence, the Audit Committee periodically considers whether the annual audit of TI’s financial statements should be conducted by another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59" w:name="page60"/>
    <w:bookmarkEnd w:id="59"/>
    <w:p>
      <w:pPr>
        <w:ind w:right="400"/>
        <w:spacing w:after="0" w:line="287"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5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7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25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Audit</w:t>
            </w:r>
          </w:p>
        </w:tc>
        <w:tc>
          <w:tcPr>
            <w:tcW w:w="382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ind w:right="154"/>
              <w:spacing w:after="0"/>
              <w:rPr>
                <w:sz w:val="20"/>
                <w:szCs w:val="20"/>
                <w:color w:val="auto"/>
              </w:rPr>
            </w:pPr>
            <w:r>
              <w:rPr>
                <w:rFonts w:ascii="Arial" w:cs="Arial" w:eastAsia="Arial" w:hAnsi="Arial"/>
                <w:sz w:val="18"/>
                <w:szCs w:val="18"/>
                <w:color w:val="auto"/>
              </w:rPr>
              <w:t>10,171,000</w:t>
            </w:r>
          </w:p>
        </w:tc>
        <w:tc>
          <w:tcPr>
            <w:tcW w:w="4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9,797,000</w:t>
            </w:r>
          </w:p>
        </w:tc>
      </w:tr>
      <w:tr>
        <w:trPr>
          <w:trHeight w:val="247"/>
        </w:trPr>
        <w:tc>
          <w:tcPr>
            <w:tcW w:w="4620" w:type="dxa"/>
            <w:vAlign w:val="bottom"/>
          </w:tcPr>
          <w:p>
            <w:pPr>
              <w:ind w:left="20"/>
              <w:spacing w:after="0"/>
              <w:rPr>
                <w:sz w:val="20"/>
                <w:szCs w:val="20"/>
                <w:color w:val="auto"/>
              </w:rPr>
            </w:pPr>
            <w:r>
              <w:rPr>
                <w:rFonts w:ascii="Arial" w:cs="Arial" w:eastAsia="Arial" w:hAnsi="Arial"/>
                <w:sz w:val="18"/>
                <w:szCs w:val="18"/>
                <w:color w:val="auto"/>
              </w:rPr>
              <w:t>Audit-related</w:t>
            </w:r>
          </w:p>
        </w:tc>
        <w:tc>
          <w:tcPr>
            <w:tcW w:w="3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777,000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780,000</w:t>
            </w:r>
          </w:p>
        </w:tc>
      </w:tr>
      <w:tr>
        <w:trPr>
          <w:trHeight w:val="23"/>
        </w:trPr>
        <w:tc>
          <w:tcPr>
            <w:tcW w:w="4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Tax</w:t>
            </w:r>
          </w:p>
        </w:tc>
        <w:tc>
          <w:tcPr>
            <w:tcW w:w="382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ind w:right="154"/>
              <w:spacing w:after="0"/>
              <w:rPr>
                <w:sz w:val="20"/>
                <w:szCs w:val="20"/>
                <w:color w:val="auto"/>
              </w:rPr>
            </w:pPr>
            <w:r>
              <w:rPr>
                <w:rFonts w:ascii="Arial" w:cs="Arial" w:eastAsia="Arial" w:hAnsi="Arial"/>
                <w:sz w:val="18"/>
                <w:szCs w:val="18"/>
                <w:color w:val="auto"/>
              </w:rPr>
              <w:t>1,832,000</w:t>
            </w:r>
          </w:p>
        </w:tc>
        <w:tc>
          <w:tcPr>
            <w:tcW w:w="4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1,405,000</w:t>
            </w:r>
          </w:p>
        </w:tc>
      </w:tr>
      <w:tr>
        <w:trPr>
          <w:trHeight w:val="247"/>
        </w:trPr>
        <w:tc>
          <w:tcPr>
            <w:tcW w:w="46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30,000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38,000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services provided were as follows:</w:t>
      </w:r>
    </w:p>
    <w:p>
      <w:pPr>
        <w:spacing w:after="0" w:line="22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5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5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All other: TI Foundation audit and training.</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or its chair pre-approved all services provided by Ernst &amp; Young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ind w:right="1000"/>
        <w:spacing w:after="0" w:line="296"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2023.</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right to call a special meeting</w:t>
      </w:r>
    </w:p>
    <w:p>
      <w:pPr>
        <w:spacing w:after="0" w:line="23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Mr. John Chevedden, 2215 Nelson Avenue #205, Redondo Beach, CA 90278-2453, the beneficial owner of more than $2,000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Proxies solicited by management will be voted against the stockholder proposal below unless stockholders specify a contrary choice in their proxies.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applicable rules of the SEC, we have set forth Mr. Chevedden’s proposal below exactly as submitted to 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154940</wp:posOffset>
            </wp:positionV>
            <wp:extent cx="1705610" cy="342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056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050505"/>
        </w:rPr>
        <w:t>Shareholders ask our board to take the steps necessary to amend the appropriate company governing documents to give the owners of a combined 10% of our outstanding common stock the power to call a special shareholder meeting.</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050505"/>
        </w:rPr>
        <w:t>The 10% figure, that gives each share an equal right to formally participate in calling for a special shareholder meeting, is reasonable because the laws of some states mandate that 10% of shares be able to call a special shareholder meeting. Another sign that a 10% of shares is reasonable is that a number of companies that have a 25% figure then allow the 10% figure to apply to one shareholder who owns 10% of shares.</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8"/>
          <w:szCs w:val="18"/>
          <w:color w:val="050505"/>
        </w:rPr>
        <w:t>Texas Instruments shareholders gave a whopping 78% vote to a shareholder proposal to give shareholders the right to act by written consent. This 78% vote represented an overwhelming majority support from shareholders. In response to this overwhelming majority support management gave us a useless right to act by written consent.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050505"/>
        </w:rPr>
        <w:t>This was under the so-called leadership of Mr. Ronald Kirk, who chaired the Governance Committee. In response to this overwhelming majority vote, under Mr. Kirk we got a form of written consent that is so difficult to use that a group of shareholders, who see an urgent need to have a shareholder voice on an important item between annual meetings, would automatically choose to call for a special shareholder meeting because it is less difficult than attempting to act by written consent. Thus the so-called right to act by written consent would be left in the dust.</w:t>
      </w:r>
    </w:p>
    <w:p>
      <w:pPr>
        <w:spacing w:after="0" w:line="17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050505"/>
        </w:rPr>
        <w:t>Mr. Kirk has been senior of counsel at Gibson, Dunn &amp; Crutcher since 2013. Gibson, Dunn is a law firm with $ 2 Billion in annual revenue. Over the last decade Gibson, Dunn may have made more money in resisting shareholder proposals than any other law firm in history. A 10-foot pole should separate any Gibson Dunn attorney, like Mr. Kirk, and the Governess Committee of a company like Texas Instruments.</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050505"/>
        </w:rPr>
        <w:t>Since Texas Instruments management will not give its shareholders a genuine right to act by written consent we need the right for 10% of shares to be able to call a special shareholder meeting.</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050505"/>
        </w:rPr>
        <w:t>A more reasonable stock ownership threshold to call for a special shareholder meeting to elect a new director could give our directors a greater incentive to improve their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50505"/>
        </w:rPr>
        <w:t>For instance Ms. Carrie Cox and Ms. Pamela Patsley each received 108 million against votes in 2022.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050505"/>
        </w:rPr>
        <w:t xml:space="preserve">Please vote yes: </w:t>
      </w:r>
      <w:r>
        <w:rPr>
          <w:rFonts w:ascii="Arial" w:cs="Arial" w:eastAsia="Arial" w:hAnsi="Arial"/>
          <w:sz w:val="18"/>
          <w:szCs w:val="18"/>
          <w:b w:val="1"/>
          <w:bCs w:val="1"/>
          <w:color w:val="050505"/>
        </w:rPr>
        <w:t>Special Shareholder Meeting Improvement</w:t>
      </w:r>
    </w:p>
    <w:p>
      <w:pPr>
        <w:sectPr>
          <w:pgSz w:w="11900" w:h="16838" w:orient="portrait"/>
          <w:cols w:equalWidth="0" w:num="1">
            <w:col w:w="11180"/>
          </w:cols>
          <w:pgMar w:left="320" w:top="9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2023 PROXY STATEMENT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u w:val="single" w:color="auto"/>
          <w:color w:val="050505"/>
        </w:rPr>
        <w:t>Board of directors’ response</w:t>
      </w:r>
    </w:p>
    <w:p>
      <w:pPr>
        <w:spacing w:after="0" w:line="232"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050505"/>
        </w:rPr>
        <w:t>The board of directors recommends a vote “AGAINST” this proposal because stockholders already have a meaningful right to call a special meeting.</w:t>
      </w:r>
    </w:p>
    <w:p>
      <w:pPr>
        <w:spacing w:after="0" w:line="13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080808"/>
        </w:rPr>
        <w:t>The board understands it is important to stockholders to have the ability to act in between annual meeting meetings, and has engaged in stockholder outreach on this topic following both the 2021 and 2022 annual meetings. Following this outreach in 2021 and in response to stockholder feedback, in 2022, the board amended the company’s by-laws to permit stockholders with net long ownership of 25% or more of our outstanding common stock to call special meetings.</w:t>
      </w:r>
    </w:p>
    <w:p>
      <w:pPr>
        <w:spacing w:after="0" w:line="176" w:lineRule="exact"/>
        <w:rPr>
          <w:sz w:val="20"/>
          <w:szCs w:val="20"/>
          <w:color w:val="auto"/>
        </w:rPr>
      </w:pPr>
    </w:p>
    <w:p>
      <w:pPr>
        <w:ind w:left="660" w:hanging="328"/>
        <w:spacing w:after="0" w:line="256" w:lineRule="auto"/>
        <w:tabs>
          <w:tab w:leader="none" w:pos="655" w:val="left"/>
        </w:tabs>
        <w:numPr>
          <w:ilvl w:val="0"/>
          <w:numId w:val="92"/>
        </w:numPr>
        <w:rPr>
          <w:rFonts w:ascii="Arial" w:cs="Arial" w:eastAsia="Arial" w:hAnsi="Arial"/>
          <w:sz w:val="18"/>
          <w:szCs w:val="18"/>
          <w:color w:val="080808"/>
        </w:rPr>
      </w:pPr>
      <w:r>
        <w:rPr>
          <w:rFonts w:ascii="Arial" w:cs="Arial" w:eastAsia="Arial" w:hAnsi="Arial"/>
          <w:sz w:val="18"/>
          <w:szCs w:val="18"/>
          <w:b w:val="1"/>
          <w:bCs w:val="1"/>
          <w:color w:val="080808"/>
        </w:rPr>
        <w:t xml:space="preserve">The current ownership threshold appropriately balances the interests of all stockholders. </w:t>
      </w:r>
      <w:r>
        <w:rPr>
          <w:rFonts w:ascii="Arial" w:cs="Arial" w:eastAsia="Arial" w:hAnsi="Arial"/>
          <w:sz w:val="18"/>
          <w:szCs w:val="18"/>
          <w:color w:val="080808"/>
        </w:rPr>
        <w:t>The company’s stockholders have</w:t>
      </w:r>
      <w:r>
        <w:rPr>
          <w:rFonts w:ascii="Arial" w:cs="Arial" w:eastAsia="Arial" w:hAnsi="Arial"/>
          <w:sz w:val="18"/>
          <w:szCs w:val="18"/>
          <w:b w:val="1"/>
          <w:bCs w:val="1"/>
          <w:color w:val="080808"/>
        </w:rPr>
        <w:t xml:space="preserve"> </w:t>
      </w:r>
      <w:r>
        <w:rPr>
          <w:rFonts w:ascii="Arial" w:cs="Arial" w:eastAsia="Arial" w:hAnsi="Arial"/>
          <w:sz w:val="18"/>
          <w:szCs w:val="18"/>
          <w:color w:val="080808"/>
        </w:rPr>
        <w:t>disparate views on the right to call special meetings and the conditions to exercise that right. Through ongoing engagement with stockholders since 2021, the company has learned that some stockholders believe a special meeting right is not necessary or advisable. Others believe that a threshold less than 25% would increase the risk of special meetings being called by as few as one or two stockholders focused on short-term interests. In the view of those stockholders and our board, enabling holders of less than 25% of our common stock to call special meetings could subject the company to disruption from stockholder special interest groups or activists with an agenda not in the best interest of the company or our long-term stockholders.</w:t>
      </w:r>
    </w:p>
    <w:p>
      <w:pPr>
        <w:spacing w:after="0" w:line="74" w:lineRule="exact"/>
        <w:rPr>
          <w:rFonts w:ascii="Arial" w:cs="Arial" w:eastAsia="Arial" w:hAnsi="Arial"/>
          <w:sz w:val="18"/>
          <w:szCs w:val="18"/>
          <w:color w:val="080808"/>
        </w:rPr>
      </w:pPr>
    </w:p>
    <w:p>
      <w:pPr>
        <w:ind w:left="660" w:right="420"/>
        <w:spacing w:after="0" w:line="278" w:lineRule="auto"/>
        <w:rPr>
          <w:rFonts w:ascii="Arial" w:cs="Arial" w:eastAsia="Arial" w:hAnsi="Arial"/>
          <w:sz w:val="18"/>
          <w:szCs w:val="18"/>
          <w:color w:val="080808"/>
        </w:rPr>
      </w:pPr>
      <w:r>
        <w:rPr>
          <w:rFonts w:ascii="Arial" w:cs="Arial" w:eastAsia="Arial" w:hAnsi="Arial"/>
          <w:sz w:val="17"/>
          <w:szCs w:val="17"/>
          <w:color w:val="auto"/>
        </w:rPr>
        <w:t>Prior to the January 2022 by-law amendment adopting a shareholder right to call special meetings, the company reached out to stockholders of approximately two-thirds of the company’s outstanding common stock, to determine, among other things, the appropriate threshold to set for a special meeting right. Approximately half of the stockholders with whom the company engaged supported the 25% ownership threshold. No other threshold received a comparable level of support. Consistent with this level of support, when the company’s stockholders considered this same proposal last year, it received less than majority support.</w:t>
      </w:r>
    </w:p>
    <w:p>
      <w:pPr>
        <w:spacing w:after="0" w:line="55" w:lineRule="exact"/>
        <w:rPr>
          <w:rFonts w:ascii="Arial" w:cs="Arial" w:eastAsia="Arial" w:hAnsi="Arial"/>
          <w:sz w:val="18"/>
          <w:szCs w:val="18"/>
          <w:color w:val="080808"/>
        </w:rPr>
      </w:pPr>
    </w:p>
    <w:p>
      <w:pPr>
        <w:ind w:left="660" w:right="20" w:hanging="328"/>
        <w:spacing w:after="0" w:line="255" w:lineRule="auto"/>
        <w:tabs>
          <w:tab w:leader="none" w:pos="655" w:val="left"/>
        </w:tabs>
        <w:numPr>
          <w:ilvl w:val="0"/>
          <w:numId w:val="92"/>
        </w:numPr>
        <w:rPr>
          <w:rFonts w:ascii="Arial" w:cs="Arial" w:eastAsia="Arial" w:hAnsi="Arial"/>
          <w:sz w:val="18"/>
          <w:szCs w:val="18"/>
          <w:color w:val="080808"/>
        </w:rPr>
      </w:pPr>
      <w:r>
        <w:rPr>
          <w:rFonts w:ascii="Arial" w:cs="Arial" w:eastAsia="Arial" w:hAnsi="Arial"/>
          <w:sz w:val="18"/>
          <w:szCs w:val="18"/>
          <w:b w:val="1"/>
          <w:bCs w:val="1"/>
          <w:color w:val="080808"/>
        </w:rPr>
        <w:t xml:space="preserve">Special meetings require substantial company resources and time. </w:t>
      </w:r>
      <w:r>
        <w:rPr>
          <w:rFonts w:ascii="Arial" w:cs="Arial" w:eastAsia="Arial" w:hAnsi="Arial"/>
          <w:sz w:val="18"/>
          <w:szCs w:val="18"/>
          <w:color w:val="080808"/>
        </w:rPr>
        <w:t>The expense and disruption of a special meeting can be</w:t>
      </w:r>
      <w:r>
        <w:rPr>
          <w:rFonts w:ascii="Arial" w:cs="Arial" w:eastAsia="Arial" w:hAnsi="Arial"/>
          <w:sz w:val="18"/>
          <w:szCs w:val="18"/>
          <w:b w:val="1"/>
          <w:bCs w:val="1"/>
          <w:color w:val="080808"/>
        </w:rPr>
        <w:t xml:space="preserve"> </w:t>
      </w:r>
      <w:r>
        <w:rPr>
          <w:rFonts w:ascii="Arial" w:cs="Arial" w:eastAsia="Arial" w:hAnsi="Arial"/>
          <w:sz w:val="18"/>
          <w:szCs w:val="18"/>
          <w:color w:val="080808"/>
        </w:rPr>
        <w:t>significant, including the costs of preparing and distributing proxy materials and the diversion of board and management attention from the oversight and management of our business. The proposed 10% threshold could be reached by a single non-majority stockholder. Given that special meetings require a considerable investment in resources, they should be limited to circumstances where a meaningful number of stockholders believe a matter is sufficiently urgent or extraordinary that it must be addressed between annual meetings. The board believes a 25% threshold strikes the necessary balance between enhancing our stockholders’ ability to act on important matters in between annual meetings and protecting the company and other stockholders by allowing only a meaningful group of stockholders to exercise the right.</w:t>
      </w:r>
    </w:p>
    <w:p>
      <w:pPr>
        <w:spacing w:after="0" w:line="76" w:lineRule="exact"/>
        <w:rPr>
          <w:rFonts w:ascii="Arial" w:cs="Arial" w:eastAsia="Arial" w:hAnsi="Arial"/>
          <w:sz w:val="18"/>
          <w:szCs w:val="18"/>
          <w:color w:val="080808"/>
        </w:rPr>
      </w:pPr>
    </w:p>
    <w:p>
      <w:pPr>
        <w:ind w:left="660" w:right="20" w:hanging="328"/>
        <w:spacing w:after="0" w:line="255" w:lineRule="auto"/>
        <w:tabs>
          <w:tab w:leader="none" w:pos="655" w:val="left"/>
        </w:tabs>
        <w:numPr>
          <w:ilvl w:val="0"/>
          <w:numId w:val="92"/>
        </w:numPr>
        <w:rPr>
          <w:rFonts w:ascii="Arial" w:cs="Arial" w:eastAsia="Arial" w:hAnsi="Arial"/>
          <w:sz w:val="18"/>
          <w:szCs w:val="18"/>
          <w:color w:val="080808"/>
        </w:rPr>
      </w:pPr>
      <w:r>
        <w:rPr>
          <w:rFonts w:ascii="Arial" w:cs="Arial" w:eastAsia="Arial" w:hAnsi="Arial"/>
          <w:sz w:val="18"/>
          <w:szCs w:val="18"/>
          <w:b w:val="1"/>
          <w:bCs w:val="1"/>
          <w:color w:val="080808"/>
        </w:rPr>
        <w:t xml:space="preserve">Stockholders already have several methods through which they can influence company practices without lowering the special meeting threshold. </w:t>
      </w:r>
      <w:r>
        <w:rPr>
          <w:rFonts w:ascii="Arial" w:cs="Arial" w:eastAsia="Arial" w:hAnsi="Arial"/>
          <w:sz w:val="18"/>
          <w:szCs w:val="18"/>
          <w:color w:val="080808"/>
        </w:rPr>
        <w:t>The company has other corporate governance practices in place that protect stockholder rights and</w:t>
      </w:r>
      <w:r>
        <w:rPr>
          <w:rFonts w:ascii="Arial" w:cs="Arial" w:eastAsia="Arial" w:hAnsi="Arial"/>
          <w:sz w:val="18"/>
          <w:szCs w:val="18"/>
          <w:b w:val="1"/>
          <w:bCs w:val="1"/>
          <w:color w:val="080808"/>
        </w:rPr>
        <w:t xml:space="preserve"> </w:t>
      </w:r>
      <w:r>
        <w:rPr>
          <w:rFonts w:ascii="Arial" w:cs="Arial" w:eastAsia="Arial" w:hAnsi="Arial"/>
          <w:sz w:val="18"/>
          <w:szCs w:val="18"/>
          <w:color w:val="080808"/>
        </w:rPr>
        <w:t>provide meaningful avenues for all stockholders, no matter the size, to effectively voice their opinions, including through the company’s robust stockholder engagement throughout the year. Additionally, our annual stockholder meeting provides an opportunity for stockholders to provide direct feedback by voting on director nominees, executive compensation, auditor selection and other matters that come before the meeting, or to ask questions of management. Stockholders also may bring specific items of business before the company and other stockholders by submitting proposals for inclusion in the company’s proxy materials to be voted on at the meeting, or to be voted on at the meeting without being included in company proxy materials. Company by-laws also allow stockholders to nominate directors at the annual meeting or use proxy access.</w:t>
      </w:r>
    </w:p>
    <w:p>
      <w:pPr>
        <w:spacing w:after="0" w:line="72" w:lineRule="exact"/>
        <w:rPr>
          <w:rFonts w:ascii="Arial" w:cs="Arial" w:eastAsia="Arial" w:hAnsi="Arial"/>
          <w:sz w:val="18"/>
          <w:szCs w:val="18"/>
          <w:color w:val="080808"/>
        </w:rPr>
      </w:pPr>
    </w:p>
    <w:p>
      <w:pPr>
        <w:ind w:left="660" w:right="100"/>
        <w:spacing w:after="0" w:line="257" w:lineRule="auto"/>
        <w:rPr>
          <w:rFonts w:ascii="Arial" w:cs="Arial" w:eastAsia="Arial" w:hAnsi="Arial"/>
          <w:sz w:val="18"/>
          <w:szCs w:val="18"/>
          <w:color w:val="080808"/>
        </w:rPr>
      </w:pPr>
      <w:r>
        <w:rPr>
          <w:rFonts w:ascii="Arial" w:cs="Arial" w:eastAsia="Arial" w:hAnsi="Arial"/>
          <w:sz w:val="18"/>
          <w:szCs w:val="18"/>
          <w:color w:val="auto"/>
        </w:rPr>
        <w:t>The company regularly solicits stockholder views outside the context of formal stockholder meetings, considers that input, and takes appropriate actions where the long-term interests of all our stockholders are best served. The January 2022 amendment of the company’s by-laws to provide stockholders a right to call special meetings is only one such example. The company maintains its commitment to continue monitoring developments on this topic as part of its consideration of broader governance issues, and our board will continue to foster an open dialogue with our stockholders regarding the company’s corporate governance policies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2" w:name="page63"/>
    <w:bookmarkEnd w:id="62"/>
    <w:p>
      <w:pPr>
        <w:spacing w:after="0" w:line="268" w:lineRule="auto"/>
        <w:rPr>
          <w:sz w:val="20"/>
          <w:szCs w:val="20"/>
          <w:color w:val="auto"/>
        </w:rPr>
      </w:pPr>
      <w:r>
        <w:rPr>
          <w:rFonts w:ascii="Arial" w:cs="Arial" w:eastAsia="Arial" w:hAnsi="Arial"/>
          <w:sz w:val="18"/>
          <w:szCs w:val="18"/>
          <w:color w:val="auto"/>
        </w:rPr>
        <w:t>In summary, the board believes that the current threshold for the right of stockholders to call a special meeting is consistent with existing best practices and continues to reflect the governance framework that best protects stockholder rights. Accordingly, the board believes the adoption of the stockholder proposal is not appropriate and is not in the best interests of our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the board of directors recommends a vote “AGAINST” this proposal.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50505"/>
        </w:rPr>
        <w:t>Proposal to report on due diligence efforts to trace end-user misuse of company products</w:t>
      </w:r>
    </w:p>
    <w:p>
      <w:pPr>
        <w:spacing w:after="0" w:line="23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Friends Fiduciary Corporation, 1700 Market Street, Suite 1535, Philadelphia, PA 19103, the beneficial owner of more than $2,000 of the company’s common stock, has given notice that it or its designee intends to present the following nonbinding, advisory proposal at the annual meeting. The board of directors opposes the stockholder proposal for the reasons set forth below the proposal.</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Proxies solicited by management will be voted against the stockholder proposal below unless stockholders specify a contrary choice in their proxies.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applicable rules of the SEC, we have set forth Friends Fiduciary Corporation’s proposal below exactly as submitted to us.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RESOLVED: Shareholders request that the Board of Directors commission an independent third-party report, at reasonable expense and excluding proprietary information, on Texas Instruments’ (Tl) due diligence process to determine whether its customers' use of its products or services contribute or are linked to violations of international law.</w:t>
      </w:r>
    </w:p>
    <w:p>
      <w:pPr>
        <w:spacing w:after="0" w:line="171" w:lineRule="exact"/>
        <w:rPr>
          <w:sz w:val="20"/>
          <w:szCs w:val="20"/>
          <w:color w:val="auto"/>
        </w:rPr>
      </w:pPr>
    </w:p>
    <w:p>
      <w:pPr>
        <w:jc w:val="both"/>
        <w:ind w:right="120"/>
        <w:spacing w:after="0" w:line="260" w:lineRule="auto"/>
        <w:rPr>
          <w:sz w:val="20"/>
          <w:szCs w:val="20"/>
          <w:color w:val="auto"/>
        </w:rPr>
      </w:pPr>
      <w:r>
        <w:rPr>
          <w:rFonts w:ascii="Arial" w:cs="Arial" w:eastAsia="Arial" w:hAnsi="Arial"/>
          <w:sz w:val="17"/>
          <w:szCs w:val="17"/>
          <w:color w:val="auto"/>
        </w:rPr>
        <w:t>WHEREAS: The United States and EU have imposed extensive sanctions and export controls against the Russian state and its owned and affiliated businesses in response to the invasion of Ukraine.</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On September 21, Vladimir Putin announced a “partial mobilization,” requiring all public and private organizations to assist in the conscription of eligible employees and provide material means to support the war effort</w:t>
      </w:r>
      <w:r>
        <w:rPr>
          <w:rFonts w:ascii="Arial" w:cs="Arial" w:eastAsia="Arial" w:hAnsi="Arial"/>
          <w:sz w:val="22"/>
          <w:szCs w:val="22"/>
          <w:color w:val="auto"/>
          <w:vertAlign w:val="superscript"/>
        </w:rPr>
        <w:t>3</w:t>
      </w:r>
      <w:r>
        <w:rPr>
          <w:rFonts w:ascii="Arial" w:cs="Arial" w:eastAsia="Arial" w:hAnsi="Arial"/>
          <w:sz w:val="17"/>
          <w:szCs w:val="17"/>
          <w:color w:val="auto"/>
        </w:rPr>
        <w:t>;</w:t>
      </w:r>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Royal United Services Institute (RUSI) reported that Tl and Analog Devices were the original manufacturers of approximately 25% of the dual-use items found in 27 Russian weapons systems used in the invasion, including cruise and ballistic missiles, precision munitions, and electronic warfare. RUSI notes that “US exporters of these products [had] a due-diligence obligation to make sure they were not destined for a prohibited end user, or to be used in prohibited end use.”</w:t>
      </w:r>
      <w:r>
        <w:rPr>
          <w:rFonts w:ascii="Arial" w:cs="Arial" w:eastAsia="Arial" w:hAnsi="Arial"/>
          <w:sz w:val="23"/>
          <w:szCs w:val="23"/>
          <w:color w:val="auto"/>
          <w:vertAlign w:val="superscript"/>
        </w:rPr>
        <w:t>4</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Iranian “kamikaze” drones, governed by export restrictions and used by Russia against Ukraine, contain circuit boards with Tl processors.</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Reports indicate these drones are being used against civilians and energy infrastructure, exacerbating the humanitarian crisis.</w:t>
      </w:r>
      <w:r>
        <w:rPr>
          <w:rFonts w:ascii="Arial" w:cs="Arial" w:eastAsia="Arial" w:hAnsi="Arial"/>
          <w:sz w:val="22"/>
          <w:szCs w:val="22"/>
          <w:color w:val="auto"/>
          <w:vertAlign w:val="superscript"/>
        </w:rPr>
        <w:t>6</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use of Tl’s products during the Russian invasion of Ukraine may result in heightened human rights and financially material risks through potential violations of American and EU sanctions and export controls, the United Nations Guiding Principles (UNGP) on Business and Human Rights, and Tl's human rights policies, as well as complicity in Russia’s war crimes.</w:t>
      </w:r>
      <w:r>
        <w:rPr>
          <w:rFonts w:ascii="Arial" w:cs="Arial" w:eastAsia="Arial" w:hAnsi="Arial"/>
          <w:sz w:val="23"/>
          <w:szCs w:val="23"/>
          <w:color w:val="auto"/>
          <w:vertAlign w:val="superscript"/>
        </w:rPr>
        <w:t>7</w:t>
      </w:r>
    </w:p>
    <w:p>
      <w:pPr>
        <w:spacing w:after="0" w:line="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Because human rights risks can be particularly acute in conflict-affected and high-risk areas (CAHRA), characterized by widespread human rights abuses and violations of national or international law, the UNGPs call for heightened due diligence. The International Finance Corporation states that companies in CAHRA “face business risks ... much greater than those in other emerging markets,” including destruction of assets, deaths and injuries, weak state control, lack of security, and supply-chain disruptions.</w:t>
      </w:r>
    </w:p>
    <w:p>
      <w:pPr>
        <w:spacing w:after="0" w:line="176"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To mitigate risks associated with customer conduct, companies undertake “Know Your Customer” (KYC) due diligence coupled with sanctions compliance programs.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 seek information, at board and management discretion, through a report describing 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2023 PROXY STATEMENT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3" w:name="page64"/>
    <w:bookmarkEnd w:id="63"/>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Sanctions and export control compliance program to ensure dual-use items are not used by proscribed users or for proscribed uses;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Plans to address increased risks associated with Putin’s partial mobilization order;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Board of Directors’ role in overseeing the identification and management of risks associated with Russia’s invasion;</w:t>
      </w:r>
    </w:p>
    <w:p>
      <w:pPr>
        <w:spacing w:after="0" w:line="63" w:lineRule="exact"/>
        <w:rPr>
          <w:rFonts w:ascii="Arial" w:cs="Arial" w:eastAsia="Arial" w:hAnsi="Arial"/>
          <w:sz w:val="18"/>
          <w:szCs w:val="18"/>
          <w:color w:val="auto"/>
        </w:rPr>
      </w:pPr>
    </w:p>
    <w:p>
      <w:pPr>
        <w:ind w:left="660" w:right="200" w:hanging="328"/>
        <w:spacing w:after="0" w:line="281" w:lineRule="auto"/>
        <w:tabs>
          <w:tab w:leader="none" w:pos="655"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Determination if a KYC due diligence process is needed to address risks across CAHRA, or if a KYC exists, whether it is sufficient;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Assessment of legal, regulatory, and reputational risks to shareholder value posed by the use of Tl products across CAHRA.</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https://home.treasury.gov/news/press-releases/jy0608</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https://www.theguardian.com/world/2022/sep/23/russia-has-committed-war-crimes-in-ukraine-say-un-investigators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https://base.garant.ru/136945/</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https://static.rusi.org/RUSI-Silicon-Lifeline-final-updated-web_1.pdf</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https://euromaidanpress.com/2022/09/27/iranian-shahed-131-drones-have-us-made-components/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https://www.nytimes.com/2022/10/18/world/europe/ukraine-russia-blackout-water.html</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https://www.ft.com/content/8537a252-2f2c-4058-9313-f5e7e28eb56d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of directors’ response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this proposal for the following reasons: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takes seriously its responsibility to have a comprehensive compliance program. We operate in a vast, dynamic and multi-tiered global electronics supply chain, where components like semiconductors are traded through multiple parties before being incorporated in a subsystem or end product. Standard semiconductors (or chips) are used in all electronics. The same chip used in one end product can be used in many other end products. TI produces tens of billions of these general-purpose chips sold to tens of thousands of customers every year, with many chips lasting up to 20-30 years. In light of these complexities, an expectation of complete traceability of such items to end use and prevention of product misuse and diversion is unachievable.</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support or condone the use of our products for applications for which they were not designed. As TI has stated publicly, TI is not selling any products into Russia, Belarus or Iran. TI stopped sales to Russia and Belarus in February 2022, and we no longer support sales there. The United States and its partners recognize the global responsibility of this matter and have issued targeted sanctions and export controls as a result. TI has partnered with global law enforcement organizations as necessary and appropriate to help combat the illegal use of our products.</w:t>
      </w:r>
    </w:p>
    <w:p>
      <w:pPr>
        <w:spacing w:after="0" w:line="179" w:lineRule="exact"/>
        <w:rPr>
          <w:sz w:val="20"/>
          <w:szCs w:val="20"/>
          <w:color w:val="auto"/>
        </w:rPr>
      </w:pPr>
    </w:p>
    <w:p>
      <w:pPr>
        <w:ind w:left="660" w:right="60" w:hanging="328"/>
        <w:spacing w:after="0" w:line="259" w:lineRule="auto"/>
        <w:tabs>
          <w:tab w:leader="none" w:pos="655" w:val="left"/>
        </w:tabs>
        <w:numPr>
          <w:ilvl w:val="0"/>
          <w:numId w:val="94"/>
        </w:numPr>
        <w:rPr>
          <w:rFonts w:ascii="Arial" w:cs="Arial" w:eastAsia="Arial" w:hAnsi="Arial"/>
          <w:sz w:val="18"/>
          <w:szCs w:val="18"/>
          <w:color w:val="080808"/>
        </w:rPr>
      </w:pPr>
      <w:r>
        <w:rPr>
          <w:rFonts w:ascii="Arial" w:cs="Arial" w:eastAsia="Arial" w:hAnsi="Arial"/>
          <w:sz w:val="18"/>
          <w:szCs w:val="18"/>
          <w:b w:val="1"/>
          <w:bCs w:val="1"/>
          <w:color w:val="080808"/>
        </w:rPr>
        <w:t xml:space="preserve">The complexity and volume of the multi-tiered global electronics supply chain makes complete traceability of standard semiconductor products unachievable. </w:t>
      </w:r>
      <w:r>
        <w:rPr>
          <w:rFonts w:ascii="Arial" w:cs="Arial" w:eastAsia="Arial" w:hAnsi="Arial"/>
          <w:sz w:val="18"/>
          <w:szCs w:val="18"/>
          <w:color w:val="000000"/>
        </w:rPr>
        <w:t>Global electronics supply chains are vast, complex and dynamic. The volume of different</w:t>
      </w:r>
      <w:r>
        <w:rPr>
          <w:rFonts w:ascii="Arial" w:cs="Arial" w:eastAsia="Arial" w:hAnsi="Arial"/>
          <w:sz w:val="18"/>
          <w:szCs w:val="18"/>
          <w:b w:val="1"/>
          <w:bCs w:val="1"/>
          <w:color w:val="080808"/>
        </w:rPr>
        <w:t xml:space="preserve"> </w:t>
      </w:r>
      <w:r>
        <w:rPr>
          <w:rFonts w:ascii="Arial" w:cs="Arial" w:eastAsia="Arial" w:hAnsi="Arial"/>
          <w:sz w:val="18"/>
          <w:szCs w:val="18"/>
          <w:color w:val="000000"/>
        </w:rPr>
        <w:t>parts from multiple suppliers across various geographic locations create enormous variation and complexities. TI designs and manufactures semiconductors that we sell to electronics designers and manufacturers all over the world. Gaining complete end user visibility in such a complex network is an unachievable undertaking.</w:t>
      </w:r>
    </w:p>
    <w:p>
      <w:pPr>
        <w:spacing w:after="0" w:line="71" w:lineRule="exact"/>
        <w:rPr>
          <w:rFonts w:ascii="Arial" w:cs="Arial" w:eastAsia="Arial" w:hAnsi="Arial"/>
          <w:sz w:val="18"/>
          <w:szCs w:val="18"/>
          <w:color w:val="080808"/>
        </w:rPr>
      </w:pPr>
    </w:p>
    <w:p>
      <w:pPr>
        <w:ind w:left="660"/>
        <w:spacing w:after="0" w:line="257" w:lineRule="auto"/>
        <w:rPr>
          <w:rFonts w:ascii="Arial" w:cs="Arial" w:eastAsia="Arial" w:hAnsi="Arial"/>
          <w:sz w:val="18"/>
          <w:szCs w:val="18"/>
          <w:color w:val="080808"/>
        </w:rPr>
      </w:pPr>
      <w:r>
        <w:rPr>
          <w:rFonts w:ascii="Arial" w:cs="Arial" w:eastAsia="Arial" w:hAnsi="Arial"/>
          <w:sz w:val="18"/>
          <w:szCs w:val="18"/>
          <w:color w:val="auto"/>
        </w:rPr>
        <w:t>TI has a broad portfolio of approximately 80,000 products that are integral for almost every type of electronic equipment. The ubiquity of these products in global marketplaces makes them so commonly used they are akin to the nails or screws that make up a final electronic product. Even the most advanced weapons systems are designed with the same common chips that are also found in toys, cell phones and household appliances. These everyday consumer products can be lawfully purchased from almost any retail market, then deconstructed so their components can be reused in other applications. Original manufacturers cannot know with certainty where their components may ultimately be used.</w:t>
      </w:r>
    </w:p>
    <w:p>
      <w:pPr>
        <w:spacing w:after="0" w:line="74" w:lineRule="exact"/>
        <w:rPr>
          <w:rFonts w:ascii="Arial" w:cs="Arial" w:eastAsia="Arial" w:hAnsi="Arial"/>
          <w:sz w:val="18"/>
          <w:szCs w:val="18"/>
          <w:color w:val="080808"/>
        </w:rPr>
      </w:pPr>
    </w:p>
    <w:p>
      <w:pPr>
        <w:jc w:val="both"/>
        <w:ind w:left="660" w:right="80"/>
        <w:spacing w:after="0" w:line="268" w:lineRule="auto"/>
        <w:rPr>
          <w:rFonts w:ascii="Arial" w:cs="Arial" w:eastAsia="Arial" w:hAnsi="Arial"/>
          <w:sz w:val="18"/>
          <w:szCs w:val="18"/>
          <w:color w:val="080808"/>
        </w:rPr>
      </w:pPr>
      <w:r>
        <w:rPr>
          <w:rFonts w:ascii="Arial" w:cs="Arial" w:eastAsia="Arial" w:hAnsi="Arial"/>
          <w:sz w:val="18"/>
          <w:szCs w:val="18"/>
          <w:color w:val="auto"/>
        </w:rPr>
        <w:t>Compounding the issue is the long lifespan of chips, some of which are designed to last 20-30 years. This means that parts found in a conflict-affected area might have been purchased years before any sanction or export control went into effect. The Semiconductor Industry Association cited one analysis of Iranian drones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64" w:name="page65"/>
    <w:bookmarkEnd w:id="64"/>
    <w:p>
      <w:pPr>
        <w:ind w:left="660" w:right="20"/>
        <w:spacing w:after="0" w:line="287" w:lineRule="auto"/>
        <w:rPr>
          <w:sz w:val="20"/>
          <w:szCs w:val="20"/>
          <w:color w:val="auto"/>
        </w:rPr>
      </w:pPr>
      <w:r>
        <w:rPr>
          <w:rFonts w:ascii="Arial" w:cs="Arial" w:eastAsia="Arial" w:hAnsi="Arial"/>
          <w:sz w:val="17"/>
          <w:szCs w:val="17"/>
          <w:color w:val="auto"/>
        </w:rPr>
        <w:t>recovered in Ukraine, which found that 11% of components were manufactured in 2012, with some components dating back to 2005. Those products could have been repackaged and resold many times all over the world before ending up in a final application.</w:t>
      </w:r>
      <w:r>
        <w:rPr>
          <w:rFonts w:ascii="Arial" w:cs="Arial" w:eastAsia="Arial" w:hAnsi="Arial"/>
          <w:sz w:val="22"/>
          <w:szCs w:val="22"/>
          <w:color w:val="auto"/>
          <w:vertAlign w:val="superscript"/>
        </w:rPr>
        <w:t>1</w:t>
      </w:r>
    </w:p>
    <w:p>
      <w:pPr>
        <w:spacing w:after="0" w:line="1" w:lineRule="exact"/>
        <w:rPr>
          <w:sz w:val="20"/>
          <w:szCs w:val="20"/>
          <w:color w:val="auto"/>
        </w:rPr>
      </w:pPr>
    </w:p>
    <w:p>
      <w:pPr>
        <w:ind w:left="660" w:right="120"/>
        <w:spacing w:after="0" w:line="238" w:lineRule="auto"/>
        <w:rPr>
          <w:sz w:val="20"/>
          <w:szCs w:val="20"/>
          <w:color w:val="auto"/>
        </w:rPr>
      </w:pPr>
      <w:r>
        <w:rPr>
          <w:rFonts w:ascii="Arial" w:cs="Arial" w:eastAsia="Arial" w:hAnsi="Arial"/>
          <w:sz w:val="18"/>
          <w:szCs w:val="18"/>
          <w:color w:val="auto"/>
        </w:rPr>
        <w:t>The semiconductor industry is committed to assessing and addressing these challenges together.</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TI is actively engaged with other semiconductor companies, government agencies and law enforcement to determine appropriate ways the industry can help to address improper or harmful uses of semiconductors.</w:t>
      </w:r>
    </w:p>
    <w:p>
      <w:pPr>
        <w:spacing w:after="0" w:line="86" w:lineRule="exact"/>
        <w:rPr>
          <w:sz w:val="20"/>
          <w:szCs w:val="20"/>
          <w:color w:val="auto"/>
        </w:rPr>
      </w:pPr>
    </w:p>
    <w:p>
      <w:pPr>
        <w:ind w:left="660" w:right="140" w:hanging="328"/>
        <w:spacing w:after="0" w:line="256" w:lineRule="auto"/>
        <w:tabs>
          <w:tab w:leader="none" w:pos="655" w:val="left"/>
        </w:tabs>
        <w:numPr>
          <w:ilvl w:val="0"/>
          <w:numId w:val="95"/>
        </w:numPr>
        <w:rPr>
          <w:rFonts w:ascii="Arial" w:cs="Arial" w:eastAsia="Arial" w:hAnsi="Arial"/>
          <w:sz w:val="18"/>
          <w:szCs w:val="18"/>
          <w:color w:val="080808"/>
        </w:rPr>
      </w:pPr>
      <w:r>
        <w:rPr>
          <w:rFonts w:ascii="Arial" w:cs="Arial" w:eastAsia="Arial" w:hAnsi="Arial"/>
          <w:sz w:val="18"/>
          <w:szCs w:val="18"/>
          <w:b w:val="1"/>
          <w:bCs w:val="1"/>
          <w:color w:val="080808"/>
        </w:rPr>
        <w:t xml:space="preserve">TI has a compliance program that is long-standing, comprehensive and overseen by the board. It already achieves the primary objective of the proposal. </w:t>
      </w:r>
      <w:r>
        <w:rPr>
          <w:rFonts w:ascii="Arial" w:cs="Arial" w:eastAsia="Arial" w:hAnsi="Arial"/>
          <w:sz w:val="18"/>
          <w:szCs w:val="18"/>
          <w:color w:val="000000"/>
        </w:rPr>
        <w:t>TI is an industry leader in the area of corporate compliance and introduced a formal corporate</w:t>
      </w:r>
      <w:r>
        <w:rPr>
          <w:rFonts w:ascii="Arial" w:cs="Arial" w:eastAsia="Arial" w:hAnsi="Arial"/>
          <w:sz w:val="18"/>
          <w:szCs w:val="18"/>
          <w:b w:val="1"/>
          <w:bCs w:val="1"/>
          <w:color w:val="080808"/>
        </w:rPr>
        <w:t xml:space="preserve"> </w:t>
      </w:r>
      <w:r>
        <w:rPr>
          <w:rFonts w:ascii="Arial" w:cs="Arial" w:eastAsia="Arial" w:hAnsi="Arial"/>
          <w:sz w:val="18"/>
          <w:szCs w:val="18"/>
          <w:color w:val="000000"/>
        </w:rPr>
        <w:t>ethics program in the early 1960s. Our compliance program is overseen by the board. As part of this program, TI conducts due diligence to address export compliance (including, but not limited to, laws and regulations on import and export controls and economic sanctions adopted by the U.S. and other countries) on a regular and periodic basis. TI screens purchases and customers using a variety of industry-standard methods and tools. These efforts position TI to avoid dealing with sanctioned or embargoed parties who might misuse chips in applications like the weapons being used in Russia.</w:t>
      </w:r>
    </w:p>
    <w:p>
      <w:pPr>
        <w:spacing w:after="0" w:line="74" w:lineRule="exact"/>
        <w:rPr>
          <w:rFonts w:ascii="Arial" w:cs="Arial" w:eastAsia="Arial" w:hAnsi="Arial"/>
          <w:sz w:val="18"/>
          <w:szCs w:val="18"/>
          <w:color w:val="080808"/>
        </w:rPr>
      </w:pPr>
    </w:p>
    <w:p>
      <w:pPr>
        <w:ind w:left="660"/>
        <w:spacing w:after="0" w:line="268" w:lineRule="auto"/>
        <w:rPr>
          <w:rFonts w:ascii="Arial" w:cs="Arial" w:eastAsia="Arial" w:hAnsi="Arial"/>
          <w:sz w:val="18"/>
          <w:szCs w:val="18"/>
          <w:color w:val="080808"/>
        </w:rPr>
      </w:pPr>
      <w:r>
        <w:rPr>
          <w:rFonts w:ascii="Arial" w:cs="Arial" w:eastAsia="Arial" w:hAnsi="Arial"/>
          <w:sz w:val="18"/>
          <w:szCs w:val="18"/>
          <w:color w:val="auto"/>
        </w:rPr>
        <w:t>TI also goes even further beyond its compliance obligations when appropriate. Although the U.S. government’s restriction on the sale of certain products to Russia impacted only a small fraction of TI’s products, TI elected to suspend sales of all products to Russia and Belarus in February 2022.</w:t>
      </w:r>
    </w:p>
    <w:p>
      <w:pPr>
        <w:spacing w:after="0" w:line="62" w:lineRule="exact"/>
        <w:rPr>
          <w:rFonts w:ascii="Arial" w:cs="Arial" w:eastAsia="Arial" w:hAnsi="Arial"/>
          <w:sz w:val="18"/>
          <w:szCs w:val="18"/>
          <w:color w:val="080808"/>
        </w:rPr>
      </w:pPr>
    </w:p>
    <w:p>
      <w:pPr>
        <w:ind w:left="660"/>
        <w:spacing w:after="0" w:line="268" w:lineRule="auto"/>
        <w:rPr>
          <w:rFonts w:ascii="Arial" w:cs="Arial" w:eastAsia="Arial" w:hAnsi="Arial"/>
          <w:sz w:val="18"/>
          <w:szCs w:val="18"/>
          <w:color w:val="080808"/>
        </w:rPr>
      </w:pPr>
      <w:r>
        <w:rPr>
          <w:rFonts w:ascii="Arial" w:cs="Arial" w:eastAsia="Arial" w:hAnsi="Arial"/>
          <w:sz w:val="18"/>
          <w:szCs w:val="18"/>
          <w:color w:val="auto"/>
        </w:rPr>
        <w:t>TI’s compliance program already comprehends the primary objective of the proposal—to conduct due diligence to determine whether customer use of our products is linked to violations of international law. Adopting the proposal would not provide any meaningful information not already comprehended in TI’s existing compliance program.</w:t>
      </w:r>
    </w:p>
    <w:p>
      <w:pPr>
        <w:spacing w:after="0" w:line="62" w:lineRule="exact"/>
        <w:rPr>
          <w:rFonts w:ascii="Arial" w:cs="Arial" w:eastAsia="Arial" w:hAnsi="Arial"/>
          <w:sz w:val="18"/>
          <w:szCs w:val="18"/>
          <w:color w:val="080808"/>
        </w:rPr>
      </w:pPr>
    </w:p>
    <w:p>
      <w:pPr>
        <w:ind w:left="660" w:right="160" w:hanging="328"/>
        <w:spacing w:after="0" w:line="259" w:lineRule="auto"/>
        <w:tabs>
          <w:tab w:leader="none" w:pos="655" w:val="left"/>
        </w:tabs>
        <w:numPr>
          <w:ilvl w:val="0"/>
          <w:numId w:val="95"/>
        </w:numPr>
        <w:rPr>
          <w:rFonts w:ascii="Arial" w:cs="Arial" w:eastAsia="Arial" w:hAnsi="Arial"/>
          <w:sz w:val="18"/>
          <w:szCs w:val="18"/>
          <w:color w:val="080808"/>
        </w:rPr>
      </w:pPr>
      <w:r>
        <w:rPr>
          <w:rFonts w:ascii="Arial" w:cs="Arial" w:eastAsia="Arial" w:hAnsi="Arial"/>
          <w:sz w:val="18"/>
          <w:szCs w:val="18"/>
          <w:b w:val="1"/>
          <w:bCs w:val="1"/>
          <w:color w:val="080808"/>
        </w:rPr>
        <w:t xml:space="preserve">The proposal’s prescriptive requirements would micro-manage TI’s business operations and impose an unproductive administrative burden, which is contrary to the interests of TI and its stockholders. </w:t>
      </w:r>
      <w:r>
        <w:rPr>
          <w:rFonts w:ascii="Arial" w:cs="Arial" w:eastAsia="Arial" w:hAnsi="Arial"/>
          <w:sz w:val="18"/>
          <w:szCs w:val="18"/>
          <w:color w:val="000000"/>
        </w:rPr>
        <w:t>The requested report probes deeply into</w:t>
      </w:r>
      <w:r>
        <w:rPr>
          <w:rFonts w:ascii="Arial" w:cs="Arial" w:eastAsia="Arial" w:hAnsi="Arial"/>
          <w:sz w:val="18"/>
          <w:szCs w:val="18"/>
          <w:b w:val="1"/>
          <w:bCs w:val="1"/>
          <w:color w:val="080808"/>
        </w:rPr>
        <w:t xml:space="preserve"> </w:t>
      </w:r>
      <w:r>
        <w:rPr>
          <w:rFonts w:ascii="Arial" w:cs="Arial" w:eastAsia="Arial" w:hAnsi="Arial"/>
          <w:sz w:val="18"/>
          <w:szCs w:val="18"/>
          <w:color w:val="000000"/>
        </w:rPr>
        <w:t>ordinary business matters, which the company is already managing appropriately and over which the board is already exercising appropriate oversight. The proposal also prescribes additional disclosures and novel diligence requirements that go beyond what is reasonable for our business operations and would be costly and time-consuming to produce.</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TI and the board have long been committed to a robust compliance program and to operating its business with high standards. These high standards are reflected in TI’s Living our Values: We will act like owners who will own the company for decades, we will adapt and succeed in a world that’s ever-changing, and we will be a company that we’re personally proud to be a part of and would want as our neighbor.</w:t>
      </w:r>
    </w:p>
    <w:p>
      <w:pPr>
        <w:spacing w:after="0" w:line="171" w:lineRule="exact"/>
        <w:rPr>
          <w:sz w:val="20"/>
          <w:szCs w:val="20"/>
          <w:color w:val="auto"/>
        </w:rPr>
      </w:pPr>
    </w:p>
    <w:p>
      <w:pPr>
        <w:ind w:left="480" w:hanging="472"/>
        <w:spacing w:after="0"/>
        <w:tabs>
          <w:tab w:leader="none" w:pos="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https://www.semiconductors.org/semiconductor-industry-is-committed-to-combatting-illicit-chip-diversion/.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the board of directors recommends a vote “AGAINST” this proposal.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securities</w:t>
      </w:r>
    </w:p>
    <w:p>
      <w:pPr>
        <w:spacing w:after="0" w:line="23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stated in the notice of annual meeting, holders of record of the common stock at the close of business on March 1, 2023, may vote at the meeting or any adjournment of the meeting. As of March 1, 2023, 907,341,995 shares of TI common stock were outstanding. This is the only class of capital stock entitled to vote at the meeting. Each holder of common stock has one vote for each share held.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4720" w:type="dxa"/>
            <w:vAlign w:val="bottom"/>
          </w:tcPr>
          <w:p>
            <w:pPr>
              <w:jc w:val="center"/>
              <w:ind w:left="2879"/>
              <w:spacing w:after="0"/>
              <w:rPr>
                <w:sz w:val="20"/>
                <w:szCs w:val="20"/>
                <w:color w:val="auto"/>
              </w:rPr>
            </w:pPr>
            <w:r>
              <w:rPr>
                <w:rFonts w:ascii="Arial" w:cs="Arial" w:eastAsia="Arial" w:hAnsi="Arial"/>
                <w:sz w:val="14"/>
                <w:szCs w:val="14"/>
                <w:b w:val="1"/>
                <w:bCs w:val="1"/>
                <w:color w:val="auto"/>
              </w:rPr>
              <w:t>Shares Owned at</w:t>
            </w:r>
          </w:p>
        </w:tc>
        <w:tc>
          <w:tcPr>
            <w:tcW w:w="1520" w:type="dxa"/>
            <w:vAlign w:val="bottom"/>
          </w:tcPr>
          <w:p>
            <w:pPr>
              <w:spacing w:after="0"/>
              <w:rPr>
                <w:sz w:val="15"/>
                <w:szCs w:val="15"/>
                <w:color w:val="auto"/>
              </w:rPr>
            </w:pPr>
          </w:p>
        </w:tc>
      </w:tr>
      <w:tr>
        <w:trPr>
          <w:trHeight w:val="20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Address</w:t>
            </w:r>
          </w:p>
        </w:tc>
        <w:tc>
          <w:tcPr>
            <w:tcW w:w="4720" w:type="dxa"/>
            <w:vAlign w:val="bottom"/>
            <w:tcBorders>
              <w:bottom w:val="single" w:sz="8" w:color="auto"/>
            </w:tcBorders>
          </w:tcPr>
          <w:p>
            <w:pPr>
              <w:jc w:val="center"/>
              <w:ind w:left="2859"/>
              <w:spacing w:after="0"/>
              <w:rPr>
                <w:sz w:val="20"/>
                <w:szCs w:val="20"/>
                <w:color w:val="auto"/>
              </w:rPr>
            </w:pPr>
            <w:r>
              <w:rPr>
                <w:rFonts w:ascii="Arial" w:cs="Arial" w:eastAsia="Arial" w:hAnsi="Arial"/>
                <w:sz w:val="14"/>
                <w:szCs w:val="14"/>
                <w:b w:val="1"/>
                <w:bCs w:val="1"/>
                <w:color w:val="auto"/>
              </w:rPr>
              <w:t>December 31, 2022</w:t>
            </w:r>
          </w:p>
        </w:tc>
        <w:tc>
          <w:tcPr>
            <w:tcW w:w="15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 of Class</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47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100 Vanguard Blvd.</w:t>
            </w:r>
          </w:p>
        </w:tc>
        <w:tc>
          <w:tcPr>
            <w:tcW w:w="4720" w:type="dxa"/>
            <w:vAlign w:val="bottom"/>
          </w:tcPr>
          <w:p>
            <w:pPr>
              <w:jc w:val="center"/>
              <w:ind w:left="2879"/>
              <w:spacing w:after="0"/>
              <w:rPr>
                <w:sz w:val="20"/>
                <w:szCs w:val="20"/>
                <w:color w:val="auto"/>
              </w:rPr>
            </w:pPr>
            <w:r>
              <w:rPr>
                <w:rFonts w:ascii="Arial" w:cs="Arial" w:eastAsia="Arial" w:hAnsi="Arial"/>
                <w:sz w:val="18"/>
                <w:szCs w:val="18"/>
                <w:color w:val="auto"/>
                <w:w w:val="99"/>
              </w:rPr>
              <w:t>87,509,560 (1)</w:t>
            </w:r>
          </w:p>
        </w:tc>
        <w:tc>
          <w:tcPr>
            <w:tcW w:w="1520" w:type="dxa"/>
            <w:vAlign w:val="bottom"/>
          </w:tcPr>
          <w:p>
            <w:pPr>
              <w:jc w:val="right"/>
              <w:ind w:right="376"/>
              <w:spacing w:after="0"/>
              <w:rPr>
                <w:sz w:val="20"/>
                <w:szCs w:val="20"/>
                <w:color w:val="auto"/>
              </w:rPr>
            </w:pPr>
            <w:r>
              <w:rPr>
                <w:rFonts w:ascii="Arial" w:cs="Arial" w:eastAsia="Arial" w:hAnsi="Arial"/>
                <w:sz w:val="18"/>
                <w:szCs w:val="18"/>
                <w:color w:val="auto"/>
              </w:rPr>
              <w:t>9.64%</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Malvern, PA 19355</w:t>
            </w:r>
          </w:p>
        </w:tc>
        <w:tc>
          <w:tcPr>
            <w:tcW w:w="47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47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55 East 52</w:t>
            </w:r>
            <w:r>
              <w:rPr>
                <w:rFonts w:ascii="Arial" w:cs="Arial" w:eastAsia="Arial" w:hAnsi="Arial"/>
                <w:sz w:val="16"/>
                <w:szCs w:val="16"/>
                <w:color w:val="auto"/>
              </w:rPr>
              <w:t>nd</w:t>
            </w:r>
            <w:r>
              <w:rPr>
                <w:rFonts w:ascii="Arial" w:cs="Arial" w:eastAsia="Arial" w:hAnsi="Arial"/>
                <w:sz w:val="18"/>
                <w:szCs w:val="18"/>
                <w:color w:val="auto"/>
              </w:rPr>
              <w:t xml:space="preserve"> Street</w:t>
            </w:r>
          </w:p>
        </w:tc>
        <w:tc>
          <w:tcPr>
            <w:tcW w:w="4720" w:type="dxa"/>
            <w:vAlign w:val="bottom"/>
          </w:tcPr>
          <w:p>
            <w:pPr>
              <w:jc w:val="center"/>
              <w:ind w:left="2879"/>
              <w:spacing w:after="0"/>
              <w:rPr>
                <w:sz w:val="20"/>
                <w:szCs w:val="20"/>
                <w:color w:val="auto"/>
              </w:rPr>
            </w:pPr>
            <w:r>
              <w:rPr>
                <w:rFonts w:ascii="Arial" w:cs="Arial" w:eastAsia="Arial" w:hAnsi="Arial"/>
                <w:sz w:val="18"/>
                <w:szCs w:val="18"/>
                <w:color w:val="auto"/>
                <w:w w:val="99"/>
              </w:rPr>
              <w:t>77,276,001 (2)</w:t>
            </w:r>
          </w:p>
        </w:tc>
        <w:tc>
          <w:tcPr>
            <w:tcW w:w="1520" w:type="dxa"/>
            <w:vAlign w:val="bottom"/>
          </w:tcPr>
          <w:p>
            <w:pPr>
              <w:jc w:val="right"/>
              <w:ind w:right="436"/>
              <w:spacing w:after="0"/>
              <w:rPr>
                <w:sz w:val="20"/>
                <w:szCs w:val="20"/>
                <w:color w:val="auto"/>
              </w:rPr>
            </w:pPr>
            <w:r>
              <w:rPr>
                <w:rFonts w:ascii="Arial" w:cs="Arial" w:eastAsia="Arial" w:hAnsi="Arial"/>
                <w:sz w:val="18"/>
                <w:szCs w:val="18"/>
                <w:color w:val="auto"/>
              </w:rPr>
              <w:t>8.5%</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New York, NY 10055</w:t>
            </w:r>
          </w:p>
        </w:tc>
        <w:tc>
          <w:tcPr>
            <w:tcW w:w="472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315" w:lineRule="exact"/>
        <w:rPr>
          <w:sz w:val="20"/>
          <w:szCs w:val="20"/>
          <w:color w:val="auto"/>
        </w:rPr>
      </w:pPr>
    </w:p>
    <w:p>
      <w:pPr>
        <w:ind w:left="500" w:right="120" w:hanging="492"/>
        <w:spacing w:after="0" w:line="287" w:lineRule="auto"/>
        <w:tabs>
          <w:tab w:leader="none" w:pos="4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According to its Schedule 13G/A filing, The Vanguard Group has shared voting power for 1,328,444 shares, sole dispositive power for 83,594,158 shares and shared dispositive power for 3,915,402 shares.</w:t>
      </w:r>
    </w:p>
    <w:p>
      <w:pPr>
        <w:spacing w:after="0" w:line="44" w:lineRule="exact"/>
        <w:rPr>
          <w:rFonts w:ascii="Arial" w:cs="Arial" w:eastAsia="Arial" w:hAnsi="Arial"/>
          <w:sz w:val="18"/>
          <w:szCs w:val="18"/>
          <w:color w:val="auto"/>
        </w:rPr>
      </w:pPr>
    </w:p>
    <w:p>
      <w:pPr>
        <w:ind w:left="500" w:right="380" w:hanging="492"/>
        <w:spacing w:after="0" w:line="287" w:lineRule="auto"/>
        <w:tabs>
          <w:tab w:leader="none" w:pos="4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According to its Schedule 13G/A filing, BlackRock, Inc. has sole voting power for 69,807,427 shares and sole dispositive power for 77,276,001 shares.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and investment power with respect to the shares owned, except as to the interests of spouses or as otherwise indicated. No director or executive officer has pledged shares of TI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3760" w:type="dxa"/>
            <w:vAlign w:val="bottom"/>
          </w:tcPr>
          <w:p>
            <w:pPr>
              <w:jc w:val="right"/>
              <w:ind w:right="392"/>
              <w:spacing w:after="0"/>
              <w:rPr>
                <w:sz w:val="20"/>
                <w:szCs w:val="20"/>
                <w:color w:val="auto"/>
              </w:rPr>
            </w:pPr>
            <w:r>
              <w:rPr>
                <w:rFonts w:ascii="Arial" w:cs="Arial" w:eastAsia="Arial" w:hAnsi="Arial"/>
                <w:sz w:val="14"/>
                <w:szCs w:val="14"/>
                <w:b w:val="1"/>
                <w:bCs w:val="1"/>
                <w:color w:val="auto"/>
              </w:rPr>
              <w:t>Shares Owned at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r>
      <w:tr>
        <w:trPr>
          <w:trHeight w:val="20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December 31, 2022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r>
      <w:tr>
        <w:trPr>
          <w:trHeight w:val="270"/>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Directors (1)</w:t>
            </w:r>
          </w:p>
        </w:tc>
        <w:tc>
          <w:tcPr>
            <w:tcW w:w="3760" w:type="dxa"/>
            <w:vAlign w:val="bottom"/>
            <w:shd w:val="clear" w:color="auto" w:fill="DBDBDB"/>
          </w:tcPr>
          <w:p>
            <w:pPr>
              <w:spacing w:after="0"/>
              <w:rPr>
                <w:sz w:val="23"/>
                <w:szCs w:val="23"/>
                <w:color w:val="auto"/>
              </w:rPr>
            </w:pPr>
          </w:p>
        </w:tc>
        <w:tc>
          <w:tcPr>
            <w:tcW w:w="1480" w:type="dxa"/>
            <w:vAlign w:val="bottom"/>
            <w:shd w:val="clear" w:color="auto" w:fill="DBDBDB"/>
          </w:tcPr>
          <w:p>
            <w:pPr>
              <w:spacing w:after="0"/>
              <w:rPr>
                <w:sz w:val="23"/>
                <w:szCs w:val="23"/>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Mark A. Blinn (2)</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30,365</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Todd M. Bluedorn</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19,419</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Janet F. Clark</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36,060</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Carrie S. Cox</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68,500</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Martin S. Craighead</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31,281</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C. Farmer</w:t>
            </w:r>
          </w:p>
        </w:tc>
        <w:tc>
          <w:tcPr>
            <w:tcW w:w="3760" w:type="dxa"/>
            <w:vAlign w:val="bottom"/>
            <w:tcBorders>
              <w:bottom w:val="single" w:sz="8" w:color="DBDBDB"/>
            </w:tcBorders>
            <w:shd w:val="clear" w:color="auto" w:fill="DBDBDB"/>
          </w:tcPr>
          <w:p>
            <w:pPr>
              <w:jc w:val="right"/>
              <w:ind w:right="59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24,345</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 (3) ***</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7,456</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456,532</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70,745</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128,955</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Robert E. Sanchez</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70,205</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Richard K. Templeton (4)</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3,296,158</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5980" w:type="dxa"/>
            <w:vAlign w:val="bottom"/>
            <w:shd w:val="clear" w:color="auto" w:fill="DBDBDB"/>
          </w:tcPr>
          <w:p>
            <w:pPr>
              <w:spacing w:after="0"/>
              <w:rPr>
                <w:sz w:val="22"/>
                <w:szCs w:val="22"/>
                <w:color w:val="auto"/>
              </w:rPr>
            </w:pPr>
          </w:p>
        </w:tc>
        <w:tc>
          <w:tcPr>
            <w:tcW w:w="3760" w:type="dxa"/>
            <w:vAlign w:val="bottom"/>
            <w:shd w:val="clear" w:color="auto" w:fill="DBDBDB"/>
          </w:tcPr>
          <w:p>
            <w:pPr>
              <w:spacing w:after="0"/>
              <w:rPr>
                <w:sz w:val="22"/>
                <w:szCs w:val="22"/>
                <w:color w:val="auto"/>
              </w:rPr>
            </w:pPr>
          </w:p>
        </w:tc>
        <w:tc>
          <w:tcPr>
            <w:tcW w:w="1480" w:type="dxa"/>
            <w:vAlign w:val="bottom"/>
            <w:shd w:val="clear" w:color="auto" w:fill="DBDBDB"/>
          </w:tcPr>
          <w:p>
            <w:pPr>
              <w:spacing w:after="0"/>
              <w:rPr>
                <w:sz w:val="22"/>
                <w:szCs w:val="22"/>
                <w:color w:val="auto"/>
              </w:rPr>
            </w:pPr>
          </w:p>
        </w:tc>
      </w:tr>
      <w:tr>
        <w:trPr>
          <w:trHeight w:val="26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Management (5)</w:t>
            </w:r>
          </w:p>
        </w:tc>
        <w:tc>
          <w:tcPr>
            <w:tcW w:w="37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8"/>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216,584</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108,042</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222,986</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All executive officers and directors as a group (6)</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5,443,163</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r>
    </w:tbl>
    <w:p>
      <w:pPr>
        <w:spacing w:after="0" w:line="261"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sz w:val="20"/>
          <w:szCs w:val="20"/>
          <w:color w:val="auto"/>
        </w:rPr>
      </w:pPr>
    </w:p>
    <w:p>
      <w:pPr>
        <w:ind w:left="340" w:right="80" w:hanging="332"/>
        <w:spacing w:after="0" w:line="287" w:lineRule="auto"/>
        <w:tabs>
          <w:tab w:leader="none" w:pos="4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April 1, 2023, the date of his election to the board, Mr. Farmer will receive a restricted stock unit grant with a value of $200,000. The number of shares will be determined on April 1, 2023 (the date of the grant).</w:t>
      </w:r>
    </w:p>
    <w:p>
      <w:pPr>
        <w:spacing w:after="0" w:line="44" w:lineRule="exact"/>
        <w:rPr>
          <w:rFonts w:ascii="Arial" w:cs="Arial" w:eastAsia="Arial" w:hAnsi="Arial"/>
          <w:sz w:val="18"/>
          <w:szCs w:val="18"/>
          <w:color w:val="auto"/>
        </w:rPr>
      </w:pPr>
    </w:p>
    <w:p>
      <w:pPr>
        <w:ind w:left="420" w:hanging="412"/>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Serving until April 27, 2023</w:t>
      </w:r>
    </w:p>
    <w:p>
      <w:pPr>
        <w:sectPr>
          <w:pgSz w:w="11900" w:h="16838" w:orient="portrait"/>
          <w:cols w:equalWidth="0" w:num="1">
            <w:col w:w="11220"/>
          </w:cols>
          <w:pgMar w:left="320" w:top="8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bookmarkStart w:id="66" w:name="page67"/>
    <w:bookmarkEnd w:id="66"/>
    <w:p>
      <w:pPr>
        <w:ind w:left="412" w:hanging="412"/>
        <w:spacing w:after="0"/>
        <w:tabs>
          <w:tab w:leader="none" w:pos="41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35" w:lineRule="exact"/>
        <w:rPr>
          <w:sz w:val="20"/>
          <w:szCs w:val="20"/>
          <w:color w:val="auto"/>
        </w:rPr>
      </w:pPr>
    </w:p>
    <w:tbl>
      <w:tblPr>
        <w:tblLayout w:type="fixed"/>
        <w:tblInd w:w="492"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jc w:val="center"/>
              <w:ind w:left="41"/>
              <w:spacing w:after="0"/>
              <w:rPr>
                <w:sz w:val="20"/>
                <w:szCs w:val="20"/>
                <w:color w:val="auto"/>
              </w:rPr>
            </w:pPr>
            <w:r>
              <w:rPr>
                <w:rFonts w:ascii="Arial" w:cs="Arial" w:eastAsia="Arial" w:hAnsi="Arial"/>
                <w:sz w:val="14"/>
                <w:szCs w:val="14"/>
                <w:b w:val="1"/>
                <w:bCs w:val="1"/>
                <w:color w:val="auto"/>
              </w:rPr>
              <w:t>Shares</w:t>
            </w:r>
          </w:p>
        </w:tc>
      </w:tr>
      <w:tr>
        <w:trPr>
          <w:trHeight w:val="175"/>
        </w:trPr>
        <w:tc>
          <w:tcPr>
            <w:tcW w:w="35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jc w:val="center"/>
              <w:ind w:left="21"/>
              <w:spacing w:after="0"/>
              <w:rPr>
                <w:sz w:val="20"/>
                <w:szCs w:val="20"/>
                <w:color w:val="auto"/>
              </w:rPr>
            </w:pPr>
            <w:r>
              <w:rPr>
                <w:rFonts w:ascii="Arial" w:cs="Arial" w:eastAsia="Arial" w:hAnsi="Arial"/>
                <w:sz w:val="14"/>
                <w:szCs w:val="14"/>
                <w:b w:val="1"/>
                <w:bCs w:val="1"/>
                <w:color w:val="auto"/>
              </w:rPr>
              <w:t>Credited</w:t>
            </w:r>
          </w:p>
        </w:tc>
      </w:tr>
      <w:tr>
        <w:trPr>
          <w:trHeight w:val="162"/>
        </w:trPr>
        <w:tc>
          <w:tcPr>
            <w:tcW w:w="35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jc w:val="center"/>
              <w:ind w:left="21"/>
              <w:spacing w:after="0"/>
              <w:rPr>
                <w:sz w:val="20"/>
                <w:szCs w:val="20"/>
                <w:color w:val="auto"/>
              </w:rPr>
            </w:pPr>
            <w:r>
              <w:rPr>
                <w:rFonts w:ascii="Arial" w:cs="Arial" w:eastAsia="Arial" w:hAnsi="Arial"/>
                <w:sz w:val="14"/>
                <w:szCs w:val="14"/>
                <w:b w:val="1"/>
                <w:bCs w:val="1"/>
                <w:color w:val="auto"/>
              </w:rPr>
              <w:t>to Deferred</w:t>
            </w:r>
          </w:p>
        </w:tc>
      </w:tr>
      <w:tr>
        <w:trPr>
          <w:trHeight w:val="176"/>
        </w:trPr>
        <w:tc>
          <w:tcPr>
            <w:tcW w:w="3520" w:type="dxa"/>
            <w:vAlign w:val="bottom"/>
          </w:tcPr>
          <w:p>
            <w:pPr>
              <w:spacing w:after="0"/>
              <w:rPr>
                <w:sz w:val="15"/>
                <w:szCs w:val="15"/>
                <w:color w:val="auto"/>
              </w:rPr>
            </w:pPr>
          </w:p>
        </w:tc>
        <w:tc>
          <w:tcPr>
            <w:tcW w:w="3460" w:type="dxa"/>
            <w:vAlign w:val="bottom"/>
          </w:tcPr>
          <w:p>
            <w:pPr>
              <w:jc w:val="right"/>
              <w:ind w:right="332"/>
              <w:spacing w:after="0"/>
              <w:rPr>
                <w:sz w:val="20"/>
                <w:szCs w:val="20"/>
                <w:color w:val="auto"/>
              </w:rPr>
            </w:pPr>
            <w:r>
              <w:rPr>
                <w:rFonts w:ascii="Arial" w:cs="Arial" w:eastAsia="Arial" w:hAnsi="Arial"/>
                <w:sz w:val="14"/>
                <w:szCs w:val="14"/>
                <w:b w:val="1"/>
                <w:bCs w:val="1"/>
                <w:color w:val="auto"/>
              </w:rPr>
              <w:t>Shares Obtainable</w:t>
            </w:r>
          </w:p>
        </w:tc>
        <w:tc>
          <w:tcPr>
            <w:tcW w:w="1620" w:type="dxa"/>
            <w:vAlign w:val="bottom"/>
          </w:tcPr>
          <w:p>
            <w:pPr>
              <w:jc w:val="right"/>
              <w:ind w:right="532"/>
              <w:spacing w:after="0"/>
              <w:rPr>
                <w:sz w:val="20"/>
                <w:szCs w:val="20"/>
                <w:color w:val="auto"/>
              </w:rPr>
            </w:pPr>
            <w:r>
              <w:rPr>
                <w:rFonts w:ascii="Arial" w:cs="Arial" w:eastAsia="Arial" w:hAnsi="Arial"/>
                <w:sz w:val="14"/>
                <w:szCs w:val="14"/>
                <w:b w:val="1"/>
                <w:bCs w:val="1"/>
                <w:color w:val="auto"/>
              </w:rPr>
              <w:t>RSUs</w:t>
            </w:r>
          </w:p>
        </w:tc>
        <w:tc>
          <w:tcPr>
            <w:tcW w:w="1560" w:type="dxa"/>
            <w:vAlign w:val="bottom"/>
          </w:tcPr>
          <w:p>
            <w:pPr>
              <w:jc w:val="center"/>
              <w:ind w:left="41"/>
              <w:spacing w:after="0"/>
              <w:rPr>
                <w:sz w:val="20"/>
                <w:szCs w:val="20"/>
                <w:color w:val="auto"/>
              </w:rPr>
            </w:pPr>
            <w:r>
              <w:rPr>
                <w:rFonts w:ascii="Arial" w:cs="Arial" w:eastAsia="Arial" w:hAnsi="Arial"/>
                <w:sz w:val="14"/>
                <w:szCs w:val="14"/>
                <w:b w:val="1"/>
                <w:bCs w:val="1"/>
                <w:color w:val="auto"/>
              </w:rPr>
              <w:t>Compensation</w:t>
            </w:r>
          </w:p>
        </w:tc>
      </w:tr>
      <w:tr>
        <w:trPr>
          <w:trHeight w:val="20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Directors</w:t>
            </w:r>
          </w:p>
        </w:tc>
        <w:tc>
          <w:tcPr>
            <w:tcW w:w="34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within 60 Days</w:t>
            </w:r>
          </w:p>
        </w:tc>
        <w:tc>
          <w:tcPr>
            <w:tcW w:w="1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(Shares) (a)</w:t>
            </w:r>
          </w:p>
        </w:tc>
        <w:tc>
          <w:tcPr>
            <w:tcW w:w="156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Accounts (b)</w:t>
            </w: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3,967</w:t>
            </w:r>
          </w:p>
        </w:tc>
        <w:tc>
          <w:tcPr>
            <w:tcW w:w="1620" w:type="dxa"/>
            <w:vAlign w:val="bottom"/>
            <w:tcBorders>
              <w:bottom w:val="single" w:sz="8" w:color="DBDBDB"/>
            </w:tcBorders>
            <w:shd w:val="clear" w:color="auto" w:fill="DBDBDB"/>
          </w:tcPr>
          <w:p>
            <w:pPr>
              <w:jc w:val="right"/>
              <w:ind w:right="252"/>
              <w:spacing w:after="0"/>
              <w:rPr>
                <w:sz w:val="20"/>
                <w:szCs w:val="20"/>
                <w:color w:val="auto"/>
              </w:rPr>
            </w:pPr>
            <w:r>
              <w:rPr>
                <w:rFonts w:ascii="Arial" w:cs="Arial" w:eastAsia="Arial" w:hAnsi="Arial"/>
                <w:sz w:val="18"/>
                <w:szCs w:val="18"/>
                <w:color w:val="auto"/>
              </w:rPr>
              <w:t>12,156</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9,996</w:t>
            </w: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13,627</w:t>
            </w:r>
          </w:p>
        </w:tc>
        <w:tc>
          <w:tcPr>
            <w:tcW w:w="1620" w:type="dxa"/>
            <w:vAlign w:val="bottom"/>
          </w:tcPr>
          <w:p>
            <w:pPr>
              <w:jc w:val="right"/>
              <w:ind w:right="252"/>
              <w:spacing w:after="0"/>
              <w:rPr>
                <w:sz w:val="20"/>
                <w:szCs w:val="20"/>
                <w:color w:val="auto"/>
              </w:rPr>
            </w:pPr>
            <w:r>
              <w:rPr>
                <w:rFonts w:ascii="Arial" w:cs="Arial" w:eastAsia="Arial" w:hAnsi="Arial"/>
                <w:sz w:val="18"/>
                <w:szCs w:val="18"/>
                <w:color w:val="auto"/>
              </w:rPr>
              <w:t>2,885</w:t>
            </w:r>
          </w:p>
        </w:tc>
        <w:tc>
          <w:tcPr>
            <w:tcW w:w="1560" w:type="dxa"/>
            <w:vAlign w:val="bottom"/>
          </w:tcPr>
          <w:p>
            <w:pPr>
              <w:jc w:val="right"/>
              <w:ind w:right="241"/>
              <w:spacing w:after="0"/>
              <w:rPr>
                <w:sz w:val="20"/>
                <w:szCs w:val="20"/>
                <w:color w:val="auto"/>
              </w:rPr>
            </w:pPr>
            <w:r>
              <w:rPr>
                <w:rFonts w:ascii="Arial" w:cs="Arial" w:eastAsia="Arial" w:hAnsi="Arial"/>
                <w:sz w:val="14"/>
                <w:szCs w:val="14"/>
                <w:color w:val="auto"/>
              </w:rPr>
              <w:t>—</w:t>
            </w: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19,692</w:t>
            </w:r>
          </w:p>
        </w:tc>
        <w:tc>
          <w:tcPr>
            <w:tcW w:w="1620" w:type="dxa"/>
            <w:vAlign w:val="bottom"/>
            <w:tcBorders>
              <w:bottom w:val="single" w:sz="8" w:color="DBDBDB"/>
            </w:tcBorders>
            <w:shd w:val="clear" w:color="auto" w:fill="DBDBDB"/>
          </w:tcPr>
          <w:p>
            <w:pPr>
              <w:jc w:val="right"/>
              <w:ind w:right="252"/>
              <w:spacing w:after="0"/>
              <w:rPr>
                <w:sz w:val="20"/>
                <w:szCs w:val="20"/>
                <w:color w:val="auto"/>
              </w:rPr>
            </w:pPr>
            <w:r>
              <w:rPr>
                <w:rFonts w:ascii="Arial" w:cs="Arial" w:eastAsia="Arial" w:hAnsi="Arial"/>
                <w:sz w:val="18"/>
                <w:szCs w:val="18"/>
                <w:color w:val="auto"/>
              </w:rPr>
              <w:t>8,942</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7,426</w:t>
            </w: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29,682</w:t>
            </w:r>
          </w:p>
        </w:tc>
        <w:tc>
          <w:tcPr>
            <w:tcW w:w="1620" w:type="dxa"/>
            <w:vAlign w:val="bottom"/>
          </w:tcPr>
          <w:p>
            <w:pPr>
              <w:jc w:val="right"/>
              <w:ind w:right="252"/>
              <w:spacing w:after="0"/>
              <w:rPr>
                <w:sz w:val="20"/>
                <w:szCs w:val="20"/>
                <w:color w:val="auto"/>
              </w:rPr>
            </w:pPr>
            <w:r>
              <w:rPr>
                <w:rFonts w:ascii="Arial" w:cs="Arial" w:eastAsia="Arial" w:hAnsi="Arial"/>
                <w:sz w:val="18"/>
                <w:szCs w:val="18"/>
                <w:color w:val="auto"/>
              </w:rPr>
              <w:t>32,088</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3,591</w:t>
            </w: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9,321</w:t>
            </w:r>
          </w:p>
        </w:tc>
        <w:tc>
          <w:tcPr>
            <w:tcW w:w="1620" w:type="dxa"/>
            <w:vAlign w:val="bottom"/>
            <w:tcBorders>
              <w:bottom w:val="single" w:sz="8" w:color="DBDBDB"/>
            </w:tcBorders>
            <w:shd w:val="clear" w:color="auto" w:fill="DBDBDB"/>
          </w:tcPr>
          <w:p>
            <w:pPr>
              <w:jc w:val="right"/>
              <w:ind w:right="252"/>
              <w:spacing w:after="0"/>
              <w:rPr>
                <w:sz w:val="20"/>
                <w:szCs w:val="20"/>
                <w:color w:val="auto"/>
              </w:rPr>
            </w:pPr>
            <w:r>
              <w:rPr>
                <w:rFonts w:ascii="Arial" w:cs="Arial" w:eastAsia="Arial" w:hAnsi="Arial"/>
                <w:sz w:val="18"/>
                <w:szCs w:val="18"/>
                <w:color w:val="auto"/>
              </w:rPr>
              <w:t>2,885</w:t>
            </w:r>
          </w:p>
        </w:tc>
        <w:tc>
          <w:tcPr>
            <w:tcW w:w="1560" w:type="dxa"/>
            <w:vAlign w:val="bottom"/>
            <w:tcBorders>
              <w:bottom w:val="single" w:sz="8" w:color="DBDBDB"/>
            </w:tcBorders>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Curtis C. Farmer</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52"/>
              <w:spacing w:after="0"/>
              <w:rPr>
                <w:sz w:val="20"/>
                <w:szCs w:val="20"/>
                <w:color w:val="auto"/>
              </w:rPr>
            </w:pPr>
            <w:r>
              <w:rPr>
                <w:rFonts w:ascii="Arial" w:cs="Arial" w:eastAsia="Arial" w:hAnsi="Arial"/>
                <w:sz w:val="18"/>
                <w:szCs w:val="18"/>
                <w:color w:val="auto"/>
              </w:rPr>
              <w:t>(c)</w:t>
            </w:r>
          </w:p>
        </w:tc>
        <w:tc>
          <w:tcPr>
            <w:tcW w:w="1560" w:type="dxa"/>
            <w:vAlign w:val="bottom"/>
          </w:tcPr>
          <w:p>
            <w:pPr>
              <w:jc w:val="right"/>
              <w:ind w:right="241"/>
              <w:spacing w:after="0"/>
              <w:rPr>
                <w:sz w:val="20"/>
                <w:szCs w:val="20"/>
                <w:color w:val="auto"/>
              </w:rPr>
            </w:pPr>
            <w:r>
              <w:rPr>
                <w:rFonts w:ascii="Arial" w:cs="Arial" w:eastAsia="Arial" w:hAnsi="Arial"/>
                <w:sz w:val="14"/>
                <w:szCs w:val="14"/>
                <w:color w:val="auto"/>
              </w:rPr>
              <w:t>—</w:t>
            </w: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M. Hobby</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19,692</w:t>
            </w:r>
          </w:p>
        </w:tc>
        <w:tc>
          <w:tcPr>
            <w:tcW w:w="1620" w:type="dxa"/>
            <w:vAlign w:val="bottom"/>
            <w:tcBorders>
              <w:bottom w:val="single" w:sz="8" w:color="DBDBDB"/>
            </w:tcBorders>
            <w:shd w:val="clear" w:color="auto" w:fill="DBDBDB"/>
          </w:tcPr>
          <w:p>
            <w:pPr>
              <w:jc w:val="right"/>
              <w:ind w:right="252"/>
              <w:spacing w:after="0"/>
              <w:rPr>
                <w:sz w:val="20"/>
                <w:szCs w:val="20"/>
                <w:color w:val="auto"/>
              </w:rPr>
            </w:pPr>
            <w:r>
              <w:rPr>
                <w:rFonts w:ascii="Arial" w:cs="Arial" w:eastAsia="Arial" w:hAnsi="Arial"/>
                <w:sz w:val="18"/>
                <w:szCs w:val="18"/>
                <w:color w:val="auto"/>
              </w:rPr>
              <w:t>2,885</w:t>
            </w:r>
          </w:p>
        </w:tc>
        <w:tc>
          <w:tcPr>
            <w:tcW w:w="1560" w:type="dxa"/>
            <w:vAlign w:val="bottom"/>
            <w:tcBorders>
              <w:bottom w:val="single" w:sz="8" w:color="DBDBDB"/>
            </w:tcBorders>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Michael D. Hsu</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1,856</w:t>
            </w:r>
          </w:p>
        </w:tc>
        <w:tc>
          <w:tcPr>
            <w:tcW w:w="1620" w:type="dxa"/>
            <w:vAlign w:val="bottom"/>
          </w:tcPr>
          <w:p>
            <w:pPr>
              <w:jc w:val="right"/>
              <w:ind w:right="252"/>
              <w:spacing w:after="0"/>
              <w:rPr>
                <w:sz w:val="20"/>
                <w:szCs w:val="20"/>
                <w:color w:val="auto"/>
              </w:rPr>
            </w:pPr>
            <w:r>
              <w:rPr>
                <w:rFonts w:ascii="Arial" w:cs="Arial" w:eastAsia="Arial" w:hAnsi="Arial"/>
                <w:sz w:val="18"/>
                <w:szCs w:val="18"/>
                <w:color w:val="auto"/>
              </w:rPr>
              <w:t>3,226</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2,089</w:t>
            </w: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363,360</w:t>
            </w:r>
          </w:p>
        </w:tc>
        <w:tc>
          <w:tcPr>
            <w:tcW w:w="1620" w:type="dxa"/>
            <w:vAlign w:val="bottom"/>
            <w:tcBorders>
              <w:bottom w:val="single" w:sz="8" w:color="DBDBDB"/>
            </w:tcBorders>
            <w:shd w:val="clear" w:color="auto" w:fill="DBDBDB"/>
          </w:tcPr>
          <w:p>
            <w:pPr>
              <w:jc w:val="right"/>
              <w:ind w:right="252"/>
              <w:spacing w:after="0"/>
              <w:rPr>
                <w:sz w:val="20"/>
                <w:szCs w:val="20"/>
                <w:color w:val="auto"/>
              </w:rPr>
            </w:pPr>
            <w:r>
              <w:rPr>
                <w:rFonts w:ascii="Arial" w:cs="Arial" w:eastAsia="Arial" w:hAnsi="Arial"/>
                <w:sz w:val="18"/>
                <w:szCs w:val="18"/>
                <w:color w:val="auto"/>
              </w:rPr>
              <w:t>81,862</w:t>
            </w:r>
          </w:p>
        </w:tc>
        <w:tc>
          <w:tcPr>
            <w:tcW w:w="1560" w:type="dxa"/>
            <w:vAlign w:val="bottom"/>
            <w:tcBorders>
              <w:bottom w:val="single" w:sz="8" w:color="DBDBDB"/>
            </w:tcBorders>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52,520</w:t>
            </w:r>
          </w:p>
        </w:tc>
        <w:tc>
          <w:tcPr>
            <w:tcW w:w="1620" w:type="dxa"/>
            <w:vAlign w:val="bottom"/>
          </w:tcPr>
          <w:p>
            <w:pPr>
              <w:jc w:val="right"/>
              <w:ind w:right="252"/>
              <w:spacing w:after="0"/>
              <w:rPr>
                <w:sz w:val="20"/>
                <w:szCs w:val="20"/>
                <w:color w:val="auto"/>
              </w:rPr>
            </w:pPr>
            <w:r>
              <w:rPr>
                <w:rFonts w:ascii="Arial" w:cs="Arial" w:eastAsia="Arial" w:hAnsi="Arial"/>
                <w:sz w:val="18"/>
                <w:szCs w:val="18"/>
                <w:color w:val="auto"/>
              </w:rPr>
              <w:t>2,885</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5,162</w:t>
            </w: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40,221</w:t>
            </w:r>
          </w:p>
        </w:tc>
        <w:tc>
          <w:tcPr>
            <w:tcW w:w="1620" w:type="dxa"/>
            <w:vAlign w:val="bottom"/>
            <w:tcBorders>
              <w:bottom w:val="single" w:sz="8" w:color="DBDBDB"/>
            </w:tcBorders>
            <w:shd w:val="clear" w:color="auto" w:fill="DBDBDB"/>
          </w:tcPr>
          <w:p>
            <w:pPr>
              <w:jc w:val="right"/>
              <w:ind w:right="252"/>
              <w:spacing w:after="0"/>
              <w:rPr>
                <w:sz w:val="20"/>
                <w:szCs w:val="20"/>
                <w:color w:val="auto"/>
              </w:rPr>
            </w:pPr>
            <w:r>
              <w:rPr>
                <w:rFonts w:ascii="Arial" w:cs="Arial" w:eastAsia="Arial" w:hAnsi="Arial"/>
                <w:sz w:val="18"/>
                <w:szCs w:val="18"/>
                <w:color w:val="auto"/>
              </w:rPr>
              <w:t>4,885</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56,646</w:t>
            </w: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40,221</w:t>
            </w:r>
          </w:p>
        </w:tc>
        <w:tc>
          <w:tcPr>
            <w:tcW w:w="1620" w:type="dxa"/>
            <w:vAlign w:val="bottom"/>
          </w:tcPr>
          <w:p>
            <w:pPr>
              <w:jc w:val="right"/>
              <w:ind w:right="252"/>
              <w:spacing w:after="0"/>
              <w:rPr>
                <w:sz w:val="20"/>
                <w:szCs w:val="20"/>
                <w:color w:val="auto"/>
              </w:rPr>
            </w:pPr>
            <w:r>
              <w:rPr>
                <w:rFonts w:ascii="Arial" w:cs="Arial" w:eastAsia="Arial" w:hAnsi="Arial"/>
                <w:sz w:val="18"/>
                <w:szCs w:val="18"/>
                <w:color w:val="auto"/>
              </w:rPr>
              <w:t>8,795</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10,783</w:t>
            </w: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7"/>
        </w:trPr>
        <w:tc>
          <w:tcPr>
            <w:tcW w:w="3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3460" w:type="dxa"/>
            <w:vAlign w:val="bottom"/>
            <w:shd w:val="clear" w:color="auto" w:fill="DBDBDB"/>
          </w:tcPr>
          <w:p>
            <w:pPr>
              <w:jc w:val="right"/>
              <w:ind w:right="452"/>
              <w:spacing w:after="0"/>
              <w:rPr>
                <w:sz w:val="20"/>
                <w:szCs w:val="20"/>
                <w:color w:val="auto"/>
              </w:rPr>
            </w:pPr>
            <w:r>
              <w:rPr>
                <w:rFonts w:ascii="Arial" w:cs="Arial" w:eastAsia="Arial" w:hAnsi="Arial"/>
                <w:sz w:val="18"/>
                <w:szCs w:val="18"/>
                <w:color w:val="auto"/>
              </w:rPr>
              <w:t>2,210,262</w:t>
            </w:r>
          </w:p>
        </w:tc>
        <w:tc>
          <w:tcPr>
            <w:tcW w:w="1620" w:type="dxa"/>
            <w:vAlign w:val="bottom"/>
            <w:shd w:val="clear" w:color="auto" w:fill="DBDBDB"/>
          </w:tcPr>
          <w:p>
            <w:pPr>
              <w:jc w:val="right"/>
              <w:ind w:right="252"/>
              <w:spacing w:after="0"/>
              <w:rPr>
                <w:sz w:val="20"/>
                <w:szCs w:val="20"/>
                <w:color w:val="auto"/>
              </w:rPr>
            </w:pPr>
            <w:r>
              <w:rPr>
                <w:rFonts w:ascii="Arial" w:cs="Arial" w:eastAsia="Arial" w:hAnsi="Arial"/>
                <w:sz w:val="18"/>
                <w:szCs w:val="18"/>
                <w:color w:val="auto"/>
              </w:rPr>
              <w:t>313,370</w:t>
            </w:r>
          </w:p>
        </w:tc>
        <w:tc>
          <w:tcPr>
            <w:tcW w:w="1560" w:type="dxa"/>
            <w:vAlign w:val="bottom"/>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r>
      <w:tr>
        <w:trPr>
          <w:trHeight w:val="23"/>
        </w:trPr>
        <w:tc>
          <w:tcPr>
            <w:tcW w:w="3520" w:type="dxa"/>
            <w:vAlign w:val="bottom"/>
            <w:shd w:val="clear" w:color="auto" w:fill="DBDBDB"/>
          </w:tcPr>
          <w:p>
            <w:pPr>
              <w:spacing w:after="0"/>
              <w:rPr>
                <w:sz w:val="2"/>
                <w:szCs w:val="2"/>
                <w:color w:val="auto"/>
              </w:rPr>
            </w:pPr>
          </w:p>
        </w:tc>
        <w:tc>
          <w:tcPr>
            <w:tcW w:w="3460" w:type="dxa"/>
            <w:vAlign w:val="bottom"/>
            <w:shd w:val="clear" w:color="auto" w:fill="DBDBDB"/>
          </w:tcPr>
          <w:p>
            <w:pPr>
              <w:spacing w:after="0"/>
              <w:rPr>
                <w:sz w:val="2"/>
                <w:szCs w:val="2"/>
                <w:color w:val="auto"/>
              </w:rPr>
            </w:pPr>
          </w:p>
        </w:tc>
        <w:tc>
          <w:tcPr>
            <w:tcW w:w="162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r>
    </w:tbl>
    <w:p>
      <w:pPr>
        <w:spacing w:after="0" w:line="292" w:lineRule="exact"/>
        <w:rPr>
          <w:sz w:val="20"/>
          <w:szCs w:val="20"/>
          <w:color w:val="auto"/>
        </w:rPr>
      </w:pPr>
    </w:p>
    <w:p>
      <w:pPr>
        <w:ind w:left="972" w:hanging="486"/>
        <w:spacing w:after="0" w:line="268" w:lineRule="auto"/>
        <w:tabs>
          <w:tab w:leader="none" w:pos="96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62" w:lineRule="exact"/>
        <w:rPr>
          <w:rFonts w:ascii="Arial" w:cs="Arial" w:eastAsia="Arial" w:hAnsi="Arial"/>
          <w:sz w:val="18"/>
          <w:szCs w:val="18"/>
          <w:color w:val="auto"/>
        </w:rPr>
      </w:pPr>
    </w:p>
    <w:p>
      <w:pPr>
        <w:ind w:left="972" w:hanging="486"/>
        <w:spacing w:after="0"/>
        <w:tabs>
          <w:tab w:leader="none" w:pos="97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17" w:lineRule="exact"/>
        <w:rPr>
          <w:rFonts w:ascii="Arial" w:cs="Arial" w:eastAsia="Arial" w:hAnsi="Arial"/>
          <w:sz w:val="18"/>
          <w:szCs w:val="18"/>
          <w:color w:val="auto"/>
        </w:rPr>
      </w:pPr>
    </w:p>
    <w:p>
      <w:pPr>
        <w:ind w:left="972" w:right="700" w:hanging="486"/>
        <w:spacing w:after="0" w:line="287" w:lineRule="auto"/>
        <w:tabs>
          <w:tab w:leader="none" w:pos="96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On April 1, 2023, the date of his election to the board, Mr. Farmer will receive a restricted stock unit grant with a value of $200,000. The number of shares will be determined on April 1, 2023 (the date of the grant).</w:t>
      </w:r>
    </w:p>
    <w:p>
      <w:pPr>
        <w:spacing w:after="0" w:line="44" w:lineRule="exact"/>
        <w:rPr>
          <w:rFonts w:ascii="Arial" w:cs="Arial" w:eastAsia="Arial" w:hAnsi="Arial"/>
          <w:sz w:val="18"/>
          <w:szCs w:val="18"/>
          <w:color w:val="auto"/>
        </w:rPr>
      </w:pPr>
    </w:p>
    <w:p>
      <w:pPr>
        <w:ind w:left="412" w:hanging="412"/>
        <w:spacing w:after="0"/>
        <w:tabs>
          <w:tab w:leader="none" w:pos="4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4,246 shares held in a trust for which Mr. Blinn shares voting and investment power.</w:t>
      </w:r>
    </w:p>
    <w:p>
      <w:pPr>
        <w:spacing w:after="0" w:line="117" w:lineRule="exact"/>
        <w:rPr>
          <w:rFonts w:ascii="Arial" w:cs="Arial" w:eastAsia="Arial" w:hAnsi="Arial"/>
          <w:sz w:val="18"/>
          <w:szCs w:val="18"/>
          <w:color w:val="auto"/>
        </w:rPr>
      </w:pPr>
    </w:p>
    <w:p>
      <w:pPr>
        <w:ind w:left="412" w:hanging="412"/>
        <w:spacing w:after="0"/>
        <w:tabs>
          <w:tab w:leader="none" w:pos="4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285 shares held in a trust for which Mr. Hsu shares voting and investment power.</w:t>
      </w:r>
    </w:p>
    <w:p>
      <w:pPr>
        <w:spacing w:after="0" w:line="117" w:lineRule="exact"/>
        <w:rPr>
          <w:rFonts w:ascii="Arial" w:cs="Arial" w:eastAsia="Arial" w:hAnsi="Arial"/>
          <w:sz w:val="18"/>
          <w:szCs w:val="18"/>
          <w:color w:val="auto"/>
        </w:rPr>
      </w:pPr>
    </w:p>
    <w:p>
      <w:pPr>
        <w:ind w:left="492" w:right="80" w:hanging="492"/>
        <w:spacing w:after="0" w:line="268" w:lineRule="auto"/>
        <w:tabs>
          <w:tab w:leader="none" w:pos="4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12,995 shares credited to Mr. Templeton’s 401(k) and profit sharing accounts. Also includes 48,840 shares held in trusts and 649,681 shares held by the Richard and Mary Templeton Foundation, a charitable foundation, for each of which Mr. Templeton shares voting and investment power. Mr. Templeton has no pecuniary interest in the Foundation’s shares.</w:t>
      </w:r>
    </w:p>
    <w:p>
      <w:pPr>
        <w:spacing w:after="0" w:line="62" w:lineRule="exact"/>
        <w:rPr>
          <w:rFonts w:ascii="Arial" w:cs="Arial" w:eastAsia="Arial" w:hAnsi="Arial"/>
          <w:sz w:val="18"/>
          <w:szCs w:val="18"/>
          <w:color w:val="auto"/>
        </w:rPr>
      </w:pPr>
    </w:p>
    <w:p>
      <w:pPr>
        <w:ind w:left="412" w:hanging="412"/>
        <w:spacing w:after="0"/>
        <w:tabs>
          <w:tab w:leader="none" w:pos="4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181" w:lineRule="exact"/>
        <w:rPr>
          <w:sz w:val="20"/>
          <w:szCs w:val="20"/>
          <w:color w:val="auto"/>
        </w:rPr>
      </w:pPr>
    </w:p>
    <w:tbl>
      <w:tblPr>
        <w:tblLayout w:type="fixed"/>
        <w:tblInd w:w="492"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344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 Obtainable</w:t>
            </w:r>
          </w:p>
        </w:tc>
        <w:tc>
          <w:tcPr>
            <w:tcW w:w="1920" w:type="dxa"/>
            <w:vAlign w:val="bottom"/>
          </w:tcPr>
          <w:p>
            <w:pPr>
              <w:jc w:val="center"/>
              <w:ind w:right="57"/>
              <w:spacing w:after="0"/>
              <w:rPr>
                <w:sz w:val="20"/>
                <w:szCs w:val="20"/>
                <w:color w:val="auto"/>
              </w:rPr>
            </w:pPr>
            <w:r>
              <w:rPr>
                <w:rFonts w:ascii="Arial" w:cs="Arial" w:eastAsia="Arial" w:hAnsi="Arial"/>
                <w:sz w:val="14"/>
                <w:szCs w:val="14"/>
                <w:b w:val="1"/>
                <w:bCs w:val="1"/>
                <w:color w:val="auto"/>
              </w:rPr>
              <w:t>Shares Credited</w:t>
            </w: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RSUs</w:t>
            </w:r>
          </w:p>
        </w:tc>
      </w:tr>
      <w:tr>
        <w:trPr>
          <w:trHeight w:val="21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34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within 60 Days</w:t>
            </w:r>
          </w:p>
        </w:tc>
        <w:tc>
          <w:tcPr>
            <w:tcW w:w="1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to 401(k) Account</w:t>
            </w: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r>
      <w:tr>
        <w:trPr>
          <w:trHeight w:val="250"/>
        </w:trPr>
        <w:tc>
          <w:tcPr>
            <w:tcW w:w="3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3440" w:type="dxa"/>
            <w:vAlign w:val="bottom"/>
            <w:tcBorders>
              <w:bottom w:val="single" w:sz="8" w:color="DBDBDB"/>
            </w:tcBorders>
            <w:shd w:val="clear" w:color="auto" w:fill="DBDBDB"/>
          </w:tcPr>
          <w:p>
            <w:pPr>
              <w:jc w:val="right"/>
              <w:ind w:right="297"/>
              <w:spacing w:after="0"/>
              <w:rPr>
                <w:sz w:val="20"/>
                <w:szCs w:val="20"/>
                <w:color w:val="auto"/>
              </w:rPr>
            </w:pPr>
            <w:r>
              <w:rPr>
                <w:rFonts w:ascii="Arial" w:cs="Arial" w:eastAsia="Arial" w:hAnsi="Arial"/>
                <w:sz w:val="18"/>
                <w:szCs w:val="18"/>
                <w:color w:val="auto"/>
              </w:rPr>
              <w:t>127,556</w:t>
            </w:r>
          </w:p>
        </w:tc>
        <w:tc>
          <w:tcPr>
            <w:tcW w:w="192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47,629</w:t>
            </w:r>
          </w:p>
        </w:tc>
      </w:tr>
      <w:tr>
        <w:trPr>
          <w:trHeight w:val="247"/>
        </w:trPr>
        <w:tc>
          <w:tcPr>
            <w:tcW w:w="346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3440" w:type="dxa"/>
            <w:vAlign w:val="bottom"/>
          </w:tcPr>
          <w:p>
            <w:pPr>
              <w:jc w:val="right"/>
              <w:ind w:right="297"/>
              <w:spacing w:after="0"/>
              <w:rPr>
                <w:sz w:val="20"/>
                <w:szCs w:val="20"/>
                <w:color w:val="auto"/>
              </w:rPr>
            </w:pPr>
            <w:r>
              <w:rPr>
                <w:rFonts w:ascii="Arial" w:cs="Arial" w:eastAsia="Arial" w:hAnsi="Arial"/>
                <w:sz w:val="18"/>
                <w:szCs w:val="18"/>
                <w:color w:val="auto"/>
              </w:rPr>
              <w:t>63,157</w:t>
            </w:r>
          </w:p>
        </w:tc>
        <w:tc>
          <w:tcPr>
            <w:tcW w:w="1920" w:type="dxa"/>
            <w:vAlign w:val="bottom"/>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44,885</w:t>
            </w:r>
          </w:p>
        </w:tc>
      </w:tr>
      <w:tr>
        <w:trPr>
          <w:trHeight w:val="23"/>
        </w:trPr>
        <w:tc>
          <w:tcPr>
            <w:tcW w:w="3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7"/>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3440" w:type="dxa"/>
            <w:vAlign w:val="bottom"/>
            <w:shd w:val="clear" w:color="auto" w:fill="DBDBDB"/>
          </w:tcPr>
          <w:p>
            <w:pPr>
              <w:jc w:val="right"/>
              <w:ind w:right="297"/>
              <w:spacing w:after="0"/>
              <w:rPr>
                <w:sz w:val="20"/>
                <w:szCs w:val="20"/>
                <w:color w:val="auto"/>
              </w:rPr>
            </w:pPr>
            <w:r>
              <w:rPr>
                <w:rFonts w:ascii="Arial" w:cs="Arial" w:eastAsia="Arial" w:hAnsi="Arial"/>
                <w:sz w:val="18"/>
                <w:szCs w:val="18"/>
                <w:color w:val="auto"/>
              </w:rPr>
              <w:t>156,129</w:t>
            </w:r>
          </w:p>
        </w:tc>
        <w:tc>
          <w:tcPr>
            <w:tcW w:w="192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50,809</w:t>
            </w:r>
          </w:p>
        </w:tc>
      </w:tr>
      <w:tr>
        <w:trPr>
          <w:trHeight w:val="23"/>
        </w:trPr>
        <w:tc>
          <w:tcPr>
            <w:tcW w:w="3460" w:type="dxa"/>
            <w:vAlign w:val="bottom"/>
            <w:shd w:val="clear" w:color="auto" w:fill="DBDBDB"/>
          </w:tcPr>
          <w:p>
            <w:pPr>
              <w:spacing w:after="0"/>
              <w:rPr>
                <w:sz w:val="2"/>
                <w:szCs w:val="2"/>
                <w:color w:val="auto"/>
              </w:rPr>
            </w:pPr>
          </w:p>
        </w:tc>
        <w:tc>
          <w:tcPr>
            <w:tcW w:w="344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r>
    </w:tbl>
    <w:p>
      <w:pPr>
        <w:spacing w:after="0" w:line="305" w:lineRule="exact"/>
        <w:rPr>
          <w:sz w:val="20"/>
          <w:szCs w:val="20"/>
          <w:color w:val="auto"/>
        </w:rPr>
      </w:pPr>
    </w:p>
    <w:p>
      <w:pPr>
        <w:ind w:left="412" w:hanging="412"/>
        <w:spacing w:after="0"/>
        <w:tabs>
          <w:tab w:leader="none" w:pos="41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972" w:hanging="486"/>
        <w:spacing w:after="0"/>
        <w:tabs>
          <w:tab w:leader="none" w:pos="97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3,612,588 shares obtainable within 60 days;</w:t>
      </w:r>
    </w:p>
    <w:p>
      <w:pPr>
        <w:spacing w:after="0" w:line="117" w:lineRule="exact"/>
        <w:rPr>
          <w:rFonts w:ascii="Arial" w:cs="Arial" w:eastAsia="Arial" w:hAnsi="Arial"/>
          <w:sz w:val="18"/>
          <w:szCs w:val="18"/>
          <w:color w:val="auto"/>
        </w:rPr>
      </w:pPr>
    </w:p>
    <w:p>
      <w:pPr>
        <w:ind w:left="972" w:hanging="486"/>
        <w:spacing w:after="0"/>
        <w:tabs>
          <w:tab w:leader="none" w:pos="97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12,995 shares credited to 401(k) accounts;</w:t>
      </w:r>
    </w:p>
    <w:p>
      <w:pPr>
        <w:spacing w:after="0" w:line="117" w:lineRule="exact"/>
        <w:rPr>
          <w:rFonts w:ascii="Arial" w:cs="Arial" w:eastAsia="Arial" w:hAnsi="Arial"/>
          <w:sz w:val="18"/>
          <w:szCs w:val="18"/>
          <w:color w:val="auto"/>
        </w:rPr>
      </w:pPr>
    </w:p>
    <w:p>
      <w:pPr>
        <w:ind w:left="972" w:hanging="486"/>
        <w:spacing w:after="0"/>
        <w:tabs>
          <w:tab w:leader="none" w:pos="97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788,391 shares subject to RSU awards; for the terms of these RSUs, see pages 23 and 45-46; and</w:t>
      </w:r>
    </w:p>
    <w:p>
      <w:pPr>
        <w:spacing w:after="0" w:line="117" w:lineRule="exact"/>
        <w:rPr>
          <w:rFonts w:ascii="Arial" w:cs="Arial" w:eastAsia="Arial" w:hAnsi="Arial"/>
          <w:sz w:val="18"/>
          <w:szCs w:val="18"/>
          <w:color w:val="auto"/>
        </w:rPr>
      </w:pPr>
    </w:p>
    <w:p>
      <w:pPr>
        <w:ind w:left="972" w:right="260" w:hanging="486"/>
        <w:spacing w:after="0" w:line="287" w:lineRule="auto"/>
        <w:tabs>
          <w:tab w:leader="none" w:pos="96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95,694 shares credited to certain non-employee directors’ deferred compensation accounts; shares in deferred compensation accounts are issued following a director’s termination of service.</w:t>
      </w:r>
    </w:p>
    <w:p>
      <w:pPr>
        <w:sectPr>
          <w:pgSz w:w="11900" w:h="16838" w:orient="portrait"/>
          <w:cols w:equalWidth="0" w:num="1">
            <w:col w:w="11192"/>
          </w:cols>
          <w:pgMar w:left="328" w:top="9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242424"/>
        </w:rPr>
        <w:t>2023 PROXY STATEMENT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31" w:right="3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Related person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w:t>
      </w:r>
    </w:p>
    <w:p>
      <w:pPr>
        <w:spacing w:after="0" w:line="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78" w:lineRule="exact"/>
        <w:rPr>
          <w:sz w:val="20"/>
          <w:szCs w:val="20"/>
          <w:color w:val="auto"/>
        </w:rPr>
      </w:pPr>
    </w:p>
    <w:p>
      <w:pPr>
        <w:ind w:left="840" w:hanging="346"/>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63" w:lineRule="exact"/>
        <w:rPr>
          <w:rFonts w:ascii="Arial" w:cs="Arial" w:eastAsia="Arial" w:hAnsi="Arial"/>
          <w:sz w:val="18"/>
          <w:szCs w:val="18"/>
          <w:color w:val="auto"/>
        </w:rPr>
      </w:pPr>
    </w:p>
    <w:p>
      <w:pPr>
        <w:ind w:left="1460" w:right="80" w:hanging="480"/>
        <w:spacing w:after="0" w:line="262" w:lineRule="auto"/>
        <w:tabs>
          <w:tab w:leader="none" w:pos="145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14" w:lineRule="exact"/>
        <w:rPr>
          <w:rFonts w:ascii="Arial" w:cs="Arial" w:eastAsia="Arial" w:hAnsi="Arial"/>
          <w:sz w:val="18"/>
          <w:szCs w:val="18"/>
          <w:color w:val="auto"/>
        </w:rPr>
      </w:pPr>
    </w:p>
    <w:p>
      <w:pPr>
        <w:ind w:left="1460" w:right="240" w:hanging="480"/>
        <w:spacing w:after="0" w:line="287" w:lineRule="auto"/>
        <w:tabs>
          <w:tab w:leader="none" w:pos="145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or greater ownership interest, by which someone listed in (a) is employed, or of which someone listed in (a) is a director, principal or partner.</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required approvals are as follows:</w:t>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Arrangement Involving:</w:t>
            </w:r>
          </w:p>
        </w:tc>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Approval Required by:</w:t>
            </w:r>
          </w:p>
        </w:tc>
      </w:tr>
      <w:tr>
        <w:trPr>
          <w:trHeight w:val="184"/>
        </w:trPr>
        <w:tc>
          <w:tcPr>
            <w:tcW w:w="640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color w:val="auto"/>
              </w:rPr>
              <w:t>Executive officer who is also a member of the TI board, an Immediate Family</w:t>
            </w:r>
          </w:p>
        </w:tc>
        <w:tc>
          <w:tcPr>
            <w:tcW w:w="3060" w:type="dxa"/>
            <w:vAlign w:val="bottom"/>
            <w:shd w:val="clear" w:color="auto" w:fill="DBDBDB"/>
          </w:tcPr>
          <w:p>
            <w:pPr>
              <w:ind w:left="40"/>
              <w:spacing w:after="0" w:line="183" w:lineRule="exact"/>
              <w:rPr>
                <w:sz w:val="20"/>
                <w:szCs w:val="20"/>
                <w:color w:val="auto"/>
              </w:rPr>
            </w:pPr>
            <w:r>
              <w:rPr>
                <w:rFonts w:ascii="Arial" w:cs="Arial" w:eastAsia="Arial" w:hAnsi="Arial"/>
                <w:sz w:val="18"/>
                <w:szCs w:val="18"/>
                <w:color w:val="auto"/>
              </w:rPr>
              <w:t>GSR Committee</w:t>
            </w:r>
          </w:p>
        </w:tc>
      </w:tr>
      <w:tr>
        <w:trPr>
          <w:trHeight w:val="203"/>
        </w:trPr>
        <w:tc>
          <w:tcPr>
            <w:tcW w:w="6400" w:type="dxa"/>
            <w:vAlign w:val="bottom"/>
            <w:shd w:val="clear" w:color="auto" w:fill="DBDBDB"/>
          </w:tcPr>
          <w:p>
            <w:pPr>
              <w:ind w:left="20"/>
              <w:spacing w:after="0" w:line="202" w:lineRule="exact"/>
              <w:rPr>
                <w:sz w:val="20"/>
                <w:szCs w:val="20"/>
                <w:color w:val="auto"/>
              </w:rPr>
            </w:pPr>
            <w:r>
              <w:rPr>
                <w:rFonts w:ascii="Arial" w:cs="Arial" w:eastAsia="Arial" w:hAnsi="Arial"/>
                <w:sz w:val="18"/>
                <w:szCs w:val="18"/>
                <w:color w:val="auto"/>
              </w:rPr>
              <w:t>Member of such person, or an entity in which any of the foregoing has a 5% or</w:t>
            </w:r>
          </w:p>
        </w:tc>
        <w:tc>
          <w:tcPr>
            <w:tcW w:w="3060" w:type="dxa"/>
            <w:vAlign w:val="bottom"/>
            <w:shd w:val="clear" w:color="auto" w:fill="DBDBDB"/>
          </w:tcPr>
          <w:p>
            <w:pPr>
              <w:spacing w:after="0"/>
              <w:rPr>
                <w:sz w:val="17"/>
                <w:szCs w:val="17"/>
                <w:color w:val="auto"/>
              </w:rPr>
            </w:pPr>
          </w:p>
        </w:tc>
      </w:tr>
      <w:tr>
        <w:trPr>
          <w:trHeight w:val="242"/>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greater ownership interest</w:t>
            </w:r>
          </w:p>
        </w:tc>
        <w:tc>
          <w:tcPr>
            <w:tcW w:w="3060" w:type="dxa"/>
            <w:vAlign w:val="bottom"/>
            <w:tcBorders>
              <w:bottom w:val="single" w:sz="8" w:color="DBDBDB"/>
            </w:tcBorders>
            <w:shd w:val="clear" w:color="auto" w:fill="DBDBDB"/>
          </w:tcPr>
          <w:p>
            <w:pPr>
              <w:spacing w:after="0"/>
              <w:rPr>
                <w:sz w:val="21"/>
                <w:szCs w:val="21"/>
                <w:color w:val="auto"/>
              </w:rPr>
            </w:pPr>
          </w:p>
        </w:tc>
      </w:tr>
      <w:tr>
        <w:trPr>
          <w:trHeight w:val="189"/>
        </w:trPr>
        <w:tc>
          <w:tcPr>
            <w:tcW w:w="6400" w:type="dxa"/>
            <w:vAlign w:val="bottom"/>
          </w:tcPr>
          <w:p>
            <w:pPr>
              <w:ind w:left="20"/>
              <w:spacing w:after="0" w:line="189" w:lineRule="exact"/>
              <w:rPr>
                <w:sz w:val="20"/>
                <w:szCs w:val="20"/>
                <w:color w:val="auto"/>
              </w:rPr>
            </w:pPr>
            <w:r>
              <w:rPr>
                <w:rFonts w:ascii="Arial" w:cs="Arial" w:eastAsia="Arial" w:hAnsi="Arial"/>
                <w:sz w:val="18"/>
                <w:szCs w:val="18"/>
                <w:color w:val="auto"/>
              </w:rPr>
              <w:t>Chair of the GSR Committee, chief compliance officer, any of his or her</w:t>
            </w:r>
          </w:p>
        </w:tc>
        <w:tc>
          <w:tcPr>
            <w:tcW w:w="3060" w:type="dxa"/>
            <w:vAlign w:val="bottom"/>
          </w:tcPr>
          <w:p>
            <w:pPr>
              <w:ind w:left="40"/>
              <w:spacing w:after="0" w:line="189" w:lineRule="exact"/>
              <w:rPr>
                <w:sz w:val="20"/>
                <w:szCs w:val="20"/>
                <w:color w:val="auto"/>
              </w:rPr>
            </w:pPr>
            <w:r>
              <w:rPr>
                <w:rFonts w:ascii="Arial" w:cs="Arial" w:eastAsia="Arial" w:hAnsi="Arial"/>
                <w:sz w:val="18"/>
                <w:szCs w:val="18"/>
                <w:color w:val="auto"/>
              </w:rPr>
              <w:t>GSR Committee</w:t>
            </w:r>
          </w:p>
        </w:tc>
      </w:tr>
      <w:tr>
        <w:trPr>
          <w:trHeight w:val="197"/>
        </w:trPr>
        <w:tc>
          <w:tcPr>
            <w:tcW w:w="6400" w:type="dxa"/>
            <w:vAlign w:val="bottom"/>
          </w:tcPr>
          <w:p>
            <w:pPr>
              <w:ind w:left="20"/>
              <w:spacing w:after="0" w:line="197" w:lineRule="exact"/>
              <w:rPr>
                <w:sz w:val="20"/>
                <w:szCs w:val="20"/>
                <w:color w:val="auto"/>
              </w:rPr>
            </w:pPr>
            <w:r>
              <w:rPr>
                <w:rFonts w:ascii="Arial" w:cs="Arial" w:eastAsia="Arial" w:hAnsi="Arial"/>
                <w:sz w:val="18"/>
                <w:szCs w:val="18"/>
                <w:color w:val="auto"/>
              </w:rPr>
              <w:t>Immediate Family Members, or an entity in which any of the foregoing has a 5%</w:t>
            </w:r>
          </w:p>
        </w:tc>
        <w:tc>
          <w:tcPr>
            <w:tcW w:w="3060" w:type="dxa"/>
            <w:vAlign w:val="bottom"/>
          </w:tcPr>
          <w:p>
            <w:pPr>
              <w:spacing w:after="0"/>
              <w:rPr>
                <w:sz w:val="17"/>
                <w:szCs w:val="17"/>
                <w:color w:val="auto"/>
              </w:rPr>
            </w:pP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or greater ownership interest</w:t>
            </w:r>
          </w:p>
        </w:tc>
        <w:tc>
          <w:tcPr>
            <w:tcW w:w="3060" w:type="dxa"/>
            <w:vAlign w:val="bottom"/>
          </w:tcPr>
          <w:p>
            <w:pPr>
              <w:spacing w:after="0"/>
              <w:rPr>
                <w:sz w:val="20"/>
                <w:szCs w:val="20"/>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Any other director or executive officer, an Immediate Family Member of such</w:t>
            </w:r>
          </w:p>
        </w:tc>
        <w:tc>
          <w:tcPr>
            <w:tcW w:w="3060" w:type="dxa"/>
            <w:vAlign w:val="bottom"/>
          </w:tcPr>
          <w:p>
            <w:pPr>
              <w:ind w:left="40"/>
              <w:spacing w:after="0"/>
              <w:rPr>
                <w:sz w:val="20"/>
                <w:szCs w:val="20"/>
                <w:color w:val="auto"/>
              </w:rPr>
            </w:pPr>
            <w:r>
              <w:rPr>
                <w:rFonts w:ascii="Arial" w:cs="Arial" w:eastAsia="Arial" w:hAnsi="Arial"/>
                <w:sz w:val="18"/>
                <w:szCs w:val="18"/>
                <w:color w:val="auto"/>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-127635</wp:posOffset>
            </wp:positionV>
            <wp:extent cx="6009005" cy="445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9005" cy="44577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3"/>
        </w:trPr>
        <w:tc>
          <w:tcPr>
            <w:tcW w:w="866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person, or an entity in which any of the foregoing has a 5% or greater ownership </w:t>
            </w:r>
            <w:r>
              <w:rPr>
                <w:rFonts w:ascii="Arial" w:cs="Arial" w:eastAsia="Arial" w:hAnsi="Arial"/>
                <w:sz w:val="23"/>
                <w:szCs w:val="23"/>
                <w:color w:val="auto"/>
                <w:vertAlign w:val="superscript"/>
              </w:rPr>
              <w:t>in consultation with the</w:t>
            </w:r>
          </w:p>
        </w:tc>
      </w:tr>
      <w:tr>
        <w:trPr>
          <w:trHeight w:val="274"/>
        </w:trPr>
        <w:tc>
          <w:tcPr>
            <w:tcW w:w="3700" w:type="dxa"/>
            <w:vAlign w:val="bottom"/>
          </w:tcPr>
          <w:p>
            <w:pPr>
              <w:spacing w:after="0"/>
              <w:rPr>
                <w:sz w:val="20"/>
                <w:szCs w:val="20"/>
                <w:color w:val="auto"/>
              </w:rPr>
            </w:pPr>
            <w:r>
              <w:rPr>
                <w:rFonts w:ascii="Arial" w:cs="Arial" w:eastAsia="Arial" w:hAnsi="Arial"/>
                <w:sz w:val="18"/>
                <w:szCs w:val="18"/>
                <w:color w:val="auto"/>
              </w:rPr>
              <w:t>interest</w:t>
            </w:r>
          </w:p>
        </w:tc>
        <w:tc>
          <w:tcPr>
            <w:tcW w:w="4960" w:type="dxa"/>
            <w:vAlign w:val="bottom"/>
          </w:tcPr>
          <w:p>
            <w:pPr>
              <w:ind w:left="2720"/>
              <w:spacing w:after="0"/>
              <w:rPr>
                <w:sz w:val="20"/>
                <w:szCs w:val="20"/>
                <w:color w:val="auto"/>
              </w:rPr>
            </w:pPr>
            <w:r>
              <w:rPr>
                <w:rFonts w:ascii="Arial" w:cs="Arial" w:eastAsia="Arial" w:hAnsi="Arial"/>
                <w:sz w:val="18"/>
                <w:szCs w:val="18"/>
                <w:color w:val="auto"/>
                <w:w w:val="98"/>
              </w:rPr>
              <w:t>chair of the GSR Committee</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A 5% holder</w:t>
            </w:r>
          </w:p>
        </w:tc>
        <w:tc>
          <w:tcPr>
            <w:tcW w:w="4960" w:type="dxa"/>
            <w:vAlign w:val="bottom"/>
          </w:tcPr>
          <w:p>
            <w:pPr>
              <w:ind w:left="2720"/>
              <w:spacing w:after="0"/>
              <w:rPr>
                <w:sz w:val="20"/>
                <w:szCs w:val="20"/>
                <w:color w:val="auto"/>
              </w:rPr>
            </w:pPr>
            <w:r>
              <w:rPr>
                <w:rFonts w:ascii="Arial" w:cs="Arial" w:eastAsia="Arial" w:hAnsi="Arial"/>
                <w:sz w:val="18"/>
                <w:szCs w:val="18"/>
                <w:color w:val="auto"/>
              </w:rPr>
              <w:t>GSR Committee</w:t>
            </w:r>
          </w:p>
        </w:tc>
      </w:tr>
    </w:tbl>
    <w:p>
      <w:pPr>
        <w:spacing w:after="0" w:line="30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(i) was the result of undue influence from the related person or (ii) could adversely influence or appear to adversely influence the judgment, decisions or actions of the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2023 PROXY STATEMENT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executive officer in meeting TI responsibilities or create obligations to other organizations that may come in conflict with responsibilities to TI.</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153" w:lineRule="exact"/>
        <w:rPr>
          <w:sz w:val="20"/>
          <w:szCs w:val="20"/>
          <w:color w:val="auto"/>
        </w:rPr>
      </w:pPr>
    </w:p>
    <w:p>
      <w:pPr>
        <w:ind w:left="660" w:right="40" w:hanging="328"/>
        <w:spacing w:after="0" w:line="28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holder is their position as such;</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660" w:right="460" w:hanging="328"/>
        <w:spacing w:after="0" w:line="28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spacing w:after="0" w:line="63" w:lineRule="exact"/>
        <w:rPr>
          <w:rFonts w:ascii="Arial" w:cs="Arial" w:eastAsia="Arial" w:hAnsi="Arial"/>
          <w:sz w:val="18"/>
          <w:szCs w:val="18"/>
          <w:color w:val="auto"/>
        </w:rPr>
      </w:pPr>
    </w:p>
    <w:p>
      <w:pPr>
        <w:ind w:left="980" w:right="180" w:hanging="324"/>
        <w:spacing w:after="0" w:line="281" w:lineRule="auto"/>
        <w:tabs>
          <w:tab w:leader="none" w:pos="97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of the outstanding equity of such party;</w:t>
      </w:r>
    </w:p>
    <w:p>
      <w:pPr>
        <w:spacing w:after="0" w:line="1" w:lineRule="exact"/>
        <w:rPr>
          <w:rFonts w:ascii="Arial" w:cs="Arial" w:eastAsia="Arial" w:hAnsi="Arial"/>
          <w:sz w:val="18"/>
          <w:szCs w:val="18"/>
          <w:color w:val="auto"/>
        </w:rPr>
      </w:pPr>
    </w:p>
    <w:p>
      <w:pPr>
        <w:ind w:left="980" w:right="700" w:hanging="324"/>
        <w:spacing w:after="0" w:line="268" w:lineRule="auto"/>
        <w:tabs>
          <w:tab w:leader="none" w:pos="97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their position as a director of another corporation or organization;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ownership of TI stock and all holders of that class of stock receive the same benefit on a pro rata basis;</w:t>
      </w:r>
    </w:p>
    <w:p>
      <w:pPr>
        <w:spacing w:after="0" w:line="63" w:lineRule="exact"/>
        <w:rPr>
          <w:rFonts w:ascii="Arial" w:cs="Arial" w:eastAsia="Arial" w:hAnsi="Arial"/>
          <w:sz w:val="18"/>
          <w:szCs w:val="18"/>
          <w:color w:val="auto"/>
        </w:rPr>
      </w:pPr>
    </w:p>
    <w:p>
      <w:pPr>
        <w:ind w:left="660" w:right="320" w:hanging="328"/>
        <w:spacing w:after="0" w:line="276" w:lineRule="auto"/>
        <w:tabs>
          <w:tab w:leader="none" w:pos="6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Transactions in the ordinary course of business where the only relationship of a TI director or executive officer, or their Immediate Family Member, is as an employee (other than an executive officer) and/or less than a 10% beneficial owner of the other entity if</w:t>
      </w:r>
    </w:p>
    <w:p>
      <w:pPr>
        <w:ind w:left="660" w:right="100"/>
        <w:spacing w:after="0" w:line="266" w:lineRule="auto"/>
        <w:rPr>
          <w:rFonts w:ascii="Arial" w:cs="Arial" w:eastAsia="Arial" w:hAnsi="Arial"/>
          <w:sz w:val="17"/>
          <w:szCs w:val="17"/>
          <w:color w:val="auto"/>
        </w:rPr>
      </w:pPr>
      <w:r>
        <w:rPr>
          <w:rFonts w:ascii="Arial" w:cs="Arial" w:eastAsia="Arial" w:hAnsi="Arial"/>
          <w:sz w:val="18"/>
          <w:szCs w:val="18"/>
          <w:color w:val="auto"/>
        </w:rPr>
        <w:t>(i) the TI director or executive officer is not involved in negotiating the terms of the transaction and (ii) amounts involved for the fiscal year do not exceed the greater of $200,000 or 2% of the entity’s consolidated gross revenues for that year;</w:t>
      </w:r>
    </w:p>
    <w:p>
      <w:pPr>
        <w:spacing w:after="0" w:line="9"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17"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2022, Messrs. Craighead and Blinn and Mses. Cox and Patsley served on the Compensation Committee. No committee member</w:t>
      </w:r>
    </w:p>
    <w:p>
      <w:pPr>
        <w:spacing w:after="0" w:line="27" w:lineRule="exact"/>
        <w:rPr>
          <w:sz w:val="20"/>
          <w:szCs w:val="20"/>
          <w:color w:val="auto"/>
        </w:rPr>
      </w:pPr>
    </w:p>
    <w:p>
      <w:pPr>
        <w:ind w:right="200" w:firstLine="8"/>
        <w:spacing w:after="0" w:line="255" w:lineRule="auto"/>
        <w:tabs>
          <w:tab w:leader="none" w:pos="2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Cost of solicitation</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LLC to assist in the solicitation of proxies at a cost of $13,500 plus out-of-pocket expenses.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and nominations for 2024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73" w:lineRule="exact"/>
        <w:rPr>
          <w:sz w:val="20"/>
          <w:szCs w:val="20"/>
          <w:color w:val="auto"/>
        </w:rPr>
      </w:pPr>
    </w:p>
    <w:tbl>
      <w:tblPr>
        <w:tblLayout w:type="fixed"/>
        <w:tblInd w:w="2880" w:type="dxa"/>
        <w:tblCellMar>
          <w:top w:w="0" w:type="dxa"/>
          <w:left w:w="0" w:type="dxa"/>
          <w:bottom w:w="0" w:type="dxa"/>
          <w:right w:w="0" w:type="dxa"/>
        </w:tblCellMar>
      </w:tblPr>
      <w:tr>
        <w:trPr>
          <w:trHeight w:val="176"/>
        </w:trPr>
        <w:tc>
          <w:tcPr>
            <w:tcW w:w="2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Other Proposals/Nominees to be</w:t>
            </w:r>
          </w:p>
        </w:tc>
        <w:tc>
          <w:tcPr>
            <w:tcW w:w="0" w:type="dxa"/>
            <w:vAlign w:val="bottom"/>
          </w:tcPr>
          <w:p>
            <w:pPr>
              <w:spacing w:after="0"/>
              <w:rPr>
                <w:sz w:val="1"/>
                <w:szCs w:val="1"/>
                <w:color w:val="auto"/>
              </w:rPr>
            </w:pPr>
          </w:p>
        </w:tc>
      </w:tr>
      <w:tr>
        <w:trPr>
          <w:trHeight w:val="175"/>
        </w:trPr>
        <w:tc>
          <w:tcPr>
            <w:tcW w:w="218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rPr>
              <w:t>Proposals for Inclusion in</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Director Nominees for Inclusion</w:t>
            </w: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Presented at 2024 Annual Meeting</w:t>
            </w:r>
          </w:p>
        </w:tc>
        <w:tc>
          <w:tcPr>
            <w:tcW w:w="0" w:type="dxa"/>
            <w:vAlign w:val="bottom"/>
          </w:tcPr>
          <w:p>
            <w:pPr>
              <w:spacing w:after="0"/>
              <w:rPr>
                <w:sz w:val="1"/>
                <w:szCs w:val="1"/>
                <w:color w:val="auto"/>
              </w:rPr>
            </w:pPr>
          </w:p>
        </w:tc>
      </w:tr>
      <w:tr>
        <w:trPr>
          <w:trHeight w:val="162"/>
        </w:trPr>
        <w:tc>
          <w:tcPr>
            <w:tcW w:w="2180" w:type="dxa"/>
            <w:vAlign w:val="bottom"/>
            <w:vMerge w:val="continue"/>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in 2024 Proxy Materials</w:t>
            </w: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(and Not for Inclusion in</w:t>
            </w:r>
          </w:p>
        </w:tc>
        <w:tc>
          <w:tcPr>
            <w:tcW w:w="0" w:type="dxa"/>
            <w:vAlign w:val="bottom"/>
          </w:tcPr>
          <w:p>
            <w:pPr>
              <w:spacing w:after="0"/>
              <w:rPr>
                <w:sz w:val="1"/>
                <w:szCs w:val="1"/>
                <w:color w:val="auto"/>
              </w:rPr>
            </w:pPr>
          </w:p>
        </w:tc>
      </w:tr>
      <w:tr>
        <w:trPr>
          <w:trHeight w:val="210"/>
        </w:trPr>
        <w:tc>
          <w:tcPr>
            <w:tcW w:w="2180" w:type="dxa"/>
            <w:vAlign w:val="bottom"/>
          </w:tcPr>
          <w:p>
            <w:pPr>
              <w:jc w:val="center"/>
              <w:ind w:right="348"/>
              <w:spacing w:after="0"/>
              <w:rPr>
                <w:sz w:val="20"/>
                <w:szCs w:val="20"/>
                <w:color w:val="auto"/>
              </w:rPr>
            </w:pPr>
            <w:r>
              <w:rPr>
                <w:rFonts w:ascii="Arial" w:cs="Arial" w:eastAsia="Arial" w:hAnsi="Arial"/>
                <w:sz w:val="14"/>
                <w:szCs w:val="14"/>
                <w:b w:val="1"/>
                <w:bCs w:val="1"/>
                <w:color w:val="auto"/>
              </w:rPr>
              <w:t>2024 Proxy Materials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(Proxy Access)</w:t>
            </w: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Proxy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089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When proposal must</w:t>
            </w:r>
          </w:p>
        </w:tc>
        <w:tc>
          <w:tcPr>
            <w:tcW w:w="2560" w:type="dxa"/>
            <w:vAlign w:val="bottom"/>
          </w:tcPr>
          <w:p>
            <w:pPr>
              <w:ind w:left="500"/>
              <w:spacing w:after="0"/>
              <w:rPr>
                <w:sz w:val="20"/>
                <w:szCs w:val="20"/>
                <w:color w:val="auto"/>
              </w:rPr>
            </w:pPr>
            <w:r>
              <w:rPr>
                <w:rFonts w:ascii="Arial" w:cs="Arial" w:eastAsia="Arial" w:hAnsi="Arial"/>
                <w:sz w:val="18"/>
                <w:szCs w:val="18"/>
                <w:color w:val="auto"/>
              </w:rPr>
              <w:t>On or before</w:t>
            </w:r>
          </w:p>
        </w:tc>
        <w:tc>
          <w:tcPr>
            <w:tcW w:w="3120" w:type="dxa"/>
            <w:vAlign w:val="bottom"/>
          </w:tcPr>
          <w:p>
            <w:pPr>
              <w:ind w:left="460"/>
              <w:spacing w:after="0"/>
              <w:rPr>
                <w:sz w:val="20"/>
                <w:szCs w:val="20"/>
                <w:color w:val="auto"/>
              </w:rPr>
            </w:pPr>
            <w:r>
              <w:rPr>
                <w:rFonts w:ascii="Arial" w:cs="Arial" w:eastAsia="Arial" w:hAnsi="Arial"/>
                <w:sz w:val="18"/>
                <w:szCs w:val="18"/>
                <w:color w:val="auto"/>
                <w:w w:val="98"/>
              </w:rPr>
              <w:t>No earlier than October 16, 2023,</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be received by</w:t>
            </w:r>
          </w:p>
        </w:tc>
        <w:tc>
          <w:tcPr>
            <w:tcW w:w="2560" w:type="dxa"/>
            <w:vAlign w:val="bottom"/>
          </w:tcPr>
          <w:p>
            <w:pPr>
              <w:ind w:left="500"/>
              <w:spacing w:after="0"/>
              <w:rPr>
                <w:sz w:val="20"/>
                <w:szCs w:val="20"/>
                <w:color w:val="auto"/>
              </w:rPr>
            </w:pPr>
            <w:r>
              <w:rPr>
                <w:rFonts w:ascii="Arial" w:cs="Arial" w:eastAsia="Arial" w:hAnsi="Arial"/>
                <w:sz w:val="18"/>
                <w:szCs w:val="18"/>
                <w:color w:val="auto"/>
              </w:rPr>
              <w:t>November 15, 2023</w:t>
            </w:r>
          </w:p>
        </w:tc>
        <w:tc>
          <w:tcPr>
            <w:tcW w:w="3120" w:type="dxa"/>
            <w:vAlign w:val="bottom"/>
          </w:tcPr>
          <w:p>
            <w:pPr>
              <w:ind w:left="460"/>
              <w:spacing w:after="0"/>
              <w:rPr>
                <w:sz w:val="20"/>
                <w:szCs w:val="20"/>
                <w:color w:val="auto"/>
              </w:rPr>
            </w:pPr>
            <w:r>
              <w:rPr>
                <w:rFonts w:ascii="Arial" w:cs="Arial" w:eastAsia="Arial" w:hAnsi="Arial"/>
                <w:sz w:val="18"/>
                <w:szCs w:val="18"/>
                <w:color w:val="auto"/>
              </w:rPr>
              <w:t>and no later than November 15,</w:t>
            </w:r>
          </w:p>
        </w:tc>
      </w:tr>
      <w:tr>
        <w:trPr>
          <w:trHeight w:val="239"/>
        </w:trPr>
        <w:tc>
          <w:tcPr>
            <w:tcW w:w="2160" w:type="dxa"/>
            <w:vAlign w:val="bottom"/>
          </w:tcPr>
          <w:p>
            <w:pPr>
              <w:spacing w:after="0"/>
              <w:rPr>
                <w:sz w:val="20"/>
                <w:szCs w:val="20"/>
                <w:color w:val="auto"/>
              </w:rPr>
            </w:pPr>
            <w:r>
              <w:rPr>
                <w:rFonts w:ascii="Arial" w:cs="Arial" w:eastAsia="Arial" w:hAnsi="Arial"/>
                <w:sz w:val="18"/>
                <w:szCs w:val="18"/>
                <w:color w:val="auto"/>
              </w:rPr>
              <w:t>Texas Instruments</w:t>
            </w:r>
          </w:p>
        </w:tc>
        <w:tc>
          <w:tcPr>
            <w:tcW w:w="2560" w:type="dxa"/>
            <w:vAlign w:val="bottom"/>
          </w:tcPr>
          <w:p>
            <w:pPr>
              <w:spacing w:after="0"/>
              <w:rPr>
                <w:sz w:val="20"/>
                <w:szCs w:val="20"/>
                <w:color w:val="auto"/>
              </w:rPr>
            </w:pPr>
          </w:p>
        </w:tc>
        <w:tc>
          <w:tcPr>
            <w:tcW w:w="3120" w:type="dxa"/>
            <w:vAlign w:val="bottom"/>
          </w:tcPr>
          <w:p>
            <w:pPr>
              <w:ind w:left="460"/>
              <w:spacing w:after="0"/>
              <w:rPr>
                <w:sz w:val="20"/>
                <w:szCs w:val="20"/>
                <w:color w:val="auto"/>
              </w:rPr>
            </w:pPr>
            <w:r>
              <w:rPr>
                <w:rFonts w:ascii="Arial" w:cs="Arial" w:eastAsia="Arial" w:hAnsi="Arial"/>
                <w:sz w:val="18"/>
                <w:szCs w:val="18"/>
                <w:color w:val="auto"/>
              </w:rPr>
              <w:t>2023</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No earlier than December 29, 2023, and no later than January 28, 2024</w:t>
      </w:r>
    </w:p>
    <w:p>
      <w:pPr>
        <w:spacing w:after="0" w:line="352" w:lineRule="exact"/>
        <w:rPr>
          <w:sz w:val="20"/>
          <w:szCs w:val="20"/>
          <w:color w:val="auto"/>
        </w:rPr>
      </w:pPr>
    </w:p>
    <w:p>
      <w:pPr>
        <w:sectPr>
          <w:pgSz w:w="11900" w:h="16838" w:orient="portrait"/>
          <w:cols w:equalWidth="0" w:num="2">
            <w:col w:w="7860" w:space="340"/>
            <w:col w:w="3020"/>
          </w:cols>
          <w:pgMar w:left="320" w:top="980" w:right="359" w:bottom="1440" w:gutter="0" w:footer="0" w:header="0"/>
          <w:type w:val="continuous"/>
        </w:sectPr>
      </w:pPr>
    </w:p>
    <w:p>
      <w:pPr>
        <w:spacing w:after="0" w:line="14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satisfying the requirements of the company’s by-laws, to comply with the SEC’s universal proxy rules, stockholders who intend to solicit proxies in support of director nominees other than board’s nominees must also provide notice to the company in accordance with Rule 14a-19 under the Exchange Act no later than February 27, 2024.</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Any proposals, nominations or notices are to be sent to Texas Instruments Incorporated, 12500 TI Boulevard, MS 8658, Dallas, TX 75243, Attn: Secretary.</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 plan voting</w:t>
      </w:r>
    </w:p>
    <w:p>
      <w:pPr>
        <w:spacing w:after="0" w:line="22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24, 2023, in the manner described in the notice of annual meeting.</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24, 2023, will be voted in the same proportions as the shares in the plans for which voting instructions have been received by that date unless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Telephone and internet voting</w:t>
      </w:r>
    </w:p>
    <w:p>
      <w:pPr>
        <w:spacing w:after="0" w:line="23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5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 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(866) 540-7095 or writing to Broadridge, Householding Department, 51 Mercedes Way, Edgewood, NY 11717.</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Electronic delivery of proxy materials and copies of our Form 10-K</w:t>
      </w:r>
    </w:p>
    <w:p>
      <w:pPr>
        <w:spacing w:after="0" w:line="23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vote via the internet at www.proxyvote.com and, when prompted, enroll to receive or access proxy materials electronically in future years. After the meeting date, stockholders may request electronic delivery by visiting https://enroll.icsdelivery.com/TXN.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1" w:name="page72"/>
    <w:bookmarkEnd w:id="71"/>
    <w:p>
      <w:pPr>
        <w:ind w:right="200"/>
        <w:spacing w:after="0" w:line="29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27, 2023. This 2023 proxy statement and the company’s 2022 annual report are accessible at www.proxyvote.com.</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company’s annual report on Form 10-K for the year ended December 31, 2022, which contains consolidated financial statements, accompanies this proxy statement. </w:t>
      </w:r>
      <w:r>
        <w:rPr>
          <w:rFonts w:ascii="Arial" w:cs="Arial" w:eastAsia="Arial" w:hAnsi="Arial"/>
          <w:sz w:val="18"/>
          <w:szCs w:val="18"/>
          <w:b w:val="1"/>
          <w:bCs w:val="1"/>
          <w:color w:val="auto"/>
        </w:rPr>
        <w:t>You may also obtain a copy of the company’s 2022 Form 10-K, including a list of exhibits and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exhibit specifically requested,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 The contents posted on our website are not incorporated by reference into this proxy statement.</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34925</wp:posOffset>
            </wp:positionV>
            <wp:extent cx="2202815" cy="754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028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Cynthia Hoff Trochu</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Secretary and General Counsel</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2022. The forward-looking statements included in this proxy statement are made only as of the date of this proxy statement,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2023 PROXY STATEMENT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Appendix 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reconciliations</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9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Free Cash Flow as a Percentage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22"/>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8"/>
        </w:trPr>
        <w:tc>
          <w:tcPr>
            <w:tcW w:w="5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95"/>
              <w:spacing w:after="0"/>
              <w:rPr>
                <w:sz w:val="20"/>
                <w:szCs w:val="20"/>
                <w:color w:val="auto"/>
              </w:rPr>
            </w:pPr>
            <w:r>
              <w:rPr>
                <w:rFonts w:ascii="Arial" w:cs="Arial" w:eastAsia="Arial" w:hAnsi="Arial"/>
                <w:sz w:val="18"/>
                <w:szCs w:val="18"/>
                <w:b w:val="1"/>
                <w:bCs w:val="1"/>
                <w:color w:val="auto"/>
              </w:rPr>
              <w:t>8,720</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213"/>
              <w:spacing w:after="0"/>
              <w:rPr>
                <w:sz w:val="20"/>
                <w:szCs w:val="20"/>
                <w:color w:val="auto"/>
              </w:rPr>
            </w:pPr>
            <w:r>
              <w:rPr>
                <w:rFonts w:ascii="Arial" w:cs="Arial" w:eastAsia="Arial" w:hAnsi="Arial"/>
                <w:sz w:val="18"/>
                <w:szCs w:val="18"/>
                <w:color w:val="auto"/>
              </w:rPr>
              <w:t>8,756</w:t>
            </w:r>
          </w:p>
        </w:tc>
        <w:tc>
          <w:tcPr>
            <w:tcW w:w="4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6,139</w:t>
            </w:r>
          </w:p>
        </w:tc>
        <w:tc>
          <w:tcPr>
            <w:tcW w:w="42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BDBDB"/>
          </w:tcPr>
          <w:p>
            <w:pPr>
              <w:jc w:val="right"/>
              <w:ind w:right="153"/>
              <w:spacing w:after="0"/>
              <w:rPr>
                <w:sz w:val="20"/>
                <w:szCs w:val="20"/>
                <w:color w:val="auto"/>
              </w:rPr>
            </w:pPr>
            <w:r>
              <w:rPr>
                <w:rFonts w:ascii="Arial" w:cs="Arial" w:eastAsia="Arial" w:hAnsi="Arial"/>
                <w:sz w:val="18"/>
                <w:szCs w:val="18"/>
                <w:b w:val="1"/>
                <w:bCs w:val="1"/>
                <w:color w:val="auto"/>
              </w:rPr>
              <w:t>23,615</w:t>
            </w:r>
          </w:p>
        </w:tc>
      </w:tr>
      <w:tr>
        <w:trPr>
          <w:trHeight w:val="263"/>
        </w:trPr>
        <w:tc>
          <w:tcPr>
            <w:tcW w:w="5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(2,797)</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(2,462)</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(649)</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(5,908)</w:t>
            </w:r>
          </w:p>
        </w:tc>
      </w:tr>
      <w:tr>
        <w:trPr>
          <w:trHeight w:val="288"/>
        </w:trPr>
        <w:tc>
          <w:tcPr>
            <w:tcW w:w="5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8"/>
                <w:szCs w:val="18"/>
                <w:b w:val="1"/>
                <w:bCs w:val="1"/>
                <w:color w:val="auto"/>
              </w:rPr>
              <w:t>5,923</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ind w:right="213"/>
              <w:spacing w:after="0"/>
              <w:rPr>
                <w:sz w:val="20"/>
                <w:szCs w:val="20"/>
                <w:color w:val="auto"/>
              </w:rPr>
            </w:pPr>
            <w:r>
              <w:rPr>
                <w:rFonts w:ascii="Arial" w:cs="Arial" w:eastAsia="Arial" w:hAnsi="Arial"/>
                <w:sz w:val="18"/>
                <w:szCs w:val="18"/>
                <w:color w:val="auto"/>
              </w:rPr>
              <w:t>6,294</w:t>
            </w:r>
          </w:p>
        </w:tc>
        <w:tc>
          <w:tcPr>
            <w:tcW w:w="4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5,490</w:t>
            </w:r>
          </w:p>
        </w:tc>
        <w:tc>
          <w:tcPr>
            <w:tcW w:w="42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b w:val="1"/>
                <w:bCs w:val="1"/>
                <w:color w:val="auto"/>
              </w:rPr>
              <w:t>17,707</w:t>
            </w: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r>
        <w:trPr>
          <w:trHeight w:val="223"/>
        </w:trPr>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90"/>
        </w:trPr>
        <w:tc>
          <w:tcPr>
            <w:tcW w:w="5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8"/>
                <w:szCs w:val="18"/>
                <w:b w:val="1"/>
                <w:bCs w:val="1"/>
                <w:color w:val="auto"/>
              </w:rPr>
              <w:t>20,028</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ind w:right="213"/>
              <w:spacing w:after="0"/>
              <w:rPr>
                <w:sz w:val="20"/>
                <w:szCs w:val="20"/>
                <w:color w:val="auto"/>
              </w:rPr>
            </w:pPr>
            <w:r>
              <w:rPr>
                <w:rFonts w:ascii="Arial" w:cs="Arial" w:eastAsia="Arial" w:hAnsi="Arial"/>
                <w:sz w:val="18"/>
                <w:szCs w:val="18"/>
                <w:color w:val="auto"/>
              </w:rPr>
              <w:t>18,344</w:t>
            </w:r>
          </w:p>
        </w:tc>
        <w:tc>
          <w:tcPr>
            <w:tcW w:w="4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14,461</w:t>
            </w:r>
          </w:p>
        </w:tc>
        <w:tc>
          <w:tcPr>
            <w:tcW w:w="42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b w:val="1"/>
                <w:bCs w:val="1"/>
                <w:color w:val="auto"/>
              </w:rPr>
              <w:t>52,833</w:t>
            </w: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r>
        <w:trPr>
          <w:trHeight w:val="222"/>
        </w:trPr>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5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00" w:type="dxa"/>
            <w:vAlign w:val="bottom"/>
            <w:shd w:val="clear" w:color="auto" w:fill="DBDBDB"/>
          </w:tcPr>
          <w:p>
            <w:pPr>
              <w:spacing w:after="0"/>
              <w:rPr>
                <w:sz w:val="23"/>
                <w:szCs w:val="23"/>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43.5 %</w:t>
            </w:r>
          </w:p>
        </w:tc>
        <w:tc>
          <w:tcPr>
            <w:tcW w:w="380" w:type="dxa"/>
            <w:vAlign w:val="bottom"/>
            <w:shd w:val="clear" w:color="auto" w:fill="DBDBDB"/>
          </w:tcPr>
          <w:p>
            <w:pPr>
              <w:spacing w:after="0"/>
              <w:rPr>
                <w:sz w:val="23"/>
                <w:szCs w:val="23"/>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47.7 %</w:t>
            </w:r>
          </w:p>
        </w:tc>
        <w:tc>
          <w:tcPr>
            <w:tcW w:w="440" w:type="dxa"/>
            <w:vAlign w:val="bottom"/>
            <w:shd w:val="clear" w:color="auto" w:fill="DBDBDB"/>
          </w:tcPr>
          <w:p>
            <w:pPr>
              <w:spacing w:after="0"/>
              <w:rPr>
                <w:sz w:val="23"/>
                <w:szCs w:val="2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42.5 %</w:t>
            </w:r>
          </w:p>
        </w:tc>
        <w:tc>
          <w:tcPr>
            <w:tcW w:w="420" w:type="dxa"/>
            <w:vAlign w:val="bottom"/>
            <w:shd w:val="clear" w:color="auto" w:fill="DBDBDB"/>
          </w:tcPr>
          <w:p>
            <w:pPr>
              <w:spacing w:after="0"/>
              <w:rPr>
                <w:sz w:val="23"/>
                <w:szCs w:val="2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44.7 %</w:t>
            </w:r>
          </w:p>
        </w:tc>
      </w:tr>
      <w:tr>
        <w:trPr>
          <w:trHeight w:val="255"/>
        </w:trPr>
        <w:tc>
          <w:tcPr>
            <w:tcW w:w="57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29.6 %</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34.3 %</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38.0 %</w:t>
            </w: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33.5 %</w:t>
            </w:r>
          </w:p>
        </w:tc>
      </w:tr>
    </w:tbl>
    <w:p>
      <w:pPr>
        <w:spacing w:after="0" w:line="200" w:lineRule="exact"/>
        <w:rPr>
          <w:sz w:val="20"/>
          <w:szCs w:val="20"/>
          <w:color w:val="auto"/>
        </w:rPr>
      </w:pPr>
    </w:p>
    <w:p>
      <w:pPr>
        <w:sectPr>
          <w:pgSz w:w="11900" w:h="16838" w:orient="portrait"/>
          <w:cols w:equalWidth="0" w:num="1">
            <w:col w:w="11240"/>
          </w:cols>
          <w:pgMar w:left="320" w:top="1205" w:right="339"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078" w:gutter="0" w:footer="0" w:header="0"/>
          <w:type w:val="continuous"/>
        </w:sectPr>
      </w:pPr>
    </w:p>
    <w:bookmarkStart w:id="73" w:name="page74"/>
    <w:bookmarkEnd w:id="73"/>
    <w:p>
      <w:pPr>
        <w:spacing w:after="0"/>
        <w:rPr>
          <w:sz w:val="20"/>
          <w:szCs w:val="20"/>
          <w:color w:val="auto"/>
        </w:rPr>
      </w:pPr>
      <w:r>
        <w:rPr>
          <w:rFonts w:ascii="Arial" w:cs="Arial" w:eastAsia="Arial" w:hAnsi="Arial"/>
          <w:sz w:val="22"/>
          <w:szCs w:val="22"/>
          <w:b w:val="1"/>
          <w:bCs w:val="1"/>
          <w:color w:val="auto"/>
        </w:rPr>
        <w:t>Appendix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EMPLOYEES 2014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as of April 27, 2023</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TI Employees 2014 Stock Purchase Plan (the “Plan”) is designed to encourage in all Employees a proprietary interest in the Company. The Plan provides for all eligible Employees the option to purchase shares of the common stock of TI through voluntary systematic payroll deductions. The options provided to participants under the Plan shall be in addition to regular salary, profit sharing, pension, life insurance, special payments or other benefits related to a participant’s employment with the Company. It is the intention of the Company to have the Plan qualify as an “Employee Stock Purchase Plan” pursuant to Section 423 of the Internal Revenue Code of 1986, as amended, and regulations promulgated thereunder (the “Code”), but the Company does not undertake to maintain such status through the Plan term. If such status is not maintained, any award under the Plan will be made in a manner that is intended to avoid the imposition of additional taxes and penalties under Section 409A of the Code.</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the purposes of the Plan unless otherwise indicated, “TI” shall mean Texas Instruments Incorporated, “Subsidiary” shall mean a corporation where at least eighty percent of its voting stock is owned directly or indirectly by TI, “Company” shall mean TI and its Subsidiaries, “Employee” shall mean an individual who is a full-time or part-time employee of the Company (including employees on paid or unpaid leave of absence if TI expects that they will return to work), and “Board” shall mean the Board of Directors of TI.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Employees of TI, and such of its Subsidiaries as the Committee described below shall from time to time designate, who are Employees on the date of grant of the option shall be eligible to participate in offerings of options under the Plan, except the Committee may, in specified offerings, exclude Employees that fall into an excludable category as described in Section 423 of the Code and the regulations thereunder. The categories of Employees excluded from any specified offering may differ from the categories of Employees excluded from other offerings. For each offering, the date of grant shall be as determined by the Committee. Directors who are not Employees are not eligible to participate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Plan</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employees.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shall have the full and exclusive right to establish the terms of each offering of common stock of TI under the Plan except as otherwise expressly provided in this Plan. The terms of each offering, as established by the Committee, shall be communicated to eligible Employees in writing or electronically. The Committee may delegate such power, authority and rights with respect to the administration of the Plan (including, without limitation, the designation of Subsidiaries whose Employees may participate in offerings and the exclusion of Employees from specified offerings, in each case to the extent permitted by Section 423 of the Code) as it deems appropriate to one or more members of the management of TI (including, without limitation, a committee of one or more members of management appointed by the Committee); provided, however, that any delegation to management shall conform with the requirements of applicable law and stock exchange regulations. The Committee may also recommend to the Board revisions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Expenses of Administration</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Except as otherwise determined by the Committee, any broker commissions, fees or other expenses incurred in connection with the exercise of an option hereunder or as a result of the opening or maintenance of accounts for Employees and the purchase and sale of common stock of TI on behalf of Employees shall be paid by the Employee who incurs the expenses and any other expenses of the administration of the Plan shall be borne by TI.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may, at any time and from time to time, alter, amend, suspend or terminate the Plan, any part thereof or any option thereunder as it may deem proper and in the best interests of the Company, provided, however, that unless the stockholders of TI shall have first approved thereof, (i) the total number of shares for which options may be exercised under the Plan shall not be increased or decreased, except as adjusted below under “Adjustments,” and (ii) no amendment shall be made which shall allow an option price for offerings under the Plan to be less than 85% of the fair market value of the common stock of TI on the date of grant of the options or 85% of the fair market value of the common stock of TI on the date on which an option is exercised, if lower.</w:t>
      </w:r>
    </w:p>
    <w:p>
      <w:pPr>
        <w:spacing w:after="0" w:line="18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Notwithstanding the foregoing, the Committee may adopt and amend stock purchase sub-plans with respect to Employees of Subsidiaries with such provisions as the Committee may deem appropriate to conform with local laws, practices and procedures, and to permit exclusion of certain Employees from participation. All such sub-plans shall be subject to the limitations on the amount of stock that may be issued under the Plan and, except to the extent otherwise provided in such plans, shall be subject to all of the other provisions set forth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year during the term of the Plan, unless the Committee determines otherwise, TI will make one or more offerings in which options to purchase TI common stock will be granted under the Plan. The offerings made to Employees of TI and to the Employees of each participating Subsidiary shall constitute separate offerings (i.e., the offering made to Employees of one participating entity shall be separate from the offering made to Employees of another participating entity) for purposes of Section 423 of the Code and the regulations thereunder and, accordingly, may contain different terms and conditions, provided that each such offering meets the requirements of Section 423 and the regulations thereunder.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Grants</w:t>
      </w:r>
    </w:p>
    <w:p>
      <w:pPr>
        <w:spacing w:after="0" w:line="225"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No more than 40,000,000 shares of TI common stock may be sold pursuant to options granted under the Plan, subject to adjustments as described below. Either authorized and unissued shares or issued shares heretofore or hereafter acquired by TI may be made subject to option under the Plan. If for any reason any option under the Plan terminates in whole or in part, shares subject to such terminated option may be again subjected to an option under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TI, issuance of warrants or other rights to purchase shares or other securities of TI,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which may be made the subject of options, (ii) the number and type of shares subject to outstanding options, and (iii) the grant, purchase or exercise price with respect to any option or, if deemed appropriate, make provision for a cash payment to the holder of an option. However, any adjustment that results in an increase in the aggregate number of shares that may be issued under the Plan (other than an increase merely reflecting a change in the number of outstanding shares, such as a stock dividend or stock split) will be considered the adoption of a new plan that would require stockholder approval, to the extent required by Section 423 of the Code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2023 PROXY STATEMENT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Terms and Conditions of Options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Each offering shall be subject to the following terms and conditions, and to such further terms and conditions as may be established by the Committee as described in the paragraph above entitled “Administration of Plan.” To the extent required by Section 423 of the Code and the regulations thereunder, all Employees granted options in an offering shall have equal rights and privileges.</w:t>
      </w:r>
    </w:p>
    <w:p>
      <w:pPr>
        <w:spacing w:after="0" w:line="171" w:lineRule="exact"/>
        <w:rPr>
          <w:sz w:val="20"/>
          <w:szCs w:val="20"/>
          <w:color w:val="auto"/>
        </w:rPr>
      </w:pPr>
    </w:p>
    <w:p>
      <w:pPr>
        <w:ind w:left="980" w:right="80" w:hanging="486"/>
        <w:spacing w:after="0" w:line="260" w:lineRule="auto"/>
        <w:tabs>
          <w:tab w:leader="none" w:pos="9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option price per share for each offering shall be determined by the Committee on or prior to the date of grant of the option which shall in no instance be less than (a) 85% of the fair market value of TI common stock on the date the option is granted, or</w:t>
      </w:r>
    </w:p>
    <w:p>
      <w:pPr>
        <w:spacing w:after="0" w:line="1" w:lineRule="exact"/>
        <w:rPr>
          <w:rFonts w:ascii="Arial" w:cs="Arial" w:eastAsia="Arial" w:hAnsi="Arial"/>
          <w:sz w:val="18"/>
          <w:szCs w:val="18"/>
          <w:color w:val="auto"/>
        </w:rPr>
      </w:pPr>
    </w:p>
    <w:p>
      <w:pPr>
        <w:ind w:left="980" w:right="320"/>
        <w:spacing w:after="0" w:line="258" w:lineRule="auto"/>
        <w:tabs>
          <w:tab w:leader="none" w:pos="125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85% of the fair market value of TI common stock on the date the option is exercised, whichever is lower. The fair market value on the date on which an option is granted or exercised shall be determined by such methods or procedures as shall be established by the Committee prior to or on the date of grant of the option.</w:t>
      </w:r>
    </w:p>
    <w:p>
      <w:pPr>
        <w:spacing w:after="0" w:line="70" w:lineRule="exact"/>
        <w:rPr>
          <w:rFonts w:ascii="Arial" w:cs="Arial" w:eastAsia="Arial" w:hAnsi="Arial"/>
          <w:sz w:val="18"/>
          <w:szCs w:val="18"/>
          <w:color w:val="auto"/>
        </w:rPr>
      </w:pPr>
    </w:p>
    <w:p>
      <w:pPr>
        <w:ind w:left="980" w:right="120" w:hanging="486"/>
        <w:spacing w:after="0" w:line="28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expiration date of the options granted in each offering shall be determined by the Committee prior to or on the date of grant of the options but in any event shall not be more than 27 months after the date of grant of the options.</w:t>
      </w:r>
    </w:p>
    <w:p>
      <w:pPr>
        <w:spacing w:after="0" w:line="44" w:lineRule="exact"/>
        <w:rPr>
          <w:rFonts w:ascii="Arial" w:cs="Arial" w:eastAsia="Arial" w:hAnsi="Arial"/>
          <w:sz w:val="18"/>
          <w:szCs w:val="18"/>
          <w:color w:val="auto"/>
        </w:rPr>
      </w:pPr>
    </w:p>
    <w:p>
      <w:pPr>
        <w:ind w:left="980" w:hanging="486"/>
        <w:spacing w:after="0" w:line="255" w:lineRule="auto"/>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option shall entitle the Employee to purchase up to that number of shares which could be purchased at the option price as the Committee shall determine for each offering (but not to exceed the amount specified in Section 423(b) of the Code). Alternatively, or in combination with setting a maximum number of shares, the Committee may choose to determine a maximum dollar amount that could be used to purchase shares for each offering (but not to exceed the amount specified in Section 423(b) of the Code). Each Employee may elect to participate for less than the maximum number of shares or dollar amount specified by the Committee. The Committee shall determine prior to or on the date of grant of the options the consequences of an Employee’s election to participate for less than the maximum and whether the Employee shall be entitled to purchase fractional shares.</w:t>
      </w:r>
    </w:p>
    <w:p>
      <w:pPr>
        <w:spacing w:after="0" w:line="76" w:lineRule="exact"/>
        <w:rPr>
          <w:rFonts w:ascii="Arial" w:cs="Arial" w:eastAsia="Arial" w:hAnsi="Arial"/>
          <w:sz w:val="18"/>
          <w:szCs w:val="18"/>
          <w:color w:val="auto"/>
        </w:rPr>
      </w:pPr>
    </w:p>
    <w:p>
      <w:pPr>
        <w:ind w:left="960" w:hanging="466"/>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 of each offering shall consist of the following three periods:</w:t>
      </w:r>
    </w:p>
    <w:p>
      <w:pPr>
        <w:spacing w:after="0" w:line="117" w:lineRule="exact"/>
        <w:rPr>
          <w:rFonts w:ascii="Arial" w:cs="Arial" w:eastAsia="Arial" w:hAnsi="Arial"/>
          <w:sz w:val="18"/>
          <w:szCs w:val="18"/>
          <w:color w:val="auto"/>
        </w:rPr>
      </w:pPr>
    </w:p>
    <w:p>
      <w:pPr>
        <w:ind w:left="1460" w:hanging="480"/>
        <w:spacing w:after="0" w:line="287" w:lineRule="auto"/>
        <w:tabs>
          <w:tab w:leader="none" w:pos="12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 Enrollment Period during which each eligible Employee shall determine whether or not and to what extent to participate by authorizing payroll deductions;</w:t>
      </w:r>
    </w:p>
    <w:p>
      <w:pPr>
        <w:spacing w:after="0" w:line="44" w:lineRule="exact"/>
        <w:rPr>
          <w:rFonts w:ascii="Arial" w:cs="Arial" w:eastAsia="Arial" w:hAnsi="Arial"/>
          <w:sz w:val="18"/>
          <w:szCs w:val="18"/>
          <w:color w:val="auto"/>
        </w:rPr>
      </w:pPr>
    </w:p>
    <w:p>
      <w:pPr>
        <w:ind w:left="1460" w:right="140" w:hanging="480"/>
        <w:spacing w:after="0" w:line="287" w:lineRule="auto"/>
        <w:tabs>
          <w:tab w:leader="none" w:pos="12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Payroll Deduction Period during which (subject to paragraph (15) below) payroll deductions shall be made and credited to each Employee’s payroll deduction account; and</w:t>
      </w:r>
    </w:p>
    <w:p>
      <w:pPr>
        <w:spacing w:after="0" w:line="44" w:lineRule="exact"/>
        <w:rPr>
          <w:rFonts w:ascii="Arial" w:cs="Arial" w:eastAsia="Arial" w:hAnsi="Arial"/>
          <w:sz w:val="18"/>
          <w:szCs w:val="18"/>
          <w:color w:val="auto"/>
        </w:rPr>
      </w:pPr>
    </w:p>
    <w:p>
      <w:pPr>
        <w:ind w:left="1240" w:hanging="260"/>
        <w:spacing w:after="0"/>
        <w:tabs>
          <w:tab w:leader="none" w:pos="1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 Exercise Day on which options of participating Employees will be automatically exercised in full.</w:t>
      </w:r>
    </w:p>
    <w:p>
      <w:pPr>
        <w:spacing w:after="0" w:line="117" w:lineRule="exact"/>
        <w:rPr>
          <w:sz w:val="20"/>
          <w:szCs w:val="20"/>
          <w:color w:val="auto"/>
        </w:rPr>
      </w:pPr>
    </w:p>
    <w:p>
      <w:pPr>
        <w:ind w:left="980" w:right="340"/>
        <w:spacing w:after="0" w:line="287" w:lineRule="auto"/>
        <w:rPr>
          <w:sz w:val="20"/>
          <w:szCs w:val="20"/>
          <w:color w:val="auto"/>
        </w:rPr>
      </w:pPr>
      <w:r>
        <w:rPr>
          <w:rFonts w:ascii="Arial" w:cs="Arial" w:eastAsia="Arial" w:hAnsi="Arial"/>
          <w:sz w:val="18"/>
          <w:szCs w:val="18"/>
          <w:color w:val="auto"/>
        </w:rPr>
        <w:t>The beginning and ending dates of each Enrollment Period and Payroll Deduction Period and the date of each Exercise Day shall be determined by the Committee.</w:t>
      </w:r>
    </w:p>
    <w:p>
      <w:pPr>
        <w:spacing w:after="0" w:line="45" w:lineRule="exact"/>
        <w:rPr>
          <w:sz w:val="20"/>
          <w:szCs w:val="20"/>
          <w:color w:val="auto"/>
        </w:rPr>
      </w:pPr>
    </w:p>
    <w:p>
      <w:pPr>
        <w:ind w:left="980" w:right="140" w:hanging="486"/>
        <w:spacing w:after="0" w:line="256" w:lineRule="auto"/>
        <w:tabs>
          <w:tab w:leader="none" w:pos="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eligible Employee who desires to participate in an offering shall elect to do so by completing and delivering by the end of the Enrollment Period to a person or firm designated by the Treasurer of TI a payroll deduction authorization in the form (including without limitation, telephonic and electronic transmission, utilization of voice response systems and computer entry) prescribed by the Committee authorizing payroll deductions during the Payroll Deduction Period. Where local law prohibits payroll deductions, paragraph (15) shall apply. Unless otherwise determined by the Committee, such election and payroll deduction authorization shall constitute an election and payroll deduction authorization to participate in the current offering, and the Employee may elect to be automatically re-enrolled in subsequent offerings under the Plan.</w:t>
      </w:r>
    </w:p>
    <w:p>
      <w:pPr>
        <w:spacing w:after="0" w:line="74" w:lineRule="exact"/>
        <w:rPr>
          <w:rFonts w:ascii="Arial" w:cs="Arial" w:eastAsia="Arial" w:hAnsi="Arial"/>
          <w:sz w:val="18"/>
          <w:szCs w:val="18"/>
          <w:color w:val="auto"/>
        </w:rPr>
      </w:pPr>
    </w:p>
    <w:p>
      <w:pPr>
        <w:ind w:left="980" w:right="420" w:hanging="486"/>
        <w:spacing w:after="0" w:line="28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TI shall maintain or arrange for the maintenance of payroll deduction accounts for all participating Employees (or alternative payment method pursuant to paragraph (15)).</w:t>
      </w:r>
    </w:p>
    <w:p>
      <w:pPr>
        <w:spacing w:after="0" w:line="44" w:lineRule="exact"/>
        <w:rPr>
          <w:rFonts w:ascii="Arial" w:cs="Arial" w:eastAsia="Arial" w:hAnsi="Arial"/>
          <w:sz w:val="18"/>
          <w:szCs w:val="18"/>
          <w:color w:val="auto"/>
        </w:rPr>
      </w:pPr>
    </w:p>
    <w:p>
      <w:pPr>
        <w:ind w:left="980" w:right="500" w:hanging="486"/>
        <w:spacing w:after="0" w:line="287" w:lineRule="auto"/>
        <w:tabs>
          <w:tab w:leader="none" w:pos="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the Exercise Day, the options of each participating Employee to which such Exercise Day relates shall be automatically exercised in full without the need for the participating Employee to take any action.</w:t>
      </w:r>
    </w:p>
    <w:p>
      <w:pPr>
        <w:spacing w:after="0" w:line="44" w:lineRule="exact"/>
        <w:rPr>
          <w:rFonts w:ascii="Arial" w:cs="Arial" w:eastAsia="Arial" w:hAnsi="Arial"/>
          <w:sz w:val="18"/>
          <w:szCs w:val="18"/>
          <w:color w:val="auto"/>
        </w:rPr>
      </w:pPr>
    </w:p>
    <w:p>
      <w:pPr>
        <w:ind w:left="980" w:right="60" w:hanging="486"/>
        <w:spacing w:after="0" w:line="268" w:lineRule="auto"/>
        <w:tabs>
          <w:tab w:leader="none" w:pos="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exercise of an option, the shares shall be paid for in full by transfer of the purchase price from the Employee’s payroll deduction account, if any, to the account of TI, and any balance in the Employee’s payroll deduction account shall be paid to the Employee in cash.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2023 PROXY STATEMENT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6" w:name="page77"/>
    <w:bookmarkEnd w:id="76"/>
    <w:p>
      <w:pPr>
        <w:ind w:left="980" w:right="140" w:hanging="486"/>
        <w:spacing w:after="0" w:line="268"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Committee may allow participating Employees to cancel or reduce, or both, their payroll deduction authorizations. The Committee shall determine the consequences of such cancellations or reductions on the participating Employees’ enrollment in subsequent offerings.</w:t>
      </w:r>
    </w:p>
    <w:p>
      <w:pPr>
        <w:spacing w:after="0" w:line="62" w:lineRule="exact"/>
        <w:rPr>
          <w:rFonts w:ascii="Arial" w:cs="Arial" w:eastAsia="Arial" w:hAnsi="Arial"/>
          <w:sz w:val="18"/>
          <w:szCs w:val="18"/>
          <w:color w:val="auto"/>
        </w:rPr>
      </w:pPr>
    </w:p>
    <w:p>
      <w:pPr>
        <w:ind w:left="980" w:right="20" w:hanging="486"/>
        <w:spacing w:after="0" w:line="287" w:lineRule="auto"/>
        <w:tabs>
          <w:tab w:leader="none" w:pos="106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Committee shall determine on or prior to the date of grant of options the consequences of the termination of employment of a participating Employee for any reason, including death, during the term of an offering.</w:t>
      </w:r>
    </w:p>
    <w:p>
      <w:pPr>
        <w:spacing w:after="0" w:line="44" w:lineRule="exact"/>
        <w:rPr>
          <w:rFonts w:ascii="Arial" w:cs="Arial" w:eastAsia="Arial" w:hAnsi="Arial"/>
          <w:sz w:val="18"/>
          <w:szCs w:val="18"/>
          <w:color w:val="auto"/>
        </w:rPr>
      </w:pPr>
    </w:p>
    <w:p>
      <w:pPr>
        <w:ind w:left="980" w:right="140" w:hanging="486"/>
        <w:spacing w:after="0" w:line="268" w:lineRule="auto"/>
        <w:tabs>
          <w:tab w:leader="none" w:pos="104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Employee will have none of the rights and privileges of a stockholder of TI with respect to the shares of common stock subject to an option under the Plan until such shares of common stock have been transferred or issued to the Employee or to a designated broker for the Employee’s account on the books of TI.</w:t>
      </w:r>
    </w:p>
    <w:p>
      <w:pPr>
        <w:spacing w:after="0" w:line="62" w:lineRule="exact"/>
        <w:rPr>
          <w:rFonts w:ascii="Arial" w:cs="Arial" w:eastAsia="Arial" w:hAnsi="Arial"/>
          <w:sz w:val="18"/>
          <w:szCs w:val="18"/>
          <w:color w:val="auto"/>
        </w:rPr>
      </w:pPr>
    </w:p>
    <w:p>
      <w:pPr>
        <w:ind w:left="980" w:right="220" w:hanging="486"/>
        <w:spacing w:after="0" w:line="287" w:lineRule="auto"/>
        <w:tabs>
          <w:tab w:leader="none" w:pos="105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option granted under the Plan may not be transferred except by will or the laws of descent and distribution and, during the lifetime of the Employee to whom granted, may be exercised only by the Employee.</w:t>
      </w:r>
    </w:p>
    <w:p>
      <w:pPr>
        <w:spacing w:after="0" w:line="44" w:lineRule="exact"/>
        <w:rPr>
          <w:rFonts w:ascii="Arial" w:cs="Arial" w:eastAsia="Arial" w:hAnsi="Arial"/>
          <w:sz w:val="18"/>
          <w:szCs w:val="18"/>
          <w:color w:val="auto"/>
        </w:rPr>
      </w:pPr>
    </w:p>
    <w:p>
      <w:pPr>
        <w:ind w:left="980" w:right="400" w:hanging="486"/>
        <w:spacing w:after="0" w:line="287" w:lineRule="auto"/>
        <w:tabs>
          <w:tab w:leader="none" w:pos="10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option granted shall be evidenced by an instrument in such written or electronic form as the Committee shall approve which shall be dated the date of grant and shall comply with and be subject to the terms and conditions of the Plan.</w:t>
      </w:r>
    </w:p>
    <w:p>
      <w:pPr>
        <w:spacing w:after="0" w:line="44" w:lineRule="exact"/>
        <w:rPr>
          <w:rFonts w:ascii="Arial" w:cs="Arial" w:eastAsia="Arial" w:hAnsi="Arial"/>
          <w:sz w:val="18"/>
          <w:szCs w:val="18"/>
          <w:color w:val="auto"/>
        </w:rPr>
      </w:pPr>
    </w:p>
    <w:p>
      <w:pPr>
        <w:ind w:left="980" w:right="20" w:hanging="486"/>
        <w:spacing w:after="0" w:line="255" w:lineRule="auto"/>
        <w:tabs>
          <w:tab w:leader="none" w:pos="10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Employee shall be granted an option hereunder if such Employee, immediately after the option is granted, owns stock possessing five percent (5%) or more of the total combined voting power or value of all classes of stock of TI or a related corporation as defined in Treas. Reg. Section 1.421-1(i) (“Related Corporation”), computed in accordance with Section 423(b)(3) of the Code. No Employee shall be granted an option that permits the Employee’s rights to purchase common stock under all employee stock purchase plans of TI or a Related Corporation to accrue at a rate which exceeds $25,000 (or such other maximum as may be prescribed from time to time by the Code) of fair market value of such common stock (determined at the date of grant) for each calendar year in which such option is outstanding at any time in accordance with the provisions of Section 423(b)(8) of the Code.</w:t>
      </w:r>
    </w:p>
    <w:p>
      <w:pPr>
        <w:spacing w:after="0" w:line="76" w:lineRule="exact"/>
        <w:rPr>
          <w:rFonts w:ascii="Arial" w:cs="Arial" w:eastAsia="Arial" w:hAnsi="Arial"/>
          <w:sz w:val="18"/>
          <w:szCs w:val="18"/>
          <w:color w:val="auto"/>
        </w:rPr>
      </w:pPr>
    </w:p>
    <w:p>
      <w:pPr>
        <w:ind w:left="980" w:hanging="486"/>
        <w:spacing w:after="0" w:line="259" w:lineRule="auto"/>
        <w:tabs>
          <w:tab w:leader="none" w:pos="10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local law prohibits payroll deductions for some or all Employees who are eligible for an offering, all Employees who are eligible for the offering in that location may authorize their employer to place the funds that otherwise would be subject to payroll deductions into bank accounts or in accounts with a trustee or other custodian in the names of the Employees or in the name of the employer or pay the funds by such other method authorized by the Committee. In such event, all of the provisions of the Plan applicable to payroll deductions shall apply to such accounts.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amounts held by TI in payroll deduction accounts under the Plan may be used for any corporate purpose of 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and Stock Exchange Regulations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obligation of TI to sell and deliver common stock under the Plan is subject to applicable laws and to the approval of any governmental authority required in connection with the authorization, issuance, sale or delivery of such common stock. The Company may, without liability to participating Employees, defer or cancel delivery of shares or take other action it deems appropriate in cases where applicable laws, regulations or stock exchange rules impose constraints on the normal Plan operations or delivery of shares. Such actions shall be taken in a manner which provides equal rights and privileges to all Employees granted options in an offering.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Plan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offering shall be made hereunder after April 27, 2033. Further, no offering hereunder shall be made after any day upon which participating Employees elect to participate for a number of shares equal to or greater than the number of shares remaining available for purchase. If the number of shares for which Employees elect to participate shall be greater than the shares remaining available, the available shares shall at the end of the Enrollment Period be allocated among such participating Employees pro rata on the basis of the number of shares for which each has elected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2023 PROXY STATEMENT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688975</wp:posOffset>
            </wp:positionV>
            <wp:extent cx="1671320" cy="5829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0" w:right="720"/>
        <w:spacing w:after="0" w:line="260" w:lineRule="auto"/>
        <w:rPr>
          <w:sz w:val="20"/>
          <w:szCs w:val="20"/>
          <w:color w:val="auto"/>
        </w:rPr>
      </w:pPr>
      <w:r>
        <w:rPr>
          <w:rFonts w:ascii="Arial" w:cs="Arial" w:eastAsia="Arial" w:hAnsi="Arial"/>
          <w:sz w:val="14"/>
          <w:szCs w:val="14"/>
          <w:i w:val="1"/>
          <w:iCs w:val="1"/>
          <w:color w:val="auto"/>
        </w:rPr>
        <w:t>TEXAS INSTRUMENTS INCORPORATED ATTN: ASSISTANT SECRETARY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P.O. BOX 655474</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MS 3999</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For registered shares, your proxy must be received by 11:59 p.m. (ET) on </w:t>
      </w:r>
      <w:r>
        <w:rPr>
          <w:rFonts w:ascii="Arial" w:cs="Arial" w:eastAsia="Arial" w:hAnsi="Arial"/>
          <w:sz w:val="14"/>
          <w:szCs w:val="14"/>
          <w:b w:val="1"/>
          <w:bCs w:val="1"/>
          <w:i w:val="1"/>
          <w:iCs w:val="1"/>
          <w:color w:val="auto"/>
        </w:rPr>
        <w:t>April 26, 2023</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1851660" cy="4711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51660" cy="4711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For shares allocable to a benefit plan account, your proxy must be received by 11:59 p.m. (ET) 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April 24, 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r>
        <w:rPr>
          <w:rFonts w:ascii="Arial" w:cs="Arial" w:eastAsia="Arial" w:hAnsi="Arial"/>
          <w:sz w:val="14"/>
          <w:szCs w:val="14"/>
          <w:color w:val="auto"/>
        </w:rPr>
        <w:t>–</w:t>
      </w:r>
      <w:r>
        <w:rPr>
          <w:rFonts w:ascii="Arial" w:cs="Arial" w:eastAsia="Arial" w:hAnsi="Arial"/>
          <w:sz w:val="14"/>
          <w:szCs w:val="14"/>
          <w:b w:val="1"/>
          <w:bCs w:val="1"/>
          <w:color w:val="auto"/>
        </w:rPr>
        <w:t xml:space="preserve"> Go to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or scan the QR Barcode above</w:t>
      </w:r>
    </w:p>
    <w:p>
      <w:pPr>
        <w:spacing w:after="0" w:line="29" w:lineRule="exact"/>
        <w:rPr>
          <w:sz w:val="20"/>
          <w:szCs w:val="20"/>
          <w:color w:val="auto"/>
        </w:rPr>
      </w:pPr>
    </w:p>
    <w:p>
      <w:pPr>
        <w:jc w:val="both"/>
        <w:ind w:right="40"/>
        <w:spacing w:after="0" w:line="262"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5"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9"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ADVANCE REGISTRATION</w:t>
      </w:r>
    </w:p>
    <w:p>
      <w:pPr>
        <w:spacing w:after="0" w:line="29"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You must register and print your advance registration form at the stockholder meeting registration site: www.proxyvote.com. If you are unable to print your advance registration form, please call Stockholder Meeting Registration Phone Support (Toll Free) 1-844-318-0137 or (International Toll) 1-925-331-6070 for assistance.</w:t>
      </w:r>
    </w:p>
    <w:p>
      <w:pPr>
        <w:spacing w:after="0" w:line="200" w:lineRule="exact"/>
        <w:rPr>
          <w:sz w:val="20"/>
          <w:szCs w:val="20"/>
          <w:color w:val="auto"/>
        </w:rPr>
      </w:pPr>
    </w:p>
    <w:p>
      <w:pPr>
        <w:sectPr>
          <w:pgSz w:w="11900" w:h="16838" w:orient="portrait"/>
          <w:cols w:equalWidth="0" w:num="2">
            <w:col w:w="3540" w:space="720"/>
            <w:col w:w="6940"/>
          </w:cols>
          <w:pgMar w:left="320" w:top="1440" w:right="379" w:bottom="1440" w:gutter="0" w:footer="0" w:header="0"/>
        </w:sectPr>
      </w:pPr>
    </w:p>
    <w:p>
      <w:pPr>
        <w:spacing w:after="0" w:line="49" w:lineRule="exact"/>
        <w:rPr>
          <w:sz w:val="20"/>
          <w:szCs w:val="20"/>
          <w:color w:val="auto"/>
        </w:rPr>
      </w:pPr>
    </w:p>
    <w:p>
      <w:pPr>
        <w:spacing w:after="0"/>
        <w:tabs>
          <w:tab w:leader="none" w:pos="5140" w:val="left"/>
        </w:tabs>
        <w:rPr>
          <w:sz w:val="20"/>
          <w:szCs w:val="20"/>
          <w:color w:val="auto"/>
        </w:rPr>
      </w:pPr>
      <w:r>
        <w:rPr>
          <w:rFonts w:ascii="Arial" w:cs="Arial" w:eastAsia="Arial" w:hAnsi="Arial"/>
          <w:sz w:val="14"/>
          <w:szCs w:val="14"/>
          <w:color w:val="auto"/>
        </w:rPr>
        <w:t>TO VOTE, MARK BLOCKS BELOW IN BLUE OR BLACK INK AS FOLLOWS:</w:t>
        <w:tab/>
        <w:t>KEEP THIS PORTION FOR YOUR RECORDS</w:t>
      </w:r>
    </w:p>
    <w:p>
      <w:pPr>
        <w:spacing w:after="0" w:line="204" w:lineRule="exact"/>
        <w:rPr>
          <w:sz w:val="20"/>
          <w:szCs w:val="20"/>
          <w:color w:val="auto"/>
        </w:rPr>
      </w:pPr>
    </w:p>
    <w:p>
      <w:pPr>
        <w:ind w:right="3600"/>
        <w:spacing w:after="0" w:line="342" w:lineRule="auto"/>
        <w:rPr>
          <w:sz w:val="20"/>
          <w:szCs w:val="20"/>
          <w:color w:val="auto"/>
        </w:rPr>
      </w:pPr>
      <w:r>
        <w:rPr>
          <w:rFonts w:ascii="Arial" w:cs="Arial" w:eastAsia="Arial" w:hAnsi="Arial"/>
          <w:sz w:val="14"/>
          <w:szCs w:val="14"/>
          <w:b w:val="1"/>
          <w:bCs w:val="1"/>
          <w:color w:val="auto"/>
        </w:rPr>
        <w:t xml:space="preserve">THIS PROXY CARD IS VALID ONLY WHEN SIGNED AND DATED. </w:t>
      </w:r>
      <w:r>
        <w:rPr>
          <w:rFonts w:ascii="Arial" w:cs="Arial" w:eastAsia="Arial" w:hAnsi="Arial"/>
          <w:sz w:val="14"/>
          <w:szCs w:val="14"/>
          <w:color w:val="auto"/>
        </w:rPr>
        <w:t>DETACH AND RETURN THIS PORTION ONLY</w:t>
      </w:r>
      <w:r>
        <w:rPr>
          <w:rFonts w:ascii="Arial" w:cs="Arial" w:eastAsia="Arial" w:hAnsi="Arial"/>
          <w:sz w:val="14"/>
          <w:szCs w:val="14"/>
          <w:b w:val="1"/>
          <w:bCs w:val="1"/>
          <w:color w:val="auto"/>
        </w:rPr>
        <w:t xml:space="preserve"> TEXAS INSTRUMENTS INCORPORATED</w:t>
      </w:r>
    </w:p>
    <w:p>
      <w:pPr>
        <w:sectPr>
          <w:pgSz w:w="11900" w:h="16838" w:orient="portrait"/>
          <w:cols w:equalWidth="0" w:num="1">
            <w:col w:w="11200"/>
          </w:cols>
          <w:pgMar w:left="320" w:top="1440" w:right="379" w:bottom="1440" w:gutter="0" w:footer="0" w:header="0"/>
          <w:type w:val="continuous"/>
        </w:sectPr>
      </w:pPr>
    </w:p>
    <w:p>
      <w:pPr>
        <w:ind w:left="20" w:right="480"/>
        <w:spacing w:after="0" w:line="301" w:lineRule="auto"/>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nominees for director.</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80" w:type="dxa"/>
            <w:vAlign w:val="bottom"/>
            <w:gridSpan w:val="3"/>
          </w:tcPr>
          <w:p>
            <w:pPr>
              <w:spacing w:after="0"/>
              <w:rPr>
                <w:sz w:val="20"/>
                <w:szCs w:val="20"/>
                <w:color w:val="auto"/>
              </w:rPr>
            </w:pPr>
            <w:r>
              <w:rPr>
                <w:rFonts w:ascii="Arial" w:cs="Arial" w:eastAsia="Arial" w:hAnsi="Arial"/>
                <w:sz w:val="14"/>
                <w:szCs w:val="14"/>
                <w:color w:val="auto"/>
              </w:rPr>
              <w:t>1. Election of Directors</w:t>
            </w: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5"/>
        </w:trPr>
        <w:tc>
          <w:tcPr>
            <w:tcW w:w="2280" w:type="dxa"/>
            <w:vAlign w:val="bottom"/>
            <w:gridSpan w:val="3"/>
          </w:tcPr>
          <w:p>
            <w:pPr>
              <w:ind w:left="160"/>
              <w:spacing w:after="0"/>
              <w:rPr>
                <w:sz w:val="20"/>
                <w:szCs w:val="20"/>
                <w:color w:val="auto"/>
              </w:rPr>
            </w:pPr>
            <w:r>
              <w:rPr>
                <w:rFonts w:ascii="Arial" w:cs="Arial" w:eastAsia="Arial" w:hAnsi="Arial"/>
                <w:sz w:val="14"/>
                <w:szCs w:val="14"/>
                <w:b w:val="1"/>
                <w:bCs w:val="1"/>
                <w:color w:val="auto"/>
              </w:rPr>
              <w:t>Nominees:</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Against</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rPr>
              <w:t>Abstain</w:t>
            </w:r>
          </w:p>
        </w:tc>
      </w:tr>
      <w:tr>
        <w:trPr>
          <w:trHeight w:val="235"/>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1a.</w:t>
            </w:r>
          </w:p>
        </w:tc>
        <w:tc>
          <w:tcPr>
            <w:tcW w:w="1900" w:type="dxa"/>
            <w:vAlign w:val="bottom"/>
          </w:tcPr>
          <w:p>
            <w:pPr>
              <w:ind w:left="20"/>
              <w:spacing w:after="0"/>
              <w:rPr>
                <w:sz w:val="20"/>
                <w:szCs w:val="20"/>
                <w:color w:val="auto"/>
              </w:rPr>
            </w:pPr>
            <w:r>
              <w:rPr>
                <w:rFonts w:ascii="Arial" w:cs="Arial" w:eastAsia="Arial" w:hAnsi="Arial"/>
                <w:sz w:val="14"/>
                <w:szCs w:val="14"/>
                <w:color w:val="auto"/>
              </w:rPr>
              <w:t>Mark A. Blinn</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1b.</w:t>
            </w:r>
          </w:p>
        </w:tc>
        <w:tc>
          <w:tcPr>
            <w:tcW w:w="1900" w:type="dxa"/>
            <w:vAlign w:val="bottom"/>
          </w:tcPr>
          <w:p>
            <w:pPr>
              <w:ind w:left="20"/>
              <w:spacing w:after="0"/>
              <w:rPr>
                <w:sz w:val="20"/>
                <w:szCs w:val="20"/>
                <w:color w:val="auto"/>
              </w:rPr>
            </w:pPr>
            <w:r>
              <w:rPr>
                <w:rFonts w:ascii="Arial" w:cs="Arial" w:eastAsia="Arial" w:hAnsi="Arial"/>
                <w:sz w:val="14"/>
                <w:szCs w:val="14"/>
                <w:color w:val="auto"/>
              </w:rPr>
              <w:t>Todd M. Bluedorn</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80" w:type="dxa"/>
            <w:vAlign w:val="bottom"/>
            <w:gridSpan w:val="3"/>
          </w:tcPr>
          <w:p>
            <w:pPr>
              <w:ind w:left="160"/>
              <w:spacing w:after="0"/>
              <w:rPr>
                <w:sz w:val="20"/>
                <w:szCs w:val="20"/>
                <w:color w:val="auto"/>
              </w:rPr>
            </w:pPr>
            <w:r>
              <w:rPr>
                <w:rFonts w:ascii="Arial" w:cs="Arial" w:eastAsia="Arial" w:hAnsi="Arial"/>
                <w:sz w:val="14"/>
                <w:szCs w:val="14"/>
                <w:color w:val="auto"/>
              </w:rPr>
              <w:t>1c. Janet F. Clark</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1d.</w:t>
            </w:r>
          </w:p>
        </w:tc>
        <w:tc>
          <w:tcPr>
            <w:tcW w:w="1900" w:type="dxa"/>
            <w:vAlign w:val="bottom"/>
          </w:tcPr>
          <w:p>
            <w:pPr>
              <w:ind w:left="20"/>
              <w:spacing w:after="0"/>
              <w:rPr>
                <w:sz w:val="20"/>
                <w:szCs w:val="20"/>
                <w:color w:val="auto"/>
              </w:rPr>
            </w:pPr>
            <w:r>
              <w:rPr>
                <w:rFonts w:ascii="Arial" w:cs="Arial" w:eastAsia="Arial" w:hAnsi="Arial"/>
                <w:sz w:val="14"/>
                <w:szCs w:val="14"/>
                <w:color w:val="auto"/>
              </w:rPr>
              <w:t>Carrie S. Cox</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1e.</w:t>
            </w:r>
          </w:p>
        </w:tc>
        <w:tc>
          <w:tcPr>
            <w:tcW w:w="1900" w:type="dxa"/>
            <w:vAlign w:val="bottom"/>
          </w:tcPr>
          <w:p>
            <w:pPr>
              <w:ind w:left="20"/>
              <w:spacing w:after="0"/>
              <w:rPr>
                <w:sz w:val="20"/>
                <w:szCs w:val="20"/>
                <w:color w:val="auto"/>
              </w:rPr>
            </w:pPr>
            <w:r>
              <w:rPr>
                <w:rFonts w:ascii="Arial" w:cs="Arial" w:eastAsia="Arial" w:hAnsi="Arial"/>
                <w:sz w:val="14"/>
                <w:szCs w:val="14"/>
                <w:color w:val="auto"/>
              </w:rPr>
              <w:t>Martin S. Craighead</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80" w:type="dxa"/>
            <w:vAlign w:val="bottom"/>
            <w:gridSpan w:val="3"/>
          </w:tcPr>
          <w:p>
            <w:pPr>
              <w:ind w:left="160"/>
              <w:spacing w:after="0"/>
              <w:rPr>
                <w:sz w:val="20"/>
                <w:szCs w:val="20"/>
                <w:color w:val="auto"/>
              </w:rPr>
            </w:pPr>
            <w:r>
              <w:rPr>
                <w:rFonts w:ascii="Arial" w:cs="Arial" w:eastAsia="Arial" w:hAnsi="Arial"/>
                <w:sz w:val="14"/>
                <w:szCs w:val="14"/>
                <w:color w:val="auto"/>
              </w:rPr>
              <w:t>1f. Curtis C. Farmer</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1g.</w:t>
            </w:r>
          </w:p>
        </w:tc>
        <w:tc>
          <w:tcPr>
            <w:tcW w:w="1900" w:type="dxa"/>
            <w:vAlign w:val="bottom"/>
          </w:tcPr>
          <w:p>
            <w:pPr>
              <w:ind w:left="20"/>
              <w:spacing w:after="0"/>
              <w:rPr>
                <w:sz w:val="20"/>
                <w:szCs w:val="20"/>
                <w:color w:val="auto"/>
              </w:rPr>
            </w:pPr>
            <w:r>
              <w:rPr>
                <w:rFonts w:ascii="Arial" w:cs="Arial" w:eastAsia="Arial" w:hAnsi="Arial"/>
                <w:sz w:val="14"/>
                <w:szCs w:val="14"/>
                <w:color w:val="auto"/>
              </w:rPr>
              <w:t>Jean M. Hobby</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380" w:type="dxa"/>
            <w:vAlign w:val="bottom"/>
            <w:gridSpan w:val="2"/>
          </w:tcPr>
          <w:p>
            <w:pPr>
              <w:ind w:left="160"/>
              <w:spacing w:after="0"/>
              <w:rPr>
                <w:sz w:val="20"/>
                <w:szCs w:val="20"/>
                <w:color w:val="auto"/>
              </w:rPr>
            </w:pPr>
            <w:r>
              <w:rPr>
                <w:rFonts w:ascii="Arial" w:cs="Arial" w:eastAsia="Arial" w:hAnsi="Arial"/>
                <w:sz w:val="14"/>
                <w:szCs w:val="14"/>
                <w:color w:val="auto"/>
              </w:rPr>
              <w:t>1h.</w:t>
            </w:r>
          </w:p>
        </w:tc>
        <w:tc>
          <w:tcPr>
            <w:tcW w:w="1900" w:type="dxa"/>
            <w:vAlign w:val="bottom"/>
          </w:tcPr>
          <w:p>
            <w:pPr>
              <w:ind w:left="20"/>
              <w:spacing w:after="0"/>
              <w:rPr>
                <w:sz w:val="20"/>
                <w:szCs w:val="20"/>
                <w:color w:val="auto"/>
              </w:rPr>
            </w:pPr>
            <w:r>
              <w:rPr>
                <w:rFonts w:ascii="Arial" w:cs="Arial" w:eastAsia="Arial" w:hAnsi="Arial"/>
                <w:sz w:val="14"/>
                <w:szCs w:val="14"/>
                <w:color w:val="auto"/>
              </w:rPr>
              <w:t>Haviv Ilan</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40" w:type="dxa"/>
            <w:vAlign w:val="bottom"/>
          </w:tcPr>
          <w:p>
            <w:pPr>
              <w:ind w:left="160"/>
              <w:spacing w:after="0"/>
              <w:rPr>
                <w:sz w:val="20"/>
                <w:szCs w:val="20"/>
                <w:color w:val="auto"/>
              </w:rPr>
            </w:pPr>
            <w:r>
              <w:rPr>
                <w:rFonts w:ascii="Arial" w:cs="Arial" w:eastAsia="Arial" w:hAnsi="Arial"/>
                <w:sz w:val="14"/>
                <w:szCs w:val="14"/>
                <w:color w:val="auto"/>
              </w:rPr>
              <w:t>1i.</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Ronald Kirk</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40" w:type="dxa"/>
            <w:vAlign w:val="bottom"/>
          </w:tcPr>
          <w:p>
            <w:pPr>
              <w:ind w:left="160"/>
              <w:spacing w:after="0"/>
              <w:rPr>
                <w:sz w:val="20"/>
                <w:szCs w:val="20"/>
                <w:color w:val="auto"/>
              </w:rPr>
            </w:pPr>
            <w:r>
              <w:rPr>
                <w:rFonts w:ascii="Arial" w:cs="Arial" w:eastAsia="Arial" w:hAnsi="Arial"/>
                <w:sz w:val="14"/>
                <w:szCs w:val="14"/>
                <w:color w:val="auto"/>
              </w:rPr>
              <w:t>1j.</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Pamela H. Patsley</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80" w:type="dxa"/>
            <w:vAlign w:val="bottom"/>
            <w:gridSpan w:val="3"/>
          </w:tcPr>
          <w:p>
            <w:pPr>
              <w:ind w:left="160"/>
              <w:spacing w:after="0"/>
              <w:rPr>
                <w:sz w:val="20"/>
                <w:szCs w:val="20"/>
                <w:color w:val="auto"/>
              </w:rPr>
            </w:pPr>
            <w:r>
              <w:rPr>
                <w:rFonts w:ascii="Arial" w:cs="Arial" w:eastAsia="Arial" w:hAnsi="Arial"/>
                <w:sz w:val="14"/>
                <w:szCs w:val="14"/>
                <w:color w:val="auto"/>
              </w:rPr>
              <w:t>1k. Robert E. Sanchez</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340" w:type="dxa"/>
            <w:vAlign w:val="bottom"/>
          </w:tcPr>
          <w:p>
            <w:pPr>
              <w:ind w:left="160"/>
              <w:spacing w:after="0"/>
              <w:rPr>
                <w:sz w:val="20"/>
                <w:szCs w:val="20"/>
                <w:color w:val="auto"/>
              </w:rPr>
            </w:pPr>
            <w:r>
              <w:rPr>
                <w:rFonts w:ascii="Arial" w:cs="Arial" w:eastAsia="Arial" w:hAnsi="Arial"/>
                <w:sz w:val="14"/>
                <w:szCs w:val="14"/>
                <w:color w:val="auto"/>
              </w:rPr>
              <w:t>1l.</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Richard K. Templeton</w:t>
            </w:r>
          </w:p>
        </w:tc>
        <w:tc>
          <w:tcPr>
            <w:tcW w:w="9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on Proposal 2.</w:t>
      </w:r>
    </w:p>
    <w:p>
      <w:pPr>
        <w:spacing w:after="0" w:line="69" w:lineRule="exact"/>
        <w:rPr>
          <w:sz w:val="20"/>
          <w:szCs w:val="20"/>
          <w:color w:val="auto"/>
        </w:rPr>
      </w:pPr>
    </w:p>
    <w:p>
      <w:pPr>
        <w:jc w:val="both"/>
        <w:ind w:left="2840"/>
        <w:spacing w:after="0"/>
        <w:tabs>
          <w:tab w:leader="none" w:pos="3460" w:val="left"/>
          <w:tab w:leader="none" w:pos="42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45" w:lineRule="exact"/>
        <w:rPr>
          <w:sz w:val="20"/>
          <w:szCs w:val="20"/>
          <w:color w:val="auto"/>
        </w:rPr>
      </w:pPr>
    </w:p>
    <w:p>
      <w:pPr>
        <w:ind w:left="20"/>
        <w:spacing w:after="0" w:line="161" w:lineRule="exact"/>
        <w:tabs>
          <w:tab w:leader="none" w:pos="2860" w:val="left"/>
          <w:tab w:leader="none" w:pos="3640" w:val="left"/>
          <w:tab w:leader="none" w:pos="4420" w:val="left"/>
        </w:tabs>
        <w:rPr>
          <w:sz w:val="20"/>
          <w:szCs w:val="20"/>
          <w:color w:val="auto"/>
        </w:rPr>
      </w:pPr>
      <w:r>
        <w:rPr>
          <w:rFonts w:ascii="Arial" w:cs="Arial" w:eastAsia="Arial" w:hAnsi="Arial"/>
          <w:sz w:val="14"/>
          <w:szCs w:val="14"/>
          <w:color w:val="auto"/>
        </w:rPr>
        <w:t>2. Board proposal to approve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amendment and restatement of the TI</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Employees 2014 Stock Purchase Plan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extend the 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1 YEAR</w:t>
      </w:r>
      <w:r>
        <w:rPr>
          <w:rFonts w:ascii="Arial" w:cs="Arial" w:eastAsia="Arial" w:hAnsi="Arial"/>
          <w:sz w:val="14"/>
          <w:szCs w:val="14"/>
          <w:color w:val="auto"/>
        </w:rPr>
        <w:t xml:space="preserve"> on Proposal 3.</w:t>
      </w:r>
    </w:p>
    <w:p>
      <w:pPr>
        <w:spacing w:after="0" w:line="69" w:lineRule="exact"/>
        <w:rPr>
          <w:sz w:val="20"/>
          <w:szCs w:val="20"/>
          <w:color w:val="auto"/>
        </w:rPr>
      </w:pPr>
    </w:p>
    <w:p>
      <w:pPr>
        <w:jc w:val="right"/>
        <w:ind w:right="180"/>
        <w:spacing w:after="0"/>
        <w:tabs>
          <w:tab w:leader="none" w:pos="1900" w:val="left"/>
          <w:tab w:leader="none" w:pos="1200" w:val="left"/>
          <w:tab w:leader="none" w:pos="500" w:val="left"/>
        </w:tabs>
        <w:rPr>
          <w:sz w:val="20"/>
          <w:szCs w:val="20"/>
          <w:color w:val="auto"/>
        </w:rPr>
      </w:pPr>
      <w:r>
        <w:rPr>
          <w:rFonts w:ascii="Arial" w:cs="Arial" w:eastAsia="Arial" w:hAnsi="Arial"/>
          <w:sz w:val="14"/>
          <w:szCs w:val="14"/>
          <w:b w:val="1"/>
          <w:bCs w:val="1"/>
          <w:color w:val="auto"/>
        </w:rPr>
        <w:t>1 Year</w:t>
        <w:tab/>
        <w:t>2 Years</w:t>
        <w:tab/>
        <w:t>3 Years</w:t>
        <w:tab/>
        <w:t>Abstain</w:t>
      </w:r>
    </w:p>
    <w:p>
      <w:pPr>
        <w:spacing w:after="0" w:line="45" w:lineRule="exact"/>
        <w:rPr>
          <w:sz w:val="20"/>
          <w:szCs w:val="20"/>
          <w:color w:val="auto"/>
        </w:rPr>
      </w:pPr>
    </w:p>
    <w:p>
      <w:pPr>
        <w:spacing w:after="0" w:line="161" w:lineRule="exact"/>
        <w:tabs>
          <w:tab w:leader="none" w:pos="2680" w:val="left"/>
          <w:tab w:leader="none" w:pos="3380" w:val="left"/>
          <w:tab w:leader="none" w:pos="4080" w:val="left"/>
          <w:tab w:leader="none" w:pos="4800" w:val="left"/>
        </w:tabs>
        <w:rPr>
          <w:sz w:val="20"/>
          <w:szCs w:val="20"/>
          <w:color w:val="auto"/>
        </w:rPr>
      </w:pPr>
      <w:r>
        <w:rPr>
          <w:rFonts w:ascii="Arial" w:cs="Arial" w:eastAsia="Arial" w:hAnsi="Arial"/>
          <w:sz w:val="14"/>
          <w:szCs w:val="14"/>
          <w:color w:val="auto"/>
        </w:rPr>
        <w:t>3. Board proposal regarding advisory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vote on the frequency of future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advisory votes on executive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compensation.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 4 and 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160" w:type="dxa"/>
            <w:vAlign w:val="bottom"/>
          </w:tcPr>
          <w:p>
            <w:pPr>
              <w:spacing w:after="0"/>
              <w:rPr>
                <w:sz w:val="20"/>
                <w:szCs w:val="20"/>
                <w:color w:val="auto"/>
              </w:rPr>
            </w:pPr>
            <w:r>
              <w:rPr>
                <w:rFonts w:ascii="Arial" w:cs="Arial" w:eastAsia="Arial" w:hAnsi="Arial"/>
                <w:sz w:val="14"/>
                <w:szCs w:val="14"/>
                <w:color w:val="auto"/>
              </w:rPr>
              <w:t>4. Board proposal regarding advisory approval</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3160" w:type="dxa"/>
            <w:vAlign w:val="bottom"/>
          </w:tcPr>
          <w:p>
            <w:pPr>
              <w:spacing w:after="0"/>
              <w:rPr>
                <w:sz w:val="20"/>
                <w:szCs w:val="20"/>
                <w:color w:val="auto"/>
              </w:rPr>
            </w:pPr>
            <w:r>
              <w:rPr>
                <w:rFonts w:ascii="Arial" w:cs="Arial" w:eastAsia="Arial" w:hAnsi="Arial"/>
                <w:sz w:val="14"/>
                <w:szCs w:val="14"/>
                <w:color w:val="auto"/>
              </w:rPr>
              <w:t>of the Company’s executive compensation.</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5"/>
        </w:trPr>
        <w:tc>
          <w:tcPr>
            <w:tcW w:w="3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160" w:type="dxa"/>
            <w:vAlign w:val="bottom"/>
          </w:tcPr>
          <w:p>
            <w:pPr>
              <w:spacing w:after="0"/>
              <w:rPr>
                <w:sz w:val="20"/>
                <w:szCs w:val="20"/>
                <w:color w:val="auto"/>
              </w:rPr>
            </w:pPr>
            <w:r>
              <w:rPr>
                <w:rFonts w:ascii="Arial" w:cs="Arial" w:eastAsia="Arial" w:hAnsi="Arial"/>
                <w:sz w:val="14"/>
                <w:szCs w:val="14"/>
                <w:color w:val="auto"/>
              </w:rPr>
              <w:t>5. Board proposal to ratify the appointment of</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Ernst &amp; Young LLP as the Company’s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3160" w:type="dxa"/>
            <w:vAlign w:val="bottom"/>
          </w:tcPr>
          <w:p>
            <w:pPr>
              <w:spacing w:after="0"/>
              <w:rPr>
                <w:sz w:val="20"/>
                <w:szCs w:val="20"/>
                <w:color w:val="auto"/>
              </w:rPr>
            </w:pPr>
            <w:r>
              <w:rPr>
                <w:rFonts w:ascii="Arial" w:cs="Arial" w:eastAsia="Arial" w:hAnsi="Arial"/>
                <w:sz w:val="14"/>
                <w:szCs w:val="14"/>
                <w:color w:val="auto"/>
              </w:rPr>
              <w:t>independent registered public accounting firm</w:t>
            </w: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0"/>
        </w:trPr>
        <w:tc>
          <w:tcPr>
            <w:tcW w:w="3160" w:type="dxa"/>
            <w:vAlign w:val="bottom"/>
          </w:tcPr>
          <w:p>
            <w:pPr>
              <w:spacing w:after="0"/>
              <w:rPr>
                <w:sz w:val="20"/>
                <w:szCs w:val="20"/>
                <w:color w:val="auto"/>
              </w:rPr>
            </w:pPr>
            <w:r>
              <w:rPr>
                <w:rFonts w:ascii="Arial" w:cs="Arial" w:eastAsia="Arial" w:hAnsi="Arial"/>
                <w:sz w:val="14"/>
                <w:szCs w:val="14"/>
                <w:color w:val="auto"/>
              </w:rPr>
              <w:t>for 2023.</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AGAINST</w:t>
      </w:r>
      <w:r>
        <w:rPr>
          <w:rFonts w:ascii="Arial" w:cs="Arial" w:eastAsia="Arial" w:hAnsi="Arial"/>
          <w:sz w:val="14"/>
          <w:szCs w:val="14"/>
          <w:color w:val="auto"/>
        </w:rPr>
        <w:t xml:space="preserve"> Proposals 6 and 7.</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140" w:type="dxa"/>
            <w:vAlign w:val="bottom"/>
          </w:tcPr>
          <w:p>
            <w:pPr>
              <w:spacing w:after="0"/>
              <w:rPr>
                <w:sz w:val="20"/>
                <w:szCs w:val="20"/>
                <w:color w:val="auto"/>
              </w:rPr>
            </w:pPr>
            <w:r>
              <w:rPr>
                <w:rFonts w:ascii="Arial" w:cs="Arial" w:eastAsia="Arial" w:hAnsi="Arial"/>
                <w:sz w:val="14"/>
                <w:szCs w:val="14"/>
                <w:color w:val="auto"/>
              </w:rPr>
              <w:t>6. Stockholder proposal to permit a combined</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3140" w:type="dxa"/>
            <w:vAlign w:val="bottom"/>
          </w:tcPr>
          <w:p>
            <w:pPr>
              <w:spacing w:after="0"/>
              <w:rPr>
                <w:sz w:val="20"/>
                <w:szCs w:val="20"/>
                <w:color w:val="auto"/>
              </w:rPr>
            </w:pPr>
            <w:r>
              <w:rPr>
                <w:rFonts w:ascii="Arial" w:cs="Arial" w:eastAsia="Arial" w:hAnsi="Arial"/>
                <w:sz w:val="14"/>
                <w:szCs w:val="14"/>
                <w:color w:val="auto"/>
              </w:rPr>
              <w:t>10% of stockholders to call a special meeting.</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6"/>
        </w:trPr>
        <w:tc>
          <w:tcPr>
            <w:tcW w:w="3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140" w:type="dxa"/>
            <w:vAlign w:val="bottom"/>
          </w:tcPr>
          <w:p>
            <w:pPr>
              <w:spacing w:after="0"/>
              <w:rPr>
                <w:sz w:val="20"/>
                <w:szCs w:val="20"/>
                <w:color w:val="auto"/>
              </w:rPr>
            </w:pPr>
            <w:r>
              <w:rPr>
                <w:rFonts w:ascii="Arial" w:cs="Arial" w:eastAsia="Arial" w:hAnsi="Arial"/>
                <w:sz w:val="14"/>
                <w:szCs w:val="14"/>
                <w:color w:val="auto"/>
              </w:rPr>
              <w:t>7. Stockholder proposal to report on due</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diligence efforts to trace end-user misuse of</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0"/>
        </w:trPr>
        <w:tc>
          <w:tcPr>
            <w:tcW w:w="3140" w:type="dxa"/>
            <w:vAlign w:val="bottom"/>
          </w:tcPr>
          <w:p>
            <w:pPr>
              <w:spacing w:after="0"/>
              <w:rPr>
                <w:sz w:val="20"/>
                <w:szCs w:val="20"/>
                <w:color w:val="auto"/>
              </w:rPr>
            </w:pPr>
            <w:r>
              <w:rPr>
                <w:rFonts w:ascii="Arial" w:cs="Arial" w:eastAsia="Arial" w:hAnsi="Arial"/>
                <w:sz w:val="14"/>
                <w:szCs w:val="14"/>
                <w:color w:val="auto"/>
              </w:rPr>
              <w:t>company products.</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147"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171" w:lineRule="exact"/>
        <w:rPr>
          <w:sz w:val="20"/>
          <w:szCs w:val="20"/>
          <w:color w:val="auto"/>
        </w:rPr>
      </w:pPr>
    </w:p>
    <w:p>
      <w:pPr>
        <w:sectPr>
          <w:pgSz w:w="11900" w:h="16838" w:orient="portrait"/>
          <w:cols w:equalWidth="0" w:num="2">
            <w:col w:w="5160" w:space="720"/>
            <w:col w:w="5320"/>
          </w:cols>
          <w:pgMar w:left="320" w:top="1440" w:right="379" w:bottom="1440" w:gutter="0" w:footer="0" w:header="0"/>
          <w:type w:val="continuous"/>
        </w:sectPr>
      </w:pPr>
    </w:p>
    <w:p>
      <w:pPr>
        <w:spacing w:after="0" w:line="305" w:lineRule="auto"/>
        <w:rPr>
          <w:sz w:val="20"/>
          <w:szCs w:val="20"/>
          <w:color w:val="auto"/>
        </w:rPr>
      </w:pPr>
      <w:r>
        <w:rPr>
          <w:rFonts w:ascii="Arial" w:cs="Arial" w:eastAsia="Arial" w:hAnsi="Arial"/>
          <w:sz w:val="14"/>
          <w:szCs w:val="14"/>
          <w:color w:val="auto"/>
        </w:rPr>
        <w:t>Please sign exactly as your name(s) appear(s) hereon. When signing as an attorney, executor, administrator, or other fiduciary, please give full title as such. Joint owners should each sign personally. All holders must sign. If a corporation or partnership, please sign in full corporate or partnership name by an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248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2482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spacing w:after="0"/>
        <w:tabs>
          <w:tab w:leader="none" w:pos="3600" w:val="left"/>
          <w:tab w:leader="none" w:pos="6060" w:val="left"/>
          <w:tab w:leader="none" w:pos="9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748665</wp:posOffset>
            </wp:positionV>
            <wp:extent cx="1671320" cy="5829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APRIL 27, 2023</w:t>
      </w:r>
    </w:p>
    <w:p>
      <w:pPr>
        <w:spacing w:after="0" w:line="234" w:lineRule="exact"/>
        <w:rPr>
          <w:sz w:val="20"/>
          <w:szCs w:val="20"/>
          <w:color w:val="auto"/>
        </w:rPr>
      </w:pPr>
    </w:p>
    <w:p>
      <w:pPr>
        <w:jc w:val="both"/>
        <w:ind w:left="540" w:right="560"/>
        <w:spacing w:after="0" w:line="256" w:lineRule="auto"/>
        <w:rPr>
          <w:sz w:val="20"/>
          <w:szCs w:val="20"/>
          <w:color w:val="auto"/>
        </w:rPr>
      </w:pPr>
      <w:r>
        <w:rPr>
          <w:rFonts w:ascii="Arial" w:cs="Arial" w:eastAsia="Arial" w:hAnsi="Arial"/>
          <w:sz w:val="18"/>
          <w:szCs w:val="18"/>
          <w:color w:val="auto"/>
        </w:rPr>
        <w:t>You are invited to attend the 2023 annual meeting of stockholders on Thursday, April 27, 2023, in the auditorium on our property at 12500 TI Boulevard, Dallas, Texas, at 8:30 a.m. (Central time). At the meeting we will consider the election of directors, amendment and restatement of the TI Employees 2014 Stock Purchase Plan to extend the termination date, advisory vote on the frequency of future advisory votes on executive compensation, advisory approval of the Company’s executive compensation, ratification of the appointment of Ernst &amp; Young LLP as the Company’s independent registered public accounting firm for 2023, two stockholder proposals, if properly presented, and such other matters as may properly come before the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25" w:lineRule="exact"/>
        <w:rPr>
          <w:sz w:val="20"/>
          <w:szCs w:val="20"/>
          <w:color w:val="auto"/>
        </w:rPr>
      </w:pPr>
    </w:p>
    <w:p>
      <w:pPr>
        <w:jc w:val="both"/>
        <w:ind w:left="540" w:right="560"/>
        <w:spacing w:after="0" w:line="268"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 or enroll at https://enroll.icsdelivery.com/TXN.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2023 Notice and Proxy Statement and 2022 Annual Report 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199390</wp:posOffset>
            </wp:positionV>
            <wp:extent cx="7132320" cy="391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91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FOR ANNUAL MEETING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APRIL 27,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undersigned hereby appoints JANET F. CLARK, RONALD KIRK, PAMELA H. PATSLEY, RICHARD K. TEMPLETON, or any one or more of them, the true and lawful attorneys of the undersigned with power of substitution, to vote as proxies for the undersigned at the annual meeting of stockholders of Texas Instruments Incorporated to be held in Dallas, Texas, on April 27, 2023,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 no contrary indication is made, this proxy will be voted FOR the election of each director nominee, FOR Proposals 2,</w:t>
      </w:r>
      <w:r>
        <w:rPr>
          <w:rFonts w:ascii="Arial" w:cs="Arial" w:eastAsia="Arial" w:hAnsi="Arial"/>
          <w:sz w:val="18"/>
          <w:szCs w:val="18"/>
          <w:color w:val="auto"/>
        </w:rPr>
        <w:t xml:space="preserve"> </w:t>
      </w:r>
      <w:r>
        <w:rPr>
          <w:rFonts w:ascii="Arial" w:cs="Arial" w:eastAsia="Arial" w:hAnsi="Arial"/>
          <w:sz w:val="18"/>
          <w:szCs w:val="18"/>
          <w:b w:val="1"/>
          <w:bCs w:val="1"/>
          <w:color w:val="auto"/>
        </w:rPr>
        <w:t>4 and 5, for “1 YEAR” on Proposal 3, and AGAINST Proposals 6 and 7</w:t>
      </w:r>
      <w:r>
        <w:rPr>
          <w:rFonts w:ascii="Arial" w:cs="Arial" w:eastAsia="Arial" w:hAnsi="Arial"/>
          <w:sz w:val="18"/>
          <w:szCs w:val="18"/>
          <w:color w:val="auto"/>
        </w:rPr>
        <w:t>. If other matters come before the meeting, this proxy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voted in the discretion of the named proxies.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24, 2023,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consider voting by Internet or telephone.</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3"/>
      <w:numFmt w:val="bullet"/>
      <w:start w:val="1"/>
    </w:lvl>
  </w:abstractNum>
  <w:abstractNum w:abstractNumId="7">
    <w:nsid w:val="15B5AF5C"/>
    <w:multiLevelType w:val="hybridMultilevel"/>
    <w:lvl w:ilvl="0">
      <w:lvlJc w:val="left"/>
      <w:lvlText w:val="5"/>
      <w:numFmt w:val="bullet"/>
      <w:start w:val="1"/>
    </w:lvl>
  </w:abstractNum>
  <w:abstractNum w:abstractNumId="8">
    <w:nsid w:val="741226BB"/>
    <w:multiLevelType w:val="hybridMultilevel"/>
    <w:lvl w:ilvl="0">
      <w:lvlJc w:val="left"/>
      <w:lvlText w:val="%1"/>
      <w:numFmt w:val="decimal"/>
      <w:start w:val="18"/>
    </w:lvl>
  </w:abstractNum>
  <w:abstractNum w:abstractNumId="9">
    <w:nsid w:val="D34B6A8"/>
    <w:multiLevelType w:val="hybridMultilevel"/>
    <w:lvl w:ilvl="0">
      <w:lvlJc w:val="left"/>
      <w:lvlText w:val="%1"/>
      <w:numFmt w:val="decimal"/>
      <w:start w:val="22"/>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37">
    <w:nsid w:val="540A471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8">
    <w:nsid w:val="7BD3EE7B"/>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39">
    <w:nsid w:val="51D9C564"/>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40">
    <w:nsid w:val="613EFDC5"/>
    <w:multiLevelType w:val="hybridMultilevel"/>
    <w:lvl w:ilvl="0">
      <w:lvlJc w:val="left"/>
      <w:lvlText w:val="%1."/>
      <w:numFmt w:val="upperLetter"/>
      <w:start w:val="4"/>
    </w:lvl>
    <w:lvl w:ilvl="1">
      <w:lvlJc w:val="left"/>
      <w:lvlText w:val="%2."/>
      <w:numFmt w:val="decimal"/>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lvl w:ilvl="1">
      <w:lvlJc w:val="left"/>
      <w:lvlText w:val="◦"/>
      <w:numFmt w:val="bullet"/>
      <w:start w:val="1"/>
    </w:lvl>
  </w:abstractNum>
  <w:abstractNum w:abstractNumId="45">
    <w:nsid w:val="8F2B15E"/>
    <w:multiLevelType w:val="hybridMultilevel"/>
    <w:lvl w:ilvl="0">
      <w:lvlJc w:val="left"/>
      <w:lvlText w:val="•"/>
      <w:numFmt w:val="bullet"/>
      <w:start w:val="1"/>
    </w:lvl>
    <w:lvl w:ilvl="1">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lvl w:ilvl="1">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1)"/>
      <w:numFmt w:val="decimal"/>
      <w:start w:val="4"/>
    </w:lvl>
  </w:abstractNum>
  <w:abstractNum w:abstractNumId="56">
    <w:nsid w:val="100F59DC"/>
    <w:multiLevelType w:val="hybridMultilevel"/>
    <w:lvl w:ilvl="0">
      <w:lvlJc w:val="left"/>
      <w:lvlText w:val="(%1)"/>
      <w:numFmt w:val="decimal"/>
      <w:start w:val="5"/>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lvl w:ilvl="1">
      <w:lvlJc w:val="left"/>
      <w:lvlText w:val="◦"/>
      <w:numFmt w:val="bullet"/>
      <w:start w:val="1"/>
    </w:lvl>
  </w:abstractNum>
  <w:abstractNum w:abstractNumId="59">
    <w:nsid w:val="6F6DD9AC"/>
    <w:multiLevelType w:val="hybridMultilevel"/>
    <w:lvl w:ilvl="0">
      <w:lvlJc w:val="left"/>
      <w:lvlText w:val="•"/>
      <w:numFmt w:val="bullet"/>
      <w:start w:val="1"/>
    </w:lvl>
    <w:lvl w:ilvl="1">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1)"/>
      <w:numFmt w:val="lowerRoman"/>
      <w:start w:val="2"/>
    </w:lvl>
  </w:abstractNum>
  <w:abstractNum w:abstractNumId="62">
    <w:nsid w:val="76272110"/>
    <w:multiLevelType w:val="hybridMultilevel"/>
    <w:lvl w:ilvl="0">
      <w:lvlJc w:val="left"/>
      <w:lvlText w:val="1"/>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lvl w:ilvl="1">
      <w:lvlJc w:val="left"/>
      <w:lvlText w:val="◦"/>
      <w:numFmt w:val="bullet"/>
      <w:start w:val="1"/>
    </w:lvl>
  </w:abstractNum>
  <w:abstractNum w:abstractNumId="66">
    <w:nsid w:val="3222E7CD"/>
    <w:multiLevelType w:val="hybridMultilevel"/>
    <w:lvl w:ilvl="0">
      <w:lvlJc w:val="left"/>
      <w:lvlText w:val="•"/>
      <w:numFmt w:val="bullet"/>
      <w:start w:val="1"/>
    </w:lvl>
    <w:lvl w:ilvl="1">
      <w:lvlJc w:val="left"/>
      <w:lvlText w:val="◦"/>
      <w:numFmt w:val="bullet"/>
      <w:start w:val="1"/>
    </w:lvl>
  </w:abstractNum>
  <w:abstractNum w:abstractNumId="67">
    <w:nsid w:val="74DE0EE3"/>
    <w:multiLevelType w:val="hybridMultilevel"/>
    <w:lvl w:ilvl="0">
      <w:lvlJc w:val="left"/>
      <w:lvlText w:val="•"/>
      <w:numFmt w:val="bullet"/>
      <w:start w:val="1"/>
    </w:lvl>
    <w:lvl w:ilvl="1">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2"/>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1)"/>
      <w:numFmt w:val="decimal"/>
      <w:start w:val="1"/>
    </w:lvl>
  </w:abstractNum>
  <w:abstractNum w:abstractNumId="75">
    <w:nsid w:val="43F18422"/>
    <w:multiLevelType w:val="hybridMultilevel"/>
    <w:lvl w:ilvl="0">
      <w:lvlJc w:val="left"/>
      <w:lvlText w:val="(%1)"/>
      <w:numFmt w:val="decimal"/>
      <w:start w:val="4"/>
    </w:lvl>
  </w:abstractNum>
  <w:abstractNum w:abstractNumId="76">
    <w:nsid w:val="60EF0119"/>
    <w:multiLevelType w:val="hybridMultilevel"/>
    <w:lvl w:ilvl="0">
      <w:lvlJc w:val="left"/>
      <w:lvlText w:val="(%1)"/>
      <w:numFmt w:val="lowerLetter"/>
      <w:start w:val="1"/>
    </w:lvl>
  </w:abstractNum>
  <w:abstractNum w:abstractNumId="77">
    <w:nsid w:val="26F324BA"/>
    <w:multiLevelType w:val="hybridMultilevel"/>
    <w:lvl w:ilvl="0">
      <w:lvlJc w:val="left"/>
      <w:lvlText w:val="(%1)"/>
      <w:numFmt w:val="decimal"/>
      <w:start w:val="1"/>
    </w:lvl>
  </w:abstractNum>
  <w:abstractNum w:abstractNumId="78">
    <w:nsid w:val="7F01579B"/>
    <w:multiLevelType w:val="hybridMultilevel"/>
    <w:lvl w:ilvl="0">
      <w:lvlJc w:val="left"/>
      <w:lvlText w:val="(%1)"/>
      <w:numFmt w:val="decimal"/>
      <w:start w:val="1"/>
    </w:lvl>
  </w:abstractNum>
  <w:abstractNum w:abstractNumId="79">
    <w:nsid w:val="49DA307D"/>
    <w:multiLevelType w:val="hybridMultilevel"/>
    <w:lvl w:ilvl="0">
      <w:lvlJc w:val="left"/>
      <w:lvlText w:val="(%1)"/>
      <w:numFmt w:val="decimal"/>
      <w:start w:val="5"/>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1)"/>
      <w:numFmt w:val="lowerRoman"/>
      <w:start w:val="1"/>
    </w:lvl>
  </w:abstractNum>
  <w:abstractNum w:abstractNumId="82">
    <w:nsid w:val="50801EE1"/>
    <w:multiLevelType w:val="hybridMultilevel"/>
    <w:lvl w:ilvl="0">
      <w:lvlJc w:val="left"/>
      <w:lvlText w:val="(%1)"/>
      <w:numFmt w:val="decimal"/>
      <w:start w:val="1"/>
    </w:lvl>
  </w:abstractNum>
  <w:abstractNum w:abstractNumId="83">
    <w:nsid w:val="488AC1A"/>
    <w:multiLevelType w:val="hybridMultilevel"/>
    <w:lvl w:ilvl="0">
      <w:lvlJc w:val="left"/>
      <w:lvlText w:val="(%1)"/>
      <w:numFmt w:val="decimal"/>
      <w:start w:val="1"/>
    </w:lvl>
  </w:abstractNum>
  <w:abstractNum w:abstractNumId="84">
    <w:nsid w:val="5FB8011C"/>
    <w:multiLevelType w:val="hybridMultilevel"/>
    <w:lvl w:ilvl="0">
      <w:lvlJc w:val="left"/>
      <w:lvlText w:val="(%1)"/>
      <w:numFmt w:val="decimal"/>
      <w:start w:val="6"/>
    </w:lvl>
  </w:abstractNum>
  <w:abstractNum w:abstractNumId="85">
    <w:nsid w:val="6AA78F7F"/>
    <w:multiLevelType w:val="hybridMultilevel"/>
    <w:lvl w:ilvl="0">
      <w:lvlJc w:val="left"/>
      <w:lvlText w:val="(%1)"/>
      <w:numFmt w:val="lowerRoman"/>
      <w:start w:val="1"/>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1)"/>
      <w:numFmt w:val="decimal"/>
      <w:start w:val="12"/>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1)"/>
      <w:numFmt w:val="decimal"/>
      <w:start w:val="1"/>
    </w:lvl>
    <w:lvl w:ilvl="1">
      <w:lvlJc w:val="left"/>
      <w:lvlText w:val="(%2)"/>
      <w:numFmt w:val="lowerLetter"/>
      <w:start w:val="3"/>
    </w:lvl>
  </w:abstractNum>
  <w:abstractNum w:abstractNumId="90">
    <w:nsid w:val="5F3534A4"/>
    <w:multiLevelType w:val="hybridMultilevel"/>
    <w:lvl w:ilvl="0">
      <w:lvlJc w:val="left"/>
      <w:lvlText w:val="(%1)"/>
      <w:numFmt w:val="decimal"/>
      <w:start w:val="7"/>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1)"/>
      <w:numFmt w:val="decimal"/>
    </w:lvl>
    <w:lvl w:ilvl="1">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1)"/>
      <w:numFmt w:val="decimal"/>
      <w:start w:val="1"/>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decimal"/>
      <w:start w:val="1"/>
    </w:lvl>
    <w:lvl w:ilvl="1">
      <w:lvlJc w:val="left"/>
      <w:lvlText w:val="(%2)"/>
      <w:numFmt w:val="lowerLetter"/>
      <w:start w:val="1"/>
    </w:lvl>
  </w:abstractNum>
  <w:abstractNum w:abstractNumId="102">
    <w:nsid w:val="1D545C4D"/>
    <w:multiLevelType w:val="hybridMultilevel"/>
    <w:lvl w:ilvl="0">
      <w:lvlJc w:val="left"/>
      <w:lvlText w:val="(%1)"/>
      <w:numFmt w:val="decimal"/>
      <w:start w:val="2"/>
    </w:lvl>
    <w:lvl w:ilvl="1">
      <w:lvlJc w:val="left"/>
      <w:lvlText w:val="%2"/>
      <w:numFmt w:val="lowerLetter"/>
      <w:start w:val="1"/>
    </w:lvl>
  </w:abstractNum>
  <w:abstractNum w:abstractNumId="103">
    <w:nsid w:val="59ADEA3D"/>
    <w:multiLevelType w:val="hybridMultilevel"/>
    <w:lvl w:ilvl="0">
      <w:lvlJc w:val="left"/>
      <w:lvlText w:val="(%1)"/>
      <w:numFmt w:val="decimal"/>
      <w:start w:val="6"/>
    </w:lvl>
    <w:lvl w:ilvl="1">
      <w:lvlJc w:val="left"/>
      <w:lvlText w:val="(%2)"/>
      <w:numFmt w:val="lowerLetter"/>
      <w:start w:val="1"/>
    </w:lvl>
  </w:abstractNum>
  <w:abstractNum w:abstractNumId="104">
    <w:nsid w:val="288F1A34"/>
    <w:multiLevelType w:val="hybridMultilevel"/>
    <w:lvl w:ilvl="0">
      <w:lvlJc w:val="left"/>
      <w:lvlText w:val="%1."/>
      <w:numFmt w:val="decimal"/>
      <w:start w:val="1"/>
    </w:lvl>
    <w:lvl w:ilvl="1">
      <w:lvlJc w:val="left"/>
      <w:lvlText w:val="(%2)"/>
      <w:numFmt w:val="lowerLetter"/>
      <w:start w:val="1"/>
    </w:lvl>
  </w:abstractNum>
  <w:abstractNum w:abstractNumId="105">
    <w:nsid w:val="2A155DBC"/>
    <w:multiLevelType w:val="hybridMultilevel"/>
    <w:lvl w:ilvl="0">
      <w:lvlJc w:val="left"/>
      <w:lvlText w:val="•"/>
      <w:numFmt w:val="bullet"/>
      <w:start w:val="1"/>
    </w:lvl>
    <w:lvl w:ilvl="1">
      <w:lvlJc w:val="left"/>
      <w:lvlText w:val="◦"/>
      <w:numFmt w:val="bullet"/>
      <w:start w:val="1"/>
    </w:lvl>
  </w:abstractNum>
  <w:abstractNum w:abstractNumId="106">
    <w:nsid w:val="1D9F6E5F"/>
    <w:multiLevelType w:val="hybridMultilevel"/>
    <w:lvl w:ilvl="0">
      <w:lvlJc w:val="left"/>
      <w:lvlText w:val="(%1)"/>
      <w:numFmt w:val="lowerRoman"/>
      <w:start w:val="1"/>
    </w:lvl>
  </w:abstractNum>
  <w:abstractNum w:abstractNumId="107">
    <w:nsid w:val="97E1B4E"/>
    <w:multiLevelType w:val="hybridMultilevel"/>
    <w:lvl w:ilvl="0">
      <w:lvlJc w:val="left"/>
      <w:lvlText w:val="(%1)"/>
      <w:numFmt w:val="decimal"/>
      <w:start w:val="1"/>
    </w:lvl>
    <w:lvl w:ilvl="1">
      <w:lvlJc w:val="left"/>
      <w:lvlText w:val="(%2)"/>
      <w:numFmt w:val="lowerLetter"/>
      <w:start w:val="2"/>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5"/>
    </w:lvl>
  </w:abstractNum>
  <w:abstractNum w:abstractNumId="110">
    <w:nsid w:val="53584BC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2023-03-14T10:22:37Z</dcterms:created>
  <dcterms:modified xsi:type="dcterms:W3CDTF">2023-03-14T10:22:37Z</dcterms:modified>
</cp:coreProperties>
</file>