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92"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84" w:lineRule="exact"/>
        <w:rPr>
          <w:sz w:val="24"/>
          <w:szCs w:val="24"/>
          <w:color w:val="auto"/>
        </w:rPr>
      </w:pPr>
    </w:p>
    <w:p>
      <w:pPr>
        <w:ind w:left="4080" w:right="2400" w:hanging="4072"/>
        <w:spacing w:after="0" w:line="441" w:lineRule="auto"/>
        <w:tabs>
          <w:tab w:leader="none" w:pos="44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2006</w:t>
      </w:r>
    </w:p>
    <w:p>
      <w:pPr>
        <w:spacing w:after="0" w:line="1" w:lineRule="exact"/>
        <w:rPr>
          <w:rFonts w:ascii="MS PGothic" w:cs="MS PGothic" w:eastAsia="MS PGothic" w:hAnsi="MS PGothic"/>
          <w:sz w:val="18"/>
          <w:szCs w:val="18"/>
          <w:color w:val="auto"/>
          <w:highlight w:val="black"/>
        </w:rPr>
      </w:pPr>
    </w:p>
    <w:p>
      <w:pPr>
        <w:ind w:left="560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OR</w:t>
      </w:r>
    </w:p>
    <w:p>
      <w:pPr>
        <w:spacing w:after="0" w:line="20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7" w:lineRule="exact"/>
        <w:rPr>
          <w:sz w:val="24"/>
          <w:szCs w:val="24"/>
          <w:color w:val="auto"/>
        </w:rPr>
      </w:pPr>
    </w:p>
    <w:p>
      <w:pPr>
        <w:ind w:left="3680"/>
        <w:spacing w:after="0"/>
        <w:tabs>
          <w:tab w:leader="none" w:pos="668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4"/>
          <w:szCs w:val="14"/>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3663950</wp:posOffset>
            </wp:positionH>
            <wp:positionV relativeFrom="paragraph">
              <wp:posOffset>-13970</wp:posOffset>
            </wp:positionV>
            <wp:extent cx="12573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1-3761</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572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700" w:type="dxa"/>
            <w:vAlign w:val="bottom"/>
            <w:gridSpan w:val="2"/>
          </w:tcPr>
          <w:p>
            <w:pPr>
              <w:jc w:val="center"/>
              <w:ind w:left="132"/>
              <w:spacing w:after="0"/>
              <w:rPr>
                <w:sz w:val="20"/>
                <w:szCs w:val="20"/>
                <w:color w:val="auto"/>
              </w:rPr>
            </w:pPr>
            <w:r>
              <w:rPr>
                <w:rFonts w:ascii="Arial" w:cs="Arial" w:eastAsia="Arial" w:hAnsi="Arial"/>
                <w:sz w:val="18"/>
                <w:szCs w:val="18"/>
                <w:b w:val="1"/>
                <w:bCs w:val="1"/>
                <w:color w:val="auto"/>
                <w:w w:val="87"/>
              </w:rPr>
              <w:t>75-0289970</w:t>
            </w:r>
          </w:p>
        </w:tc>
      </w:tr>
      <w:tr>
        <w:trPr>
          <w:trHeight w:val="174"/>
        </w:trPr>
        <w:tc>
          <w:tcPr>
            <w:tcW w:w="5720" w:type="dxa"/>
            <w:vAlign w:val="bottom"/>
          </w:tcPr>
          <w:p>
            <w:pPr>
              <w:jc w:val="center"/>
              <w:spacing w:after="0"/>
              <w:rPr>
                <w:sz w:val="20"/>
                <w:szCs w:val="20"/>
                <w:color w:val="auto"/>
              </w:rPr>
            </w:pPr>
            <w:r>
              <w:rPr>
                <w:rFonts w:ascii="Arial" w:cs="Arial" w:eastAsia="Arial" w:hAnsi="Arial"/>
                <w:sz w:val="14"/>
                <w:szCs w:val="14"/>
                <w:b w:val="1"/>
                <w:bCs w:val="1"/>
                <w:color w:val="auto"/>
                <w:w w:val="89"/>
              </w:rPr>
              <w:t>(State of Incorporation)</w:t>
            </w:r>
          </w:p>
        </w:tc>
        <w:tc>
          <w:tcPr>
            <w:tcW w:w="240" w:type="dxa"/>
            <w:vAlign w:val="bottom"/>
          </w:tcPr>
          <w:p>
            <w:pPr>
              <w:spacing w:after="0"/>
              <w:rPr>
                <w:sz w:val="15"/>
                <w:szCs w:val="15"/>
                <w:color w:val="auto"/>
              </w:rPr>
            </w:pPr>
          </w:p>
        </w:tc>
        <w:tc>
          <w:tcPr>
            <w:tcW w:w="5460" w:type="dxa"/>
            <w:vAlign w:val="bottom"/>
          </w:tcPr>
          <w:p>
            <w:pPr>
              <w:jc w:val="center"/>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6"/>
        </w:trPr>
        <w:tc>
          <w:tcPr>
            <w:tcW w:w="5720" w:type="dxa"/>
            <w:vAlign w:val="bottom"/>
          </w:tcPr>
          <w:p>
            <w:pPr>
              <w:jc w:val="center"/>
              <w:spacing w:after="0"/>
              <w:rPr>
                <w:sz w:val="20"/>
                <w:szCs w:val="20"/>
                <w:color w:val="auto"/>
              </w:rPr>
            </w:pPr>
            <w:r>
              <w:rPr>
                <w:rFonts w:ascii="Arial" w:cs="Arial" w:eastAsia="Arial" w:hAnsi="Arial"/>
                <w:sz w:val="18"/>
                <w:szCs w:val="18"/>
                <w:b w:val="1"/>
                <w:bCs w:val="1"/>
                <w:color w:val="auto"/>
                <w:w w:val="88"/>
              </w:rPr>
              <w:t>12500 TI Boulevard, P.O. Box 660199, Dallas, Texas</w:t>
            </w:r>
          </w:p>
        </w:tc>
        <w:tc>
          <w:tcPr>
            <w:tcW w:w="5700" w:type="dxa"/>
            <w:vAlign w:val="bottom"/>
            <w:gridSpan w:val="2"/>
          </w:tcPr>
          <w:p>
            <w:pPr>
              <w:jc w:val="center"/>
              <w:ind w:left="132"/>
              <w:spacing w:after="0"/>
              <w:rPr>
                <w:sz w:val="20"/>
                <w:szCs w:val="20"/>
                <w:color w:val="auto"/>
              </w:rPr>
            </w:pPr>
            <w:r>
              <w:rPr>
                <w:rFonts w:ascii="Arial" w:cs="Arial" w:eastAsia="Arial" w:hAnsi="Arial"/>
                <w:sz w:val="18"/>
                <w:szCs w:val="18"/>
                <w:b w:val="1"/>
                <w:bCs w:val="1"/>
                <w:color w:val="auto"/>
                <w:w w:val="87"/>
              </w:rPr>
              <w:t>75266-0199</w:t>
            </w:r>
          </w:p>
        </w:tc>
      </w:tr>
      <w:tr>
        <w:trPr>
          <w:trHeight w:val="174"/>
        </w:trPr>
        <w:tc>
          <w:tcPr>
            <w:tcW w:w="5720" w:type="dxa"/>
            <w:vAlign w:val="bottom"/>
          </w:tcPr>
          <w:p>
            <w:pPr>
              <w:jc w:val="center"/>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40" w:type="dxa"/>
            <w:vAlign w:val="bottom"/>
          </w:tcPr>
          <w:p>
            <w:pPr>
              <w:spacing w:after="0"/>
              <w:rPr>
                <w:sz w:val="15"/>
                <w:szCs w:val="15"/>
                <w:color w:val="auto"/>
              </w:rPr>
            </w:pPr>
          </w:p>
        </w:tc>
        <w:tc>
          <w:tcPr>
            <w:tcW w:w="546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63"/>
        </w:trPr>
        <w:tc>
          <w:tcPr>
            <w:tcW w:w="11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Registrant’s Telephone Number, Including Area Code: 972-995-3773</w:t>
            </w:r>
          </w:p>
        </w:tc>
      </w:tr>
      <w:tr>
        <w:trPr>
          <w:trHeight w:val="378"/>
        </w:trPr>
        <w:tc>
          <w:tcPr>
            <w:tcW w:w="11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373"/>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240" w:type="dxa"/>
            <w:vAlign w:val="bottom"/>
          </w:tcPr>
          <w:p>
            <w:pPr>
              <w:spacing w:after="0"/>
              <w:rPr>
                <w:sz w:val="24"/>
                <w:szCs w:val="24"/>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209"/>
        </w:trPr>
        <w:tc>
          <w:tcPr>
            <w:tcW w:w="5720" w:type="dxa"/>
            <w:vAlign w:val="bottom"/>
          </w:tcPr>
          <w:p>
            <w:pPr>
              <w:jc w:val="center"/>
              <w:spacing w:after="0" w:line="202" w:lineRule="exact"/>
              <w:rPr>
                <w:sz w:val="20"/>
                <w:szCs w:val="20"/>
                <w:color w:val="auto"/>
              </w:rPr>
            </w:pPr>
            <w:r>
              <w:rPr>
                <w:rFonts w:ascii="Arial" w:cs="Arial" w:eastAsia="Arial" w:hAnsi="Arial"/>
                <w:sz w:val="18"/>
                <w:szCs w:val="18"/>
                <w:color w:val="auto"/>
                <w:w w:val="88"/>
              </w:rPr>
              <w:t>Common Stock, par value $1.00</w:t>
            </w:r>
          </w:p>
        </w:tc>
        <w:tc>
          <w:tcPr>
            <w:tcW w:w="2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New York Stock Exchange</w:t>
            </w:r>
          </w:p>
        </w:tc>
      </w:tr>
      <w:tr>
        <w:trPr>
          <w:trHeight w:val="316"/>
        </w:trPr>
        <w:tc>
          <w:tcPr>
            <w:tcW w:w="5720" w:type="dxa"/>
            <w:vAlign w:val="bottom"/>
          </w:tcPr>
          <w:p>
            <w:pPr>
              <w:jc w:val="center"/>
              <w:spacing w:after="0"/>
              <w:rPr>
                <w:sz w:val="20"/>
                <w:szCs w:val="20"/>
                <w:color w:val="auto"/>
              </w:rPr>
            </w:pPr>
            <w:r>
              <w:rPr>
                <w:rFonts w:ascii="Arial" w:cs="Arial" w:eastAsia="Arial" w:hAnsi="Arial"/>
                <w:sz w:val="18"/>
                <w:szCs w:val="18"/>
                <w:color w:val="auto"/>
                <w:w w:val="86"/>
              </w:rPr>
              <w:t>Preferred Stock Purchase Rights</w:t>
            </w:r>
          </w:p>
        </w:tc>
        <w:tc>
          <w:tcPr>
            <w:tcW w:w="24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New York Stock Exchange</w:t>
            </w:r>
          </w:p>
        </w:tc>
      </w:tr>
    </w:tbl>
    <w:p>
      <w:pPr>
        <w:spacing w:after="0" w:line="150"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color w:val="auto"/>
        </w:rPr>
        <w:t>None</w:t>
      </w:r>
    </w:p>
    <w:p>
      <w:pPr>
        <w:spacing w:after="0" w:line="145"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120"/>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right="28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99" w:lineRule="exact"/>
        <w:rPr>
          <w:sz w:val="24"/>
          <w:szCs w:val="24"/>
          <w:color w:val="auto"/>
        </w:rPr>
      </w:pPr>
    </w:p>
    <w:p>
      <w:pPr>
        <w:ind w:left="20"/>
        <w:spacing w:after="0" w:line="207" w:lineRule="exact"/>
        <w:tabs>
          <w:tab w:leader="none" w:pos="3920" w:val="left"/>
          <w:tab w:leader="none" w:pos="74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The aggregate market value of voting stock held by non-affiliates of the Registrant was approximately $43,524,868,296 as of June 30, 2006.</w:t>
      </w:r>
    </w:p>
    <w:p>
      <w:pPr>
        <w:spacing w:after="0" w:line="171" w:lineRule="exact"/>
        <w:rPr>
          <w:sz w:val="24"/>
          <w:szCs w:val="24"/>
          <w:color w:val="auto"/>
        </w:rPr>
      </w:pPr>
    </w:p>
    <w:p>
      <w:pPr>
        <w:ind w:left="2620"/>
        <w:spacing w:after="0"/>
        <w:rPr>
          <w:sz w:val="20"/>
          <w:szCs w:val="20"/>
          <w:color w:val="auto"/>
        </w:rPr>
      </w:pPr>
      <w:r>
        <w:rPr>
          <w:rFonts w:ascii="Arial" w:cs="Arial" w:eastAsia="Arial" w:hAnsi="Arial"/>
          <w:sz w:val="18"/>
          <w:szCs w:val="18"/>
          <w:color w:val="auto"/>
        </w:rPr>
        <w:t>1,443,427,201 (Number of shares of common stock outstanding as of January 31, 2007)</w:t>
      </w:r>
    </w:p>
    <w:p>
      <w:pPr>
        <w:spacing w:after="0" w:line="171"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Parts I, II and IV hereof incorporate information by reference to the Registrant’s 2006 annual report to stockholders. Part III hereof incorporates information by reference to the Registrant’s proxy statement for the 2007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Overview</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Texas Instruments Incorporated (TI) is headquartered in Dallas, Texas, and has manufacturing, design or sales operations in more than 25 countries. We had two separate business segments in 2006: 1) Semiconductor, which accounted for 96 percent of our revenue and 2) Education Technology, which accounted for 4 percent of our revenue.</w:t>
      </w:r>
    </w:p>
    <w:p>
      <w:pPr>
        <w:spacing w:after="0" w:line="140"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The year saw changes in our segments. In January we entered into a definitive agreement to sell our former Sensors &amp; Controls business, and its results were reported as a discontinued operation. The sale closed on April 27, 2006. At the end of the year, we decided to rename a segment to reflect its strategic focus; Educational &amp; Productivity Solutions became Education Technology.</w:t>
      </w:r>
    </w:p>
    <w:p>
      <w:pPr>
        <w:spacing w:after="0" w:line="14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Financial information with respect to TI’s business segments and operations outside the United States is contained in the note to the financial statements captioned “Segment and Geographic Area Data” on pages 32 and 33 of TI’s 2006 annual report to stockholders. It is incorporated herein by reference to such annual report.</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 began operations in 1930 and is incorporated in Delaware.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 Segment</w:t>
      </w:r>
    </w:p>
    <w:p>
      <w:pPr>
        <w:spacing w:after="0" w:line="96"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Semiconductors are electronic components that serve as the building blocks inside of modern electronic systems and equipment. Semiconductors come in two basic forms: individual transistors and integrated circuits (generally known as “chips”) that combine different transistors on a single piece of material to form a complete electronic circuit. Our Semiconductor segment designs, manufactures and sells integrated circuits.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global semiconductor market is characterized by constant, though generally incremental, advances in product designs and manufacturing methods. Typically, new chips are produced in limited quantities at first and then ramp to high-volume production over time. Chip prices and manufacturing costs tend to decline over time as manufacturing methods and product life cycles mature.</w:t>
      </w:r>
    </w:p>
    <w:p>
      <w:pPr>
        <w:spacing w:after="0" w:line="14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“semiconductor cycle” is an important concept that refers to the ebb and flow of supply and demand. The semiconductor market historically has been characterized by periods of tight supply caused by strong demand and/or insufficient manufacturing capacity, followed by periods of surplus products caused by declining demand and/or excess manufacturing capacity. This cycle is affected by the significant time and money required to build and maintain semiconductor manufacturing facilities.</w:t>
      </w:r>
    </w:p>
    <w:p>
      <w:pPr>
        <w:spacing w:after="0" w:line="143"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We were the world’s third largest semiconductor company in 2006 as measured by revenue, according to preliminary estimates from iSuppli Corporation, an industry analyst. Historically, our Semiconductor segment averages a significantly higher growth rate than our Education Technology segment.</w:t>
      </w:r>
    </w:p>
    <w:p>
      <w:pPr>
        <w:spacing w:after="0" w:line="85"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majority of our Semiconductor revenue comes from our core products, which are analog semiconductors and digital signal processors, or DSPs. These products enhance, and often make possible, a variety of applications that serve the communications, computer, consumer electronics, automotive and industrial markets. We believe that virtually all of today’s digital electronic equipment requires some form of analog or digital signal processing.</w:t>
      </w:r>
    </w:p>
    <w:p>
      <w:pPr>
        <w:spacing w:after="0" w:line="107" w:lineRule="exact"/>
        <w:rPr>
          <w:sz w:val="20"/>
          <w:szCs w:val="20"/>
          <w:color w:val="auto"/>
        </w:rPr>
      </w:pPr>
    </w:p>
    <w:p>
      <w:pPr>
        <w:ind w:right="160"/>
        <w:spacing w:after="0" w:line="228" w:lineRule="auto"/>
        <w:rPr>
          <w:sz w:val="20"/>
          <w:szCs w:val="20"/>
          <w:color w:val="auto"/>
        </w:rPr>
      </w:pPr>
      <w:r>
        <w:rPr>
          <w:rFonts w:ascii="Arial" w:cs="Arial" w:eastAsia="Arial" w:hAnsi="Arial"/>
          <w:sz w:val="18"/>
          <w:szCs w:val="18"/>
          <w:color w:val="auto"/>
        </w:rPr>
        <w:t>We also design and manufacture other types of semiconductors, such as DLP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products that enable exceptionally clear video, and microprocessors that serve as the brains of high-end computer servers.</w:t>
      </w:r>
    </w:p>
    <w:p>
      <w:pPr>
        <w:spacing w:after="0" w:line="15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Knowledge about the systems our products go into is becoming increasingly important, because it enables us to differentiate our product offerings for our customers. Where a customer may previously have required multiple chips for a system to operate, we are now integrating the functionality of those multiple chips onto a few or even a single chip because we have both the system-level knowledge and the manufacturing technology to do so. An example is our single-chip cell phone solution, which combines the functionality of many separate chips onto one. The digitization of electronics also requires more high-performance analog functionality. With expertise in both digital signal processing and analog at the system level, we believe we are one of a very few semiconductor companies capable of integrating both technologies onto a single chip.</w:t>
      </w:r>
    </w:p>
    <w:p>
      <w:pPr>
        <w:spacing w:after="0" w:line="12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In addition, we enable our customers, particularly original design manufacturers (ODMs), to take advantage of our system-level knowledge and thereby speed their time to market by making available to them standard chipsets and reference designs. (An ODM designs and manufactures products for other companies; those other companies then sell the products under their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 w:name="page3"/>
    <w:bookmarkEnd w:id="2"/>
    <w:p>
      <w:pPr>
        <w:ind w:right="2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own brands. A chipset is a group of integrated circuits based principally on our technology that are designed to work together for a specific application and are therefore packaged and sold as a unit. Reference designs are technical blueprints that contain all the essential elements of a system.) Customers using our reference designs, such as cell-phone ODMs, may enhance or modify the design as required. Our ability to deliver integrated solutions and system-level knowledge allows our customers to create more advanced systems and products.</w:t>
      </w:r>
    </w:p>
    <w:p>
      <w:pPr>
        <w:spacing w:after="0" w:line="143"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 each of our product categories, we face significant competition. We believe that competitive performance in the semiconductor market depends upon several factors, including the breadth of a company’s product line as well as technological innovation, quality, reliability, price, customer service, technical support and scale.</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Following is detailed information on each product category:</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Analog</w:t>
      </w:r>
    </w:p>
    <w:p>
      <w:pPr>
        <w:spacing w:after="0" w:line="90"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Analog semiconductors process “real world” inputs, such as sound, temperature, pressure and visual images, conditioning them, amplifying them and converting them into digital signals. They also assist in the management of power distribution and consumption, aspects critical to today’s portable electronic devices.</w:t>
      </w:r>
    </w:p>
    <w:p>
      <w:pPr>
        <w:spacing w:after="0" w:line="6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analog semiconductor market is diverse and complex, and it is one of the largest sectors of the semiconductor industry. We are the world’s largest supplier of analog semiconductors. Analog chips generated about 40 percent of our Semiconductor revenue in 2006.</w:t>
      </w:r>
    </w:p>
    <w:p>
      <w:pPr>
        <w:spacing w:after="0" w:line="132"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Our analog product portfolio includes custom mixed-signal products that are designed to a particular customer’s or application’s specifications. These products account for about 55 percent of our analog revenue. The remainder of our analog revenue comes from standard products that are sold across a range of customers and applications. About 40 percent of our analog revenue is from high-performance standard products and about 5 percent is from commodity standard products.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Many of our custom and standard products are proprietary and difficult for competitors to imitate. Many standard analog chips tend to have long life spans.</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mixed-signal products combine multiple types of analog functionality or analog and digital functions on a single chip. Purchasers of our custom mixed-signal products tend to be very large companies that require high-volume designs for specific applications such as communications, displays, printers and automotive. Entry into this market requires significant up-front investment as well as expertise in both analog and digital functionality. A primary competitive factor in this market is manufacturing expertise and scale.</w:t>
      </w:r>
    </w:p>
    <w:p>
      <w:pPr>
        <w:spacing w:after="0" w:line="14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the standard analog chip sub-category known as high-performance analog, we have a portfolio of about 15,000 products, including data converters, amplifiers, power management devices and interface chips. Our high-performance analog products are used by more than 50,000 customers. These products are sold primarily through distributors. Prices in this market tend to be stable, with relatively high gross profit margins. The primary competitive factors are a diverse product portfolio to meet wide-ranging customer needs, and manufacturing process technologies that allow us to provide differentiated levels of performance. Products with higher levels of performance tend to command a premium price.</w:t>
      </w:r>
    </w:p>
    <w:p>
      <w:pPr>
        <w:spacing w:after="0" w:line="1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Other standard analog chips are commodity in nature. We design and manufacture thousands of low-cost, high-volume standard products that are sold primarily through distributors. End applications are very diverse and include portable electronic devices and communications. The primary competitive factors in this market are price and availability. Pricing is strongly influenced by supply and demand.</w:t>
      </w:r>
    </w:p>
    <w:p>
      <w:pPr>
        <w:spacing w:after="0" w:line="140"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Overall in the analog market, we compete globally with numerous large and small companies, both broad-based suppliers and niche suppliers. Our primary competitors include Analog Devices, Inc.; Freescale Semiconductor, Inc.; Infineon Technologies AG; Linear Technology Corporation; Maxim Integrated Products, Inc.; National Semiconductor Corporation; NXP B.V.; and STMicroelectronics NV.</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Digital Signal Processors, or DSPs</w:t>
      </w:r>
    </w:p>
    <w:p>
      <w:pPr>
        <w:spacing w:after="0" w:line="9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DSP is one of the fastest-growing sectors of the semiconductor industry. We are the world’s largest DSP supplier, and DSP represents about 40 percent of our Semiconductor revenue.</w:t>
      </w:r>
    </w:p>
    <w:p>
      <w:pPr>
        <w:spacing w:after="0" w:line="13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DSPs use complex algorithms and compression techniques to alter and improve a data stream. DSPs perform these functions instantaneously and power-efficiently. These products are ideal for applications that require precise, real-time processing of real-world analog signals that have been converted into digital form. Their power efficiency is important for battery-powered devices.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 w:name="page4"/>
    <w:bookmarkEnd w:id="3"/>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combination of DSP with analog functionality enables a broad range of significant applications. In a cell phone, the process works as follows: 1) the sender’s voice is picked up by an analog sensor in the cell phone’s microphone; 2) an analog-to-digital converter chip changes the analog sound waves of the sender’s voice into a digital code; 3) the DSP compresses these digital signals and removes background noise; and 4) in the listener’s cell phone, the digital code is converted back into the analog sound of the sender’s voice. All this happens in real time.</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offer programmable DSPs, which, among other benefits, enable manufacturers to differentiate their product designs via software rather than having to design new hardware.</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DSP portfolio includes custom, application-specific and standard products. Custom products are designed for specific customers with very high volumes in established markets. Application-specific products are implementations crafted for specific applications like wireless infrastructure, VoIP (Voice over Internet Protocol) gateways, digital still cameras and residential gateways, to name a few. Our standard DSP products are sold into a broad range of applications and seed the next generation of signal-processing innovation.</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About 80 percent of our DSP revenue comes from the cell-phone market, most of which is derived from custom chips that we develop with large cell-phone manufacturer customers. These products are typically highly integrated semiconductor devices that allow our customers to differentiate their cell-phone products from their competitors’ products through performance, features or cost, and are sold only to a single, high-volume customer. Additional DSP revenue from this market comes from our sales of chipsets. Also included in our DSP-based wireless portfolio are the widely used OMAP</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processors, which are high-performance processors that enable multimedia applications in cell phones and other electronic devices.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DSP market, we compete globally with numerous large and small companies, both broad-based and niche suppliers of DSPs as well as suppliers of other technologies that deliver functionality that competes with DSPs. Primary competitive factors are the ability to design and cost-effectively manufacture products, system-level knowledge about targeted end markets, software expertise and applications support. Our primary competitors in the DSP market are Agere Systems, Inc.; Analog Devices, Inc.; Freescale Semiconductor, Inc.; and NXP B.V. Others who offer competing technologies include Broadcom Corp., Marvell Technology Group, Ltd. and QUALCOMM Incorporated.</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Semiconductor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other Semiconductor products, which combined account for about 20 percent of our Semiconductor revenue, include the following: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DLP</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Products</w:t>
      </w:r>
    </w:p>
    <w:p>
      <w:pPr>
        <w:spacing w:after="0" w:line="4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DLP technology is a digital display technology used in projectors and high-definition televisions. Projectors based on this technology are used in businesses, homes, professional venues and digital cinemas. The technology consists of micro-electromechanical devices that use optical semiconductors to digitally manipulate light. At the center of every DLP product is an array of up to 2.2 million microscopic mirrors. Each mirror tilts back and forth thousands of times each second to create a high resolution, highly reliable, full color image. This technology is used by more than 70 of the world’s top projector and television manufacturers. Since early 1996 when DLP products were first marketed, TI has shipped more than 10 million DLP sub-systems to customers all over the world.</w:t>
      </w:r>
    </w:p>
    <w:p>
      <w:pPr>
        <w:spacing w:after="0" w:line="118"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Our DLP technology competes against other display technologies such as liquid crystal display (LCD), plasma and cathode-ray tube (CRT). The primary competitive elements in this market include picture quality, product form factors, versatility and price.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Reduced Instruction-Set Computing (RISC) Microprocessors</w:t>
      </w:r>
    </w:p>
    <w:p>
      <w:pPr>
        <w:spacing w:after="0" w:line="90" w:lineRule="exact"/>
        <w:rPr>
          <w:sz w:val="20"/>
          <w:szCs w:val="20"/>
          <w:color w:val="auto"/>
        </w:rPr>
      </w:pPr>
    </w:p>
    <w:p>
      <w:pPr>
        <w:ind w:right="440"/>
        <w:spacing w:after="0" w:line="370" w:lineRule="auto"/>
        <w:rPr>
          <w:sz w:val="20"/>
          <w:szCs w:val="20"/>
          <w:color w:val="auto"/>
        </w:rPr>
      </w:pPr>
      <w:r>
        <w:rPr>
          <w:rFonts w:ascii="Arial" w:cs="Arial" w:eastAsia="Arial" w:hAnsi="Arial"/>
          <w:sz w:val="15"/>
          <w:szCs w:val="15"/>
          <w:color w:val="auto"/>
        </w:rPr>
        <w:t>A microprocessor is the central processing unit of a computer system. RISC microprocessors are designed to provide very fast computing, typically for a specialized application such as servers. Our RISC products are primarily 64-bit microprocessors designed by Sun Microsystems, Inc. for use in Sun servers.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Microcontrollers</w:t>
      </w:r>
    </w:p>
    <w:p>
      <w:pPr>
        <w:spacing w:after="0" w:line="9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 microcontroller is a microprocessor designed to control a very specific task for electronic equipment. Key applications for our microcontrollers include automotive, industrial motors and controls, meters and consumer products. Primary competitive factors in this market include integration of control peripherals for reduced board space and number of components, an integrated development environment for fast system development and a broad range of microcontroller solutions for upgradeability and flexibility in system design.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Standard Logic</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Standard logic devices are chips generally used to manage the interchange and manipulation of signals within a system. A substantial number of our standard logic products are considered commodities, for which price and delivery are the key competitive factors. We sell thousands of different standard logic products, primarily to distributors. End applications include consumer products and communications.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 additional source of revenue for TI is royalties received for our patented technology that we license to other electronics companies.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Applications for Our Semiconductor Products</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table below lists the major end markets that use our Semiconductor products and the approximate percentage of our Semiconductor revenue that the market represents. The chart also lists the most frequent applications and our products used within these key markets.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End Market</w:t>
            </w:r>
          </w:p>
        </w:tc>
        <w:tc>
          <w:tcPr>
            <w:tcW w:w="220" w:type="dxa"/>
            <w:vAlign w:val="bottom"/>
          </w:tcPr>
          <w:p>
            <w:pPr>
              <w:spacing w:after="0"/>
              <w:rPr>
                <w:sz w:val="15"/>
                <w:szCs w:val="15"/>
                <w:color w:val="auto"/>
              </w:rPr>
            </w:pPr>
          </w:p>
        </w:tc>
        <w:tc>
          <w:tcPr>
            <w:tcW w:w="7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Applications</w:t>
            </w:r>
          </w:p>
        </w:tc>
        <w:tc>
          <w:tcPr>
            <w:tcW w:w="1620" w:type="dxa"/>
            <w:vAlign w:val="bottom"/>
            <w:gridSpan w:val="2"/>
          </w:tcPr>
          <w:p>
            <w:pPr>
              <w:ind w:left="220"/>
              <w:spacing w:after="0"/>
              <w:rPr>
                <w:sz w:val="20"/>
                <w:szCs w:val="20"/>
                <w:color w:val="auto"/>
              </w:rPr>
            </w:pPr>
            <w:r>
              <w:rPr>
                <w:rFonts w:ascii="Arial" w:cs="Arial" w:eastAsia="Arial" w:hAnsi="Arial"/>
                <w:sz w:val="14"/>
                <w:szCs w:val="14"/>
                <w:b w:val="1"/>
                <w:bCs w:val="1"/>
                <w:color w:val="auto"/>
              </w:rPr>
              <w:t>TI Products</w:t>
            </w:r>
          </w:p>
        </w:tc>
      </w:tr>
      <w:tr>
        <w:trPr>
          <w:trHeight w:val="195"/>
        </w:trPr>
        <w:tc>
          <w:tcPr>
            <w:tcW w:w="2060" w:type="dxa"/>
            <w:vAlign w:val="bottom"/>
          </w:tcPr>
          <w:p>
            <w:pPr>
              <w:spacing w:after="0" w:line="195" w:lineRule="exact"/>
              <w:rPr>
                <w:sz w:val="20"/>
                <w:szCs w:val="20"/>
                <w:color w:val="auto"/>
              </w:rPr>
            </w:pPr>
            <w:r>
              <w:rPr>
                <w:rFonts w:ascii="Arial" w:cs="Arial" w:eastAsia="Arial" w:hAnsi="Arial"/>
                <w:sz w:val="18"/>
                <w:szCs w:val="18"/>
                <w:b w:val="1"/>
                <w:bCs w:val="1"/>
                <w:color w:val="auto"/>
              </w:rPr>
              <w:t>Communications</w:t>
            </w:r>
          </w:p>
        </w:tc>
        <w:tc>
          <w:tcPr>
            <w:tcW w:w="220" w:type="dxa"/>
            <w:vAlign w:val="bottom"/>
          </w:tcPr>
          <w:p>
            <w:pPr>
              <w:spacing w:after="0"/>
              <w:rPr>
                <w:sz w:val="16"/>
                <w:szCs w:val="16"/>
                <w:color w:val="auto"/>
              </w:rPr>
            </w:pPr>
          </w:p>
        </w:tc>
        <w:tc>
          <w:tcPr>
            <w:tcW w:w="7520" w:type="dxa"/>
            <w:vAlign w:val="bottom"/>
          </w:tcPr>
          <w:p>
            <w:pPr>
              <w:spacing w:after="0" w:line="195" w:lineRule="exact"/>
              <w:rPr>
                <w:sz w:val="20"/>
                <w:szCs w:val="20"/>
                <w:color w:val="auto"/>
              </w:rPr>
            </w:pPr>
            <w:r>
              <w:rPr>
                <w:rFonts w:ascii="Arial" w:cs="Arial" w:eastAsia="Arial" w:hAnsi="Arial"/>
                <w:sz w:val="18"/>
                <w:szCs w:val="18"/>
                <w:color w:val="auto"/>
              </w:rPr>
              <w:t>Cell phones and infrastructure equipment (wireless)</w:t>
            </w:r>
          </w:p>
        </w:tc>
        <w:tc>
          <w:tcPr>
            <w:tcW w:w="220" w:type="dxa"/>
            <w:vAlign w:val="bottom"/>
          </w:tcPr>
          <w:p>
            <w:pPr>
              <w:spacing w:after="0"/>
              <w:rPr>
                <w:sz w:val="16"/>
                <w:szCs w:val="16"/>
                <w:color w:val="auto"/>
              </w:rPr>
            </w:pPr>
          </w:p>
        </w:tc>
        <w:tc>
          <w:tcPr>
            <w:tcW w:w="1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DSP, Analog,</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(50% of Semiconductor</w:t>
            </w:r>
          </w:p>
        </w:tc>
        <w:tc>
          <w:tcPr>
            <w:tcW w:w="2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0"/>
              </w:rPr>
              <w:t>Broadband (including high-speed wireless home networking, cable modem, digital subscriber line (DSL))</w:t>
            </w:r>
          </w:p>
        </w:tc>
        <w:tc>
          <w:tcPr>
            <w:tcW w:w="1620" w:type="dxa"/>
            <w:vAlign w:val="bottom"/>
            <w:gridSpan w:val="2"/>
          </w:tcPr>
          <w:p>
            <w:pPr>
              <w:ind w:left="220"/>
              <w:spacing w:after="0"/>
              <w:rPr>
                <w:sz w:val="20"/>
                <w:szCs w:val="20"/>
                <w:color w:val="auto"/>
              </w:rPr>
            </w:pPr>
            <w:r>
              <w:rPr>
                <w:rFonts w:ascii="Arial" w:cs="Arial" w:eastAsia="Arial" w:hAnsi="Arial"/>
                <w:sz w:val="18"/>
                <w:szCs w:val="18"/>
                <w:color w:val="auto"/>
              </w:rPr>
              <w:t>Logic</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2"/>
              </w:rPr>
              <w:t>High-frequency radio, telecom accessories (hands-free and voice-enhancement solutions), navigation</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2"/>
        </w:trPr>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systems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1"/>
        </w:trPr>
        <w:tc>
          <w:tcPr>
            <w:tcW w:w="2060" w:type="dxa"/>
            <w:vAlign w:val="bottom"/>
          </w:tcPr>
          <w:p>
            <w:pPr>
              <w:spacing w:after="0"/>
              <w:rPr>
                <w:sz w:val="20"/>
                <w:szCs w:val="20"/>
                <w:color w:val="auto"/>
              </w:rPr>
            </w:pPr>
            <w:r>
              <w:rPr>
                <w:rFonts w:ascii="Arial" w:cs="Arial" w:eastAsia="Arial" w:hAnsi="Arial"/>
                <w:sz w:val="18"/>
                <w:szCs w:val="18"/>
                <w:b w:val="1"/>
                <w:bCs w:val="1"/>
                <w:color w:val="auto"/>
              </w:rPr>
              <w:t>Computing</w:t>
            </w:r>
          </w:p>
        </w:tc>
        <w:tc>
          <w:tcPr>
            <w:tcW w:w="22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Printers</w:t>
            </w:r>
          </w:p>
        </w:tc>
        <w:tc>
          <w:tcPr>
            <w:tcW w:w="1620" w:type="dxa"/>
            <w:vAlign w:val="bottom"/>
            <w:gridSpan w:val="2"/>
          </w:tcPr>
          <w:p>
            <w:pPr>
              <w:ind w:left="220"/>
              <w:spacing w:after="0"/>
              <w:rPr>
                <w:sz w:val="20"/>
                <w:szCs w:val="20"/>
                <w:color w:val="auto"/>
              </w:rPr>
            </w:pPr>
            <w:r>
              <w:rPr>
                <w:rFonts w:ascii="Arial" w:cs="Arial" w:eastAsia="Arial" w:hAnsi="Arial"/>
                <w:sz w:val="18"/>
                <w:szCs w:val="18"/>
                <w:color w:val="auto"/>
              </w:rPr>
              <w:t>Analog, DLP</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(25% of Semiconductor</w:t>
            </w:r>
          </w:p>
        </w:tc>
        <w:tc>
          <w:tcPr>
            <w:tcW w:w="2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Hard disk drives</w:t>
            </w:r>
          </w:p>
        </w:tc>
        <w:tc>
          <w:tcPr>
            <w:tcW w:w="1620" w:type="dxa"/>
            <w:vAlign w:val="bottom"/>
            <w:gridSpan w:val="2"/>
          </w:tcPr>
          <w:p>
            <w:pPr>
              <w:ind w:left="220"/>
              <w:spacing w:after="0"/>
              <w:rPr>
                <w:sz w:val="20"/>
                <w:szCs w:val="20"/>
                <w:color w:val="auto"/>
              </w:rPr>
            </w:pPr>
            <w:r>
              <w:rPr>
                <w:rFonts w:ascii="Arial" w:cs="Arial" w:eastAsia="Arial" w:hAnsi="Arial"/>
                <w:sz w:val="18"/>
                <w:szCs w:val="18"/>
                <w:color w:val="auto"/>
              </w:rPr>
              <w:t>Products,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Monitors and projectors</w:t>
            </w:r>
          </w:p>
        </w:tc>
        <w:tc>
          <w:tcPr>
            <w:tcW w:w="1620" w:type="dxa"/>
            <w:vAlign w:val="bottom"/>
            <w:gridSpan w:val="2"/>
          </w:tcPr>
          <w:p>
            <w:pPr>
              <w:ind w:left="220"/>
              <w:spacing w:after="0"/>
              <w:rPr>
                <w:sz w:val="20"/>
                <w:szCs w:val="20"/>
                <w:color w:val="auto"/>
              </w:rPr>
            </w:pPr>
            <w:r>
              <w:rPr>
                <w:rFonts w:ascii="Arial" w:cs="Arial" w:eastAsia="Arial" w:hAnsi="Arial"/>
                <w:sz w:val="18"/>
                <w:szCs w:val="18"/>
                <w:color w:val="auto"/>
              </w:rPr>
              <w:t>Microprocessors,</w:t>
            </w:r>
          </w:p>
        </w:tc>
      </w:tr>
      <w:tr>
        <w:trPr>
          <w:trHeight w:val="222"/>
        </w:trPr>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Notebook and desktop personal computers and servers</w:t>
            </w:r>
          </w:p>
        </w:tc>
        <w:tc>
          <w:tcPr>
            <w:tcW w:w="1620" w:type="dxa"/>
            <w:vAlign w:val="bottom"/>
            <w:gridSpan w:val="2"/>
          </w:tcPr>
          <w:p>
            <w:pPr>
              <w:ind w:left="220"/>
              <w:spacing w:after="0"/>
              <w:rPr>
                <w:sz w:val="20"/>
                <w:szCs w:val="20"/>
                <w:color w:val="auto"/>
              </w:rPr>
            </w:pPr>
            <w:r>
              <w:rPr>
                <w:rFonts w:ascii="Arial" w:cs="Arial" w:eastAsia="Arial" w:hAnsi="Arial"/>
                <w:sz w:val="18"/>
                <w:szCs w:val="18"/>
                <w:color w:val="auto"/>
              </w:rPr>
              <w:t>Logic, DSP</w:t>
            </w:r>
          </w:p>
        </w:tc>
      </w:tr>
      <w:tr>
        <w:trPr>
          <w:trHeight w:val="331"/>
        </w:trPr>
        <w:tc>
          <w:tcPr>
            <w:tcW w:w="2060" w:type="dxa"/>
            <w:vAlign w:val="bottom"/>
          </w:tcPr>
          <w:p>
            <w:pPr>
              <w:spacing w:after="0"/>
              <w:rPr>
                <w:sz w:val="20"/>
                <w:szCs w:val="20"/>
                <w:color w:val="auto"/>
              </w:rPr>
            </w:pPr>
            <w:r>
              <w:rPr>
                <w:rFonts w:ascii="Arial" w:cs="Arial" w:eastAsia="Arial" w:hAnsi="Arial"/>
                <w:sz w:val="18"/>
                <w:szCs w:val="18"/>
                <w:b w:val="1"/>
                <w:bCs w:val="1"/>
                <w:color w:val="auto"/>
              </w:rPr>
              <w:t>Consumer Electronics</w:t>
            </w:r>
          </w:p>
        </w:tc>
        <w:tc>
          <w:tcPr>
            <w:tcW w:w="22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High-definition televisions</w:t>
            </w:r>
          </w:p>
        </w:tc>
        <w:tc>
          <w:tcPr>
            <w:tcW w:w="1620" w:type="dxa"/>
            <w:vAlign w:val="bottom"/>
            <w:gridSpan w:val="2"/>
          </w:tcPr>
          <w:p>
            <w:pPr>
              <w:ind w:left="220"/>
              <w:spacing w:after="0"/>
              <w:rPr>
                <w:sz w:val="20"/>
                <w:szCs w:val="20"/>
                <w:color w:val="auto"/>
              </w:rPr>
            </w:pPr>
            <w:r>
              <w:rPr>
                <w:rFonts w:ascii="Arial" w:cs="Arial" w:eastAsia="Arial" w:hAnsi="Arial"/>
                <w:sz w:val="18"/>
                <w:szCs w:val="18"/>
                <w:color w:val="auto"/>
              </w:rPr>
              <w:t>DSP, Analog,</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(10% of Semiconductor</w:t>
            </w:r>
          </w:p>
        </w:tc>
        <w:tc>
          <w:tcPr>
            <w:tcW w:w="2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Digital still cameras</w:t>
            </w:r>
          </w:p>
        </w:tc>
        <w:tc>
          <w:tcPr>
            <w:tcW w:w="1620" w:type="dxa"/>
            <w:vAlign w:val="bottom"/>
            <w:gridSpan w:val="2"/>
          </w:tcPr>
          <w:p>
            <w:pPr>
              <w:ind w:left="220"/>
              <w:spacing w:after="0"/>
              <w:rPr>
                <w:sz w:val="20"/>
                <w:szCs w:val="20"/>
                <w:color w:val="auto"/>
              </w:rPr>
            </w:pPr>
            <w:r>
              <w:rPr>
                <w:rFonts w:ascii="Arial" w:cs="Arial" w:eastAsia="Arial" w:hAnsi="Arial"/>
                <w:sz w:val="18"/>
                <w:szCs w:val="18"/>
                <w:color w:val="auto"/>
              </w:rPr>
              <w:t>Logic, DLP</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Digital audio players</w:t>
            </w:r>
          </w:p>
        </w:tc>
        <w:tc>
          <w:tcPr>
            <w:tcW w:w="1620" w:type="dxa"/>
            <w:vAlign w:val="bottom"/>
            <w:gridSpan w:val="2"/>
          </w:tcPr>
          <w:p>
            <w:pPr>
              <w:ind w:left="220"/>
              <w:spacing w:after="0"/>
              <w:rPr>
                <w:sz w:val="20"/>
                <w:szCs w:val="20"/>
                <w:color w:val="auto"/>
              </w:rPr>
            </w:pPr>
            <w:r>
              <w:rPr>
                <w:rFonts w:ascii="Arial" w:cs="Arial" w:eastAsia="Arial" w:hAnsi="Arial"/>
                <w:sz w:val="18"/>
                <w:szCs w:val="18"/>
                <w:color w:val="auto"/>
              </w:rPr>
              <w:t>Products</w:t>
            </w:r>
          </w:p>
        </w:tc>
      </w:tr>
      <w:tr>
        <w:trPr>
          <w:trHeight w:val="216"/>
        </w:trPr>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Personal video players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Car audio (radios and CD players)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DVD players and recorders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2"/>
        </w:trPr>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Home theater systems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1"/>
        </w:trPr>
        <w:tc>
          <w:tcPr>
            <w:tcW w:w="2060" w:type="dxa"/>
            <w:vAlign w:val="bottom"/>
          </w:tcPr>
          <w:p>
            <w:pPr>
              <w:spacing w:after="0"/>
              <w:rPr>
                <w:sz w:val="20"/>
                <w:szCs w:val="20"/>
                <w:color w:val="auto"/>
              </w:rPr>
            </w:pPr>
            <w:r>
              <w:rPr>
                <w:rFonts w:ascii="Arial" w:cs="Arial" w:eastAsia="Arial" w:hAnsi="Arial"/>
                <w:sz w:val="18"/>
                <w:szCs w:val="18"/>
                <w:b w:val="1"/>
                <w:bCs w:val="1"/>
                <w:color w:val="auto"/>
              </w:rPr>
              <w:t>Industrial</w:t>
            </w:r>
          </w:p>
        </w:tc>
        <w:tc>
          <w:tcPr>
            <w:tcW w:w="22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5"/>
              </w:rPr>
              <w:t>Controls - digital power controls (switch mode power supplies, uninterruptible power supply), motor</w:t>
            </w:r>
          </w:p>
        </w:tc>
        <w:tc>
          <w:tcPr>
            <w:tcW w:w="1620" w:type="dxa"/>
            <w:vAlign w:val="bottom"/>
            <w:gridSpan w:val="2"/>
          </w:tcPr>
          <w:p>
            <w:pPr>
              <w:ind w:left="220"/>
              <w:spacing w:after="0"/>
              <w:rPr>
                <w:sz w:val="20"/>
                <w:szCs w:val="20"/>
                <w:color w:val="auto"/>
              </w:rPr>
            </w:pPr>
            <w:r>
              <w:rPr>
                <w:rFonts w:ascii="Arial" w:cs="Arial" w:eastAsia="Arial" w:hAnsi="Arial"/>
                <w:sz w:val="18"/>
                <w:szCs w:val="18"/>
                <w:color w:val="auto"/>
              </w:rPr>
              <w:t>Analog, Logic,</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(&lt;10% of Semiconductor</w:t>
            </w:r>
          </w:p>
        </w:tc>
        <w:tc>
          <w:tcPr>
            <w:tcW w:w="2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controls (heating/ventilation/air conditioning, industrial control motor drives, power tools,</w:t>
            </w:r>
          </w:p>
        </w:tc>
        <w:tc>
          <w:tcPr>
            <w:tcW w:w="1620" w:type="dxa"/>
            <w:vAlign w:val="bottom"/>
            <w:gridSpan w:val="2"/>
          </w:tcPr>
          <w:p>
            <w:pPr>
              <w:ind w:left="220"/>
              <w:spacing w:after="0"/>
              <w:rPr>
                <w:sz w:val="20"/>
                <w:szCs w:val="20"/>
                <w:color w:val="auto"/>
              </w:rPr>
            </w:pPr>
            <w:r>
              <w:rPr>
                <w:rFonts w:ascii="Arial" w:cs="Arial" w:eastAsia="Arial" w:hAnsi="Arial"/>
                <w:sz w:val="18"/>
                <w:szCs w:val="18"/>
                <w:color w:val="auto"/>
              </w:rPr>
              <w:t>DSP,</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printers/copiers)</w:t>
            </w:r>
          </w:p>
        </w:tc>
        <w:tc>
          <w:tcPr>
            <w:tcW w:w="1620" w:type="dxa"/>
            <w:vAlign w:val="bottom"/>
            <w:gridSpan w:val="2"/>
          </w:tcPr>
          <w:p>
            <w:pPr>
              <w:ind w:left="220"/>
              <w:spacing w:after="0"/>
              <w:rPr>
                <w:sz w:val="20"/>
                <w:szCs w:val="20"/>
                <w:color w:val="auto"/>
              </w:rPr>
            </w:pPr>
            <w:r>
              <w:rPr>
                <w:rFonts w:ascii="Arial" w:cs="Arial" w:eastAsia="Arial" w:hAnsi="Arial"/>
                <w:sz w:val="18"/>
                <w:szCs w:val="18"/>
                <w:color w:val="auto"/>
              </w:rPr>
              <w:t>Microcontrollers</w:t>
            </w:r>
          </w:p>
        </w:tc>
      </w:tr>
      <w:tr>
        <w:trPr>
          <w:trHeight w:val="216"/>
        </w:trPr>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7"/>
              </w:rPr>
              <w:t>Medical - biophysical monitoring, digital hearing aids, medical imagery, personal medical devices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1"/>
              </w:rPr>
              <w:t>Security - biometrics (fingerprint identification and authentication), intelligent sensing (smoke and glass-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2"/>
        </w:trPr>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breakage detection)</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1"/>
        </w:trPr>
        <w:tc>
          <w:tcPr>
            <w:tcW w:w="2060" w:type="dxa"/>
            <w:vAlign w:val="bottom"/>
          </w:tcPr>
          <w:p>
            <w:pPr>
              <w:spacing w:after="0"/>
              <w:rPr>
                <w:sz w:val="20"/>
                <w:szCs w:val="20"/>
                <w:color w:val="auto"/>
              </w:rPr>
            </w:pPr>
            <w:r>
              <w:rPr>
                <w:rFonts w:ascii="Arial" w:cs="Arial" w:eastAsia="Arial" w:hAnsi="Arial"/>
                <w:sz w:val="18"/>
                <w:szCs w:val="18"/>
                <w:b w:val="1"/>
                <w:bCs w:val="1"/>
                <w:color w:val="auto"/>
              </w:rPr>
              <w:t>Automotive</w:t>
            </w:r>
          </w:p>
        </w:tc>
        <w:tc>
          <w:tcPr>
            <w:tcW w:w="22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Body systems</w:t>
            </w:r>
          </w:p>
        </w:tc>
        <w:tc>
          <w:tcPr>
            <w:tcW w:w="1620" w:type="dxa"/>
            <w:vAlign w:val="bottom"/>
            <w:gridSpan w:val="2"/>
          </w:tcPr>
          <w:p>
            <w:pPr>
              <w:ind w:left="220"/>
              <w:spacing w:after="0"/>
              <w:rPr>
                <w:sz w:val="20"/>
                <w:szCs w:val="20"/>
                <w:color w:val="auto"/>
              </w:rPr>
            </w:pPr>
            <w:r>
              <w:rPr>
                <w:rFonts w:ascii="Arial" w:cs="Arial" w:eastAsia="Arial" w:hAnsi="Arial"/>
                <w:sz w:val="18"/>
                <w:szCs w:val="18"/>
                <w:color w:val="auto"/>
              </w:rPr>
              <w:t>Microcontrollers,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(5% of Semiconductor</w:t>
            </w:r>
          </w:p>
        </w:tc>
        <w:tc>
          <w:tcPr>
            <w:tcW w:w="2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Chassis systems</w:t>
            </w:r>
          </w:p>
        </w:tc>
        <w:tc>
          <w:tcPr>
            <w:tcW w:w="1620" w:type="dxa"/>
            <w:vAlign w:val="bottom"/>
            <w:gridSpan w:val="2"/>
          </w:tcPr>
          <w:p>
            <w:pPr>
              <w:ind w:left="220"/>
              <w:spacing w:after="0"/>
              <w:rPr>
                <w:sz w:val="20"/>
                <w:szCs w:val="20"/>
                <w:color w:val="auto"/>
              </w:rPr>
            </w:pPr>
            <w:r>
              <w:rPr>
                <w:rFonts w:ascii="Arial" w:cs="Arial" w:eastAsia="Arial" w:hAnsi="Arial"/>
                <w:sz w:val="18"/>
                <w:szCs w:val="18"/>
                <w:color w:val="auto"/>
              </w:rPr>
              <w:t>Analog, DSP,</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Driver information/telemetrics</w:t>
            </w:r>
          </w:p>
        </w:tc>
        <w:tc>
          <w:tcPr>
            <w:tcW w:w="1620" w:type="dxa"/>
            <w:vAlign w:val="bottom"/>
            <w:gridSpan w:val="2"/>
          </w:tcPr>
          <w:p>
            <w:pPr>
              <w:ind w:left="220"/>
              <w:spacing w:after="0"/>
              <w:rPr>
                <w:sz w:val="20"/>
                <w:szCs w:val="20"/>
                <w:color w:val="auto"/>
              </w:rPr>
            </w:pPr>
            <w:r>
              <w:rPr>
                <w:rFonts w:ascii="Arial" w:cs="Arial" w:eastAsia="Arial" w:hAnsi="Arial"/>
                <w:sz w:val="18"/>
                <w:szCs w:val="18"/>
                <w:color w:val="auto"/>
              </w:rPr>
              <w:t>Logic</w:t>
            </w:r>
          </w:p>
        </w:tc>
      </w:tr>
      <w:tr>
        <w:trPr>
          <w:trHeight w:val="216"/>
        </w:trPr>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Powertrain</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Safety systems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2"/>
        </w:trPr>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Security systems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bl>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Manufacturing</w:t>
      </w:r>
    </w:p>
    <w:p>
      <w:pPr>
        <w:spacing w:after="0" w:line="90"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We have semiconductor manufacturing sites in North America, Japan, Asia and Europe. These facilities include high-volume wafer fabrication plants and assembly/test sites. Our semiconductor manufacturing facilities require substantial investment to construct and are largely fixed-cost assets once they are in operation. Because we own most of our manufacturing capacity, a significant portion of our operating costs are fixed. In general, these costs do not decline when</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5" w:name="page6"/>
    <w:bookmarkEnd w:id="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customer demand or our capacity utilization rates drop, and this can hurt our profit margins. Conversely, as product demand rises and factory utilization increases, the fixed costs are spread over increased output, which should benefit profit margins.</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semiconductor manufacturing process begins with a thin silicon wafer on which an array of semiconductor devices is fabricated. The wafer is then tested, cut into chips, and assembled into packages that are then individually retested.</w:t>
      </w:r>
    </w:p>
    <w:p>
      <w:pPr>
        <w:spacing w:after="0" w:line="13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Our advanced digital products require the most advanced and most capital-intensive manufacturing processes. DSPs and other digital products tend to move to more advanced production techniques every couple of years. Consequently, maintaining an industry leadership position requires significant capital expenditures for new manufacturing capabilities.</w:t>
      </w:r>
    </w:p>
    <w:p>
      <w:pPr>
        <w:spacing w:after="0" w:line="14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manufacturing strategy for advanced digital processes is to build internal capacity to a level we believe will remain fully utilized over the equipment’s asset lifetime. We then outsource remaining capacity from outside suppliers, including semiconductor foundries and assembly/test subcontractors. We also outsource the manufacturing of some products when it would be less cost-efficient to make those products in-house, for instance, relatively low-volume products that are unlikely to keep internal equipment fully utilized. This internal/external strategy is designed to reduce the level of our required capital expenditures, and thereby reduce our subsequent levels of depreciation. The expected end result is less fluctuation in our profit margins due to changing product demand. Currently, outside foundries provide about 25 percent of our total wafers produced.</w:t>
      </w:r>
    </w:p>
    <w:p>
      <w:pPr>
        <w:spacing w:after="0" w:line="12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Another element of our manufacturing strategy is the development of advanced digital manufacturing processes. We have traditionally developed these processes in-house. Moving forward, we will work collaboratively with our foundry suppliers to specify and drive the next generations of digital process technology instead of separately creating our own process technology. We expect that our 32-nanometer manufacturing process will be the first process technology developed entirely through this new collaboration. This strategic shift will allow us to better serve customers with cost-effective digital process technology from our foundry suppliers, while increasing the efficiency of our own research and development (R&amp;D) and capital. We will continue to develop our own analog process technologies.</w:t>
      </w:r>
    </w:p>
    <w:p>
      <w:pPr>
        <w:spacing w:after="0" w:line="144"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As we move to each succeeding generation of manufacturing process technology, we utilize less space per transistor, which enables us to either: 1) fit more transistors on an equivalent-size chip, 2) decrease the chip’s size or 3) integrate new features onto the chip. By shrinking the size of transistors, we also can provide faster chips that consume less power and cost less per unit to manufacture.</w:t>
      </w:r>
    </w:p>
    <w:p>
      <w:pPr>
        <w:spacing w:after="0" w:line="14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manufacturing capabilities are on par with the best in the semiconductor industry. As of December 31, 2006, we have shipped more than half a billion chips manufactured using 90-nanometer process technology, and our 65-nanometer process is in the early stages of production. Our advanced semiconductor R&amp;D is now done side-by-side with production of 300-millimeter (mm) wafers in our Dallas DMOS 6 fabrication plant. 300-mm wafers greatly expand the number of equivalent chips we can put on a single wafer, compared with the previous 200-mm wafers. Construction of our new 300-mm wafer fabrication plant in Richardson, Texas (RFAB) has been completed.</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2006, a majority of our advanced digital products were built using 130- or 90-nanometer manufacturing process technology, while devices using 65-nanometer technology continued to increase throughout the year. One nanometer is one billionth of a meter.</w:t>
      </w:r>
    </w:p>
    <w:p>
      <w:pPr>
        <w:spacing w:after="0" w:line="132"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Since analog manufacturing technology evolves more slowly than digital manufacturing technology, analog products typically do not require us to build new manufacturing facilities. This tends to improve the profit margin on analog products, since the equipment on which they are manufactured is frequently fully depreciated.</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Design Centers</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design centers provide design, engineering and product application support as well as after-sales customer service design. The design centers are strategically located around the world to take advantage of key technical and engineering talent and proximity to key customers.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Customers</w:t>
      </w:r>
    </w:p>
    <w:p>
      <w:pPr>
        <w:spacing w:after="0" w:line="9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Our Semiconductor products are sold to original equipment manufacturers (OEMs), ODMs, contract manufacturers and distributors. (An OEM designs and sells products under its own brand that it manufactures in-house or has manufactured by others.) Our largest single customer in 2006 was an OEM, the Nokia group of companies. Direct sales to Nokia were more than 10 percent of our revenue in both 2005 and 2006.</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6" w:name="page7"/>
    <w:bookmarkEnd w:id="6"/>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Sales and Distribution</w:t>
      </w:r>
    </w:p>
    <w:p>
      <w:pPr>
        <w:spacing w:after="0" w:line="9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We market and sell our products through a direct sales force, distributors and authorized third-party sales representatives. We have sales or marketing offices in over 25 countries worldwide. Distributors, located around the world, account for about 30 percent of our Semiconductor revenue, and they sell our products directly to a wide range of customers. These distributors typically maintain an inventory of our products. They also sell products from our competitors.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 Technology Segment</w:t>
      </w:r>
    </w:p>
    <w:p>
      <w:pPr>
        <w:spacing w:after="0" w:line="9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Education Technology is a leading supplier of graphing handheld calculators. This business segment also provides its customers with business and scientific calculators and a wide range of advanced classroom tools and professional development resources to help students and teachers interactively explore math and science. Education Technology relies on third-party manufacturers to build its products. This segment contributed 4 percent of our 2006 revenue.</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Competition</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principal competitors in this business are U.S.- and Japan-based companies. The principal competitive factors are an understanding of the education market, technology expertise and price.</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Sales and Distribution</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Education Technology sells its products primarily through retailers and instructional dealers.</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Acquisitions, Divestitures and Investments</w:t>
      </w:r>
    </w:p>
    <w:p>
      <w:pPr>
        <w:spacing w:after="0" w:line="9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From time to time we consider acquisitions and divestitures that may strengthen or better focus our business portfolio. We also make investments directly or indirectly in private companies. Investments are focused primarily on next-generation technologies and markets strategic to us.</w:t>
      </w:r>
    </w:p>
    <w:p>
      <w:pPr>
        <w:spacing w:after="0" w:line="8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January 2006, we closed the acquisition of Chipcon Group ASA, a leading company in the design of short-range, low-power wireless radio-frequency (RF) transceiver devices. Chipcon’s product line complements our existing high-performance analog, power management and ultra-low-power microcontroller portfolio. We paid $183 million in cash for Chipcon.</w:t>
      </w:r>
    </w:p>
    <w:p>
      <w:pPr>
        <w:spacing w:after="0" w:line="14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January 2006, we entered into a definitive agreement to sell the Sensors &amp; Control segment, excluding the radio frequency identification (RFID) systems operations, to an affiliate of Bain Capital, LLC, for $3 billion in cash. The sale was completed on April 27, 2006. The RFID operations are now included in the Semiconductor business segment.</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Backlog</w:t>
      </w:r>
    </w:p>
    <w:p>
      <w:pPr>
        <w:spacing w:after="0" w:line="9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backlog of orders was $1.64 billion at December 31, 2006, and $1.88 billion at December 31, 2005. A substantial number of orders are shipped during the quarter in which they are received. We define backlog as of a particular date as firm purchase orders with a customer-requested delivery date within a maximum length of time. As customer requirements and industry conditions change, orders may be, under certain circumstances, subject to cancellation or modification of terms such as pricing, quantity or delivery date. Customer order placement practices continually evolve based on customers’ individual business needs and capabilities, as well as industry supply and capacity considerations. Accordingly, we believe that our backlog at any particular date may not be indicative of revenue for any future period.</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Raw Materials</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purchase materials, parts and supplies from a number of suppliers. In some cases we purchase such items from sole source suppliers. The materials, parts and supplies essential to our business are generally available at present, and we believe that such materials, parts and supplies will be available in the foreseeable future.</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Intellectual Property</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own many patents, and have many patent applications pending, in the United States and other countries in fields relating to our business. We have developed a strong, broad-based patent portfolio and continually add patents to that portfolio. We also have several agreements with other companies involving license rights and anticipate that other license agreements may be negotiated in the future. In general, our license agreements have multi-year terms and may be renewed after renegotiation.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7" w:name="page8"/>
    <w:bookmarkEnd w:id="7"/>
    <w:p>
      <w:pPr>
        <w:jc w:val="both"/>
        <w:ind w:right="3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Semiconductor patent portfolio is an ongoing contributor to Semiconductor revenue. We do not consider our business materially dependent upon any one patent or patent license, although taken as a whole, our rights and the products made and sold under patents and patent licenses are important to our business.</w:t>
      </w:r>
    </w:p>
    <w:p>
      <w:pPr>
        <w:spacing w:after="0" w:line="6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often participate in industry initiatives to set technical standards. Our competitors may also participate in the same initiatives. Participation in these initiatives may require us to license our patents to other companies.</w:t>
      </w:r>
    </w:p>
    <w:p>
      <w:pPr>
        <w:spacing w:after="0" w:line="132"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We own trademarks that are used in the conduct of our business. These trademarks are valuable assets, the most important of which are “Texas Instruments” and our corporate monogram. Other valuable trademarks include DLP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OMAP</w:t>
      </w:r>
      <w:r>
        <w:rPr>
          <w:rFonts w:ascii="Arial" w:cs="Arial" w:eastAsia="Arial" w:hAnsi="Arial"/>
          <w:sz w:val="22"/>
          <w:szCs w:val="22"/>
          <w:color w:val="auto"/>
          <w:vertAlign w:val="superscript"/>
        </w:rPr>
        <w:t>™</w:t>
      </w:r>
      <w:r>
        <w:rPr>
          <w:rFonts w:ascii="Arial" w:cs="Arial" w:eastAsia="Arial" w:hAnsi="Arial"/>
          <w:sz w:val="18"/>
          <w:szCs w:val="18"/>
          <w:color w:val="auto"/>
        </w:rPr>
        <w:t>.</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Research and Development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Our primary area of R&amp;D investment is semiconductor products and semiconductor manufacturing technology. We conduct most of our R&amp;D internally.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we also closely engage with a wide range of external industry consortia and universities and collaborate with our foundry suppliers.</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From time to time we may terminate R&amp;D projects before completion or decide not to manufacture and sell a developed product. We do not expect that all of our R&amp;D projects will result in products that are ultimately released for sale or that our projects will contribute to revenue until at least a few years following completion.</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R&amp;D expense was $2.20 billion in 2006, compared with $1.99 billion in 2005 and $1.95 billion in 2004.</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Seasonality</w:t>
      </w:r>
    </w:p>
    <w:p>
      <w:pPr>
        <w:spacing w:after="0" w:line="9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Our revenue and operating results are subject to some seasonal variation. Education Technology experiences its strongest results in the second and third quarters in preparation for the back-to-school season. The Semiconductor segment generally has a weak first quarter, particularly in product areas such as wireless and consumer electronics that have stronger sales later in the year as manufacturers prepare for the holiday selling season.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Officers of the Registrant</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is an alphabetical list of the names and ages of the executive officers of the company and the positions or offices with the company presently held by each person named: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6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Age</w:t>
            </w:r>
          </w:p>
        </w:tc>
        <w:tc>
          <w:tcPr>
            <w:tcW w:w="160" w:type="dxa"/>
            <w:vAlign w:val="bottom"/>
          </w:tcPr>
          <w:p>
            <w:pPr>
              <w:spacing w:after="0"/>
              <w:rPr>
                <w:sz w:val="15"/>
                <w:szCs w:val="15"/>
                <w:color w:val="auto"/>
              </w:rPr>
            </w:pPr>
          </w:p>
        </w:tc>
        <w:tc>
          <w:tcPr>
            <w:tcW w:w="8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2280" w:type="dxa"/>
            <w:vAlign w:val="bottom"/>
          </w:tcPr>
          <w:p>
            <w:pPr>
              <w:spacing w:after="0" w:line="195" w:lineRule="exact"/>
              <w:rPr>
                <w:sz w:val="20"/>
                <w:szCs w:val="20"/>
                <w:color w:val="auto"/>
              </w:rPr>
            </w:pPr>
            <w:r>
              <w:rPr>
                <w:rFonts w:ascii="Arial" w:cs="Arial" w:eastAsia="Arial" w:hAnsi="Arial"/>
                <w:sz w:val="18"/>
                <w:szCs w:val="18"/>
                <w:color w:val="auto"/>
              </w:rPr>
              <w:t>R. Gregory Delagi</w:t>
            </w: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44</w:t>
            </w:r>
          </w:p>
        </w:tc>
        <w:tc>
          <w:tcPr>
            <w:tcW w:w="180" w:type="dxa"/>
            <w:vAlign w:val="bottom"/>
          </w:tcPr>
          <w:p>
            <w:pPr>
              <w:spacing w:after="0"/>
              <w:rPr>
                <w:sz w:val="16"/>
                <w:szCs w:val="16"/>
                <w:color w:val="auto"/>
              </w:rPr>
            </w:pPr>
          </w:p>
        </w:tc>
        <w:tc>
          <w:tcPr>
            <w:tcW w:w="8520" w:type="dxa"/>
            <w:vAlign w:val="bottom"/>
            <w:gridSpan w:val="2"/>
          </w:tcPr>
          <w:p>
            <w:pPr>
              <w:ind w:left="160"/>
              <w:spacing w:after="0" w:line="195" w:lineRule="exact"/>
              <w:rPr>
                <w:sz w:val="20"/>
                <w:szCs w:val="20"/>
                <w:color w:val="auto"/>
              </w:rPr>
            </w:pPr>
            <w:r>
              <w:rPr>
                <w:rFonts w:ascii="Arial" w:cs="Arial" w:eastAsia="Arial" w:hAnsi="Arial"/>
                <w:sz w:val="18"/>
                <w:szCs w:val="18"/>
                <w:color w:val="auto"/>
              </w:rPr>
              <w:t>Senior Vice President</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Thomas J. Engibous</w:t>
            </w: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54</w:t>
            </w: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Director; Chairman of the Board</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Arthur L. George, Jr.</w:t>
            </w: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45</w:t>
            </w: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Senior Vice President</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Michael J. Hames</w:t>
            </w: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48</w:t>
            </w: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Senior Vice President</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Joseph F. Hubach</w:t>
            </w: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49</w:t>
            </w: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Senior Vice President, Secretary and General Counsel</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Chung-Shing (C.S.) Lee</w:t>
            </w: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52</w:t>
            </w: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Senior Vice President</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Melendy E. Lovett</w:t>
            </w: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48</w:t>
            </w: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Senior Vice President (President, Education Technology)</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Gregg A. Lowe</w:t>
            </w: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44</w:t>
            </w: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Senior Vice President</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Kevin P. March</w:t>
            </w: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49</w:t>
            </w: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Kevin J. Ritchie</w:t>
            </w: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50</w:t>
            </w: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Senior Vice President</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Richard K. Templeton</w:t>
            </w: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48</w:t>
            </w: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Director; President and Chief Executive Officer</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John C. Van Scoter</w:t>
            </w: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45</w:t>
            </w: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Senior Vice President</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Teresa L. West</w:t>
            </w: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46</w:t>
            </w: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Senior Vice President</w:t>
            </w:r>
          </w:p>
        </w:tc>
      </w:tr>
      <w:tr>
        <w:trPr>
          <w:trHeight w:val="222"/>
        </w:trPr>
        <w:tc>
          <w:tcPr>
            <w:tcW w:w="2280" w:type="dxa"/>
            <w:vAlign w:val="bottom"/>
          </w:tcPr>
          <w:p>
            <w:pPr>
              <w:spacing w:after="0"/>
              <w:rPr>
                <w:sz w:val="20"/>
                <w:szCs w:val="20"/>
                <w:color w:val="auto"/>
              </w:rPr>
            </w:pPr>
            <w:r>
              <w:rPr>
                <w:rFonts w:ascii="Arial" w:cs="Arial" w:eastAsia="Arial" w:hAnsi="Arial"/>
                <w:sz w:val="18"/>
                <w:szCs w:val="18"/>
                <w:color w:val="auto"/>
              </w:rPr>
              <w:t>Darla H. Whitaker</w:t>
            </w: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41</w:t>
            </w: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Senior Vice President</w:t>
            </w:r>
          </w:p>
        </w:tc>
      </w:tr>
    </w:tbl>
    <w:p>
      <w:pPr>
        <w:spacing w:after="0" w:line="1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term of office of the above-listed officers is from the date of their election until their successor shall have been elected and qualified. All executive officers of the company have been employees of the company for more than five years. Ms. West and Messrs. Engibous, Hames, Hubach, Lee, Lowe and Templeton have served as executive officers of the company for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 w:name="page9"/>
    <w:bookmarkEnd w:id="8"/>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more than five years. Mr. March became an executive officer of the company in 2003. Ms. Lovett and Mr. Ritchie became executive officers of the company in 2004. Mr. Van Scoter became an executive officer of the company in 2005. Mr. George and Ms. Whitaker became executive officers of the company in 2006. Mr. Delagi became an executive officer of the company in January 2007.</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Employees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 December 31, 2006, we had 30,986 employees.</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96"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Our Internet address is www.ti.com. Information on our web site is not a part of this report. We make available, free of charge, through our investor relations web site our reports on Forms 10-K, 10-Q and 8-K, and amendments to those reports, as soon as reasonably practicable after they are filed with the SEC. Also available through the TI investor relations web site are reports filed by our directors and executive officers on Forms 3, 4 and 5, and amendments to those reports.</w:t>
      </w:r>
    </w:p>
    <w:p>
      <w:pPr>
        <w:spacing w:after="0" w:line="8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Available on our web site at www.ti.com/corporategovernance are: (i) our Corporate Governance Guidelines; (ii) charters (Statements of Responsibilities) for the Audit, Compensation, and Governance and Stockholder Relations Committees of our board of directors; (iii) our Code of Business Conduct; and (iv) our Code of Ethics for TI Chief Executive Officer and Senior Financial Officers. Stockholders may request copies of these documents free of charge by writing to Texas Instruments Incorporated, P.O. Box 660199, MS 8657, Dallas, Texas, 75266-0199, Attention: Investor Relations.</w:t>
      </w:r>
    </w:p>
    <w:p>
      <w:pPr>
        <w:spacing w:after="0" w:line="14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140"/>
        <w:spacing w:after="0" w:line="314" w:lineRule="auto"/>
        <w:rPr>
          <w:sz w:val="20"/>
          <w:szCs w:val="20"/>
          <w:color w:val="auto"/>
        </w:rPr>
      </w:pPr>
      <w:r>
        <w:rPr>
          <w:rFonts w:ascii="Arial" w:cs="Arial" w:eastAsia="Arial" w:hAnsi="Arial"/>
          <w:sz w:val="15"/>
          <w:szCs w:val="15"/>
          <w:color w:val="auto"/>
        </w:rPr>
        <w:t>You should read the following Risk Factors in conjunction with the factors discussed elsewhere in this and other of our filings with the Securities and Exchange Commission (SEC) and in materials incorporated by reference in these filings. These Risk Factors are intended to highlight certain factors that may affect our financial condition and results of operations and are not meant to be an exhaustive discussion of risks that apply to companies like TI with broad international operations. Like other companies, we are susceptible to macroeconomic downturns in the United States or abroad that may affect the general economic climate and our performance and the performance of our customers. Similarly, the price of our securities is subject to volatility due to fluctuations in general market conditions, differences in our results of operations from estimates and projections generated by the investment community, and other factors beyond our control.</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Cyclicality in the Semiconductor Market May Affect Our Performance.</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semiconductor business is our largest business segment and the principal source of our revenue. The semiconductor market has historically been cyclical and subject to significant and often rapid increases and decreases in product demand. These changes could adversely affect our results of operations and have an adverse effect on the market price of our securities. In particular, our strategic focus in this business is on the development and marketing of analog integrated circuits and digital signal processors. The results of our operations may be adversely affected in the future if demand for analog integrated circuits or digital signal processors decreases or if these markets or key end-equipment markets such as communications, entertainment electronics and computing grow at a significantly slower pace than management expects.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Our Margins May Vary over Time.</w:t>
      </w:r>
    </w:p>
    <w:p>
      <w:pPr>
        <w:spacing w:after="0" w:line="9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Our profit margins may be adversely affected in the future by a number of factors, including decreases in our shipment volume, reductions in, or obsolescence of our inventory and shifts in our product mix. In addition, the highly competitive market environment in which we operate might adversely affect pricing for our products. Because we own most of our manufacturing capacity, a significant portion of our operating costs are fixed. In general, these costs do not decline with reductions in customer demand or our utilization of our manufacturing capacity, and can adversely affect profit margins as a result.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The Technology Industry Is Characterized by Rapid Technological Change That Requires Us to Develop New Technologies and Products.</w:t>
      </w:r>
    </w:p>
    <w:p>
      <w:pPr>
        <w:spacing w:after="0" w:line="11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results of operations depend in part upon our ability to successfully develop, manufacture and market innovative products in a rapidly changing technological environment. We require significant capital to develop new technologies and products to meet changing customer demands that, in turn, may result in shortened product life cycles. Moreover, expenditures for technology and product development are generally made before the commercial viability for such developments can be assured. As a result, there can be no assurance that we will successfully develop and market these new products, that the products we do develop and market will be well received by customers or that we will realize a return on the capital expended to develop such products.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 w:name="page10"/>
    <w:bookmarkEnd w:id="9"/>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Face Substantial Competition That Requires Us to Respond Rapidly to Product Development and Pricing Pressures.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face intense technological and pricing competition in the markets in which we operate. We expect that the level of this competition will increase in the future from large, established semiconductor and related product companies, as well as from emerging companies serving niche markets that we also serve. Certain of our competitors possess sufficient financial, technical and management resources to develop and market products that may compete favorably against those of our products that currently offer technological and/or price advantages over competitive products. Competition results in price and product development pressures, which may result in reduced profit margins and lost business opportunities in the event that we are unable to match price declines or technological, product, applications support, software or manufacturing advances of our competitors.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Our Performance Depends in Part upon Our Ability to Enforce Our Intellectual Property Rights and to Develop and License New Intellectual Property.</w:t>
      </w:r>
    </w:p>
    <w:p>
      <w:pPr>
        <w:spacing w:after="0" w:line="11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Access to worldwide markets depends in part on the continued strength of our intellectual property portfolio. There can be no assurance that, as our business expands into new areas, we will be able to independently develop the technology, software or know-how necessary to conduct our business or that we can do so without infringing the intellectual property rights of others. We may have to rely increasingly on licensed technology from others. To the extent that we rely on licenses from others, there can be no assurance that we will be able to obtain all of the licenses we desire in the future on terms we consider reasonable or at all. The lack of a necessary license could expose us to claims for damages and/or injunction from third parties, as well as claims for indemnification by our customers in instances where we have contractually agreed to indemnify our customers against damages resulting from infringement claims. We actively enforce and protect our intellectual property rights, but there can be no assurance that our efforts will be adequate to prevent the misappropriation or improper use of the protected technology.</w:t>
      </w:r>
    </w:p>
    <w:p>
      <w:pPr>
        <w:spacing w:after="0" w:line="11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benefit from royalty revenue generated from various license agreements. Some agreements expired in 2005 and 2006 and either have been or are currently being renegotiated. Others expire at the end of 2007 and in future years. Although we will attempt to renegotiate license agreements that expire in 2007, there is no guarantee that such negotiations will be successful. Future royalty revenue depends on the strength of our portfolio and enforcement efforts, and on the sales and financial stability of our licensees. Additionally, the consolidation of our licensees may negatively affect our royalty revenue. Royalty revenue from licensees is not always uniform or predictable, in part due to the performance of our licensees and in part due to the timing of new license agreements or the expiration and renewal of existing agreements.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A Decline in Demand in Certain End-User Markets Could Have a Material Adverse Effect on the Demand for Our Products and Results of Operations.</w:t>
      </w:r>
    </w:p>
    <w:p>
      <w:pPr>
        <w:spacing w:after="0" w:line="11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Our customer base includes companies in a wide range of industries, but we generate a significant amount of revenue from sales to customers in the communications and computer-related industries. Within these industries, a large portion of our revenue is generated by the sale of analog integrated circuits and digital signal processors to customers in the cell-phone, personal computer and communications infrastructure markets. Decline in one or several of these end-user markets could have a material adverse effect on the demand for our products and our results of operations and financial condition.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Our Global Manufacturing, Design and Sales Activities Subject Us to Risks Associated with Legal, Political, Economic or Other Changes.</w:t>
      </w:r>
    </w:p>
    <w:p>
      <w:pPr>
        <w:spacing w:after="0" w:line="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have facilities in more than 25 countries worldwide, and in 2006 more than 80 percent of our revenue came from sales to locations outside the United States. Operating internationally exposes us to changes in export controls and other laws or policies, as well as the general political and economic conditions, security risks, health conditions and possible disruptions in transportation networks, of the various countries in which we operate, which could result in an adverse effect on our business operations in such countries and our results of operations. Also, as discussed in more detail on page 55 of our 2006 annual report to stockholders, we use forward currency exchange contracts to minimize the adverse earnings impact from the effect of exchange rate fluctuations on our non-U.S. dollar net balance sheet exposures. Nevertheless, in periods when the U.S. dollar significantly fluctuates in relation to the non-U.S. currencies in which we transact business, the remeasurement of non-U.S. dollar transactions can have an adverse effect on our results of operations and financial condition.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0" w:name="page11"/>
    <w:bookmarkEnd w:id="10"/>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Results of Operations Could be Affected by Natural Events in the Locations in which We, Our Customers or Suppliers Operate.</w:t>
      </w:r>
    </w:p>
    <w:p>
      <w:pPr>
        <w:spacing w:after="0" w:line="90"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We have manufacturing and other operations in locations subject to natural events such as severe weather and earthquakes that could disrupt operations. In addition, our suppliers and customers also have operations in such locations. A natural disaster that results in a prolonged disruption to our operations, or our customers’ or suppliers’, may adversely affect our results of operations and financial condition.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The Loss of or Significant Curtailment of Purchases by Any of Our Largest Customers Could Adversely Affect Our Results of Operations.</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While we generate revenue from thousands of customers worldwide, the loss of or significant curtailment of purchases by one or more of our top customers, including curtailments due to a change in the design or manufacturing sourcing policies or practices of these customers, or the timing of customer or distributor inventory adjustments, may adversely affect our results of operations and financial condition.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Incorrect Forecasts of Customer Demand Could Adversely Affect Our Results of Operations.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ability to match inventory and production mix with the product mix needed to fill current orders and orders to be delivered in the given quarter may affect our ability to meet that quarter’s revenue forecast. In addition, when responding to customers’ requests for shorter shipment lead times, we manufacture product based on forecasts of customers’ demands. These forecasts are based on multiple assumptions. If we inaccurately forecast customer demand, we may hold inadequate, excess or obsolete inventory that would reduce our profit margins and adversely affect our results of operations and financial condition.</w:t>
      </w:r>
    </w:p>
    <w:p>
      <w:pPr>
        <w:spacing w:after="0" w:line="113"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u w:val="single" w:color="auto"/>
          <w:color w:val="auto"/>
        </w:rPr>
        <w:t>Our Performance Depends on the Availability and Cost of Raw Materials, Utilities, Critical Manufacturing Equipment, Manufacturing Processes and Third-Party Manufacturing Services.</w:t>
      </w:r>
    </w:p>
    <w:p>
      <w:pPr>
        <w:spacing w:after="0" w:line="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manufacturing processes and critical manufacturing equipment require that certain key raw materials and utilities be available. Limited or delayed access to and high costs of these items could adversely affect our results of operations. Additionally, the inability to timely implement new manufacturing technologies or install manufacturing equipment could adversely affect our results of operations. We subcontract a portion of our wafer fabrication and assembly and testing of our integrated circuits. We are also in the process of transitioning future advanced digital process technology development to third parties. We depend on a limited number of third parties to perform these functions. We do not have long-term contracts with all of these third parties. Reliance on these third parties involves risks, including possible shortages of capacity in periods of high demand and their inability to develop and deliver advanced digital process technology in a timely and appropriate manner.</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Our Results of Operations Could be Affected by Changes in Taxation.</w:t>
      </w:r>
    </w:p>
    <w:p>
      <w:pPr>
        <w:spacing w:after="0" w:line="90" w:lineRule="exact"/>
        <w:rPr>
          <w:sz w:val="20"/>
          <w:szCs w:val="20"/>
          <w:color w:val="auto"/>
        </w:rPr>
      </w:pPr>
    </w:p>
    <w:p>
      <w:pPr>
        <w:ind w:right="220"/>
        <w:spacing w:after="0" w:line="335" w:lineRule="auto"/>
        <w:rPr>
          <w:sz w:val="20"/>
          <w:szCs w:val="20"/>
          <w:color w:val="auto"/>
        </w:rPr>
      </w:pPr>
      <w:r>
        <w:rPr>
          <w:rFonts w:ascii="Arial" w:cs="Arial" w:eastAsia="Arial" w:hAnsi="Arial"/>
          <w:sz w:val="15"/>
          <w:szCs w:val="15"/>
          <w:color w:val="auto"/>
        </w:rPr>
        <w:t>We have facilities in more than 25 countries worldwide and as a result are subject to taxation and audit by a number of taxing authorities. Tax rates vary among the jurisdictions in which we operate. Our results of operations could be affected by market opportunities or decisions we make that cause us to increase or decrease operations in one or more countries, or by changes in applicable tax rates or audits by the taxing authorities in countries in which we operate.</w:t>
      </w:r>
    </w:p>
    <w:p>
      <w:pPr>
        <w:spacing w:after="0" w:line="8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addition, we are subject to laws and regulations in various locations that govern the determination of which is the appropriate jurisdiction to decide when and how much profit has been earned and is subject to taxation in that jurisdiction. Changes in these laws and regulations could affect the locations where we are deemed to earn income, which could in turn affect our results of operations. We have deferred tax assets on our balance sheet. Changes in applicable tax laws and regulations could affect our ability to realize those deferred tax assets, which could also affect our results of operations. Each quarter we forecast our tax liability based on our forecast of our performance for the year. If that performance forecast changes, our forecasted tax liability will change.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Our Results of Operations Could be Affected by Warranty Claims, Product Recalls or Product Liability.</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could be subject to warranty or product liability claims that could lead to significant expenses as we defend such claims or pay damage awards. In the event of a warranty claim, we may also incur costs if we decide to compensate the affected customer or end consumer. We do maintain product liability insurance, but there is no guarantee that such insurance will be available or adequate to protect against all such claims. In addition, it is possible for one of our customers to recall a product containing a TI part. In such instances, we may incur costs and expenses relating to the recall. Costs or payments we may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make in connection with warranty claims or product recalls may adversely affect our results of operations and financial condition.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Our Continued Success Depends in Part on Our Ability to Retain and Recruit a Sufficient Number of Qualified Employees in a Competitive Environment.</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continued success depends in part on the retention and recruitment of skilled personnel, including technical, marketing, management and staff personnel. Experienced personnel in the electronics industry are in high demand and competition for their skills is intense. There can be no assurance that we will be able to successfully retain and recruit the key personnel that we require.</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right="880"/>
        <w:spacing w:after="0" w:line="370" w:lineRule="auto"/>
        <w:rPr>
          <w:sz w:val="20"/>
          <w:szCs w:val="20"/>
          <w:color w:val="auto"/>
        </w:rPr>
      </w:pPr>
      <w:r>
        <w:rPr>
          <w:rFonts w:ascii="Arial" w:cs="Arial" w:eastAsia="Arial" w:hAnsi="Arial"/>
          <w:sz w:val="15"/>
          <w:szCs w:val="15"/>
          <w:color w:val="auto"/>
        </w:rPr>
        <w:t>Our principal executive offices are located at 12500 TI Boulevard, Dallas, Texas. The following table indicates the general location of our principal manufacturing and design operations and the business segments that make major use of them. Except as otherwise indicated, we own these facilities.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Education</w:t>
            </w:r>
          </w:p>
        </w:tc>
      </w:tr>
      <w:tr>
        <w:trPr>
          <w:trHeight w:val="174"/>
        </w:trPr>
        <w:tc>
          <w:tcPr>
            <w:tcW w:w="248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Semiconductor</w:t>
            </w:r>
          </w:p>
        </w:tc>
        <w:tc>
          <w:tcPr>
            <w:tcW w:w="44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Technology</w:t>
            </w:r>
          </w:p>
        </w:tc>
      </w:tr>
      <w:tr>
        <w:trPr>
          <w:trHeight w:val="202"/>
        </w:trPr>
        <w:tc>
          <w:tcPr>
            <w:tcW w:w="2480" w:type="dxa"/>
            <w:vAlign w:val="bottom"/>
          </w:tcPr>
          <w:p>
            <w:pPr>
              <w:spacing w:after="0" w:line="202" w:lineRule="exact"/>
              <w:rPr>
                <w:sz w:val="20"/>
                <w:szCs w:val="20"/>
                <w:color w:val="auto"/>
              </w:rPr>
            </w:pPr>
            <w:r>
              <w:rPr>
                <w:rFonts w:ascii="Arial" w:cs="Arial" w:eastAsia="Arial" w:hAnsi="Arial"/>
                <w:sz w:val="18"/>
                <w:szCs w:val="18"/>
                <w:color w:val="auto"/>
              </w:rPr>
              <w:t>Dallas, Texas</w:t>
            </w:r>
            <w:r>
              <w:rPr>
                <w:rFonts w:ascii="Arial" w:cs="Arial" w:eastAsia="Arial" w:hAnsi="Arial"/>
                <w:sz w:val="22"/>
                <w:szCs w:val="22"/>
                <w:color w:val="auto"/>
                <w:vertAlign w:val="superscript"/>
              </w:rPr>
              <w:t>(1)</w:t>
            </w: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rPr>
              <w:t>X</w:t>
            </w:r>
          </w:p>
        </w:tc>
        <w:tc>
          <w:tcPr>
            <w:tcW w:w="440" w:type="dxa"/>
            <w:vAlign w:val="bottom"/>
          </w:tcPr>
          <w:p>
            <w:pPr>
              <w:spacing w:after="0"/>
              <w:rPr>
                <w:sz w:val="17"/>
                <w:szCs w:val="17"/>
                <w:color w:val="auto"/>
              </w:rPr>
            </w:pPr>
          </w:p>
        </w:tc>
        <w:tc>
          <w:tcPr>
            <w:tcW w:w="80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r>
      <w:tr>
        <w:trPr>
          <w:trHeight w:val="216"/>
        </w:trPr>
        <w:tc>
          <w:tcPr>
            <w:tcW w:w="2480" w:type="dxa"/>
            <w:vAlign w:val="bottom"/>
          </w:tcPr>
          <w:p>
            <w:pPr>
              <w:spacing w:after="0" w:line="217" w:lineRule="exact"/>
              <w:rPr>
                <w:sz w:val="20"/>
                <w:szCs w:val="20"/>
                <w:color w:val="auto"/>
              </w:rPr>
            </w:pPr>
            <w:r>
              <w:rPr>
                <w:rFonts w:ascii="Arial" w:cs="Arial" w:eastAsia="Arial" w:hAnsi="Arial"/>
                <w:sz w:val="18"/>
                <w:szCs w:val="18"/>
                <w:color w:val="auto"/>
              </w:rPr>
              <w:t>Sherman, Texas</w:t>
            </w:r>
            <w:r>
              <w:rPr>
                <w:rFonts w:ascii="Arial" w:cs="Arial" w:eastAsia="Arial" w:hAnsi="Arial"/>
                <w:sz w:val="22"/>
                <w:szCs w:val="22"/>
                <w:color w:val="auto"/>
                <w:vertAlign w:val="superscript"/>
              </w:rPr>
              <w:t>(1)(2)</w:t>
            </w: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Houston, Texas</w:t>
            </w: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Miho, Japan</w:t>
            </w: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480" w:type="dxa"/>
            <w:vAlign w:val="bottom"/>
          </w:tcPr>
          <w:p>
            <w:pPr>
              <w:spacing w:after="0" w:line="217" w:lineRule="exact"/>
              <w:rPr>
                <w:sz w:val="20"/>
                <w:szCs w:val="20"/>
                <w:color w:val="auto"/>
              </w:rPr>
            </w:pPr>
            <w:r>
              <w:rPr>
                <w:rFonts w:ascii="Arial" w:cs="Arial" w:eastAsia="Arial" w:hAnsi="Arial"/>
                <w:sz w:val="18"/>
                <w:szCs w:val="18"/>
                <w:color w:val="auto"/>
              </w:rPr>
              <w:t>Kuala Lumpur, Malaysia</w:t>
            </w:r>
            <w:r>
              <w:rPr>
                <w:rFonts w:ascii="Arial" w:cs="Arial" w:eastAsia="Arial" w:hAnsi="Arial"/>
                <w:sz w:val="22"/>
                <w:szCs w:val="22"/>
                <w:color w:val="auto"/>
                <w:vertAlign w:val="superscript"/>
              </w:rPr>
              <w:t>(1) (3)</w:t>
            </w: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Freising, Germany</w:t>
            </w: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4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2480" w:type="dxa"/>
            <w:vAlign w:val="bottom"/>
          </w:tcPr>
          <w:p>
            <w:pPr>
              <w:spacing w:after="0" w:line="217" w:lineRule="exact"/>
              <w:rPr>
                <w:sz w:val="20"/>
                <w:szCs w:val="20"/>
                <w:color w:val="auto"/>
              </w:rPr>
            </w:pPr>
            <w:r>
              <w:rPr>
                <w:rFonts w:ascii="Arial" w:cs="Arial" w:eastAsia="Arial" w:hAnsi="Arial"/>
                <w:sz w:val="18"/>
                <w:szCs w:val="18"/>
                <w:color w:val="auto"/>
              </w:rPr>
              <w:t>Baguio, Philippines</w:t>
            </w:r>
            <w:r>
              <w:rPr>
                <w:rFonts w:ascii="Arial" w:cs="Arial" w:eastAsia="Arial" w:hAnsi="Arial"/>
                <w:sz w:val="22"/>
                <w:szCs w:val="22"/>
                <w:color w:val="auto"/>
                <w:vertAlign w:val="superscript"/>
              </w:rPr>
              <w:t>(4)</w:t>
            </w: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480" w:type="dxa"/>
            <w:vAlign w:val="bottom"/>
          </w:tcPr>
          <w:p>
            <w:pPr>
              <w:spacing w:after="0" w:line="217" w:lineRule="exact"/>
              <w:rPr>
                <w:sz w:val="20"/>
                <w:szCs w:val="20"/>
                <w:color w:val="auto"/>
              </w:rPr>
            </w:pPr>
            <w:r>
              <w:rPr>
                <w:rFonts w:ascii="Arial" w:cs="Arial" w:eastAsia="Arial" w:hAnsi="Arial"/>
                <w:sz w:val="18"/>
                <w:szCs w:val="18"/>
                <w:color w:val="auto"/>
              </w:rPr>
              <w:t>Taipei, Taiwan</w:t>
            </w:r>
            <w:r>
              <w:rPr>
                <w:rFonts w:ascii="Arial" w:cs="Arial" w:eastAsia="Arial" w:hAnsi="Arial"/>
                <w:sz w:val="22"/>
                <w:szCs w:val="22"/>
                <w:color w:val="auto"/>
                <w:vertAlign w:val="superscript"/>
              </w:rPr>
              <w:t>(5)</w:t>
            </w: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480" w:type="dxa"/>
            <w:vAlign w:val="bottom"/>
          </w:tcPr>
          <w:p>
            <w:pPr>
              <w:spacing w:after="0" w:line="217" w:lineRule="exact"/>
              <w:rPr>
                <w:sz w:val="20"/>
                <w:szCs w:val="20"/>
                <w:color w:val="auto"/>
              </w:rPr>
            </w:pPr>
            <w:r>
              <w:rPr>
                <w:rFonts w:ascii="Arial" w:cs="Arial" w:eastAsia="Arial" w:hAnsi="Arial"/>
                <w:sz w:val="18"/>
                <w:szCs w:val="18"/>
                <w:color w:val="auto"/>
              </w:rPr>
              <w:t>Aguascalientes, Mexico</w:t>
            </w:r>
            <w:r>
              <w:rPr>
                <w:rFonts w:ascii="Arial" w:cs="Arial" w:eastAsia="Arial" w:hAnsi="Arial"/>
                <w:sz w:val="22"/>
                <w:szCs w:val="22"/>
                <w:color w:val="auto"/>
                <w:vertAlign w:val="superscript"/>
              </w:rPr>
              <w:t>(2)</w:t>
            </w: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Hiji, Japan</w:t>
            </w: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Nice, France</w:t>
            </w: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Tucson, Arizona</w:t>
            </w: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Bangalore, India</w:t>
            </w: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480" w:type="dxa"/>
            <w:vAlign w:val="bottom"/>
          </w:tcPr>
          <w:p>
            <w:pPr>
              <w:spacing w:after="0" w:line="217" w:lineRule="exact"/>
              <w:rPr>
                <w:sz w:val="20"/>
                <w:szCs w:val="20"/>
                <w:color w:val="auto"/>
              </w:rPr>
            </w:pPr>
            <w:r>
              <w:rPr>
                <w:rFonts w:ascii="Arial" w:cs="Arial" w:eastAsia="Arial" w:hAnsi="Arial"/>
                <w:sz w:val="18"/>
                <w:szCs w:val="18"/>
                <w:color w:val="auto"/>
              </w:rPr>
              <w:t>Tokyo, Japan</w:t>
            </w:r>
            <w:r>
              <w:rPr>
                <w:rFonts w:ascii="Arial" w:cs="Arial" w:eastAsia="Arial" w:hAnsi="Arial"/>
                <w:sz w:val="22"/>
                <w:szCs w:val="22"/>
                <w:color w:val="auto"/>
                <w:vertAlign w:val="superscript"/>
              </w:rPr>
              <w:t>(2)</w:t>
            </w: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99"/>
        </w:trPr>
        <w:tc>
          <w:tcPr>
            <w:tcW w:w="2480" w:type="dxa"/>
            <w:vAlign w:val="bottom"/>
          </w:tcPr>
          <w:p>
            <w:pPr>
              <w:spacing w:after="0"/>
              <w:rPr>
                <w:sz w:val="20"/>
                <w:szCs w:val="20"/>
                <w:color w:val="auto"/>
              </w:rPr>
            </w:pPr>
            <w:r>
              <w:rPr>
                <w:rFonts w:ascii="Arial" w:cs="Arial" w:eastAsia="Arial" w:hAnsi="Arial"/>
                <w:sz w:val="18"/>
                <w:szCs w:val="18"/>
                <w:color w:val="auto"/>
              </w:rPr>
              <w:t>San Diego, California</w:t>
            </w:r>
            <w:r>
              <w:rPr>
                <w:rFonts w:ascii="Arial" w:cs="Arial" w:eastAsia="Arial" w:hAnsi="Arial"/>
                <w:sz w:val="22"/>
                <w:szCs w:val="22"/>
                <w:color w:val="auto"/>
                <w:vertAlign w:val="superscript"/>
              </w:rPr>
              <w:t>(2)</w:t>
            </w: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6000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00" w:lineRule="exact"/>
        <w:rPr>
          <w:sz w:val="20"/>
          <w:szCs w:val="20"/>
          <w:color w:val="auto"/>
        </w:rPr>
      </w:pPr>
    </w:p>
    <w:p>
      <w:pPr>
        <w:ind w:left="460" w:hanging="452"/>
        <w:spacing w:after="0" w:line="243" w:lineRule="auto"/>
        <w:tabs>
          <w:tab w:leader="none" w:pos="460" w:val="left"/>
        </w:tabs>
        <w:numPr>
          <w:ilvl w:val="0"/>
          <w:numId w:val="3"/>
        </w:numPr>
        <w:rPr>
          <w:rFonts w:ascii="Arial" w:cs="Arial" w:eastAsia="Arial" w:hAnsi="Arial"/>
          <w:sz w:val="11"/>
          <w:szCs w:val="11"/>
          <w:color w:val="auto"/>
        </w:rPr>
      </w:pPr>
      <w:r>
        <w:rPr>
          <w:rFonts w:ascii="Arial" w:cs="Arial" w:eastAsia="Arial" w:hAnsi="Arial"/>
          <w:sz w:val="18"/>
          <w:szCs w:val="18"/>
          <w:color w:val="auto"/>
        </w:rPr>
        <w:t>Certain facilities or portions thereof in Dallas and Sherman are leased to Raytheon Company or Raytheon-related entities in connection with the sale in 1997 of our defense systems and electronics business. Certain portions of our facilities in Kuala Lumpur, Malaysia are leased to Sensata Technologies, Inc. or Sensata-related entities in connection with the sale in 2006 of our Sensors &amp; Controls business.</w:t>
      </w:r>
    </w:p>
    <w:p>
      <w:pPr>
        <w:spacing w:after="0" w:line="33" w:lineRule="exact"/>
        <w:rPr>
          <w:rFonts w:ascii="Arial" w:cs="Arial" w:eastAsia="Arial" w:hAnsi="Arial"/>
          <w:sz w:val="11"/>
          <w:szCs w:val="11"/>
          <w:color w:val="auto"/>
        </w:rPr>
      </w:pPr>
    </w:p>
    <w:p>
      <w:pPr>
        <w:ind w:left="460" w:hanging="452"/>
        <w:spacing w:after="0"/>
        <w:tabs>
          <w:tab w:leader="none" w:pos="460" w:val="left"/>
        </w:tabs>
        <w:numPr>
          <w:ilvl w:val="0"/>
          <w:numId w:val="3"/>
        </w:numPr>
        <w:rPr>
          <w:rFonts w:ascii="Arial" w:cs="Arial" w:eastAsia="Arial" w:hAnsi="Arial"/>
          <w:sz w:val="11"/>
          <w:szCs w:val="11"/>
          <w:color w:val="auto"/>
        </w:rPr>
      </w:pPr>
      <w:r>
        <w:rPr>
          <w:rFonts w:ascii="Arial" w:cs="Arial" w:eastAsia="Arial" w:hAnsi="Arial"/>
          <w:sz w:val="18"/>
          <w:szCs w:val="18"/>
          <w:color w:val="auto"/>
        </w:rPr>
        <w:t>Leased.</w:t>
      </w:r>
    </w:p>
    <w:p>
      <w:pPr>
        <w:spacing w:after="0" w:line="49" w:lineRule="exact"/>
        <w:rPr>
          <w:rFonts w:ascii="Arial" w:cs="Arial" w:eastAsia="Arial" w:hAnsi="Arial"/>
          <w:sz w:val="11"/>
          <w:szCs w:val="11"/>
          <w:color w:val="auto"/>
        </w:rPr>
      </w:pPr>
    </w:p>
    <w:p>
      <w:pPr>
        <w:ind w:left="460" w:hanging="452"/>
        <w:spacing w:after="0"/>
        <w:tabs>
          <w:tab w:leader="none" w:pos="460" w:val="left"/>
        </w:tabs>
        <w:numPr>
          <w:ilvl w:val="0"/>
          <w:numId w:val="3"/>
        </w:numPr>
        <w:rPr>
          <w:rFonts w:ascii="Arial" w:cs="Arial" w:eastAsia="Arial" w:hAnsi="Arial"/>
          <w:sz w:val="11"/>
          <w:szCs w:val="11"/>
          <w:color w:val="auto"/>
        </w:rPr>
      </w:pPr>
      <w:r>
        <w:rPr>
          <w:rFonts w:ascii="Arial" w:cs="Arial" w:eastAsia="Arial" w:hAnsi="Arial"/>
          <w:sz w:val="18"/>
          <w:szCs w:val="18"/>
          <w:color w:val="auto"/>
        </w:rPr>
        <w:t>All of the land and a portion of the facilities are leased; a portion of the facilities is owned.</w:t>
      </w:r>
    </w:p>
    <w:p>
      <w:pPr>
        <w:spacing w:after="0" w:line="49" w:lineRule="exact"/>
        <w:rPr>
          <w:rFonts w:ascii="Arial" w:cs="Arial" w:eastAsia="Arial" w:hAnsi="Arial"/>
          <w:sz w:val="11"/>
          <w:szCs w:val="11"/>
          <w:color w:val="auto"/>
        </w:rPr>
      </w:pPr>
    </w:p>
    <w:p>
      <w:pPr>
        <w:ind w:left="460" w:hanging="452"/>
        <w:spacing w:after="0"/>
        <w:tabs>
          <w:tab w:leader="none" w:pos="460" w:val="left"/>
        </w:tabs>
        <w:numPr>
          <w:ilvl w:val="0"/>
          <w:numId w:val="3"/>
        </w:numPr>
        <w:rPr>
          <w:rFonts w:ascii="Arial" w:cs="Arial" w:eastAsia="Arial" w:hAnsi="Arial"/>
          <w:sz w:val="11"/>
          <w:szCs w:val="11"/>
          <w:color w:val="auto"/>
        </w:rPr>
      </w:pPr>
      <w:r>
        <w:rPr>
          <w:rFonts w:ascii="Arial" w:cs="Arial" w:eastAsia="Arial" w:hAnsi="Arial"/>
          <w:sz w:val="18"/>
          <w:szCs w:val="18"/>
          <w:color w:val="auto"/>
        </w:rPr>
        <w:t>Owned facilities located on leased land.</w:t>
      </w:r>
    </w:p>
    <w:p>
      <w:pPr>
        <w:spacing w:after="0" w:line="49" w:lineRule="exact"/>
        <w:rPr>
          <w:rFonts w:ascii="Arial" w:cs="Arial" w:eastAsia="Arial" w:hAnsi="Arial"/>
          <w:sz w:val="11"/>
          <w:szCs w:val="11"/>
          <w:color w:val="auto"/>
        </w:rPr>
      </w:pPr>
    </w:p>
    <w:p>
      <w:pPr>
        <w:ind w:left="460" w:hanging="452"/>
        <w:spacing w:after="0"/>
        <w:tabs>
          <w:tab w:leader="none" w:pos="460" w:val="left"/>
        </w:tabs>
        <w:numPr>
          <w:ilvl w:val="0"/>
          <w:numId w:val="3"/>
        </w:numPr>
        <w:rPr>
          <w:rFonts w:ascii="Arial" w:cs="Arial" w:eastAsia="Arial" w:hAnsi="Arial"/>
          <w:sz w:val="11"/>
          <w:szCs w:val="11"/>
          <w:color w:val="auto"/>
        </w:rPr>
      </w:pPr>
      <w:r>
        <w:rPr>
          <w:rFonts w:ascii="Arial" w:cs="Arial" w:eastAsia="Arial" w:hAnsi="Arial"/>
          <w:sz w:val="18"/>
          <w:szCs w:val="18"/>
          <w:color w:val="auto"/>
        </w:rPr>
        <w:t>Portions of the facilities are leased and owned.</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facilities in the United States contained approximately 14.2 million square feet at December 31, 2006, of which approximately 1.8 million square feet were leased. Our facilities outside the United States contained approximately 5.8 million square feet at December 31, 2006, of which approximately 1.4 million square feet were leased.</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80" w:right="319" w:bottom="1440" w:gutter="0" w:footer="0" w:header="0"/>
        </w:sectPr>
      </w:pPr>
    </w:p>
    <w:bookmarkStart w:id="12" w:name="page13"/>
    <w:bookmarkEnd w:id="12"/>
    <w:p>
      <w:pPr>
        <w:ind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believe that our existing properties are in good condition and suitable for their intended purpose. As discussed in Item 1, we outsource a portion of our product manufacturing. At the end of 2006, we occupied substantially all of the space in our facilities.</w:t>
      </w:r>
    </w:p>
    <w:p>
      <w:pPr>
        <w:spacing w:after="0" w:line="132" w:lineRule="exact"/>
        <w:rPr>
          <w:sz w:val="20"/>
          <w:szCs w:val="20"/>
          <w:color w:val="auto"/>
        </w:rPr>
      </w:pPr>
    </w:p>
    <w:p>
      <w:pPr>
        <w:jc w:val="both"/>
        <w:ind w:right="540"/>
        <w:spacing w:after="0" w:line="370" w:lineRule="auto"/>
        <w:rPr>
          <w:sz w:val="20"/>
          <w:szCs w:val="20"/>
          <w:color w:val="auto"/>
        </w:rPr>
      </w:pPr>
      <w:r>
        <w:rPr>
          <w:rFonts w:ascii="Arial" w:cs="Arial" w:eastAsia="Arial" w:hAnsi="Arial"/>
          <w:sz w:val="15"/>
          <w:szCs w:val="15"/>
          <w:color w:val="auto"/>
        </w:rPr>
        <w:t>Leases covering our currently occupied leased facilities expire at varying dates generally within the next 10 years. We anticipate no difficulty in retaining occupancy through lease renewals, month-to-month occupancy or purchases of leased facilities, or replacing the leased facilities with equivalent facilities.</w:t>
      </w:r>
    </w:p>
    <w:p>
      <w:pPr>
        <w:spacing w:after="0" w:line="9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fourth quarter of 2006, Italian government auditors completed a review, conducted in the ordinary course, of approximately $250 million of grants from the Italian government to TI’s former memory operations in Italy. The Ministry of Industry, which is responsible for reviewing the auditors’ findings, has published final decrees on all projects relating to the grants, resulting in a $28 million favorable settlement to TI in the fourth quarter of 2006. As of December 31, 2006, TI has no material obligations remaining on the grants.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involved in various proceedings conducted by the federal Environmental Protection Agency and certain other governmental environmental agencies regarding clean-up of contaminated sites. These proceedings are being coordinated with the agencies and, in certain cases, with other potentially responsible parties. Although the factual situations and the progress of each of these matters differ, we believe that the amount of our liability will not have a material adverse effect upon our financial condition, results of operations or liquidity.</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Internal Revenue Code requires that companies disclose in their Form 10-K whether they have been required to pay penalties to the Internal Revenue Service for certain transactions that have been identified by the IRS as abusive or that have a significant tax avoidance purpose. We have not been required to pay any such penalties.</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information contained under the caption “Common Stock Prices and Dividends” on page 57 of TI’s 2006 annual report to stockholders, and the information concerning the number of stockholders of record at December 31, 2006, on page 42 of such annual report are incorporated herein by reference to such annual report.</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shows our repurchases of our common stock in the fourth quarter of 2006: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ISSUER PURCHASES OF EQUITY SECURITIES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Total Number</w:t>
            </w:r>
          </w:p>
        </w:tc>
        <w:tc>
          <w:tcPr>
            <w:tcW w:w="16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of Shares</w:t>
            </w:r>
          </w:p>
        </w:tc>
        <w:tc>
          <w:tcPr>
            <w:tcW w:w="16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16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Part of</w:t>
            </w:r>
          </w:p>
        </w:tc>
        <w:tc>
          <w:tcPr>
            <w:tcW w:w="16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Publicly</w:t>
            </w:r>
          </w:p>
        </w:tc>
        <w:tc>
          <w:tcPr>
            <w:tcW w:w="16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20" w:type="dxa"/>
            <w:vAlign w:val="bottom"/>
          </w:tcPr>
          <w:p>
            <w:pPr>
              <w:spacing w:after="0"/>
              <w:rPr>
                <w:sz w:val="12"/>
                <w:szCs w:val="12"/>
                <w:color w:val="auto"/>
              </w:rPr>
            </w:pPr>
          </w:p>
        </w:tc>
        <w:tc>
          <w:tcPr>
            <w:tcW w:w="9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Average</w:t>
            </w: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Announced</w:t>
            </w:r>
          </w:p>
        </w:tc>
        <w:tc>
          <w:tcPr>
            <w:tcW w:w="16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3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Plans or</w:t>
            </w:r>
          </w:p>
        </w:tc>
        <w:tc>
          <w:tcPr>
            <w:tcW w:w="16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Plans or</w:t>
            </w:r>
          </w:p>
        </w:tc>
        <w:tc>
          <w:tcPr>
            <w:tcW w:w="0" w:type="dxa"/>
            <w:vAlign w:val="bottom"/>
          </w:tcPr>
          <w:p>
            <w:pPr>
              <w:spacing w:after="0"/>
              <w:rPr>
                <w:sz w:val="1"/>
                <w:szCs w:val="1"/>
                <w:color w:val="auto"/>
              </w:rPr>
            </w:pPr>
          </w:p>
        </w:tc>
      </w:tr>
      <w:tr>
        <w:trPr>
          <w:trHeight w:val="176"/>
        </w:trPr>
        <w:tc>
          <w:tcPr>
            <w:tcW w:w="640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3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32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Programs</w:t>
            </w:r>
          </w:p>
        </w:tc>
        <w:tc>
          <w:tcPr>
            <w:tcW w:w="160" w:type="dxa"/>
            <w:vAlign w:val="bottom"/>
          </w:tcPr>
          <w:p>
            <w:pPr>
              <w:spacing w:after="0"/>
              <w:rPr>
                <w:sz w:val="15"/>
                <w:szCs w:val="15"/>
                <w:color w:val="auto"/>
              </w:rPr>
            </w:pPr>
          </w:p>
        </w:tc>
        <w:tc>
          <w:tcPr>
            <w:tcW w:w="1240" w:type="dxa"/>
            <w:vAlign w:val="bottom"/>
            <w:gridSpan w:val="2"/>
          </w:tcPr>
          <w:p>
            <w:pPr>
              <w:jc w:val="center"/>
              <w:ind w:right="140"/>
              <w:spacing w:after="0" w:line="176" w:lineRule="exact"/>
              <w:rPr>
                <w:sz w:val="20"/>
                <w:szCs w:val="20"/>
                <w:color w:val="auto"/>
              </w:rPr>
            </w:pPr>
            <w:r>
              <w:rPr>
                <w:rFonts w:ascii="Arial" w:cs="Arial" w:eastAsia="Arial" w:hAnsi="Arial"/>
                <w:sz w:val="13"/>
                <w:szCs w:val="13"/>
                <w:b w:val="1"/>
                <w:bCs w:val="1"/>
                <w:color w:val="auto"/>
                <w:w w:val="91"/>
              </w:rPr>
              <w:t xml:space="preserve">Programs </w:t>
            </w:r>
            <w:r>
              <w:rPr>
                <w:rFonts w:ascii="Arial" w:cs="Arial" w:eastAsia="Arial" w:hAnsi="Arial"/>
                <w:sz w:val="20"/>
                <w:szCs w:val="20"/>
                <w:b w:val="1"/>
                <w:bCs w:val="1"/>
                <w:color w:val="auto"/>
                <w:w w:val="91"/>
                <w:vertAlign w:val="superscript"/>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October 1 through October 31, 2006</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8,775,000</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31.59</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8,775,000</w:t>
            </w:r>
          </w:p>
        </w:tc>
        <w:tc>
          <w:tcPr>
            <w:tcW w:w="1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7"/>
              </w:rPr>
              <w:t>$6,337,607,356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November 1 through November 30, 2006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13,650,600</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29.58</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13,650,600</w:t>
            </w: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w w:val="97"/>
              </w:rPr>
              <w:t>$5,933,880,288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December 1 through December 31, 2006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14,965,000</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29.35</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14,965,000</w:t>
            </w:r>
          </w:p>
        </w:tc>
        <w:tc>
          <w:tcPr>
            <w:tcW w:w="1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7"/>
              </w:rPr>
              <w:t>$5,494,636,909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37,390,600</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29.96</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37,390,600</w:t>
            </w:r>
            <w:r>
              <w:rPr>
                <w:rFonts w:ascii="Arial" w:cs="Arial" w:eastAsia="Arial" w:hAnsi="Arial"/>
                <w:sz w:val="11"/>
                <w:szCs w:val="11"/>
                <w:color w:val="auto"/>
                <w:w w:val="90"/>
              </w:rPr>
              <w:t>(2)(3)</w:t>
            </w: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w w:val="88"/>
              </w:rPr>
              <w:t>$5,494,636,909</w:t>
            </w:r>
            <w:r>
              <w:rPr>
                <w:rFonts w:ascii="Arial" w:cs="Arial" w:eastAsia="Arial" w:hAnsi="Arial"/>
                <w:sz w:val="11"/>
                <w:szCs w:val="11"/>
                <w:color w:val="auto"/>
                <w:w w:val="88"/>
              </w:rPr>
              <w:t>(3)</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460" w:right="120" w:hanging="452"/>
        <w:spacing w:after="0" w:line="306"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purchases during the quarter were made under the authorization from our board of directors to purchase up to $5 billion of additional shares of TI common stock announced on January 23, 2006. An additional authorization from our board of directors to purchase up to $5 billion of additional shares of TI common stock was announced on September 21, 2006. No expiration date has been specified for either of these authorizations.</w:t>
      </w:r>
    </w:p>
    <w:p>
      <w:pPr>
        <w:spacing w:after="0" w:line="25" w:lineRule="exact"/>
        <w:rPr>
          <w:rFonts w:ascii="Arial" w:cs="Arial" w:eastAsia="Arial" w:hAnsi="Arial"/>
          <w:sz w:val="16"/>
          <w:szCs w:val="16"/>
          <w:color w:val="auto"/>
        </w:rPr>
      </w:pPr>
    </w:p>
    <w:p>
      <w:pPr>
        <w:ind w:left="460" w:right="80" w:hanging="452"/>
        <w:spacing w:after="0" w:line="306"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purchases during the quarter were made through open-market purchases except for 800,000 shares that were acquired in October through a privately negotiated forward purchase contract with a non-affiliated financial institution. The forward purchase contract was designed to minimize the impact on our earnings from the effect of stock market value fluctuations on the portion of our deferred compensation obligations denominated in TI stock.</w:t>
      </w:r>
    </w:p>
    <w:p>
      <w:pPr>
        <w:spacing w:after="0" w:line="25" w:lineRule="exact"/>
        <w:rPr>
          <w:rFonts w:ascii="Arial" w:cs="Arial" w:eastAsia="Arial" w:hAnsi="Arial"/>
          <w:sz w:val="16"/>
          <w:szCs w:val="16"/>
          <w:color w:val="auto"/>
        </w:rPr>
      </w:pPr>
    </w:p>
    <w:p>
      <w:pPr>
        <w:ind w:left="460" w:right="80" w:hanging="452"/>
        <w:spacing w:after="0" w:line="256"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total number of shares purchased includes the purchase of 2,250,000 shares for which trades were settled in the first three business days of January 2007 for $65 million. The table does not include the purchase of 2,250,000 shares pursuant to orders placed in the third quarter, for which trades were settled in the first three business days of the fourth quarter for $75 million. The purchase of these shares was reflected in Item 2 in the company’s report on Form 10-Q for the quarter ended September 30, 2006.</w:t>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“Summary of Selected Financial Data” for the years 2002 through 2006, which appears on page 42 of TI’s 2006 annual report to stockholders, is incorporated herein by reference to such annual report.</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information contained under the caption “Management’s Discussion and Analysis of Financial Condition and Results of Operations” on pages 43 through 55 of TI’s 2006 annual report to stockholders is incorporated herein by reference to such annual report.</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information concerning market risk is contained on page 55 of TI’s 2006 annual report to stockholders and is incorporated herein by reference to such annual report.</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9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consolidated financial statements of the company at December 31, 2006 and 2005, and for each of the three years in the period ended December 31, 2006, and the report thereon of the independent registered public accounting firm, on pages 6 through 39 of TI’s 2006 annual report to stockholders, are incorporated herein by reference to such annual report.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“Quarterly Financial Data” on page 56 of TI’s 2006 annual report to stockholders is also incorporated herein by reference to such annual report.</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 w:name="page15"/>
    <w:bookmarkEnd w:id="1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 applicable.</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Disclosure Controls and Procedures</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An evaluation as of the end of the period covered by this report was carried out under the supervision and with the participation of TI’s management, including its Chief Executive Officer and Chief Financial Officer, of the effectiveness of the design and operation of TI’s disclosure controls and procedures (as defined in Rules 13a-15(e) and 15d-15(e) under the Securities Exchange Act of 1934). Based upon that evaluation, the Chief Executive Officer and Chief Financial Officer concluded that those disclosure controls and procedures were effective in providing reasonable assurance that information required to be disclosed by TI in the reports that we file or submit under the Exchange Act is recorded, processed, summarized and reported within the time periods specified in the Commission’s rules and forms.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Internal Control over Financial Reporting</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Management’s assessment of our internal control over financial reporting is contained in the Report by Management on Internal Control over Financial Reporting on page 40 of our 2006 annual report to stockholders and is incorporated herein by reference to such annual report.</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Report of Independent Registered Public Accounting Firm on Internal Control over Financial Reporting opining on management’s assessment included in the Report by Management on Internal Control over Financial Reporting, and opining on the effectiveness of TI’s internal control over financial reporting, is contained on page 41 of our 2006 annual report to stockholders and is incorporated herein by reference to such annual report.</w:t>
      </w:r>
    </w:p>
    <w:p>
      <w:pPr>
        <w:spacing w:after="0" w:line="14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6"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The information with respect to directors’ names, ages, positions, term of office and periods of service, which is contained under the caption “Election of Directors” in our proxy statement for the 2007 annual meeting of stockholders, is incorporated herein by reference to such proxy statement.</w:t>
      </w:r>
    </w:p>
    <w:p>
      <w:pPr>
        <w:spacing w:after="0" w:line="8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information with respect to the company’s audit committee financial expert contained under the caption “Board Organization” in our proxy statement for the 2007 annual meeting of stockholders is incorporated herein by reference to such proxy statement.</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information with respect to Section 16(a) Beneficial Ownership Reporting Compliance contained under the caption of the same name in our proxy statement for the 2007 annual meeting of stockholders is incorporated herein by reference to such proxy statement.</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list of our executive officers and their biographical information appear in Part I, Item 1 of this report.</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Code of Ethics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adopted the Code of Ethics for TI Chief Executive Officer and Senior Financial Officers. A copy of the Code can be found on our web site at www.ti.com/ir. We intend to satisfy the disclosure requirements of the Securities and Exchange Commission regarding amendments to, or waivers from, the Code by posting such information on the same web site.</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Audit Committee</w:t>
      </w:r>
    </w:p>
    <w:p>
      <w:pPr>
        <w:spacing w:after="0" w:line="90"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We have a separately designated standing audit committee established in accordance with Section 3(a)(58)(A) of the Securities Exchange Act of 1934. The following directors are members of TI’s Audit Committee: Pamela H. Patsley (Chair), Carrie S. Cox, Gerald W. Fronterhouse and Wayne R. Sanders.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5" w:name="page16"/>
    <w:bookmarkEnd w:id="15"/>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information contained under the captions “Director Compensation” and “Executive Compensation” in our proxy statement for the 2007 annual meeting of stockholders is incorporated herein by reference to such proxy statement.</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Equity Compensation Plan Information</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sets forth information about the company’s equity compensation plans as of December 31,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6"/>
              </w:rPr>
              <w:t>Number of Securities to</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4"/>
              </w:rPr>
              <w:t>be Issued Upon</w:t>
            </w:r>
          </w:p>
        </w:tc>
        <w:tc>
          <w:tcPr>
            <w:tcW w:w="100" w:type="dxa"/>
            <w:vAlign w:val="bottom"/>
          </w:tcPr>
          <w:p>
            <w:pPr>
              <w:spacing w:after="0"/>
              <w:rPr>
                <w:sz w:val="12"/>
                <w:szCs w:val="12"/>
                <w:color w:val="auto"/>
              </w:rPr>
            </w:pPr>
          </w:p>
        </w:tc>
        <w:tc>
          <w:tcPr>
            <w:tcW w:w="20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5"/>
              </w:rPr>
              <w:t>Exercise of</w:t>
            </w:r>
          </w:p>
        </w:tc>
        <w:tc>
          <w:tcPr>
            <w:tcW w:w="100" w:type="dxa"/>
            <w:vAlign w:val="bottom"/>
          </w:tcPr>
          <w:p>
            <w:pPr>
              <w:spacing w:after="0"/>
              <w:rPr>
                <w:sz w:val="12"/>
                <w:szCs w:val="12"/>
                <w:color w:val="auto"/>
              </w:rPr>
            </w:pPr>
          </w:p>
        </w:tc>
        <w:tc>
          <w:tcPr>
            <w:tcW w:w="20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Outstanding Options,</w:t>
            </w: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Equity Compensation</w:t>
            </w:r>
          </w:p>
        </w:tc>
        <w:tc>
          <w:tcPr>
            <w:tcW w:w="0" w:type="dxa"/>
            <w:vAlign w:val="bottom"/>
          </w:tcPr>
          <w:p>
            <w:pPr>
              <w:spacing w:after="0"/>
              <w:rPr>
                <w:sz w:val="1"/>
                <w:szCs w:val="1"/>
                <w:color w:val="auto"/>
              </w:rPr>
            </w:pPr>
          </w:p>
        </w:tc>
      </w:tr>
      <w:tr>
        <w:trPr>
          <w:trHeight w:val="161"/>
        </w:trPr>
        <w:tc>
          <w:tcPr>
            <w:tcW w:w="474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760" w:type="dxa"/>
            <w:vAlign w:val="bottom"/>
          </w:tcPr>
          <w:p>
            <w:pPr>
              <w:spacing w:after="0"/>
              <w:rPr>
                <w:sz w:val="14"/>
                <w:szCs w:val="14"/>
                <w:color w:val="auto"/>
              </w:rPr>
            </w:pPr>
          </w:p>
        </w:tc>
        <w:tc>
          <w:tcPr>
            <w:tcW w:w="22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7"/>
              </w:rPr>
              <w:t>Warrants and Rights</w:t>
            </w:r>
          </w:p>
        </w:tc>
        <w:tc>
          <w:tcPr>
            <w:tcW w:w="2140" w:type="dxa"/>
            <w:vAlign w:val="bottom"/>
            <w:gridSpan w:val="3"/>
          </w:tcPr>
          <w:p>
            <w:pPr>
              <w:ind w:left="20"/>
              <w:spacing w:after="0"/>
              <w:rPr>
                <w:sz w:val="20"/>
                <w:szCs w:val="20"/>
                <w:color w:val="auto"/>
              </w:rPr>
            </w:pPr>
            <w:r>
              <w:rPr>
                <w:rFonts w:ascii="Arial" w:cs="Arial" w:eastAsia="Arial" w:hAnsi="Arial"/>
                <w:sz w:val="14"/>
                <w:szCs w:val="14"/>
                <w:b w:val="1"/>
                <w:bCs w:val="1"/>
                <w:color w:val="auto"/>
              </w:rPr>
              <w:t>Warrants and Rights</w:t>
            </w:r>
          </w:p>
        </w:tc>
        <w:tc>
          <w:tcPr>
            <w:tcW w:w="1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Plans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76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153,529,804</w:t>
            </w:r>
            <w:r>
              <w:rPr>
                <w:rFonts w:ascii="Arial" w:cs="Arial" w:eastAsia="Arial" w:hAnsi="Arial"/>
                <w:sz w:val="11"/>
                <w:szCs w:val="11"/>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30.13</w:t>
            </w:r>
            <w:r>
              <w:rPr>
                <w:rFonts w:ascii="Arial" w:cs="Arial" w:eastAsia="Arial" w:hAnsi="Arial"/>
                <w:sz w:val="11"/>
                <w:szCs w:val="11"/>
                <w:color w:val="auto"/>
              </w:rPr>
              <w:t>(2)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98,345,213</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w w:val="94"/>
              </w:rPr>
              <w:t>Equity Compensation Plans Not Approved by Security Holders</w:t>
            </w:r>
          </w:p>
        </w:tc>
        <w:tc>
          <w:tcPr>
            <w:tcW w:w="3000" w:type="dxa"/>
            <w:vAlign w:val="bottom"/>
            <w:gridSpan w:val="3"/>
          </w:tcPr>
          <w:p>
            <w:pPr>
              <w:jc w:val="right"/>
              <w:ind w:right="740"/>
              <w:spacing w:after="0"/>
              <w:rPr>
                <w:sz w:val="20"/>
                <w:szCs w:val="20"/>
                <w:color w:val="auto"/>
              </w:rPr>
            </w:pPr>
            <w:r>
              <w:rPr>
                <w:rFonts w:ascii="Arial" w:cs="Arial" w:eastAsia="Arial" w:hAnsi="Arial"/>
                <w:sz w:val="18"/>
                <w:szCs w:val="18"/>
                <w:color w:val="auto"/>
              </w:rPr>
              <w:t>67,922,390</w:t>
            </w:r>
            <w:r>
              <w:rPr>
                <w:rFonts w:ascii="Arial" w:cs="Arial" w:eastAsia="Arial" w:hAnsi="Arial"/>
                <w:sz w:val="11"/>
                <w:szCs w:val="11"/>
                <w:color w:val="auto"/>
              </w:rPr>
              <w:t>(4)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ind w:left="760"/>
              <w:spacing w:after="0"/>
              <w:rPr>
                <w:sz w:val="20"/>
                <w:szCs w:val="20"/>
                <w:color w:val="auto"/>
              </w:rPr>
            </w:pPr>
            <w:r>
              <w:rPr>
                <w:rFonts w:ascii="Arial" w:cs="Arial" w:eastAsia="Arial" w:hAnsi="Arial"/>
                <w:sz w:val="18"/>
                <w:szCs w:val="18"/>
                <w:color w:val="auto"/>
              </w:rPr>
              <w:t>26.13</w:t>
            </w:r>
            <w:r>
              <w:rPr>
                <w:rFonts w:ascii="Arial" w:cs="Arial" w:eastAsia="Arial" w:hAnsi="Arial"/>
                <w:sz w:val="11"/>
                <w:szCs w:val="11"/>
                <w:color w:val="auto"/>
              </w:rPr>
              <w:t>(2)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166,908,392</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221,452,194</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28.90</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265,253,605</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460" w:right="20" w:hanging="452"/>
        <w:spacing w:after="0" w:line="252" w:lineRule="auto"/>
        <w:tabs>
          <w:tab w:leader="none" w:pos="460" w:val="left"/>
        </w:tabs>
        <w:numPr>
          <w:ilvl w:val="0"/>
          <w:numId w:val="5"/>
        </w:numPr>
        <w:rPr>
          <w:rFonts w:ascii="Arial" w:cs="Arial" w:eastAsia="Arial" w:hAnsi="Arial"/>
          <w:sz w:val="11"/>
          <w:szCs w:val="11"/>
          <w:color w:val="auto"/>
        </w:rPr>
      </w:pPr>
      <w:r>
        <w:rPr>
          <w:rFonts w:ascii="Arial" w:cs="Arial" w:eastAsia="Arial" w:hAnsi="Arial"/>
          <w:sz w:val="18"/>
          <w:szCs w:val="18"/>
          <w:color w:val="auto"/>
        </w:rPr>
        <w:t>Includes shares of TI common stock to be issued under the Texas Instruments 2000 Long-Term Incentive Plan and predecessor plans, the Texas Instruments 2003 Director Compensation Plan and the TI Employees 2005 Stock Purchase Plan.</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33"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33"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Excludes the following:</w:t>
      </w:r>
    </w:p>
    <w:p>
      <w:pPr>
        <w:spacing w:after="0" w:line="90" w:lineRule="exact"/>
        <w:rPr>
          <w:sz w:val="20"/>
          <w:szCs w:val="20"/>
          <w:color w:val="auto"/>
        </w:rPr>
      </w:pPr>
    </w:p>
    <w:p>
      <w:pPr>
        <w:ind w:left="326" w:right="120" w:hanging="326"/>
        <w:spacing w:after="0" w:line="259" w:lineRule="auto"/>
        <w:tabs>
          <w:tab w:leader="none" w:pos="326" w:val="left"/>
        </w:tabs>
        <w:numPr>
          <w:ilvl w:val="0"/>
          <w:numId w:val="6"/>
        </w:numPr>
        <w:rPr>
          <w:rFonts w:ascii="Arial" w:cs="Arial" w:eastAsia="Arial" w:hAnsi="Arial"/>
          <w:sz w:val="18"/>
          <w:szCs w:val="18"/>
          <w:color w:val="auto"/>
        </w:rPr>
      </w:pPr>
      <w:r>
        <w:rPr>
          <w:rFonts w:ascii="Arial" w:cs="Arial" w:eastAsia="Arial" w:hAnsi="Arial"/>
          <w:sz w:val="18"/>
          <w:szCs w:val="18"/>
          <w:color w:val="auto"/>
        </w:rPr>
        <w:t>2,573,211 shares of TI common stock to be issued upon exercise of outstanding options originally granted under the Burr-Brown Corporation 1993 Stock Incentive Plan, a plan approved by the stockholders of Burr-Brown Corporation. The options were assumed by the company in connection with the acquisition of Burr-Brown Corporation; and</w:t>
      </w:r>
    </w:p>
    <w:p>
      <w:pPr>
        <w:spacing w:after="0" w:line="59" w:lineRule="exact"/>
        <w:rPr>
          <w:rFonts w:ascii="Arial" w:cs="Arial" w:eastAsia="Arial" w:hAnsi="Arial"/>
          <w:sz w:val="18"/>
          <w:szCs w:val="18"/>
          <w:color w:val="auto"/>
        </w:rPr>
      </w:pPr>
    </w:p>
    <w:p>
      <w:pPr>
        <w:jc w:val="both"/>
        <w:ind w:left="326" w:right="140" w:hanging="326"/>
        <w:spacing w:after="0" w:line="259" w:lineRule="auto"/>
        <w:tabs>
          <w:tab w:leader="none" w:pos="326" w:val="left"/>
        </w:tabs>
        <w:numPr>
          <w:ilvl w:val="0"/>
          <w:numId w:val="6"/>
        </w:numPr>
        <w:rPr>
          <w:rFonts w:ascii="Arial" w:cs="Arial" w:eastAsia="Arial" w:hAnsi="Arial"/>
          <w:sz w:val="18"/>
          <w:szCs w:val="18"/>
          <w:color w:val="auto"/>
        </w:rPr>
      </w:pPr>
      <w:r>
        <w:rPr>
          <w:rFonts w:ascii="Arial" w:cs="Arial" w:eastAsia="Arial" w:hAnsi="Arial"/>
          <w:sz w:val="18"/>
          <w:szCs w:val="18"/>
          <w:color w:val="auto"/>
        </w:rPr>
        <w:t>192,162 shares of TI common stock to be issued upon exercise of outstanding options originally granted under the Radia Communications, Inc. 2000 Stock Option/Stock Issuance Plan, a plan approved by the stockholders of Radia Communications, Inc. The options were assumed by the company in connection with the acquisition of Radia.</w:t>
      </w:r>
    </w:p>
    <w:p>
      <w:pPr>
        <w:spacing w:after="0" w:line="32" w:lineRule="exact"/>
        <w:rPr>
          <w:sz w:val="20"/>
          <w:szCs w:val="20"/>
          <w:color w:val="auto"/>
        </w:rPr>
      </w:pPr>
    </w:p>
    <w:p>
      <w:pPr>
        <w:ind w:left="6" w:right="280"/>
        <w:spacing w:after="0" w:line="299" w:lineRule="auto"/>
        <w:rPr>
          <w:sz w:val="20"/>
          <w:szCs w:val="20"/>
          <w:color w:val="auto"/>
        </w:rPr>
      </w:pPr>
      <w:r>
        <w:rPr>
          <w:rFonts w:ascii="Arial" w:cs="Arial" w:eastAsia="Arial" w:hAnsi="Arial"/>
          <w:sz w:val="16"/>
          <w:szCs w:val="16"/>
          <w:color w:val="auto"/>
        </w:rPr>
        <w:t>Restricted stock units, and stock units credited to directors’ deferred compensation accounts, are settled for shares of TI common stock on a one-for-one basis. Accordingly, such units have been excluded for purposes of computing the weighted-average exercise price.</w:t>
      </w:r>
    </w:p>
    <w:p>
      <w:pPr>
        <w:spacing w:after="0" w:line="1" w:lineRule="exact"/>
        <w:rPr>
          <w:sz w:val="20"/>
          <w:szCs w:val="20"/>
          <w:color w:val="auto"/>
        </w:rPr>
      </w:pPr>
    </w:p>
    <w:p>
      <w:pPr>
        <w:ind w:left="6" w:right="500"/>
        <w:spacing w:after="0" w:line="252" w:lineRule="auto"/>
        <w:rPr>
          <w:sz w:val="20"/>
          <w:szCs w:val="20"/>
          <w:color w:val="auto"/>
        </w:rPr>
      </w:pPr>
      <w:r>
        <w:rPr>
          <w:rFonts w:ascii="Arial" w:cs="Arial" w:eastAsia="Arial" w:hAnsi="Arial"/>
          <w:sz w:val="18"/>
          <w:szCs w:val="18"/>
          <w:color w:val="auto"/>
        </w:rPr>
        <w:t>Shares of TI common stock available for issuance under the Texas Instruments 2000 Long-Term Incentive Plan, the Texas Instruments 2003 Director Compensation Plan and the TI Employees 2005 Stock Purchase Plan.</w:t>
      </w:r>
    </w:p>
    <w:p>
      <w:pPr>
        <w:spacing w:after="0" w:line="25" w:lineRule="exact"/>
        <w:rPr>
          <w:sz w:val="20"/>
          <w:szCs w:val="20"/>
          <w:color w:val="auto"/>
        </w:rPr>
      </w:pPr>
    </w:p>
    <w:p>
      <w:pPr>
        <w:ind w:left="6" w:right="240"/>
        <w:spacing w:after="0" w:line="273" w:lineRule="auto"/>
        <w:rPr>
          <w:sz w:val="20"/>
          <w:szCs w:val="20"/>
          <w:color w:val="auto"/>
        </w:rPr>
      </w:pPr>
      <w:r>
        <w:rPr>
          <w:rFonts w:ascii="Arial" w:cs="Arial" w:eastAsia="Arial" w:hAnsi="Arial"/>
          <w:sz w:val="16"/>
          <w:szCs w:val="16"/>
          <w:color w:val="auto"/>
        </w:rPr>
        <w:t>Includes shares to be issued under the Texas Instruments 2003 Long-Term Incentive Plan, a plan for non-management employees; executive officers and approximately 250 managers of the company are ineligible to receive awards under the plan. The plan authorizes the grant of: (1) stock options,</w:t>
      </w:r>
    </w:p>
    <w:p>
      <w:pPr>
        <w:spacing w:after="0" w:line="1" w:lineRule="exact"/>
        <w:rPr>
          <w:sz w:val="20"/>
          <w:szCs w:val="20"/>
          <w:color w:val="auto"/>
        </w:rPr>
      </w:pPr>
    </w:p>
    <w:p>
      <w:pPr>
        <w:ind w:left="6" w:right="80" w:hanging="6"/>
        <w:spacing w:after="0" w:line="290" w:lineRule="auto"/>
        <w:tabs>
          <w:tab w:leader="none" w:pos="255" w:val="left"/>
        </w:tabs>
        <w:numPr>
          <w:ilvl w:val="0"/>
          <w:numId w:val="7"/>
        </w:numPr>
        <w:rPr>
          <w:rFonts w:ascii="Arial" w:cs="Arial" w:eastAsia="Arial" w:hAnsi="Arial"/>
          <w:sz w:val="15"/>
          <w:szCs w:val="15"/>
          <w:color w:val="auto"/>
        </w:rPr>
      </w:pPr>
      <w:r>
        <w:rPr>
          <w:rFonts w:ascii="Arial" w:cs="Arial" w:eastAsia="Arial" w:hAnsi="Arial"/>
          <w:sz w:val="15"/>
          <w:szCs w:val="15"/>
          <w:color w:val="auto"/>
        </w:rPr>
        <w:t>restricted stock and restricted stock units, (3) performance units and (4) other awards (including stock appreciation rights) valued in whole or in part by reference to or otherwise based on common stock of the company. The plan is administered by a board committee appointed by the board of directors consisting entirely of independent directors (the Committee). The Committee has the sole discretion to grant to eligible participants one or more equity awards and to determine the number or amount of any award. Except in the case of awards made through assumption of, or in substitution for, outstanding awards previously granted by an acquired company, and except as a result of an adjustment event such as a stock split, the exercise price under any stock option, the grant price of any stock appreciation right, and the purchase price of any security that may be purchased under any other stock-based award under the plan will not be less than 100% of the fair market value of the stock or other security on the date of the grant of the option, right or award.</w:t>
      </w:r>
    </w:p>
    <w:p>
      <w:pPr>
        <w:spacing w:after="0" w:line="94"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16</w:t>
      </w:r>
    </w:p>
    <w:p>
      <w:pPr>
        <w:sectPr>
          <w:pgSz w:w="11900" w:h="16838" w:orient="portrait"/>
          <w:cols w:equalWidth="0" w:num="2">
            <w:col w:w="140" w:space="314"/>
            <w:col w:w="10966"/>
          </w:cols>
          <w:pgMar w:left="240" w:top="274" w:right="239" w:bottom="1440" w:gutter="0" w:footer="0" w:header="0"/>
          <w:type w:val="continuous"/>
        </w:sectPr>
      </w:pPr>
    </w:p>
    <w:bookmarkStart w:id="16" w:name="page17"/>
    <w:bookmarkEnd w:id="16"/>
    <w:p>
      <w:pPr>
        <w:ind w:left="460"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Also includes shares to be issued under the Texas Instruments Directors Deferred Compensation Plan, the Texas Instruments Restricted Stock Unit Plan for Directors and the Texas Instruments Stock Option Plan for Non-Employee Directors. These plans were replaced by the Texas Instruments 2003 Director Compensation Plan, and no further grants can be made under them.</w:t>
      </w:r>
    </w:p>
    <w:p>
      <w:pPr>
        <w:spacing w:after="0" w:line="32" w:lineRule="exact"/>
        <w:rPr>
          <w:sz w:val="20"/>
          <w:szCs w:val="20"/>
          <w:color w:val="auto"/>
        </w:rPr>
      </w:pPr>
    </w:p>
    <w:p>
      <w:pPr>
        <w:ind w:left="460" w:right="440" w:hanging="452"/>
        <w:spacing w:after="0" w:line="252" w:lineRule="auto"/>
        <w:tabs>
          <w:tab w:leader="none" w:pos="460" w:val="left"/>
        </w:tabs>
        <w:numPr>
          <w:ilvl w:val="0"/>
          <w:numId w:val="8"/>
        </w:numPr>
        <w:rPr>
          <w:rFonts w:ascii="Arial" w:cs="Arial" w:eastAsia="Arial" w:hAnsi="Arial"/>
          <w:sz w:val="11"/>
          <w:szCs w:val="11"/>
          <w:color w:val="auto"/>
        </w:rPr>
      </w:pPr>
      <w:r>
        <w:rPr>
          <w:rFonts w:ascii="Arial" w:cs="Arial" w:eastAsia="Arial" w:hAnsi="Arial"/>
          <w:sz w:val="18"/>
          <w:szCs w:val="18"/>
          <w:color w:val="auto"/>
        </w:rPr>
        <w:t>Shares of TI common stock available for issuance under the Texas Instruments 2003 Long-Term Incentive Plan. Stockholders have approved all other active equity compensation plans of the company.</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Security Ownership of Certain Beneficial Owners and Management</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information that is contained under the captions “Security Ownership of Certain Beneficial Owners” and “Security Ownership of Management” in our proxy statement for the 2007 annual meeting of stockholders, is incorporated herein by reference to such proxy statement. The information concerning ownership of TI’s common stock by each of the directors, which is contained under the caption “Directors’ Ages, Service and Stock Ownership” in such proxy statement, is also incorporated herein by reference to such proxy statement.</w:t>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information contained under the caption “Related Person Transactions” in the company’s proxy statement for the 2007 annual meeting of stockholders is incorporated herein by reference to such proxy statement.</w:t>
      </w:r>
    </w:p>
    <w:p>
      <w:pPr>
        <w:spacing w:after="0" w:line="132"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The information contained under the caption “Director Independence” in the company’s proxy statement for the 2007 annual meeting of stockholders is incorporated herein by reference to such proxy statement.</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information with respect to principal accountant fees and services contained under the caption “Proposal to Ratify Appointment of Independent Registered Public Accounting Firm” of our proxy statement for the 2007 annual meeting of stockholders is incorporated herein by reference to such proxy statement.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ind w:left="20" w:right="6560" w:hanging="12"/>
        <w:spacing w:after="0" w:line="526" w:lineRule="auto"/>
        <w:tabs>
          <w:tab w:leader="none" w:pos="254" w:val="left"/>
        </w:tabs>
        <w:numPr>
          <w:ilvl w:val="0"/>
          <w:numId w:val="9"/>
        </w:numPr>
        <w:rPr>
          <w:rFonts w:ascii="Arial" w:cs="Arial" w:eastAsia="Arial" w:hAnsi="Arial"/>
          <w:sz w:val="15"/>
          <w:szCs w:val="15"/>
          <w:color w:val="auto"/>
        </w:rPr>
      </w:pPr>
      <w:r>
        <w:rPr>
          <w:rFonts w:ascii="Arial" w:cs="Arial" w:eastAsia="Arial" w:hAnsi="Arial"/>
          <w:sz w:val="15"/>
          <w:szCs w:val="15"/>
          <w:color w:val="auto"/>
        </w:rPr>
        <w:t>1 and 2. Financial Statements and Financial Statement Schedules: The financial statements are listed in the index on page 24 hereof.</w:t>
      </w:r>
    </w:p>
    <w:p>
      <w:pPr>
        <w:ind w:left="20"/>
        <w:spacing w:after="0"/>
        <w:rPr>
          <w:rFonts w:ascii="Arial" w:cs="Arial" w:eastAsia="Arial" w:hAnsi="Arial"/>
          <w:sz w:val="15"/>
          <w:szCs w:val="15"/>
          <w:color w:val="auto"/>
        </w:rPr>
      </w:pPr>
      <w:r>
        <w:rPr>
          <w:rFonts w:ascii="Arial" w:cs="Arial" w:eastAsia="Arial" w:hAnsi="Arial"/>
          <w:sz w:val="18"/>
          <w:szCs w:val="18"/>
          <w:color w:val="auto"/>
        </w:rPr>
        <w:t>3.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4"/>
              </w:rPr>
              <w:t>Designation of</w:t>
            </w:r>
          </w:p>
        </w:tc>
        <w:tc>
          <w:tcPr>
            <w:tcW w:w="440" w:type="dxa"/>
            <w:vAlign w:val="bottom"/>
          </w:tcPr>
          <w:p>
            <w:pPr>
              <w:spacing w:after="0"/>
              <w:rPr>
                <w:sz w:val="14"/>
                <w:szCs w:val="14"/>
                <w:color w:val="auto"/>
              </w:rPr>
            </w:pPr>
          </w:p>
        </w:tc>
        <w:tc>
          <w:tcPr>
            <w:tcW w:w="10140" w:type="dxa"/>
            <w:vAlign w:val="bottom"/>
          </w:tcPr>
          <w:p>
            <w:pPr>
              <w:spacing w:after="0"/>
              <w:rPr>
                <w:sz w:val="14"/>
                <w:szCs w:val="14"/>
                <w:color w:val="auto"/>
              </w:rPr>
            </w:pPr>
          </w:p>
        </w:tc>
      </w:tr>
      <w:tr>
        <w:trPr>
          <w:trHeight w:val="149"/>
        </w:trPr>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Exhibit in</w:t>
            </w:r>
          </w:p>
        </w:tc>
        <w:tc>
          <w:tcPr>
            <w:tcW w:w="440" w:type="dxa"/>
            <w:vAlign w:val="bottom"/>
          </w:tcPr>
          <w:p>
            <w:pPr>
              <w:spacing w:after="0"/>
              <w:rPr>
                <w:sz w:val="12"/>
                <w:szCs w:val="12"/>
                <w:color w:val="auto"/>
              </w:rPr>
            </w:pPr>
          </w:p>
        </w:tc>
        <w:tc>
          <w:tcPr>
            <w:tcW w:w="10140" w:type="dxa"/>
            <w:vAlign w:val="bottom"/>
          </w:tcPr>
          <w:p>
            <w:pPr>
              <w:spacing w:after="0"/>
              <w:rPr>
                <w:sz w:val="12"/>
                <w:szCs w:val="12"/>
                <w:color w:val="auto"/>
              </w:rPr>
            </w:pPr>
          </w:p>
        </w:tc>
      </w:tr>
      <w:tr>
        <w:trPr>
          <w:trHeight w:val="168"/>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this Report</w:t>
            </w:r>
          </w:p>
        </w:tc>
        <w:tc>
          <w:tcPr>
            <w:tcW w:w="440" w:type="dxa"/>
            <w:vAlign w:val="bottom"/>
          </w:tcPr>
          <w:p>
            <w:pPr>
              <w:spacing w:after="0"/>
              <w:rPr>
                <w:sz w:val="14"/>
                <w:szCs w:val="14"/>
                <w:color w:val="auto"/>
              </w:rPr>
            </w:pPr>
          </w:p>
        </w:tc>
        <w:tc>
          <w:tcPr>
            <w:tcW w:w="10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316"/>
        </w:trPr>
        <w:tc>
          <w:tcPr>
            <w:tcW w:w="840" w:type="dxa"/>
            <w:vAlign w:val="bottom"/>
          </w:tcPr>
          <w:p>
            <w:pPr>
              <w:jc w:val="center"/>
              <w:spacing w:after="0"/>
              <w:rPr>
                <w:sz w:val="20"/>
                <w:szCs w:val="20"/>
                <w:color w:val="auto"/>
              </w:rPr>
            </w:pPr>
            <w:r>
              <w:rPr>
                <w:rFonts w:ascii="Arial" w:cs="Arial" w:eastAsia="Arial" w:hAnsi="Arial"/>
                <w:sz w:val="18"/>
                <w:szCs w:val="18"/>
                <w:color w:val="auto"/>
                <w:w w:val="87"/>
              </w:rPr>
              <w:t>3(a)</w:t>
            </w:r>
          </w:p>
        </w:tc>
        <w:tc>
          <w:tcPr>
            <w:tcW w:w="44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89"/>
              </w:rPr>
              <w:t>Restated Certificate of Incorporation of the Registrant (incorporated by reference to Exhibit 3(a) to the Registrant’s Annual Report on Form 10-</w:t>
            </w:r>
          </w:p>
        </w:tc>
      </w:tr>
      <w:tr>
        <w:trPr>
          <w:trHeight w:val="222"/>
        </w:trPr>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K for the year 1993).</w:t>
            </w:r>
          </w:p>
        </w:tc>
      </w:tr>
      <w:tr>
        <w:trPr>
          <w:trHeight w:val="318"/>
        </w:trPr>
        <w:tc>
          <w:tcPr>
            <w:tcW w:w="840" w:type="dxa"/>
            <w:vAlign w:val="bottom"/>
          </w:tcPr>
          <w:p>
            <w:pPr>
              <w:jc w:val="center"/>
              <w:spacing w:after="0"/>
              <w:rPr>
                <w:sz w:val="20"/>
                <w:szCs w:val="20"/>
                <w:color w:val="auto"/>
              </w:rPr>
            </w:pPr>
            <w:r>
              <w:rPr>
                <w:rFonts w:ascii="Arial" w:cs="Arial" w:eastAsia="Arial" w:hAnsi="Arial"/>
                <w:sz w:val="18"/>
                <w:szCs w:val="18"/>
                <w:color w:val="auto"/>
                <w:w w:val="93"/>
              </w:rPr>
              <w:t>3(b)</w:t>
            </w:r>
          </w:p>
        </w:tc>
        <w:tc>
          <w:tcPr>
            <w:tcW w:w="44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7"/>
              </w:rPr>
              <w:t>Certificate of Amendment to Restated Certificate of Incorporation of the Registrant (incorporated by reference to Exhibit 3(b) to the</w:t>
            </w:r>
          </w:p>
        </w:tc>
      </w:tr>
      <w:tr>
        <w:trPr>
          <w:trHeight w:val="222"/>
        </w:trPr>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Registrant’s Annual Report on Form 10-K for the year 1993).</w:t>
            </w:r>
          </w:p>
        </w:tc>
      </w:tr>
      <w:tr>
        <w:trPr>
          <w:trHeight w:val="318"/>
        </w:trPr>
        <w:tc>
          <w:tcPr>
            <w:tcW w:w="840" w:type="dxa"/>
            <w:vAlign w:val="bottom"/>
          </w:tcPr>
          <w:p>
            <w:pPr>
              <w:jc w:val="center"/>
              <w:spacing w:after="0"/>
              <w:rPr>
                <w:sz w:val="20"/>
                <w:szCs w:val="20"/>
                <w:color w:val="auto"/>
              </w:rPr>
            </w:pPr>
            <w:r>
              <w:rPr>
                <w:rFonts w:ascii="Arial" w:cs="Arial" w:eastAsia="Arial" w:hAnsi="Arial"/>
                <w:sz w:val="18"/>
                <w:szCs w:val="18"/>
                <w:color w:val="auto"/>
                <w:w w:val="90"/>
              </w:rPr>
              <w:t>3(c)</w:t>
            </w:r>
          </w:p>
        </w:tc>
        <w:tc>
          <w:tcPr>
            <w:tcW w:w="44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7"/>
              </w:rPr>
              <w:t>Certificate of Amendment to Restated Certificate of Incorporation of the Registrant (incorporated by reference to Exhibit 3(c) to the</w:t>
            </w:r>
          </w:p>
        </w:tc>
      </w:tr>
      <w:tr>
        <w:trPr>
          <w:trHeight w:val="222"/>
        </w:trPr>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Registrant’s Annual Report on Form 10-K for the year 1993).</w:t>
            </w:r>
          </w:p>
        </w:tc>
      </w:tr>
      <w:tr>
        <w:trPr>
          <w:trHeight w:val="318"/>
        </w:trPr>
        <w:tc>
          <w:tcPr>
            <w:tcW w:w="840" w:type="dxa"/>
            <w:vAlign w:val="bottom"/>
          </w:tcPr>
          <w:p>
            <w:pPr>
              <w:jc w:val="center"/>
              <w:spacing w:after="0"/>
              <w:rPr>
                <w:sz w:val="20"/>
                <w:szCs w:val="20"/>
                <w:color w:val="auto"/>
              </w:rPr>
            </w:pPr>
            <w:r>
              <w:rPr>
                <w:rFonts w:ascii="Arial" w:cs="Arial" w:eastAsia="Arial" w:hAnsi="Arial"/>
                <w:sz w:val="18"/>
                <w:szCs w:val="18"/>
                <w:color w:val="auto"/>
                <w:w w:val="93"/>
              </w:rPr>
              <w:t>3(d)</w:t>
            </w:r>
          </w:p>
        </w:tc>
        <w:tc>
          <w:tcPr>
            <w:tcW w:w="44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0"/>
              </w:rPr>
              <w:t>Certificate of Amendment to Restated Certificate of Incorporation of the Registrant (incorporated by reference to Exhibit 3 to the Registrant’s</w:t>
            </w:r>
          </w:p>
        </w:tc>
      </w:tr>
      <w:tr>
        <w:trPr>
          <w:trHeight w:val="222"/>
        </w:trPr>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Quarterly Report on Form 10-Q for the quarter ended June 30, 1996).</w:t>
            </w:r>
          </w:p>
        </w:tc>
      </w:tr>
      <w:tr>
        <w:trPr>
          <w:trHeight w:val="318"/>
        </w:trPr>
        <w:tc>
          <w:tcPr>
            <w:tcW w:w="840" w:type="dxa"/>
            <w:vAlign w:val="bottom"/>
          </w:tcPr>
          <w:p>
            <w:pPr>
              <w:jc w:val="center"/>
              <w:spacing w:after="0"/>
              <w:rPr>
                <w:sz w:val="20"/>
                <w:szCs w:val="20"/>
                <w:color w:val="auto"/>
              </w:rPr>
            </w:pPr>
            <w:r>
              <w:rPr>
                <w:rFonts w:ascii="Arial" w:cs="Arial" w:eastAsia="Arial" w:hAnsi="Arial"/>
                <w:sz w:val="18"/>
                <w:szCs w:val="18"/>
                <w:color w:val="auto"/>
                <w:w w:val="87"/>
              </w:rPr>
              <w:t>3(e)</w:t>
            </w:r>
          </w:p>
        </w:tc>
        <w:tc>
          <w:tcPr>
            <w:tcW w:w="44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89"/>
              </w:rPr>
              <w:t>Certificate of Ownership merging Texas Instruments Automation Controls, Inc. into the Registrant (incorporated by reference to Exhibit 3(e) to</w:t>
            </w:r>
          </w:p>
        </w:tc>
      </w:tr>
      <w:tr>
        <w:trPr>
          <w:trHeight w:val="222"/>
        </w:trPr>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the Registrant’s Annual Report on Form 10-K for the year 1993).</w:t>
            </w:r>
          </w:p>
        </w:tc>
      </w:tr>
      <w:tr>
        <w:trPr>
          <w:trHeight w:val="318"/>
        </w:trPr>
        <w:tc>
          <w:tcPr>
            <w:tcW w:w="840" w:type="dxa"/>
            <w:vAlign w:val="bottom"/>
          </w:tcPr>
          <w:p>
            <w:pPr>
              <w:jc w:val="center"/>
              <w:spacing w:after="0"/>
              <w:rPr>
                <w:sz w:val="20"/>
                <w:szCs w:val="20"/>
                <w:color w:val="auto"/>
              </w:rPr>
            </w:pPr>
            <w:r>
              <w:rPr>
                <w:rFonts w:ascii="Arial" w:cs="Arial" w:eastAsia="Arial" w:hAnsi="Arial"/>
                <w:sz w:val="18"/>
                <w:szCs w:val="18"/>
                <w:color w:val="auto"/>
                <w:w w:val="96"/>
              </w:rPr>
              <w:t>3(f)</w:t>
            </w:r>
          </w:p>
        </w:tc>
        <w:tc>
          <w:tcPr>
            <w:tcW w:w="44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3"/>
              </w:rPr>
              <w:t>Certificate of Elimination of Designations of Preferred Stock of the Registrant (incorporated by reference to Exhibit 3(f) to the Registrant’s</w:t>
            </w:r>
          </w:p>
        </w:tc>
      </w:tr>
      <w:tr>
        <w:trPr>
          <w:trHeight w:val="222"/>
        </w:trPr>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Annual Report on Form 10-K for the year 1993).</w:t>
            </w:r>
          </w:p>
        </w:tc>
      </w:tr>
      <w:tr>
        <w:trPr>
          <w:trHeight w:val="318"/>
        </w:trPr>
        <w:tc>
          <w:tcPr>
            <w:tcW w:w="840" w:type="dxa"/>
            <w:vAlign w:val="bottom"/>
          </w:tcPr>
          <w:p>
            <w:pPr>
              <w:jc w:val="center"/>
              <w:spacing w:after="0"/>
              <w:rPr>
                <w:sz w:val="20"/>
                <w:szCs w:val="20"/>
                <w:color w:val="auto"/>
              </w:rPr>
            </w:pPr>
            <w:r>
              <w:rPr>
                <w:rFonts w:ascii="Arial" w:cs="Arial" w:eastAsia="Arial" w:hAnsi="Arial"/>
                <w:sz w:val="18"/>
                <w:szCs w:val="18"/>
                <w:color w:val="auto"/>
                <w:w w:val="93"/>
              </w:rPr>
              <w:t>3(g)</w:t>
            </w:r>
          </w:p>
        </w:tc>
        <w:tc>
          <w:tcPr>
            <w:tcW w:w="44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4"/>
              </w:rPr>
              <w:t>Certificate of Ownership and Merger merging Tiburon Systems, Inc. into the Registrant (incorporated by reference to Exhibit 4(g) to the</w:t>
            </w:r>
          </w:p>
        </w:tc>
      </w:tr>
      <w:tr>
        <w:trPr>
          <w:trHeight w:val="222"/>
        </w:trPr>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Registrant’s Registration Statement No. 333-41919 on Form S-8).</w:t>
            </w:r>
          </w:p>
        </w:tc>
      </w:tr>
      <w:tr>
        <w:trPr>
          <w:trHeight w:val="365"/>
        </w:trPr>
        <w:tc>
          <w:tcPr>
            <w:tcW w:w="840" w:type="dxa"/>
            <w:vAlign w:val="bottom"/>
          </w:tcPr>
          <w:p>
            <w:pPr>
              <w:spacing w:after="0"/>
              <w:rPr>
                <w:sz w:val="24"/>
                <w:szCs w:val="24"/>
                <w:color w:val="auto"/>
              </w:rPr>
            </w:pPr>
          </w:p>
        </w:tc>
        <w:tc>
          <w:tcPr>
            <w:tcW w:w="10580" w:type="dxa"/>
            <w:vAlign w:val="bottom"/>
            <w:gridSpan w:val="2"/>
          </w:tcPr>
          <w:p>
            <w:pPr>
              <w:jc w:val="right"/>
              <w:ind w:right="5534"/>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20"/>
          </w:cols>
          <w:pgMar w:left="240" w:top="280" w:right="23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00" w:type="dxa"/>
            <w:vAlign w:val="bottom"/>
          </w:tcPr>
          <w:p>
            <w:pPr>
              <w:jc w:val="center"/>
              <w:ind w:right="232"/>
              <w:spacing w:after="0"/>
              <w:rPr>
                <w:sz w:val="20"/>
                <w:szCs w:val="20"/>
                <w:color w:val="auto"/>
              </w:rPr>
            </w:pPr>
            <w:r>
              <w:rPr>
                <w:rFonts w:ascii="Arial" w:cs="Arial" w:eastAsia="Arial" w:hAnsi="Arial"/>
                <w:sz w:val="18"/>
                <w:szCs w:val="18"/>
                <w:color w:val="auto"/>
                <w:w w:val="93"/>
              </w:rPr>
              <w:t>3(h)</w:t>
            </w:r>
          </w:p>
        </w:tc>
        <w:tc>
          <w:tcPr>
            <w:tcW w:w="10480" w:type="dxa"/>
            <w:vAlign w:val="bottom"/>
          </w:tcPr>
          <w:p>
            <w:pPr>
              <w:ind w:left="320"/>
              <w:spacing w:after="0"/>
              <w:rPr>
                <w:sz w:val="20"/>
                <w:szCs w:val="20"/>
                <w:color w:val="auto"/>
              </w:rPr>
            </w:pPr>
            <w:r>
              <w:rPr>
                <w:rFonts w:ascii="Arial" w:cs="Arial" w:eastAsia="Arial" w:hAnsi="Arial"/>
                <w:sz w:val="18"/>
                <w:szCs w:val="18"/>
                <w:color w:val="auto"/>
                <w:w w:val="93"/>
              </w:rPr>
              <w:t>Certificate of Ownership and Merger merging Tartan, Inc. into the Registrant (incorporated by reference to Exhibit 4(h) to the Registrant’s</w:t>
            </w:r>
          </w:p>
        </w:tc>
      </w:tr>
      <w:tr>
        <w:trPr>
          <w:trHeight w:val="222"/>
        </w:trPr>
        <w:tc>
          <w:tcPr>
            <w:tcW w:w="90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Registration Statement No. 333-41919 on Form S-8).</w:t>
            </w:r>
          </w:p>
        </w:tc>
      </w:tr>
      <w:tr>
        <w:trPr>
          <w:trHeight w:val="318"/>
        </w:trPr>
        <w:tc>
          <w:tcPr>
            <w:tcW w:w="900" w:type="dxa"/>
            <w:vAlign w:val="bottom"/>
          </w:tcPr>
          <w:p>
            <w:pPr>
              <w:jc w:val="center"/>
              <w:ind w:right="232"/>
              <w:spacing w:after="0"/>
              <w:rPr>
                <w:sz w:val="20"/>
                <w:szCs w:val="20"/>
                <w:color w:val="auto"/>
              </w:rPr>
            </w:pPr>
            <w:r>
              <w:rPr>
                <w:rFonts w:ascii="Arial" w:cs="Arial" w:eastAsia="Arial" w:hAnsi="Arial"/>
                <w:sz w:val="18"/>
                <w:szCs w:val="18"/>
                <w:color w:val="auto"/>
                <w:w w:val="99"/>
              </w:rPr>
              <w:t>3(i)</w:t>
            </w:r>
          </w:p>
        </w:tc>
        <w:tc>
          <w:tcPr>
            <w:tcW w:w="10480" w:type="dxa"/>
            <w:vAlign w:val="bottom"/>
          </w:tcPr>
          <w:p>
            <w:pPr>
              <w:ind w:left="320"/>
              <w:spacing w:after="0"/>
              <w:rPr>
                <w:sz w:val="20"/>
                <w:szCs w:val="20"/>
                <w:color w:val="auto"/>
              </w:rPr>
            </w:pPr>
            <w:r>
              <w:rPr>
                <w:rFonts w:ascii="Arial" w:cs="Arial" w:eastAsia="Arial" w:hAnsi="Arial"/>
                <w:sz w:val="18"/>
                <w:szCs w:val="18"/>
                <w:color w:val="auto"/>
                <w:w w:val="90"/>
              </w:rPr>
              <w:t>Certificate of Designation relating to the Registrant’s Participating Cumulative Preferred Stock (incorporated by reference to Exhibit 4(a) to the</w:t>
            </w:r>
          </w:p>
        </w:tc>
      </w:tr>
      <w:tr>
        <w:trPr>
          <w:trHeight w:val="222"/>
        </w:trPr>
        <w:tc>
          <w:tcPr>
            <w:tcW w:w="90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Registrant’s Quarterly Report on Form 10-Q for the quarter ended September 30, 1998).</w:t>
            </w:r>
          </w:p>
        </w:tc>
      </w:tr>
      <w:tr>
        <w:trPr>
          <w:trHeight w:val="318"/>
        </w:trPr>
        <w:tc>
          <w:tcPr>
            <w:tcW w:w="900" w:type="dxa"/>
            <w:vAlign w:val="bottom"/>
          </w:tcPr>
          <w:p>
            <w:pPr>
              <w:jc w:val="center"/>
              <w:ind w:right="232"/>
              <w:spacing w:after="0"/>
              <w:rPr>
                <w:sz w:val="20"/>
                <w:szCs w:val="20"/>
                <w:color w:val="auto"/>
              </w:rPr>
            </w:pPr>
            <w:r>
              <w:rPr>
                <w:rFonts w:ascii="Arial" w:cs="Arial" w:eastAsia="Arial" w:hAnsi="Arial"/>
                <w:sz w:val="18"/>
                <w:szCs w:val="18"/>
                <w:color w:val="auto"/>
                <w:w w:val="99"/>
              </w:rPr>
              <w:t>3(j)</w:t>
            </w:r>
          </w:p>
        </w:tc>
        <w:tc>
          <w:tcPr>
            <w:tcW w:w="10480" w:type="dxa"/>
            <w:vAlign w:val="bottom"/>
          </w:tcPr>
          <w:p>
            <w:pPr>
              <w:ind w:left="320"/>
              <w:spacing w:after="0"/>
              <w:rPr>
                <w:sz w:val="20"/>
                <w:szCs w:val="20"/>
                <w:color w:val="auto"/>
              </w:rPr>
            </w:pPr>
            <w:r>
              <w:rPr>
                <w:rFonts w:ascii="Arial" w:cs="Arial" w:eastAsia="Arial" w:hAnsi="Arial"/>
                <w:sz w:val="18"/>
                <w:szCs w:val="18"/>
                <w:color w:val="auto"/>
                <w:w w:val="94"/>
              </w:rPr>
              <w:t>Certificate of Elimination of Designation of Preferred Stock of the Registrant (incorporated by reference to Exhibit 3(j) to the Registrant’s</w:t>
            </w:r>
          </w:p>
        </w:tc>
      </w:tr>
      <w:tr>
        <w:trPr>
          <w:trHeight w:val="222"/>
        </w:trPr>
        <w:tc>
          <w:tcPr>
            <w:tcW w:w="90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Annual Report on Form 10-K for the year 1998).</w:t>
            </w:r>
          </w:p>
        </w:tc>
      </w:tr>
      <w:tr>
        <w:trPr>
          <w:trHeight w:val="318"/>
        </w:trPr>
        <w:tc>
          <w:tcPr>
            <w:tcW w:w="900" w:type="dxa"/>
            <w:vAlign w:val="bottom"/>
          </w:tcPr>
          <w:p>
            <w:pPr>
              <w:jc w:val="center"/>
              <w:ind w:right="232"/>
              <w:spacing w:after="0"/>
              <w:rPr>
                <w:sz w:val="20"/>
                <w:szCs w:val="20"/>
                <w:color w:val="auto"/>
              </w:rPr>
            </w:pPr>
            <w:r>
              <w:rPr>
                <w:rFonts w:ascii="Arial" w:cs="Arial" w:eastAsia="Arial" w:hAnsi="Arial"/>
                <w:sz w:val="18"/>
                <w:szCs w:val="18"/>
                <w:color w:val="auto"/>
                <w:w w:val="96"/>
              </w:rPr>
              <w:t>3(k)</w:t>
            </w:r>
          </w:p>
        </w:tc>
        <w:tc>
          <w:tcPr>
            <w:tcW w:w="10480" w:type="dxa"/>
            <w:vAlign w:val="bottom"/>
          </w:tcPr>
          <w:p>
            <w:pPr>
              <w:ind w:left="320"/>
              <w:spacing w:after="0"/>
              <w:rPr>
                <w:sz w:val="20"/>
                <w:szCs w:val="20"/>
                <w:color w:val="auto"/>
              </w:rPr>
            </w:pPr>
            <w:r>
              <w:rPr>
                <w:rFonts w:ascii="Arial" w:cs="Arial" w:eastAsia="Arial" w:hAnsi="Arial"/>
                <w:sz w:val="18"/>
                <w:szCs w:val="18"/>
                <w:color w:val="auto"/>
                <w:w w:val="91"/>
              </w:rPr>
              <w:t>Certificate of Ownership and Merger merging Intersect Technologies, Inc. with and into the Registrant (incorporated by reference to Exhibit</w:t>
            </w:r>
          </w:p>
        </w:tc>
      </w:tr>
      <w:tr>
        <w:trPr>
          <w:trHeight w:val="222"/>
        </w:trPr>
        <w:tc>
          <w:tcPr>
            <w:tcW w:w="90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3(k) to the Registrant’s Annual Report on Form 10-K for the year 1999).</w:t>
            </w:r>
          </w:p>
        </w:tc>
      </w:tr>
      <w:tr>
        <w:trPr>
          <w:trHeight w:val="318"/>
        </w:trPr>
        <w:tc>
          <w:tcPr>
            <w:tcW w:w="900" w:type="dxa"/>
            <w:vAlign w:val="bottom"/>
          </w:tcPr>
          <w:p>
            <w:pPr>
              <w:jc w:val="center"/>
              <w:ind w:right="232"/>
              <w:spacing w:after="0"/>
              <w:rPr>
                <w:sz w:val="20"/>
                <w:szCs w:val="20"/>
                <w:color w:val="auto"/>
              </w:rPr>
            </w:pPr>
            <w:r>
              <w:rPr>
                <w:rFonts w:ascii="Arial" w:cs="Arial" w:eastAsia="Arial" w:hAnsi="Arial"/>
                <w:sz w:val="18"/>
                <w:szCs w:val="18"/>
                <w:color w:val="auto"/>
                <w:w w:val="99"/>
              </w:rPr>
              <w:t>3(l)</w:t>
            </w:r>
          </w:p>
        </w:tc>
        <w:tc>
          <w:tcPr>
            <w:tcW w:w="10480" w:type="dxa"/>
            <w:vAlign w:val="bottom"/>
          </w:tcPr>
          <w:p>
            <w:pPr>
              <w:ind w:left="320"/>
              <w:spacing w:after="0"/>
              <w:rPr>
                <w:sz w:val="20"/>
                <w:szCs w:val="20"/>
                <w:color w:val="auto"/>
              </w:rPr>
            </w:pPr>
            <w:r>
              <w:rPr>
                <w:rFonts w:ascii="Arial" w:cs="Arial" w:eastAsia="Arial" w:hAnsi="Arial"/>
                <w:sz w:val="18"/>
                <w:szCs w:val="18"/>
                <w:color w:val="auto"/>
                <w:w w:val="89"/>
              </w:rPr>
              <w:t>Certificate of Ownership and Merger merging Soft Warehouse, Inc. with and into the Registrant (incorporated by reference to Exhibit 3(l) to the</w:t>
            </w:r>
          </w:p>
        </w:tc>
      </w:tr>
      <w:tr>
        <w:trPr>
          <w:trHeight w:val="222"/>
        </w:trPr>
        <w:tc>
          <w:tcPr>
            <w:tcW w:w="90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Registrant’s Annual Report on Form 10-K for the year 1999).</w:t>
            </w:r>
          </w:p>
        </w:tc>
      </w:tr>
      <w:tr>
        <w:trPr>
          <w:trHeight w:val="318"/>
        </w:trPr>
        <w:tc>
          <w:tcPr>
            <w:tcW w:w="900" w:type="dxa"/>
            <w:vAlign w:val="bottom"/>
          </w:tcPr>
          <w:p>
            <w:pPr>
              <w:jc w:val="center"/>
              <w:ind w:right="232"/>
              <w:spacing w:after="0"/>
              <w:rPr>
                <w:sz w:val="20"/>
                <w:szCs w:val="20"/>
                <w:color w:val="auto"/>
              </w:rPr>
            </w:pPr>
            <w:r>
              <w:rPr>
                <w:rFonts w:ascii="Arial" w:cs="Arial" w:eastAsia="Arial" w:hAnsi="Arial"/>
                <w:sz w:val="18"/>
                <w:szCs w:val="18"/>
                <w:color w:val="auto"/>
                <w:w w:val="91"/>
              </w:rPr>
              <w:t>3(m)</w:t>
            </w:r>
          </w:p>
        </w:tc>
        <w:tc>
          <w:tcPr>
            <w:tcW w:w="10480" w:type="dxa"/>
            <w:vAlign w:val="bottom"/>
          </w:tcPr>
          <w:p>
            <w:pPr>
              <w:ind w:left="320"/>
              <w:spacing w:after="0"/>
              <w:rPr>
                <w:sz w:val="20"/>
                <w:szCs w:val="20"/>
                <w:color w:val="auto"/>
              </w:rPr>
            </w:pPr>
            <w:r>
              <w:rPr>
                <w:rFonts w:ascii="Arial" w:cs="Arial" w:eastAsia="Arial" w:hAnsi="Arial"/>
                <w:sz w:val="18"/>
                <w:szCs w:val="18"/>
                <w:color w:val="auto"/>
                <w:w w:val="91"/>
              </w:rPr>
              <w:t>Certificate of Ownership and Merger merging Silicon Systems, Inc. with and into the Registrant (incorporated by reference to Exhibit 3(m) to</w:t>
            </w:r>
          </w:p>
        </w:tc>
      </w:tr>
      <w:tr>
        <w:trPr>
          <w:trHeight w:val="222"/>
        </w:trPr>
        <w:tc>
          <w:tcPr>
            <w:tcW w:w="90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the Registrant’s Annual Report on Form 10-K for the year 1999).</w:t>
            </w:r>
          </w:p>
        </w:tc>
      </w:tr>
      <w:tr>
        <w:trPr>
          <w:trHeight w:val="318"/>
        </w:trPr>
        <w:tc>
          <w:tcPr>
            <w:tcW w:w="900" w:type="dxa"/>
            <w:vAlign w:val="bottom"/>
          </w:tcPr>
          <w:p>
            <w:pPr>
              <w:jc w:val="center"/>
              <w:ind w:right="232"/>
              <w:spacing w:after="0"/>
              <w:rPr>
                <w:sz w:val="20"/>
                <w:szCs w:val="20"/>
                <w:color w:val="auto"/>
              </w:rPr>
            </w:pPr>
            <w:r>
              <w:rPr>
                <w:rFonts w:ascii="Arial" w:cs="Arial" w:eastAsia="Arial" w:hAnsi="Arial"/>
                <w:sz w:val="18"/>
                <w:szCs w:val="18"/>
                <w:color w:val="auto"/>
                <w:w w:val="93"/>
              </w:rPr>
              <w:t>3(n)</w:t>
            </w:r>
          </w:p>
        </w:tc>
        <w:tc>
          <w:tcPr>
            <w:tcW w:w="10480" w:type="dxa"/>
            <w:vAlign w:val="bottom"/>
          </w:tcPr>
          <w:p>
            <w:pPr>
              <w:ind w:left="320"/>
              <w:spacing w:after="0"/>
              <w:rPr>
                <w:sz w:val="20"/>
                <w:szCs w:val="20"/>
                <w:color w:val="auto"/>
              </w:rPr>
            </w:pPr>
            <w:r>
              <w:rPr>
                <w:rFonts w:ascii="Arial" w:cs="Arial" w:eastAsia="Arial" w:hAnsi="Arial"/>
                <w:sz w:val="18"/>
                <w:szCs w:val="18"/>
                <w:color w:val="auto"/>
                <w:w w:val="92"/>
              </w:rPr>
              <w:t>Certificate of Amendment to Restated Certificate of Incorporation (incorporated by reference to Exhibit 3(n) to the Registrant’s Registration</w:t>
            </w:r>
          </w:p>
        </w:tc>
      </w:tr>
      <w:tr>
        <w:trPr>
          <w:trHeight w:val="222"/>
        </w:trPr>
        <w:tc>
          <w:tcPr>
            <w:tcW w:w="90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Statement on Form S-4 No. 333-41030 filed on July 7, 2000).</w:t>
            </w:r>
          </w:p>
        </w:tc>
      </w:tr>
      <w:tr>
        <w:trPr>
          <w:trHeight w:val="318"/>
        </w:trPr>
        <w:tc>
          <w:tcPr>
            <w:tcW w:w="900" w:type="dxa"/>
            <w:vAlign w:val="bottom"/>
          </w:tcPr>
          <w:p>
            <w:pPr>
              <w:jc w:val="center"/>
              <w:ind w:right="232"/>
              <w:spacing w:after="0"/>
              <w:rPr>
                <w:sz w:val="20"/>
                <w:szCs w:val="20"/>
                <w:color w:val="auto"/>
              </w:rPr>
            </w:pPr>
            <w:r>
              <w:rPr>
                <w:rFonts w:ascii="Arial" w:cs="Arial" w:eastAsia="Arial" w:hAnsi="Arial"/>
                <w:sz w:val="18"/>
                <w:szCs w:val="18"/>
                <w:color w:val="auto"/>
                <w:w w:val="93"/>
              </w:rPr>
              <w:t>3(o)</w:t>
            </w:r>
          </w:p>
        </w:tc>
        <w:tc>
          <w:tcPr>
            <w:tcW w:w="10480" w:type="dxa"/>
            <w:vAlign w:val="bottom"/>
          </w:tcPr>
          <w:p>
            <w:pPr>
              <w:ind w:left="320"/>
              <w:spacing w:after="0"/>
              <w:rPr>
                <w:sz w:val="20"/>
                <w:szCs w:val="20"/>
                <w:color w:val="auto"/>
              </w:rPr>
            </w:pPr>
            <w:r>
              <w:rPr>
                <w:rFonts w:ascii="Arial" w:cs="Arial" w:eastAsia="Arial" w:hAnsi="Arial"/>
                <w:sz w:val="18"/>
                <w:szCs w:val="18"/>
                <w:color w:val="auto"/>
                <w:w w:val="90"/>
              </w:rPr>
              <w:t>Certificate of Ownership and Merger merging Power Trends, Inc. with and into the Registrant (incorporated by reference to Exhibit 3(o) to the</w:t>
            </w:r>
          </w:p>
        </w:tc>
      </w:tr>
      <w:tr>
        <w:trPr>
          <w:trHeight w:val="222"/>
        </w:trPr>
        <w:tc>
          <w:tcPr>
            <w:tcW w:w="90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Registrant’s Annual Report on Form 10-K for the year 2001).</w:t>
            </w:r>
          </w:p>
        </w:tc>
      </w:tr>
      <w:tr>
        <w:trPr>
          <w:trHeight w:val="318"/>
        </w:trPr>
        <w:tc>
          <w:tcPr>
            <w:tcW w:w="900" w:type="dxa"/>
            <w:vAlign w:val="bottom"/>
          </w:tcPr>
          <w:p>
            <w:pPr>
              <w:jc w:val="center"/>
              <w:ind w:right="232"/>
              <w:spacing w:after="0"/>
              <w:rPr>
                <w:sz w:val="20"/>
                <w:szCs w:val="20"/>
                <w:color w:val="auto"/>
              </w:rPr>
            </w:pPr>
            <w:r>
              <w:rPr>
                <w:rFonts w:ascii="Arial" w:cs="Arial" w:eastAsia="Arial" w:hAnsi="Arial"/>
                <w:sz w:val="18"/>
                <w:szCs w:val="18"/>
                <w:color w:val="auto"/>
                <w:w w:val="93"/>
              </w:rPr>
              <w:t>3(p)</w:t>
            </w:r>
          </w:p>
        </w:tc>
        <w:tc>
          <w:tcPr>
            <w:tcW w:w="10480" w:type="dxa"/>
            <w:vAlign w:val="bottom"/>
          </w:tcPr>
          <w:p>
            <w:pPr>
              <w:ind w:left="320"/>
              <w:spacing w:after="0"/>
              <w:rPr>
                <w:sz w:val="20"/>
                <w:szCs w:val="20"/>
                <w:color w:val="auto"/>
              </w:rPr>
            </w:pPr>
            <w:r>
              <w:rPr>
                <w:rFonts w:ascii="Arial" w:cs="Arial" w:eastAsia="Arial" w:hAnsi="Arial"/>
                <w:sz w:val="18"/>
                <w:szCs w:val="18"/>
                <w:color w:val="auto"/>
                <w:w w:val="91"/>
              </w:rPr>
              <w:t>Certificate of Ownership and Merger merging Amati Communications Corporation with and into the Registrant (incorporated by reference to</w:t>
            </w:r>
          </w:p>
        </w:tc>
      </w:tr>
      <w:tr>
        <w:trPr>
          <w:trHeight w:val="222"/>
        </w:trPr>
        <w:tc>
          <w:tcPr>
            <w:tcW w:w="90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Exhibit 3(p) to the Registrant’s Annual Report on Form 10-K for the year 2001).</w:t>
            </w:r>
          </w:p>
        </w:tc>
      </w:tr>
      <w:tr>
        <w:trPr>
          <w:trHeight w:val="318"/>
        </w:trPr>
        <w:tc>
          <w:tcPr>
            <w:tcW w:w="900" w:type="dxa"/>
            <w:vAlign w:val="bottom"/>
          </w:tcPr>
          <w:p>
            <w:pPr>
              <w:jc w:val="center"/>
              <w:ind w:right="232"/>
              <w:spacing w:after="0"/>
              <w:rPr>
                <w:sz w:val="20"/>
                <w:szCs w:val="20"/>
                <w:color w:val="auto"/>
              </w:rPr>
            </w:pPr>
            <w:r>
              <w:rPr>
                <w:rFonts w:ascii="Arial" w:cs="Arial" w:eastAsia="Arial" w:hAnsi="Arial"/>
                <w:sz w:val="18"/>
                <w:szCs w:val="18"/>
                <w:color w:val="auto"/>
                <w:w w:val="93"/>
              </w:rPr>
              <w:t>3(q)</w:t>
            </w:r>
          </w:p>
        </w:tc>
        <w:tc>
          <w:tcPr>
            <w:tcW w:w="10480" w:type="dxa"/>
            <w:vAlign w:val="bottom"/>
          </w:tcPr>
          <w:p>
            <w:pPr>
              <w:ind w:left="320"/>
              <w:spacing w:after="0"/>
              <w:rPr>
                <w:sz w:val="20"/>
                <w:szCs w:val="20"/>
                <w:color w:val="auto"/>
              </w:rPr>
            </w:pPr>
            <w:r>
              <w:rPr>
                <w:rFonts w:ascii="Arial" w:cs="Arial" w:eastAsia="Arial" w:hAnsi="Arial"/>
                <w:sz w:val="18"/>
                <w:szCs w:val="18"/>
                <w:color w:val="auto"/>
                <w:w w:val="88"/>
              </w:rPr>
              <w:t>Certificate of Ownership and Merger merging Texas Instruments San Diego Incorporated with and into the Registrant (incorporated by reference</w:t>
            </w:r>
          </w:p>
        </w:tc>
      </w:tr>
      <w:tr>
        <w:trPr>
          <w:trHeight w:val="222"/>
        </w:trPr>
        <w:tc>
          <w:tcPr>
            <w:tcW w:w="90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to Exhibit 3(q) to the Registrant’s Annual Report on Form 10-K for the year 2002).</w:t>
            </w:r>
          </w:p>
        </w:tc>
      </w:tr>
      <w:tr>
        <w:trPr>
          <w:trHeight w:val="318"/>
        </w:trPr>
        <w:tc>
          <w:tcPr>
            <w:tcW w:w="900" w:type="dxa"/>
            <w:vAlign w:val="bottom"/>
          </w:tcPr>
          <w:p>
            <w:pPr>
              <w:jc w:val="center"/>
              <w:ind w:right="232"/>
              <w:spacing w:after="0"/>
              <w:rPr>
                <w:sz w:val="20"/>
                <w:szCs w:val="20"/>
                <w:color w:val="auto"/>
              </w:rPr>
            </w:pPr>
            <w:r>
              <w:rPr>
                <w:rFonts w:ascii="Arial" w:cs="Arial" w:eastAsia="Arial" w:hAnsi="Arial"/>
                <w:sz w:val="18"/>
                <w:szCs w:val="18"/>
                <w:color w:val="auto"/>
                <w:w w:val="92"/>
              </w:rPr>
              <w:t>3(r)</w:t>
            </w:r>
          </w:p>
        </w:tc>
        <w:tc>
          <w:tcPr>
            <w:tcW w:w="10480" w:type="dxa"/>
            <w:vAlign w:val="bottom"/>
          </w:tcPr>
          <w:p>
            <w:pPr>
              <w:ind w:left="320"/>
              <w:spacing w:after="0"/>
              <w:rPr>
                <w:sz w:val="20"/>
                <w:szCs w:val="20"/>
                <w:color w:val="auto"/>
              </w:rPr>
            </w:pPr>
            <w:r>
              <w:rPr>
                <w:rFonts w:ascii="Arial" w:cs="Arial" w:eastAsia="Arial" w:hAnsi="Arial"/>
                <w:sz w:val="18"/>
                <w:szCs w:val="18"/>
                <w:color w:val="auto"/>
                <w:w w:val="95"/>
              </w:rPr>
              <w:t>Certificate of Ownership and Merger merging Texas Instruments Burlington Incorporated with and into the Registrant (incorporated by</w:t>
            </w:r>
          </w:p>
        </w:tc>
      </w:tr>
      <w:tr>
        <w:trPr>
          <w:trHeight w:val="222"/>
        </w:trPr>
        <w:tc>
          <w:tcPr>
            <w:tcW w:w="90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reference to Exhibit 3(r) to the Registrant’s Annual Report on Form 10-K for the year 2003).</w:t>
            </w:r>
          </w:p>
        </w:tc>
      </w:tr>
      <w:tr>
        <w:trPr>
          <w:trHeight w:val="318"/>
        </w:trPr>
        <w:tc>
          <w:tcPr>
            <w:tcW w:w="900" w:type="dxa"/>
            <w:vAlign w:val="bottom"/>
          </w:tcPr>
          <w:p>
            <w:pPr>
              <w:jc w:val="center"/>
              <w:ind w:right="252"/>
              <w:spacing w:after="0"/>
              <w:rPr>
                <w:sz w:val="20"/>
                <w:szCs w:val="20"/>
                <w:color w:val="auto"/>
              </w:rPr>
            </w:pPr>
            <w:r>
              <w:rPr>
                <w:rFonts w:ascii="Arial" w:cs="Arial" w:eastAsia="Arial" w:hAnsi="Arial"/>
                <w:sz w:val="18"/>
                <w:szCs w:val="18"/>
                <w:color w:val="auto"/>
                <w:w w:val="90"/>
              </w:rPr>
              <w:t>3(s)</w:t>
            </w:r>
          </w:p>
        </w:tc>
        <w:tc>
          <w:tcPr>
            <w:tcW w:w="10480" w:type="dxa"/>
            <w:vAlign w:val="bottom"/>
          </w:tcPr>
          <w:p>
            <w:pPr>
              <w:ind w:left="320"/>
              <w:spacing w:after="0"/>
              <w:rPr>
                <w:sz w:val="20"/>
                <w:szCs w:val="20"/>
                <w:color w:val="auto"/>
              </w:rPr>
            </w:pPr>
            <w:r>
              <w:rPr>
                <w:rFonts w:ascii="Arial" w:cs="Arial" w:eastAsia="Arial" w:hAnsi="Arial"/>
                <w:sz w:val="18"/>
                <w:szCs w:val="18"/>
                <w:color w:val="auto"/>
                <w:w w:val="90"/>
              </w:rPr>
              <w:t>Certificate of Ownership and Merger merging Texas Instruments Automotive Sensors and Controls San Jose Inc. with and into the Registrant</w:t>
            </w:r>
          </w:p>
        </w:tc>
      </w:tr>
      <w:tr>
        <w:trPr>
          <w:trHeight w:val="222"/>
        </w:trPr>
        <w:tc>
          <w:tcPr>
            <w:tcW w:w="90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(incorporated by reference to Exhibit 3(i) to the Registrant’s Current Report on Form 8-K dated October 31, 2004).</w:t>
            </w:r>
          </w:p>
        </w:tc>
      </w:tr>
      <w:tr>
        <w:trPr>
          <w:trHeight w:val="324"/>
        </w:trPr>
        <w:tc>
          <w:tcPr>
            <w:tcW w:w="900" w:type="dxa"/>
            <w:vAlign w:val="bottom"/>
          </w:tcPr>
          <w:p>
            <w:pPr>
              <w:jc w:val="center"/>
              <w:ind w:right="232"/>
              <w:spacing w:after="0"/>
              <w:rPr>
                <w:sz w:val="20"/>
                <w:szCs w:val="20"/>
                <w:color w:val="auto"/>
              </w:rPr>
            </w:pPr>
            <w:r>
              <w:rPr>
                <w:rFonts w:ascii="Arial" w:cs="Arial" w:eastAsia="Arial" w:hAnsi="Arial"/>
                <w:sz w:val="18"/>
                <w:szCs w:val="18"/>
                <w:color w:val="auto"/>
                <w:w w:val="96"/>
              </w:rPr>
              <w:t>3(t)</w:t>
            </w:r>
          </w:p>
        </w:tc>
        <w:tc>
          <w:tcPr>
            <w:tcW w:w="10480" w:type="dxa"/>
            <w:vAlign w:val="bottom"/>
          </w:tcPr>
          <w:p>
            <w:pPr>
              <w:ind w:left="320"/>
              <w:spacing w:after="0"/>
              <w:rPr>
                <w:sz w:val="20"/>
                <w:szCs w:val="20"/>
                <w:color w:val="auto"/>
              </w:rPr>
            </w:pPr>
            <w:r>
              <w:rPr>
                <w:rFonts w:ascii="Arial" w:cs="Arial" w:eastAsia="Arial" w:hAnsi="Arial"/>
                <w:sz w:val="18"/>
                <w:szCs w:val="18"/>
                <w:color w:val="auto"/>
                <w:w w:val="91"/>
              </w:rPr>
              <w:t>By-Laws of the Registrant (incorporated by reference to Exhibit 3 to the Registrant’s Current Report on Form 8-K dated February 16, 2006).</w:t>
            </w:r>
          </w:p>
        </w:tc>
      </w:tr>
      <w:tr>
        <w:trPr>
          <w:trHeight w:val="318"/>
        </w:trPr>
        <w:tc>
          <w:tcPr>
            <w:tcW w:w="900" w:type="dxa"/>
            <w:vAlign w:val="bottom"/>
          </w:tcPr>
          <w:p>
            <w:pPr>
              <w:jc w:val="center"/>
              <w:ind w:right="252"/>
              <w:spacing w:after="0"/>
              <w:rPr>
                <w:sz w:val="20"/>
                <w:szCs w:val="20"/>
                <w:color w:val="auto"/>
              </w:rPr>
            </w:pPr>
            <w:r>
              <w:rPr>
                <w:rFonts w:ascii="Arial" w:cs="Arial" w:eastAsia="Arial" w:hAnsi="Arial"/>
                <w:sz w:val="18"/>
                <w:szCs w:val="18"/>
                <w:color w:val="auto"/>
                <w:w w:val="91"/>
              </w:rPr>
              <w:t>4(a)(i)</w:t>
            </w:r>
          </w:p>
        </w:tc>
        <w:tc>
          <w:tcPr>
            <w:tcW w:w="10480" w:type="dxa"/>
            <w:vAlign w:val="bottom"/>
          </w:tcPr>
          <w:p>
            <w:pPr>
              <w:ind w:left="320"/>
              <w:spacing w:after="0"/>
              <w:rPr>
                <w:sz w:val="20"/>
                <w:szCs w:val="20"/>
                <w:color w:val="auto"/>
              </w:rPr>
            </w:pPr>
            <w:r>
              <w:rPr>
                <w:rFonts w:ascii="Arial" w:cs="Arial" w:eastAsia="Arial" w:hAnsi="Arial"/>
                <w:sz w:val="18"/>
                <w:szCs w:val="18"/>
                <w:color w:val="auto"/>
                <w:w w:val="90"/>
              </w:rPr>
              <w:t>Rights Agreement dated as of June 18, 1998, between the Registrant and Harris Trust and Savings Bank as Rights Agent, which includes as</w:t>
            </w:r>
          </w:p>
        </w:tc>
      </w:tr>
      <w:tr>
        <w:trPr>
          <w:trHeight w:val="216"/>
        </w:trPr>
        <w:tc>
          <w:tcPr>
            <w:tcW w:w="900" w:type="dxa"/>
            <w:vAlign w:val="bottom"/>
          </w:tcPr>
          <w:p>
            <w:pPr>
              <w:spacing w:after="0"/>
              <w:rPr>
                <w:sz w:val="18"/>
                <w:szCs w:val="18"/>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w w:val="91"/>
              </w:rPr>
              <w:t>Exhibit B the form of Rights Certificate (incorporated by reference to Exhibit 1 to the Registrant’s Registration Statement on Form 8-A dated</w:t>
            </w:r>
          </w:p>
        </w:tc>
      </w:tr>
      <w:tr>
        <w:trPr>
          <w:trHeight w:val="222"/>
        </w:trPr>
        <w:tc>
          <w:tcPr>
            <w:tcW w:w="90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June 23, 1998).</w:t>
            </w:r>
          </w:p>
        </w:tc>
      </w:tr>
      <w:tr>
        <w:trPr>
          <w:trHeight w:val="318"/>
        </w:trPr>
        <w:tc>
          <w:tcPr>
            <w:tcW w:w="900" w:type="dxa"/>
            <w:vAlign w:val="bottom"/>
          </w:tcPr>
          <w:p>
            <w:pPr>
              <w:jc w:val="center"/>
              <w:ind w:right="232"/>
              <w:spacing w:after="0"/>
              <w:rPr>
                <w:sz w:val="20"/>
                <w:szCs w:val="20"/>
                <w:color w:val="auto"/>
              </w:rPr>
            </w:pPr>
            <w:r>
              <w:rPr>
                <w:rFonts w:ascii="Arial" w:cs="Arial" w:eastAsia="Arial" w:hAnsi="Arial"/>
                <w:sz w:val="18"/>
                <w:szCs w:val="18"/>
                <w:color w:val="auto"/>
                <w:w w:val="96"/>
              </w:rPr>
              <w:t>4(a)(ii)</w:t>
            </w:r>
          </w:p>
        </w:tc>
        <w:tc>
          <w:tcPr>
            <w:tcW w:w="10480" w:type="dxa"/>
            <w:vAlign w:val="bottom"/>
          </w:tcPr>
          <w:p>
            <w:pPr>
              <w:ind w:left="320"/>
              <w:spacing w:after="0"/>
              <w:rPr>
                <w:sz w:val="20"/>
                <w:szCs w:val="20"/>
                <w:color w:val="auto"/>
              </w:rPr>
            </w:pPr>
            <w:r>
              <w:rPr>
                <w:rFonts w:ascii="Arial" w:cs="Arial" w:eastAsia="Arial" w:hAnsi="Arial"/>
                <w:sz w:val="18"/>
                <w:szCs w:val="18"/>
                <w:color w:val="auto"/>
                <w:w w:val="90"/>
              </w:rPr>
              <w:t>Amendment dated as of September 18, 1998, to the Rights Agreement (incorporated by reference to Exhibit 2 to the Registrant’s Amendment</w:t>
            </w:r>
          </w:p>
        </w:tc>
      </w:tr>
      <w:tr>
        <w:trPr>
          <w:trHeight w:val="222"/>
        </w:trPr>
        <w:tc>
          <w:tcPr>
            <w:tcW w:w="90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No. 1 to Registration Statement on Form 8-A dated September 23, 1998).</w:t>
            </w:r>
          </w:p>
        </w:tc>
      </w:tr>
      <w:tr>
        <w:trPr>
          <w:trHeight w:val="318"/>
        </w:trPr>
        <w:tc>
          <w:tcPr>
            <w:tcW w:w="900" w:type="dxa"/>
            <w:vAlign w:val="bottom"/>
          </w:tcPr>
          <w:p>
            <w:pPr>
              <w:jc w:val="center"/>
              <w:ind w:right="232"/>
              <w:spacing w:after="0"/>
              <w:rPr>
                <w:sz w:val="20"/>
                <w:szCs w:val="20"/>
                <w:color w:val="auto"/>
              </w:rPr>
            </w:pPr>
            <w:r>
              <w:rPr>
                <w:rFonts w:ascii="Arial" w:cs="Arial" w:eastAsia="Arial" w:hAnsi="Arial"/>
                <w:sz w:val="18"/>
                <w:szCs w:val="18"/>
                <w:color w:val="auto"/>
                <w:w w:val="93"/>
              </w:rPr>
              <w:t>4(b)</w:t>
            </w:r>
          </w:p>
        </w:tc>
        <w:tc>
          <w:tcPr>
            <w:tcW w:w="10480" w:type="dxa"/>
            <w:vAlign w:val="bottom"/>
          </w:tcPr>
          <w:p>
            <w:pPr>
              <w:ind w:left="320"/>
              <w:spacing w:after="0"/>
              <w:rPr>
                <w:sz w:val="20"/>
                <w:szCs w:val="20"/>
                <w:color w:val="auto"/>
              </w:rPr>
            </w:pPr>
            <w:r>
              <w:rPr>
                <w:rFonts w:ascii="Arial" w:cs="Arial" w:eastAsia="Arial" w:hAnsi="Arial"/>
                <w:sz w:val="18"/>
                <w:szCs w:val="18"/>
                <w:color w:val="auto"/>
                <w:w w:val="91"/>
              </w:rPr>
              <w:t>The Registrant agrees to provide the Commission, upon request, copies of instruments defining the rights of holders of long-term debt of the</w:t>
            </w:r>
          </w:p>
        </w:tc>
      </w:tr>
      <w:tr>
        <w:trPr>
          <w:trHeight w:val="222"/>
        </w:trPr>
        <w:tc>
          <w:tcPr>
            <w:tcW w:w="90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Registrant and its subsidiaries.</w:t>
            </w:r>
          </w:p>
        </w:tc>
      </w:tr>
      <w:tr>
        <w:trPr>
          <w:trHeight w:val="318"/>
        </w:trPr>
        <w:tc>
          <w:tcPr>
            <w:tcW w:w="900" w:type="dxa"/>
            <w:vAlign w:val="bottom"/>
          </w:tcPr>
          <w:p>
            <w:pPr>
              <w:jc w:val="center"/>
              <w:ind w:right="232"/>
              <w:spacing w:after="0"/>
              <w:rPr>
                <w:sz w:val="20"/>
                <w:szCs w:val="20"/>
                <w:color w:val="auto"/>
              </w:rPr>
            </w:pPr>
            <w:r>
              <w:rPr>
                <w:rFonts w:ascii="Arial" w:cs="Arial" w:eastAsia="Arial" w:hAnsi="Arial"/>
                <w:sz w:val="18"/>
                <w:szCs w:val="18"/>
                <w:color w:val="auto"/>
                <w:w w:val="93"/>
              </w:rPr>
              <w:t>10(a)(i)</w:t>
            </w:r>
          </w:p>
        </w:tc>
        <w:tc>
          <w:tcPr>
            <w:tcW w:w="10480" w:type="dxa"/>
            <w:vAlign w:val="bottom"/>
          </w:tcPr>
          <w:p>
            <w:pPr>
              <w:ind w:left="320"/>
              <w:spacing w:after="0"/>
              <w:rPr>
                <w:sz w:val="20"/>
                <w:szCs w:val="20"/>
                <w:color w:val="auto"/>
              </w:rPr>
            </w:pPr>
            <w:r>
              <w:rPr>
                <w:rFonts w:ascii="Arial" w:cs="Arial" w:eastAsia="Arial" w:hAnsi="Arial"/>
                <w:sz w:val="18"/>
                <w:szCs w:val="18"/>
                <w:color w:val="auto"/>
                <w:w w:val="92"/>
              </w:rPr>
              <w:t>Amended and Restated TI Deferred Compensation Plan (incorporated by reference to Exhibit 10(a)(i) to the Registrant’s Annual Report on</w:t>
            </w:r>
          </w:p>
        </w:tc>
      </w:tr>
      <w:tr>
        <w:trPr>
          <w:trHeight w:val="222"/>
        </w:trPr>
        <w:tc>
          <w:tcPr>
            <w:tcW w:w="90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Form 10-K for the year 1999).*</w:t>
            </w:r>
          </w:p>
        </w:tc>
      </w:tr>
      <w:tr>
        <w:trPr>
          <w:trHeight w:val="318"/>
        </w:trPr>
        <w:tc>
          <w:tcPr>
            <w:tcW w:w="900" w:type="dxa"/>
            <w:vAlign w:val="bottom"/>
          </w:tcPr>
          <w:p>
            <w:pPr>
              <w:jc w:val="center"/>
              <w:ind w:right="232"/>
              <w:spacing w:after="0"/>
              <w:rPr>
                <w:sz w:val="20"/>
                <w:szCs w:val="20"/>
                <w:color w:val="auto"/>
              </w:rPr>
            </w:pPr>
            <w:r>
              <w:rPr>
                <w:rFonts w:ascii="Arial" w:cs="Arial" w:eastAsia="Arial" w:hAnsi="Arial"/>
                <w:sz w:val="18"/>
                <w:szCs w:val="18"/>
                <w:color w:val="auto"/>
                <w:w w:val="93"/>
              </w:rPr>
              <w:t>10(a)(ii)</w:t>
            </w:r>
          </w:p>
        </w:tc>
        <w:tc>
          <w:tcPr>
            <w:tcW w:w="10480" w:type="dxa"/>
            <w:vAlign w:val="bottom"/>
          </w:tcPr>
          <w:p>
            <w:pPr>
              <w:ind w:left="320"/>
              <w:spacing w:after="0"/>
              <w:rPr>
                <w:sz w:val="20"/>
                <w:szCs w:val="20"/>
                <w:color w:val="auto"/>
              </w:rPr>
            </w:pPr>
            <w:r>
              <w:rPr>
                <w:rFonts w:ascii="Arial" w:cs="Arial" w:eastAsia="Arial" w:hAnsi="Arial"/>
                <w:sz w:val="18"/>
                <w:szCs w:val="18"/>
                <w:color w:val="auto"/>
                <w:w w:val="90"/>
              </w:rPr>
              <w:t>First Amendment to Restated TI Deferred Compensation Plan (incorporated by reference to Exhibit 10(a)(ii) to the Registrant’s Annual Report</w:t>
            </w:r>
          </w:p>
        </w:tc>
      </w:tr>
      <w:tr>
        <w:trPr>
          <w:trHeight w:val="222"/>
        </w:trPr>
        <w:tc>
          <w:tcPr>
            <w:tcW w:w="90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on Form 10-K for the year 1999).*</w:t>
            </w:r>
          </w:p>
        </w:tc>
      </w:tr>
      <w:tr>
        <w:trPr>
          <w:trHeight w:val="365"/>
        </w:trPr>
        <w:tc>
          <w:tcPr>
            <w:tcW w:w="900" w:type="dxa"/>
            <w:vAlign w:val="bottom"/>
          </w:tcPr>
          <w:p>
            <w:pPr>
              <w:spacing w:after="0"/>
              <w:rPr>
                <w:sz w:val="24"/>
                <w:szCs w:val="24"/>
                <w:color w:val="auto"/>
              </w:rPr>
            </w:pPr>
          </w:p>
        </w:tc>
        <w:tc>
          <w:tcPr>
            <w:tcW w:w="10480" w:type="dxa"/>
            <w:vAlign w:val="bottom"/>
          </w:tcPr>
          <w:p>
            <w:pPr>
              <w:ind w:left="4700"/>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380"/>
          </w:cols>
          <w:pgMar w:left="260" w:top="280" w:right="259" w:bottom="144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00" w:type="dxa"/>
            <w:vAlign w:val="bottom"/>
          </w:tcPr>
          <w:p>
            <w:pPr>
              <w:jc w:val="center"/>
              <w:ind w:right="192"/>
              <w:spacing w:after="0"/>
              <w:rPr>
                <w:sz w:val="20"/>
                <w:szCs w:val="20"/>
                <w:color w:val="auto"/>
              </w:rPr>
            </w:pPr>
            <w:r>
              <w:rPr>
                <w:rFonts w:ascii="Arial" w:cs="Arial" w:eastAsia="Arial" w:hAnsi="Arial"/>
                <w:sz w:val="18"/>
                <w:szCs w:val="18"/>
                <w:color w:val="auto"/>
                <w:w w:val="93"/>
              </w:rPr>
              <w:t>10(a)(iii)</w:t>
            </w:r>
          </w:p>
        </w:tc>
        <w:tc>
          <w:tcPr>
            <w:tcW w:w="10480" w:type="dxa"/>
            <w:vAlign w:val="bottom"/>
          </w:tcPr>
          <w:p>
            <w:pPr>
              <w:ind w:left="280"/>
              <w:spacing w:after="0"/>
              <w:rPr>
                <w:sz w:val="20"/>
                <w:szCs w:val="20"/>
                <w:color w:val="auto"/>
              </w:rPr>
            </w:pPr>
            <w:r>
              <w:rPr>
                <w:rFonts w:ascii="Arial" w:cs="Arial" w:eastAsia="Arial" w:hAnsi="Arial"/>
                <w:sz w:val="18"/>
                <w:szCs w:val="18"/>
                <w:color w:val="auto"/>
                <w:w w:val="92"/>
              </w:rPr>
              <w:t>Second Amendment to Restated TI Deferred Compensation Plan (incorporated by reference to Exhibit 10(a)(iii) to the Registrant’s Annual</w:t>
            </w:r>
          </w:p>
        </w:tc>
      </w:tr>
      <w:tr>
        <w:trPr>
          <w:trHeight w:val="222"/>
        </w:trPr>
        <w:tc>
          <w:tcPr>
            <w:tcW w:w="90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Report on Form 10-K for the year 1999).*</w:t>
            </w:r>
          </w:p>
        </w:tc>
      </w:tr>
      <w:tr>
        <w:trPr>
          <w:trHeight w:val="318"/>
        </w:trPr>
        <w:tc>
          <w:tcPr>
            <w:tcW w:w="900" w:type="dxa"/>
            <w:vAlign w:val="bottom"/>
          </w:tcPr>
          <w:p>
            <w:pPr>
              <w:jc w:val="center"/>
              <w:ind w:right="192"/>
              <w:spacing w:after="0"/>
              <w:rPr>
                <w:sz w:val="20"/>
                <w:szCs w:val="20"/>
                <w:color w:val="auto"/>
              </w:rPr>
            </w:pPr>
            <w:r>
              <w:rPr>
                <w:rFonts w:ascii="Arial" w:cs="Arial" w:eastAsia="Arial" w:hAnsi="Arial"/>
                <w:sz w:val="18"/>
                <w:szCs w:val="18"/>
                <w:color w:val="auto"/>
                <w:w w:val="92"/>
              </w:rPr>
              <w:t>10(a)(iv)</w:t>
            </w:r>
          </w:p>
        </w:tc>
        <w:tc>
          <w:tcPr>
            <w:tcW w:w="10480" w:type="dxa"/>
            <w:vAlign w:val="bottom"/>
          </w:tcPr>
          <w:p>
            <w:pPr>
              <w:ind w:left="280"/>
              <w:spacing w:after="0"/>
              <w:rPr>
                <w:sz w:val="20"/>
                <w:szCs w:val="20"/>
                <w:color w:val="auto"/>
              </w:rPr>
            </w:pPr>
            <w:r>
              <w:rPr>
                <w:rFonts w:ascii="Arial" w:cs="Arial" w:eastAsia="Arial" w:hAnsi="Arial"/>
                <w:sz w:val="18"/>
                <w:szCs w:val="18"/>
                <w:color w:val="auto"/>
                <w:w w:val="89"/>
              </w:rPr>
              <w:t>Third Amendment to Restated TI Deferred Compensation Plan (incorporated by reference to Exhibit 10(a)(iv) to the Registrant’s Annual Report</w:t>
            </w:r>
          </w:p>
        </w:tc>
      </w:tr>
      <w:tr>
        <w:trPr>
          <w:trHeight w:val="222"/>
        </w:trPr>
        <w:tc>
          <w:tcPr>
            <w:tcW w:w="90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on Form 10-K for the year 2000).*</w:t>
            </w:r>
          </w:p>
        </w:tc>
      </w:tr>
      <w:tr>
        <w:trPr>
          <w:trHeight w:val="318"/>
        </w:trPr>
        <w:tc>
          <w:tcPr>
            <w:tcW w:w="900" w:type="dxa"/>
            <w:vAlign w:val="bottom"/>
          </w:tcPr>
          <w:p>
            <w:pPr>
              <w:jc w:val="center"/>
              <w:ind w:right="192"/>
              <w:spacing w:after="0"/>
              <w:rPr>
                <w:sz w:val="20"/>
                <w:szCs w:val="20"/>
                <w:color w:val="auto"/>
              </w:rPr>
            </w:pPr>
            <w:r>
              <w:rPr>
                <w:rFonts w:ascii="Arial" w:cs="Arial" w:eastAsia="Arial" w:hAnsi="Arial"/>
                <w:sz w:val="18"/>
                <w:szCs w:val="18"/>
                <w:color w:val="auto"/>
                <w:w w:val="91"/>
              </w:rPr>
              <w:t>10(a)(v)</w:t>
            </w:r>
          </w:p>
        </w:tc>
        <w:tc>
          <w:tcPr>
            <w:tcW w:w="10480" w:type="dxa"/>
            <w:vAlign w:val="bottom"/>
          </w:tcPr>
          <w:p>
            <w:pPr>
              <w:ind w:left="280"/>
              <w:spacing w:after="0"/>
              <w:rPr>
                <w:sz w:val="20"/>
                <w:szCs w:val="20"/>
                <w:color w:val="auto"/>
              </w:rPr>
            </w:pPr>
            <w:r>
              <w:rPr>
                <w:rFonts w:ascii="Arial" w:cs="Arial" w:eastAsia="Arial" w:hAnsi="Arial"/>
                <w:sz w:val="18"/>
                <w:szCs w:val="18"/>
                <w:color w:val="auto"/>
                <w:w w:val="89"/>
              </w:rPr>
              <w:t>Fourth Amendment to Restated TI Deferred Compensation Plan (incorporated by reference to Exhibit 10(a)(v) to the Registrant’s Annual Report</w:t>
            </w:r>
          </w:p>
        </w:tc>
      </w:tr>
      <w:tr>
        <w:trPr>
          <w:trHeight w:val="222"/>
        </w:trPr>
        <w:tc>
          <w:tcPr>
            <w:tcW w:w="90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on Form 10-K for the year 2001).*</w:t>
            </w:r>
          </w:p>
        </w:tc>
      </w:tr>
      <w:tr>
        <w:trPr>
          <w:trHeight w:val="318"/>
        </w:trPr>
        <w:tc>
          <w:tcPr>
            <w:tcW w:w="900" w:type="dxa"/>
            <w:vAlign w:val="bottom"/>
          </w:tcPr>
          <w:p>
            <w:pPr>
              <w:jc w:val="center"/>
              <w:ind w:right="192"/>
              <w:spacing w:after="0"/>
              <w:rPr>
                <w:sz w:val="20"/>
                <w:szCs w:val="20"/>
                <w:color w:val="auto"/>
              </w:rPr>
            </w:pPr>
            <w:r>
              <w:rPr>
                <w:rFonts w:ascii="Arial" w:cs="Arial" w:eastAsia="Arial" w:hAnsi="Arial"/>
                <w:sz w:val="18"/>
                <w:szCs w:val="18"/>
                <w:color w:val="auto"/>
                <w:w w:val="92"/>
              </w:rPr>
              <w:t>10(a)(vi)</w:t>
            </w:r>
          </w:p>
        </w:tc>
        <w:tc>
          <w:tcPr>
            <w:tcW w:w="10480" w:type="dxa"/>
            <w:vAlign w:val="bottom"/>
          </w:tcPr>
          <w:p>
            <w:pPr>
              <w:ind w:left="280"/>
              <w:spacing w:after="0"/>
              <w:rPr>
                <w:sz w:val="20"/>
                <w:szCs w:val="20"/>
                <w:color w:val="auto"/>
              </w:rPr>
            </w:pPr>
            <w:r>
              <w:rPr>
                <w:rFonts w:ascii="Arial" w:cs="Arial" w:eastAsia="Arial" w:hAnsi="Arial"/>
                <w:sz w:val="18"/>
                <w:szCs w:val="18"/>
                <w:color w:val="auto"/>
                <w:w w:val="90"/>
              </w:rPr>
              <w:t>Fifth Amendment to Restated TI Deferred Compensation Plan (incorporated by reference to Exhibit 10(a)(vi) to the Registrant’s Annual Report</w:t>
            </w:r>
          </w:p>
        </w:tc>
      </w:tr>
      <w:tr>
        <w:trPr>
          <w:trHeight w:val="222"/>
        </w:trPr>
        <w:tc>
          <w:tcPr>
            <w:tcW w:w="90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on Form 10-K for the year 2002).*</w:t>
            </w:r>
          </w:p>
        </w:tc>
      </w:tr>
      <w:tr>
        <w:trPr>
          <w:trHeight w:val="318"/>
        </w:trPr>
        <w:tc>
          <w:tcPr>
            <w:tcW w:w="900" w:type="dxa"/>
            <w:vAlign w:val="bottom"/>
          </w:tcPr>
          <w:p>
            <w:pPr>
              <w:jc w:val="center"/>
              <w:ind w:right="192"/>
              <w:spacing w:after="0"/>
              <w:rPr>
                <w:sz w:val="20"/>
                <w:szCs w:val="20"/>
                <w:color w:val="auto"/>
              </w:rPr>
            </w:pPr>
            <w:r>
              <w:rPr>
                <w:rFonts w:ascii="Arial" w:cs="Arial" w:eastAsia="Arial" w:hAnsi="Arial"/>
                <w:sz w:val="18"/>
                <w:szCs w:val="18"/>
                <w:color w:val="auto"/>
                <w:w w:val="93"/>
              </w:rPr>
              <w:t>10(b)(i)</w:t>
            </w:r>
          </w:p>
        </w:tc>
        <w:tc>
          <w:tcPr>
            <w:tcW w:w="10480" w:type="dxa"/>
            <w:vAlign w:val="bottom"/>
          </w:tcPr>
          <w:p>
            <w:pPr>
              <w:ind w:left="280"/>
              <w:spacing w:after="0"/>
              <w:rPr>
                <w:sz w:val="20"/>
                <w:szCs w:val="20"/>
                <w:color w:val="auto"/>
              </w:rPr>
            </w:pPr>
            <w:r>
              <w:rPr>
                <w:rFonts w:ascii="Arial" w:cs="Arial" w:eastAsia="Arial" w:hAnsi="Arial"/>
                <w:sz w:val="18"/>
                <w:szCs w:val="18"/>
                <w:color w:val="auto"/>
                <w:w w:val="89"/>
              </w:rPr>
              <w:t>TI Employees Supplemental Pension Plan (incorporated by reference to Exhibit 10(b)(i) to the Registrant’s Annual Report on Form 10-K for the</w:t>
            </w:r>
          </w:p>
        </w:tc>
      </w:tr>
      <w:tr>
        <w:trPr>
          <w:trHeight w:val="222"/>
        </w:trPr>
        <w:tc>
          <w:tcPr>
            <w:tcW w:w="90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year 1999).*</w:t>
            </w:r>
          </w:p>
        </w:tc>
      </w:tr>
      <w:tr>
        <w:trPr>
          <w:trHeight w:val="318"/>
        </w:trPr>
        <w:tc>
          <w:tcPr>
            <w:tcW w:w="900" w:type="dxa"/>
            <w:vAlign w:val="bottom"/>
          </w:tcPr>
          <w:p>
            <w:pPr>
              <w:jc w:val="center"/>
              <w:ind w:right="192"/>
              <w:spacing w:after="0"/>
              <w:rPr>
                <w:sz w:val="20"/>
                <w:szCs w:val="20"/>
                <w:color w:val="auto"/>
              </w:rPr>
            </w:pPr>
            <w:r>
              <w:rPr>
                <w:rFonts w:ascii="Arial" w:cs="Arial" w:eastAsia="Arial" w:hAnsi="Arial"/>
                <w:sz w:val="18"/>
                <w:szCs w:val="18"/>
                <w:color w:val="auto"/>
                <w:w w:val="93"/>
              </w:rPr>
              <w:t>10(b)(ii)</w:t>
            </w:r>
          </w:p>
        </w:tc>
        <w:tc>
          <w:tcPr>
            <w:tcW w:w="10480" w:type="dxa"/>
            <w:vAlign w:val="bottom"/>
          </w:tcPr>
          <w:p>
            <w:pPr>
              <w:ind w:left="280"/>
              <w:spacing w:after="0"/>
              <w:rPr>
                <w:sz w:val="20"/>
                <w:szCs w:val="20"/>
                <w:color w:val="auto"/>
              </w:rPr>
            </w:pPr>
            <w:r>
              <w:rPr>
                <w:rFonts w:ascii="Arial" w:cs="Arial" w:eastAsia="Arial" w:hAnsi="Arial"/>
                <w:sz w:val="18"/>
                <w:szCs w:val="18"/>
                <w:color w:val="auto"/>
                <w:w w:val="89"/>
              </w:rPr>
              <w:t>First Amendment to TI Supplemental Pension Plan (incorporated by reference to Exhibit 10(b)(ii) to the Registrant’s Annual Report on Form 10-</w:t>
            </w:r>
          </w:p>
        </w:tc>
      </w:tr>
      <w:tr>
        <w:trPr>
          <w:trHeight w:val="222"/>
        </w:trPr>
        <w:tc>
          <w:tcPr>
            <w:tcW w:w="90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K for the year 1999).*</w:t>
            </w:r>
          </w:p>
        </w:tc>
      </w:tr>
      <w:tr>
        <w:trPr>
          <w:trHeight w:val="318"/>
        </w:trPr>
        <w:tc>
          <w:tcPr>
            <w:tcW w:w="900" w:type="dxa"/>
            <w:vAlign w:val="bottom"/>
          </w:tcPr>
          <w:p>
            <w:pPr>
              <w:jc w:val="center"/>
              <w:ind w:right="172"/>
              <w:spacing w:after="0"/>
              <w:rPr>
                <w:sz w:val="20"/>
                <w:szCs w:val="20"/>
                <w:color w:val="auto"/>
              </w:rPr>
            </w:pPr>
            <w:r>
              <w:rPr>
                <w:rFonts w:ascii="Arial" w:cs="Arial" w:eastAsia="Arial" w:hAnsi="Arial"/>
                <w:sz w:val="18"/>
                <w:szCs w:val="18"/>
                <w:color w:val="auto"/>
                <w:w w:val="96"/>
              </w:rPr>
              <w:t>10(b)(iii)</w:t>
            </w:r>
          </w:p>
        </w:tc>
        <w:tc>
          <w:tcPr>
            <w:tcW w:w="10480" w:type="dxa"/>
            <w:vAlign w:val="bottom"/>
          </w:tcPr>
          <w:p>
            <w:pPr>
              <w:ind w:left="280"/>
              <w:spacing w:after="0"/>
              <w:rPr>
                <w:sz w:val="20"/>
                <w:szCs w:val="20"/>
                <w:color w:val="auto"/>
              </w:rPr>
            </w:pPr>
            <w:r>
              <w:rPr>
                <w:rFonts w:ascii="Arial" w:cs="Arial" w:eastAsia="Arial" w:hAnsi="Arial"/>
                <w:sz w:val="18"/>
                <w:szCs w:val="18"/>
                <w:color w:val="auto"/>
                <w:w w:val="89"/>
              </w:rPr>
              <w:t>Second Amendment to TI Supplemental Pension Plan (incorporated by reference to Exhibit 10(b)(iii) to the Registrant’s Annual Report on Form</w:t>
            </w:r>
          </w:p>
        </w:tc>
      </w:tr>
      <w:tr>
        <w:trPr>
          <w:trHeight w:val="222"/>
        </w:trPr>
        <w:tc>
          <w:tcPr>
            <w:tcW w:w="90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10-K for the year 2002).*</w:t>
            </w:r>
          </w:p>
        </w:tc>
      </w:tr>
      <w:tr>
        <w:trPr>
          <w:trHeight w:val="318"/>
        </w:trPr>
        <w:tc>
          <w:tcPr>
            <w:tcW w:w="900" w:type="dxa"/>
            <w:vAlign w:val="bottom"/>
          </w:tcPr>
          <w:p>
            <w:pPr>
              <w:jc w:val="center"/>
              <w:ind w:right="192"/>
              <w:spacing w:after="0"/>
              <w:rPr>
                <w:sz w:val="20"/>
                <w:szCs w:val="20"/>
                <w:color w:val="auto"/>
              </w:rPr>
            </w:pPr>
            <w:r>
              <w:rPr>
                <w:rFonts w:ascii="Arial" w:cs="Arial" w:eastAsia="Arial" w:hAnsi="Arial"/>
                <w:sz w:val="18"/>
                <w:szCs w:val="18"/>
                <w:color w:val="auto"/>
                <w:w w:val="92"/>
              </w:rPr>
              <w:t>10(b)(iv)</w:t>
            </w:r>
          </w:p>
        </w:tc>
        <w:tc>
          <w:tcPr>
            <w:tcW w:w="10480" w:type="dxa"/>
            <w:vAlign w:val="bottom"/>
          </w:tcPr>
          <w:p>
            <w:pPr>
              <w:ind w:left="280"/>
              <w:spacing w:after="0"/>
              <w:rPr>
                <w:sz w:val="20"/>
                <w:szCs w:val="20"/>
                <w:color w:val="auto"/>
              </w:rPr>
            </w:pPr>
            <w:r>
              <w:rPr>
                <w:rFonts w:ascii="Arial" w:cs="Arial" w:eastAsia="Arial" w:hAnsi="Arial"/>
                <w:sz w:val="18"/>
                <w:szCs w:val="18"/>
                <w:color w:val="auto"/>
                <w:w w:val="90"/>
              </w:rPr>
              <w:t>Third Amendment to TI Supplemental Pension Plan (incorporated by reference to Exhibit 10(b)(iv) to the Registrant’s Annual Report on Form</w:t>
            </w:r>
          </w:p>
        </w:tc>
      </w:tr>
      <w:tr>
        <w:trPr>
          <w:trHeight w:val="222"/>
        </w:trPr>
        <w:tc>
          <w:tcPr>
            <w:tcW w:w="90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10-K for the year 2002).*</w:t>
            </w:r>
          </w:p>
        </w:tc>
      </w:tr>
      <w:tr>
        <w:trPr>
          <w:trHeight w:val="318"/>
        </w:trPr>
        <w:tc>
          <w:tcPr>
            <w:tcW w:w="900" w:type="dxa"/>
            <w:vAlign w:val="bottom"/>
          </w:tcPr>
          <w:p>
            <w:pPr>
              <w:jc w:val="center"/>
              <w:ind w:right="192"/>
              <w:spacing w:after="0"/>
              <w:rPr>
                <w:sz w:val="20"/>
                <w:szCs w:val="20"/>
                <w:color w:val="auto"/>
              </w:rPr>
            </w:pPr>
            <w:r>
              <w:rPr>
                <w:rFonts w:ascii="Arial" w:cs="Arial" w:eastAsia="Arial" w:hAnsi="Arial"/>
                <w:sz w:val="18"/>
                <w:szCs w:val="18"/>
                <w:color w:val="auto"/>
                <w:w w:val="91"/>
              </w:rPr>
              <w:t>10(b)(v)</w:t>
            </w:r>
          </w:p>
        </w:tc>
        <w:tc>
          <w:tcPr>
            <w:tcW w:w="10480" w:type="dxa"/>
            <w:vAlign w:val="bottom"/>
          </w:tcPr>
          <w:p>
            <w:pPr>
              <w:ind w:left="280"/>
              <w:spacing w:after="0"/>
              <w:rPr>
                <w:sz w:val="20"/>
                <w:szCs w:val="20"/>
                <w:color w:val="auto"/>
              </w:rPr>
            </w:pPr>
            <w:r>
              <w:rPr>
                <w:rFonts w:ascii="Arial" w:cs="Arial" w:eastAsia="Arial" w:hAnsi="Arial"/>
                <w:sz w:val="18"/>
                <w:szCs w:val="18"/>
                <w:color w:val="auto"/>
                <w:w w:val="89"/>
              </w:rPr>
              <w:t>Fourth Amendment to TI’s Supplemental Pension Plan (incorporated by reference to Exhibit 10(b)(v) to the Registrant’s Annual Report on Form</w:t>
            </w:r>
          </w:p>
        </w:tc>
      </w:tr>
      <w:tr>
        <w:trPr>
          <w:trHeight w:val="222"/>
        </w:trPr>
        <w:tc>
          <w:tcPr>
            <w:tcW w:w="90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10-K for the year 2003).*</w:t>
            </w:r>
          </w:p>
        </w:tc>
      </w:tr>
      <w:tr>
        <w:trPr>
          <w:trHeight w:val="318"/>
        </w:trPr>
        <w:tc>
          <w:tcPr>
            <w:tcW w:w="900" w:type="dxa"/>
            <w:vAlign w:val="bottom"/>
          </w:tcPr>
          <w:p>
            <w:pPr>
              <w:jc w:val="center"/>
              <w:ind w:right="192"/>
              <w:spacing w:after="0"/>
              <w:rPr>
                <w:sz w:val="20"/>
                <w:szCs w:val="20"/>
                <w:color w:val="auto"/>
              </w:rPr>
            </w:pPr>
            <w:r>
              <w:rPr>
                <w:rFonts w:ascii="Arial" w:cs="Arial" w:eastAsia="Arial" w:hAnsi="Arial"/>
                <w:sz w:val="18"/>
                <w:szCs w:val="18"/>
                <w:color w:val="auto"/>
                <w:w w:val="92"/>
              </w:rPr>
              <w:t>10(c)</w:t>
            </w:r>
          </w:p>
        </w:tc>
        <w:tc>
          <w:tcPr>
            <w:tcW w:w="10480" w:type="dxa"/>
            <w:vAlign w:val="bottom"/>
          </w:tcPr>
          <w:p>
            <w:pPr>
              <w:ind w:left="280"/>
              <w:spacing w:after="0"/>
              <w:rPr>
                <w:sz w:val="20"/>
                <w:szCs w:val="20"/>
                <w:color w:val="auto"/>
              </w:rPr>
            </w:pPr>
            <w:r>
              <w:rPr>
                <w:rFonts w:ascii="Arial" w:cs="Arial" w:eastAsia="Arial" w:hAnsi="Arial"/>
                <w:sz w:val="18"/>
                <w:szCs w:val="18"/>
                <w:color w:val="auto"/>
                <w:w w:val="89"/>
              </w:rPr>
              <w:t>Texas Instruments Long-Term Incentive Plan (incorporated by reference to Exhibit 10(a)(ii) to the Registrant’s Annual Report on Form 10-K for</w:t>
            </w:r>
          </w:p>
        </w:tc>
      </w:tr>
      <w:tr>
        <w:trPr>
          <w:trHeight w:val="222"/>
        </w:trPr>
        <w:tc>
          <w:tcPr>
            <w:tcW w:w="90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the year 1993).*</w:t>
            </w:r>
          </w:p>
        </w:tc>
      </w:tr>
      <w:tr>
        <w:trPr>
          <w:trHeight w:val="318"/>
        </w:trPr>
        <w:tc>
          <w:tcPr>
            <w:tcW w:w="900" w:type="dxa"/>
            <w:vAlign w:val="bottom"/>
          </w:tcPr>
          <w:p>
            <w:pPr>
              <w:jc w:val="center"/>
              <w:ind w:right="192"/>
              <w:spacing w:after="0"/>
              <w:rPr>
                <w:sz w:val="20"/>
                <w:szCs w:val="20"/>
                <w:color w:val="auto"/>
              </w:rPr>
            </w:pPr>
            <w:r>
              <w:rPr>
                <w:rFonts w:ascii="Arial" w:cs="Arial" w:eastAsia="Arial" w:hAnsi="Arial"/>
                <w:sz w:val="18"/>
                <w:szCs w:val="18"/>
                <w:color w:val="auto"/>
                <w:w w:val="90"/>
              </w:rPr>
              <w:t>10(d)</w:t>
            </w:r>
          </w:p>
        </w:tc>
        <w:tc>
          <w:tcPr>
            <w:tcW w:w="10480" w:type="dxa"/>
            <w:vAlign w:val="bottom"/>
          </w:tcPr>
          <w:p>
            <w:pPr>
              <w:ind w:left="280"/>
              <w:spacing w:after="0"/>
              <w:rPr>
                <w:sz w:val="20"/>
                <w:szCs w:val="20"/>
                <w:color w:val="auto"/>
              </w:rPr>
            </w:pPr>
            <w:r>
              <w:rPr>
                <w:rFonts w:ascii="Arial" w:cs="Arial" w:eastAsia="Arial" w:hAnsi="Arial"/>
                <w:sz w:val="18"/>
                <w:szCs w:val="18"/>
                <w:color w:val="auto"/>
                <w:w w:val="90"/>
              </w:rPr>
              <w:t>Texas Instruments 1996 Long-Term Incentive Plan (incorporated by reference to Exhibit 10 to the Registrant’s Quarterly Report on Form 10-Q</w:t>
            </w:r>
          </w:p>
        </w:tc>
      </w:tr>
      <w:tr>
        <w:trPr>
          <w:trHeight w:val="222"/>
        </w:trPr>
        <w:tc>
          <w:tcPr>
            <w:tcW w:w="90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for the quarter ended June 30, 1996).*</w:t>
            </w:r>
          </w:p>
        </w:tc>
      </w:tr>
      <w:tr>
        <w:trPr>
          <w:trHeight w:val="318"/>
        </w:trPr>
        <w:tc>
          <w:tcPr>
            <w:tcW w:w="900" w:type="dxa"/>
            <w:vAlign w:val="bottom"/>
          </w:tcPr>
          <w:p>
            <w:pPr>
              <w:jc w:val="center"/>
              <w:ind w:right="192"/>
              <w:spacing w:after="0"/>
              <w:rPr>
                <w:sz w:val="20"/>
                <w:szCs w:val="20"/>
                <w:color w:val="auto"/>
              </w:rPr>
            </w:pPr>
            <w:r>
              <w:rPr>
                <w:rFonts w:ascii="Arial" w:cs="Arial" w:eastAsia="Arial" w:hAnsi="Arial"/>
                <w:sz w:val="18"/>
                <w:szCs w:val="18"/>
                <w:color w:val="auto"/>
                <w:w w:val="90"/>
              </w:rPr>
              <w:t>10(e)</w:t>
            </w:r>
          </w:p>
        </w:tc>
        <w:tc>
          <w:tcPr>
            <w:tcW w:w="10480" w:type="dxa"/>
            <w:vAlign w:val="bottom"/>
          </w:tcPr>
          <w:p>
            <w:pPr>
              <w:ind w:left="280"/>
              <w:spacing w:after="0"/>
              <w:rPr>
                <w:sz w:val="20"/>
                <w:szCs w:val="20"/>
                <w:color w:val="auto"/>
              </w:rPr>
            </w:pPr>
            <w:r>
              <w:rPr>
                <w:rFonts w:ascii="Arial" w:cs="Arial" w:eastAsia="Arial" w:hAnsi="Arial"/>
                <w:sz w:val="18"/>
                <w:szCs w:val="18"/>
                <w:color w:val="auto"/>
                <w:w w:val="91"/>
              </w:rPr>
              <w:t>Texas Instruments 2000 Long-Term Incentive Plan (incorporated by reference to Exhibit 10(e) to the Registrant’s Registration Statement on</w:t>
            </w:r>
          </w:p>
        </w:tc>
      </w:tr>
      <w:tr>
        <w:trPr>
          <w:trHeight w:val="222"/>
        </w:trPr>
        <w:tc>
          <w:tcPr>
            <w:tcW w:w="90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Form S-4 No. 333-41030 filed on July 7, 2000).*</w:t>
            </w:r>
          </w:p>
        </w:tc>
      </w:tr>
      <w:tr>
        <w:trPr>
          <w:trHeight w:val="318"/>
        </w:trPr>
        <w:tc>
          <w:tcPr>
            <w:tcW w:w="900" w:type="dxa"/>
            <w:vAlign w:val="bottom"/>
          </w:tcPr>
          <w:p>
            <w:pPr>
              <w:jc w:val="center"/>
              <w:ind w:right="192"/>
              <w:spacing w:after="0"/>
              <w:rPr>
                <w:sz w:val="20"/>
                <w:szCs w:val="20"/>
                <w:color w:val="auto"/>
              </w:rPr>
            </w:pPr>
            <w:r>
              <w:rPr>
                <w:rFonts w:ascii="Arial" w:cs="Arial" w:eastAsia="Arial" w:hAnsi="Arial"/>
                <w:sz w:val="18"/>
                <w:szCs w:val="18"/>
                <w:color w:val="auto"/>
                <w:w w:val="91"/>
              </w:rPr>
              <w:t>10(f)</w:t>
            </w:r>
          </w:p>
        </w:tc>
        <w:tc>
          <w:tcPr>
            <w:tcW w:w="10480" w:type="dxa"/>
            <w:vAlign w:val="bottom"/>
          </w:tcPr>
          <w:p>
            <w:pPr>
              <w:ind w:left="280"/>
              <w:spacing w:after="0"/>
              <w:rPr>
                <w:sz w:val="20"/>
                <w:szCs w:val="20"/>
                <w:color w:val="auto"/>
              </w:rPr>
            </w:pPr>
            <w:r>
              <w:rPr>
                <w:rFonts w:ascii="Arial" w:cs="Arial" w:eastAsia="Arial" w:hAnsi="Arial"/>
                <w:sz w:val="18"/>
                <w:szCs w:val="18"/>
                <w:color w:val="auto"/>
                <w:w w:val="90"/>
              </w:rPr>
              <w:t>Texas Instruments 2003 Long-Term Incentive Plan (incorporated by reference to Exhibit 10(f) to the Registrant’s Annual Report on Form 10-K</w:t>
            </w:r>
          </w:p>
        </w:tc>
      </w:tr>
      <w:tr>
        <w:trPr>
          <w:trHeight w:val="222"/>
        </w:trPr>
        <w:tc>
          <w:tcPr>
            <w:tcW w:w="90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for the year 2002).</w:t>
            </w:r>
          </w:p>
        </w:tc>
      </w:tr>
      <w:tr>
        <w:trPr>
          <w:trHeight w:val="318"/>
        </w:trPr>
        <w:tc>
          <w:tcPr>
            <w:tcW w:w="900" w:type="dxa"/>
            <w:vAlign w:val="bottom"/>
          </w:tcPr>
          <w:p>
            <w:pPr>
              <w:jc w:val="center"/>
              <w:ind w:right="192"/>
              <w:spacing w:after="0"/>
              <w:rPr>
                <w:sz w:val="20"/>
                <w:szCs w:val="20"/>
                <w:color w:val="auto"/>
              </w:rPr>
            </w:pPr>
            <w:r>
              <w:rPr>
                <w:rFonts w:ascii="Arial" w:cs="Arial" w:eastAsia="Arial" w:hAnsi="Arial"/>
                <w:sz w:val="18"/>
                <w:szCs w:val="18"/>
                <w:color w:val="auto"/>
                <w:w w:val="90"/>
              </w:rPr>
              <w:t>10(g)</w:t>
            </w:r>
          </w:p>
        </w:tc>
        <w:tc>
          <w:tcPr>
            <w:tcW w:w="10480" w:type="dxa"/>
            <w:vAlign w:val="bottom"/>
          </w:tcPr>
          <w:p>
            <w:pPr>
              <w:ind w:left="280"/>
              <w:spacing w:after="0"/>
              <w:rPr>
                <w:sz w:val="20"/>
                <w:szCs w:val="20"/>
                <w:color w:val="auto"/>
              </w:rPr>
            </w:pPr>
            <w:r>
              <w:rPr>
                <w:rFonts w:ascii="Arial" w:cs="Arial" w:eastAsia="Arial" w:hAnsi="Arial"/>
                <w:sz w:val="18"/>
                <w:szCs w:val="18"/>
                <w:color w:val="auto"/>
                <w:w w:val="89"/>
              </w:rPr>
              <w:t>Texas Instruments Executive Officer Performance Plan (incorporated by reference to Exhibit 10(a) to the Registrant’s Quarterly Report on Form</w:t>
            </w:r>
          </w:p>
        </w:tc>
      </w:tr>
      <w:tr>
        <w:trPr>
          <w:trHeight w:val="222"/>
        </w:trPr>
        <w:tc>
          <w:tcPr>
            <w:tcW w:w="90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10-Q for the quarter ended March 31, 2002).*</w:t>
            </w:r>
          </w:p>
        </w:tc>
      </w:tr>
      <w:tr>
        <w:trPr>
          <w:trHeight w:val="318"/>
        </w:trPr>
        <w:tc>
          <w:tcPr>
            <w:tcW w:w="900" w:type="dxa"/>
            <w:vAlign w:val="bottom"/>
          </w:tcPr>
          <w:p>
            <w:pPr>
              <w:jc w:val="center"/>
              <w:ind w:right="192"/>
              <w:spacing w:after="0"/>
              <w:rPr>
                <w:sz w:val="20"/>
                <w:szCs w:val="20"/>
                <w:color w:val="auto"/>
              </w:rPr>
            </w:pPr>
            <w:r>
              <w:rPr>
                <w:rFonts w:ascii="Arial" w:cs="Arial" w:eastAsia="Arial" w:hAnsi="Arial"/>
                <w:sz w:val="18"/>
                <w:szCs w:val="18"/>
                <w:color w:val="auto"/>
                <w:w w:val="90"/>
              </w:rPr>
              <w:t>10(h)</w:t>
            </w:r>
          </w:p>
        </w:tc>
        <w:tc>
          <w:tcPr>
            <w:tcW w:w="10480" w:type="dxa"/>
            <w:vAlign w:val="bottom"/>
          </w:tcPr>
          <w:p>
            <w:pPr>
              <w:ind w:left="280"/>
              <w:spacing w:after="0"/>
              <w:rPr>
                <w:sz w:val="20"/>
                <w:szCs w:val="20"/>
                <w:color w:val="auto"/>
              </w:rPr>
            </w:pPr>
            <w:r>
              <w:rPr>
                <w:rFonts w:ascii="Arial" w:cs="Arial" w:eastAsia="Arial" w:hAnsi="Arial"/>
                <w:sz w:val="18"/>
                <w:szCs w:val="18"/>
                <w:color w:val="auto"/>
                <w:w w:val="90"/>
              </w:rPr>
              <w:t>Texas Instruments Restricted Stock Unit Plan for Directors (incorporated by reference to Exhibit 10(e) to the Registrant’s Quarterly Report on</w:t>
            </w:r>
          </w:p>
        </w:tc>
      </w:tr>
      <w:tr>
        <w:trPr>
          <w:trHeight w:val="222"/>
        </w:trPr>
        <w:tc>
          <w:tcPr>
            <w:tcW w:w="90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Form 10-Q for the quarter ended March 31, 1998).</w:t>
            </w:r>
          </w:p>
        </w:tc>
      </w:tr>
      <w:tr>
        <w:trPr>
          <w:trHeight w:val="318"/>
        </w:trPr>
        <w:tc>
          <w:tcPr>
            <w:tcW w:w="900" w:type="dxa"/>
            <w:vAlign w:val="bottom"/>
          </w:tcPr>
          <w:p>
            <w:pPr>
              <w:jc w:val="center"/>
              <w:ind w:right="192"/>
              <w:spacing w:after="0"/>
              <w:rPr>
                <w:sz w:val="20"/>
                <w:szCs w:val="20"/>
                <w:color w:val="auto"/>
              </w:rPr>
            </w:pPr>
            <w:r>
              <w:rPr>
                <w:rFonts w:ascii="Arial" w:cs="Arial" w:eastAsia="Arial" w:hAnsi="Arial"/>
                <w:sz w:val="18"/>
                <w:szCs w:val="18"/>
                <w:color w:val="auto"/>
                <w:w w:val="94"/>
              </w:rPr>
              <w:t>10(i)</w:t>
            </w:r>
          </w:p>
        </w:tc>
        <w:tc>
          <w:tcPr>
            <w:tcW w:w="10480" w:type="dxa"/>
            <w:vAlign w:val="bottom"/>
          </w:tcPr>
          <w:p>
            <w:pPr>
              <w:ind w:left="280"/>
              <w:spacing w:after="0"/>
              <w:rPr>
                <w:sz w:val="20"/>
                <w:szCs w:val="20"/>
                <w:color w:val="auto"/>
              </w:rPr>
            </w:pPr>
            <w:r>
              <w:rPr>
                <w:rFonts w:ascii="Arial" w:cs="Arial" w:eastAsia="Arial" w:hAnsi="Arial"/>
                <w:sz w:val="18"/>
                <w:szCs w:val="18"/>
                <w:color w:val="auto"/>
                <w:w w:val="91"/>
              </w:rPr>
              <w:t>Texas Instruments Directors Deferred Compensation Plan (incorporated by reference to Exhibit 10(f) to the Registrant’s Quarterly Report on</w:t>
            </w:r>
          </w:p>
        </w:tc>
      </w:tr>
      <w:tr>
        <w:trPr>
          <w:trHeight w:val="222"/>
        </w:trPr>
        <w:tc>
          <w:tcPr>
            <w:tcW w:w="90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Form 10-Q for the quarter ended March 31, 1998).</w:t>
            </w:r>
          </w:p>
        </w:tc>
      </w:tr>
      <w:tr>
        <w:trPr>
          <w:trHeight w:val="318"/>
        </w:trPr>
        <w:tc>
          <w:tcPr>
            <w:tcW w:w="900" w:type="dxa"/>
            <w:vAlign w:val="bottom"/>
          </w:tcPr>
          <w:p>
            <w:pPr>
              <w:jc w:val="center"/>
              <w:ind w:right="192"/>
              <w:spacing w:after="0"/>
              <w:rPr>
                <w:sz w:val="20"/>
                <w:szCs w:val="20"/>
                <w:color w:val="auto"/>
              </w:rPr>
            </w:pPr>
            <w:r>
              <w:rPr>
                <w:rFonts w:ascii="Arial" w:cs="Arial" w:eastAsia="Arial" w:hAnsi="Arial"/>
                <w:sz w:val="18"/>
                <w:szCs w:val="18"/>
                <w:color w:val="auto"/>
                <w:w w:val="94"/>
              </w:rPr>
              <w:t>10(j)</w:t>
            </w:r>
          </w:p>
        </w:tc>
        <w:tc>
          <w:tcPr>
            <w:tcW w:w="10480" w:type="dxa"/>
            <w:vAlign w:val="bottom"/>
          </w:tcPr>
          <w:p>
            <w:pPr>
              <w:ind w:left="280"/>
              <w:spacing w:after="0"/>
              <w:rPr>
                <w:sz w:val="20"/>
                <w:szCs w:val="20"/>
                <w:color w:val="auto"/>
              </w:rPr>
            </w:pPr>
            <w:r>
              <w:rPr>
                <w:rFonts w:ascii="Arial" w:cs="Arial" w:eastAsia="Arial" w:hAnsi="Arial"/>
                <w:sz w:val="18"/>
                <w:szCs w:val="18"/>
                <w:color w:val="auto"/>
                <w:w w:val="90"/>
              </w:rPr>
              <w:t>Texas Instruments Stock Option Plan for Non-Employee Directors (incorporated by reference to Exhibit 10(i) to the Registrant’s Annual Report</w:t>
            </w:r>
          </w:p>
        </w:tc>
      </w:tr>
      <w:tr>
        <w:trPr>
          <w:trHeight w:val="222"/>
        </w:trPr>
        <w:tc>
          <w:tcPr>
            <w:tcW w:w="90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on Form 10-K for the year 2000).</w:t>
            </w:r>
          </w:p>
        </w:tc>
      </w:tr>
      <w:tr>
        <w:trPr>
          <w:trHeight w:val="324"/>
        </w:trPr>
        <w:tc>
          <w:tcPr>
            <w:tcW w:w="900" w:type="dxa"/>
            <w:vAlign w:val="bottom"/>
          </w:tcPr>
          <w:p>
            <w:pPr>
              <w:jc w:val="center"/>
              <w:ind w:right="192"/>
              <w:spacing w:after="0"/>
              <w:rPr>
                <w:sz w:val="20"/>
                <w:szCs w:val="20"/>
                <w:color w:val="auto"/>
              </w:rPr>
            </w:pPr>
            <w:r>
              <w:rPr>
                <w:rFonts w:ascii="Arial" w:cs="Arial" w:eastAsia="Arial" w:hAnsi="Arial"/>
                <w:sz w:val="18"/>
                <w:szCs w:val="18"/>
                <w:color w:val="auto"/>
                <w:w w:val="92"/>
              </w:rPr>
              <w:t>10(k)</w:t>
            </w:r>
          </w:p>
        </w:tc>
        <w:tc>
          <w:tcPr>
            <w:tcW w:w="10480" w:type="dxa"/>
            <w:vAlign w:val="bottom"/>
          </w:tcPr>
          <w:p>
            <w:pPr>
              <w:ind w:left="280"/>
              <w:spacing w:after="0"/>
              <w:rPr>
                <w:sz w:val="20"/>
                <w:szCs w:val="20"/>
                <w:color w:val="auto"/>
              </w:rPr>
            </w:pPr>
            <w:r>
              <w:rPr>
                <w:rFonts w:ascii="Arial" w:cs="Arial" w:eastAsia="Arial" w:hAnsi="Arial"/>
                <w:sz w:val="18"/>
                <w:szCs w:val="18"/>
                <w:color w:val="auto"/>
              </w:rPr>
              <w:t>Texas Instruments 2003 Director Compensation Plan as amended November 30, 2006.</w:t>
            </w:r>
          </w:p>
        </w:tc>
      </w:tr>
      <w:tr>
        <w:trPr>
          <w:trHeight w:val="324"/>
        </w:trPr>
        <w:tc>
          <w:tcPr>
            <w:tcW w:w="900" w:type="dxa"/>
            <w:vAlign w:val="bottom"/>
          </w:tcPr>
          <w:p>
            <w:pPr>
              <w:jc w:val="center"/>
              <w:ind w:right="192"/>
              <w:spacing w:after="0"/>
              <w:rPr>
                <w:sz w:val="20"/>
                <w:szCs w:val="20"/>
                <w:color w:val="auto"/>
              </w:rPr>
            </w:pPr>
            <w:r>
              <w:rPr>
                <w:rFonts w:ascii="Arial" w:cs="Arial" w:eastAsia="Arial" w:hAnsi="Arial"/>
                <w:sz w:val="18"/>
                <w:szCs w:val="18"/>
                <w:color w:val="auto"/>
                <w:w w:val="94"/>
              </w:rPr>
              <w:t>10(l)</w:t>
            </w:r>
          </w:p>
        </w:tc>
        <w:tc>
          <w:tcPr>
            <w:tcW w:w="10480" w:type="dxa"/>
            <w:vAlign w:val="bottom"/>
          </w:tcPr>
          <w:p>
            <w:pPr>
              <w:ind w:left="280"/>
              <w:spacing w:after="0"/>
              <w:rPr>
                <w:sz w:val="20"/>
                <w:szCs w:val="20"/>
                <w:color w:val="auto"/>
              </w:rPr>
            </w:pPr>
            <w:r>
              <w:rPr>
                <w:rFonts w:ascii="Arial" w:cs="Arial" w:eastAsia="Arial" w:hAnsi="Arial"/>
                <w:sz w:val="18"/>
                <w:szCs w:val="18"/>
                <w:color w:val="auto"/>
              </w:rPr>
              <w:t>Form of Stock Option Agreement for Executive Officers under the Texas Instruments 2000 Long-Term Incentive Plan.*</w:t>
            </w:r>
          </w:p>
        </w:tc>
      </w:tr>
      <w:tr>
        <w:trPr>
          <w:trHeight w:val="324"/>
        </w:trPr>
        <w:tc>
          <w:tcPr>
            <w:tcW w:w="900" w:type="dxa"/>
            <w:vAlign w:val="bottom"/>
          </w:tcPr>
          <w:p>
            <w:pPr>
              <w:jc w:val="center"/>
              <w:ind w:right="192"/>
              <w:spacing w:after="0"/>
              <w:rPr>
                <w:sz w:val="20"/>
                <w:szCs w:val="20"/>
                <w:color w:val="auto"/>
              </w:rPr>
            </w:pPr>
            <w:r>
              <w:rPr>
                <w:rFonts w:ascii="Arial" w:cs="Arial" w:eastAsia="Arial" w:hAnsi="Arial"/>
                <w:sz w:val="18"/>
                <w:szCs w:val="18"/>
                <w:color w:val="auto"/>
                <w:w w:val="89"/>
              </w:rPr>
              <w:t>10(m)</w:t>
            </w:r>
          </w:p>
        </w:tc>
        <w:tc>
          <w:tcPr>
            <w:tcW w:w="10480" w:type="dxa"/>
            <w:vAlign w:val="bottom"/>
          </w:tcPr>
          <w:p>
            <w:pPr>
              <w:ind w:left="280"/>
              <w:spacing w:after="0"/>
              <w:rPr>
                <w:sz w:val="20"/>
                <w:szCs w:val="20"/>
                <w:color w:val="auto"/>
              </w:rPr>
            </w:pPr>
            <w:r>
              <w:rPr>
                <w:rFonts w:ascii="Arial" w:cs="Arial" w:eastAsia="Arial" w:hAnsi="Arial"/>
                <w:sz w:val="18"/>
                <w:szCs w:val="18"/>
                <w:color w:val="auto"/>
              </w:rPr>
              <w:t>Form of Restricted Stock Unit Agreement under the Texas Instruments 2000 Long-Term Incentive Plan.*</w:t>
            </w:r>
          </w:p>
        </w:tc>
      </w:tr>
      <w:tr>
        <w:trPr>
          <w:trHeight w:val="318"/>
        </w:trPr>
        <w:tc>
          <w:tcPr>
            <w:tcW w:w="900" w:type="dxa"/>
            <w:vAlign w:val="bottom"/>
          </w:tcPr>
          <w:p>
            <w:pPr>
              <w:jc w:val="center"/>
              <w:ind w:right="192"/>
              <w:spacing w:after="0"/>
              <w:rPr>
                <w:sz w:val="20"/>
                <w:szCs w:val="20"/>
                <w:color w:val="auto"/>
              </w:rPr>
            </w:pPr>
            <w:r>
              <w:rPr>
                <w:rFonts w:ascii="Arial" w:cs="Arial" w:eastAsia="Arial" w:hAnsi="Arial"/>
                <w:sz w:val="18"/>
                <w:szCs w:val="18"/>
                <w:color w:val="auto"/>
                <w:w w:val="90"/>
              </w:rPr>
              <w:t>10(n)</w:t>
            </w:r>
          </w:p>
        </w:tc>
        <w:tc>
          <w:tcPr>
            <w:tcW w:w="10480" w:type="dxa"/>
            <w:vAlign w:val="bottom"/>
          </w:tcPr>
          <w:p>
            <w:pPr>
              <w:ind w:left="280"/>
              <w:spacing w:after="0"/>
              <w:rPr>
                <w:sz w:val="20"/>
                <w:szCs w:val="20"/>
                <w:color w:val="auto"/>
              </w:rPr>
            </w:pPr>
            <w:r>
              <w:rPr>
                <w:rFonts w:ascii="Arial" w:cs="Arial" w:eastAsia="Arial" w:hAnsi="Arial"/>
                <w:sz w:val="18"/>
                <w:szCs w:val="18"/>
                <w:color w:val="auto"/>
                <w:w w:val="91"/>
              </w:rPr>
              <w:t>Acquisition Agreement dated as of June 18, 1998, between Texas Instruments Incorporated and Micron Technology, Inc. (Exhibit C omitted)</w:t>
            </w:r>
          </w:p>
        </w:tc>
      </w:tr>
      <w:tr>
        <w:trPr>
          <w:trHeight w:val="222"/>
        </w:trPr>
        <w:tc>
          <w:tcPr>
            <w:tcW w:w="90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(incorporated by reference to Exhibit 2.1 to the Registrant’s Current Report on Form 8-K dated June 18, 1998).</w:t>
            </w:r>
          </w:p>
        </w:tc>
      </w:tr>
      <w:tr>
        <w:trPr>
          <w:trHeight w:val="318"/>
        </w:trPr>
        <w:tc>
          <w:tcPr>
            <w:tcW w:w="900" w:type="dxa"/>
            <w:vAlign w:val="bottom"/>
          </w:tcPr>
          <w:p>
            <w:pPr>
              <w:jc w:val="center"/>
              <w:ind w:right="192"/>
              <w:spacing w:after="0"/>
              <w:rPr>
                <w:sz w:val="20"/>
                <w:szCs w:val="20"/>
                <w:color w:val="auto"/>
              </w:rPr>
            </w:pPr>
            <w:r>
              <w:rPr>
                <w:rFonts w:ascii="Arial" w:cs="Arial" w:eastAsia="Arial" w:hAnsi="Arial"/>
                <w:sz w:val="18"/>
                <w:szCs w:val="18"/>
                <w:color w:val="auto"/>
                <w:w w:val="90"/>
              </w:rPr>
              <w:t>10(o)</w:t>
            </w:r>
          </w:p>
        </w:tc>
        <w:tc>
          <w:tcPr>
            <w:tcW w:w="10480" w:type="dxa"/>
            <w:vAlign w:val="bottom"/>
          </w:tcPr>
          <w:p>
            <w:pPr>
              <w:ind w:left="280"/>
              <w:spacing w:after="0"/>
              <w:rPr>
                <w:sz w:val="20"/>
                <w:szCs w:val="20"/>
                <w:color w:val="auto"/>
              </w:rPr>
            </w:pPr>
            <w:r>
              <w:rPr>
                <w:rFonts w:ascii="Arial" w:cs="Arial" w:eastAsia="Arial" w:hAnsi="Arial"/>
                <w:sz w:val="18"/>
                <w:szCs w:val="18"/>
                <w:color w:val="auto"/>
                <w:w w:val="95"/>
              </w:rPr>
              <w:t>Second Amendment to Acquisition Agreement dated as of September 30, 1998, between Texas Instruments Incorporated and Micron</w:t>
            </w:r>
          </w:p>
        </w:tc>
      </w:tr>
      <w:tr>
        <w:trPr>
          <w:trHeight w:val="222"/>
        </w:trPr>
        <w:tc>
          <w:tcPr>
            <w:tcW w:w="90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w w:val="97"/>
              </w:rPr>
              <w:t>Technology, Inc. (incorporated by reference to Exhibit 2.2 to the Registrant’s Current Report on Form 8-K dated October 15, 1998).</w:t>
            </w:r>
          </w:p>
        </w:tc>
      </w:tr>
      <w:tr>
        <w:trPr>
          <w:trHeight w:val="365"/>
        </w:trPr>
        <w:tc>
          <w:tcPr>
            <w:tcW w:w="900" w:type="dxa"/>
            <w:vAlign w:val="bottom"/>
          </w:tcPr>
          <w:p>
            <w:pPr>
              <w:spacing w:after="0"/>
              <w:rPr>
                <w:sz w:val="24"/>
                <w:szCs w:val="24"/>
                <w:color w:val="auto"/>
              </w:rPr>
            </w:pPr>
          </w:p>
        </w:tc>
        <w:tc>
          <w:tcPr>
            <w:tcW w:w="10480" w:type="dxa"/>
            <w:vAlign w:val="bottom"/>
          </w:tcPr>
          <w:p>
            <w:pPr>
              <w:ind w:left="470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380"/>
          </w:cols>
          <w:pgMar w:left="260" w:top="280" w:right="259" w:bottom="1440" w:gutter="0" w:footer="0" w:header="0"/>
        </w:sectPr>
      </w:pPr>
    </w:p>
    <w:bookmarkStart w:id="19" w:name="page20"/>
    <w:bookmarkEnd w:id="19"/>
    <w:p>
      <w:pPr>
        <w:ind w:left="840" w:hanging="819"/>
        <w:spacing w:after="0" w:line="268" w:lineRule="auto"/>
        <w:tabs>
          <w:tab w:leader="none" w:pos="8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10(p)</w:t>
      </w:r>
      <w:r>
        <w:rPr>
          <w:sz w:val="20"/>
          <w:szCs w:val="20"/>
          <w:color w:val="auto"/>
        </w:rPr>
        <w:tab/>
      </w:r>
      <w:r>
        <w:rPr>
          <w:rFonts w:ascii="Arial" w:cs="Arial" w:eastAsia="Arial" w:hAnsi="Arial"/>
          <w:sz w:val="18"/>
          <w:szCs w:val="18"/>
          <w:color w:val="auto"/>
        </w:rPr>
        <w:t>Asset and Stock Purchase Agreement dated as of January 8, 2006, between Texas Instruments Incorporated and S&amp;C Purchase Corp. (incorporated by reference to Exhibit 2.1 to the Registrant’s Current Report on Form 8-K dated January 8, 2006).</w:t>
      </w:r>
    </w:p>
    <w:p>
      <w:pPr>
        <w:spacing w:after="0" w:line="78"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Agreement between Texas Instruments Incorporated and Gilles Delfassy dated January 23, 2007.*</w:t>
      </w:r>
    </w:p>
    <w:p>
      <w:pPr>
        <w:spacing w:after="0" w:line="117" w:lineRule="exact"/>
        <w:rPr>
          <w:sz w:val="20"/>
          <w:szCs w:val="20"/>
          <w:color w:val="auto"/>
        </w:rPr>
      </w:pPr>
    </w:p>
    <w:p>
      <w:pPr>
        <w:ind w:left="840" w:hanging="724"/>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Computation of Ratio of Earnings to Fixed Charges</w:t>
      </w:r>
    </w:p>
    <w:p>
      <w:pPr>
        <w:spacing w:after="0" w:line="117" w:lineRule="exact"/>
        <w:rPr>
          <w:rFonts w:ascii="Arial" w:cs="Arial" w:eastAsia="Arial" w:hAnsi="Arial"/>
          <w:sz w:val="18"/>
          <w:szCs w:val="18"/>
          <w:color w:val="auto"/>
        </w:rPr>
      </w:pPr>
    </w:p>
    <w:p>
      <w:pPr>
        <w:ind w:left="840" w:hanging="724"/>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Portions of Registrant’s 2006 Annual Report to Stockholders incorporated by reference herein.</w:t>
      </w:r>
    </w:p>
    <w:p>
      <w:pPr>
        <w:spacing w:after="0" w:line="117" w:lineRule="exact"/>
        <w:rPr>
          <w:rFonts w:ascii="Arial" w:cs="Arial" w:eastAsia="Arial" w:hAnsi="Arial"/>
          <w:sz w:val="18"/>
          <w:szCs w:val="18"/>
          <w:color w:val="auto"/>
        </w:rPr>
      </w:pPr>
    </w:p>
    <w:p>
      <w:pPr>
        <w:ind w:left="840" w:hanging="724"/>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List of Subsidiaries of the Registrant.</w:t>
      </w:r>
    </w:p>
    <w:p>
      <w:pPr>
        <w:spacing w:after="0" w:line="117" w:lineRule="exact"/>
        <w:rPr>
          <w:rFonts w:ascii="Arial" w:cs="Arial" w:eastAsia="Arial" w:hAnsi="Arial"/>
          <w:sz w:val="18"/>
          <w:szCs w:val="18"/>
          <w:color w:val="auto"/>
        </w:rPr>
      </w:pPr>
    </w:p>
    <w:p>
      <w:pPr>
        <w:ind w:left="840" w:hanging="724"/>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color w:val="auto"/>
        </w:rPr>
        <w:t>31(a)</w:t>
      </w:r>
      <w:r>
        <w:rPr>
          <w:sz w:val="20"/>
          <w:szCs w:val="20"/>
          <w:color w:val="auto"/>
        </w:rPr>
        <w:tab/>
      </w:r>
      <w:r>
        <w:rPr>
          <w:rFonts w:ascii="Arial" w:cs="Arial" w:eastAsia="Arial" w:hAnsi="Arial"/>
          <w:sz w:val="18"/>
          <w:szCs w:val="18"/>
          <w:color w:val="auto"/>
        </w:rPr>
        <w:t>Rule 13a-14(a)/15(d)-14(a) Certification of Chief Executive Officer.</w:t>
      </w:r>
    </w:p>
    <w:p>
      <w:pPr>
        <w:spacing w:after="0" w:line="117"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color w:val="auto"/>
        </w:rPr>
        <w:t>31(b)</w:t>
      </w:r>
      <w:r>
        <w:rPr>
          <w:sz w:val="20"/>
          <w:szCs w:val="20"/>
          <w:color w:val="auto"/>
        </w:rPr>
        <w:tab/>
      </w:r>
      <w:r>
        <w:rPr>
          <w:rFonts w:ascii="Arial" w:cs="Arial" w:eastAsia="Arial" w:hAnsi="Arial"/>
          <w:sz w:val="18"/>
          <w:szCs w:val="18"/>
          <w:color w:val="auto"/>
        </w:rPr>
        <w:t>Rule 13a-14(a)/15(d)-14(a) Certification of Chief Financial Officer.</w:t>
      </w:r>
    </w:p>
    <w:p>
      <w:pPr>
        <w:spacing w:after="0" w:line="117"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color w:val="auto"/>
        </w:rPr>
        <w:t>32(a)</w:t>
      </w:r>
      <w:r>
        <w:rPr>
          <w:sz w:val="20"/>
          <w:szCs w:val="20"/>
          <w:color w:val="auto"/>
        </w:rPr>
        <w:tab/>
      </w:r>
      <w:r>
        <w:rPr>
          <w:rFonts w:ascii="Arial" w:cs="Arial" w:eastAsia="Arial" w:hAnsi="Arial"/>
          <w:sz w:val="18"/>
          <w:szCs w:val="18"/>
          <w:color w:val="auto"/>
        </w:rPr>
        <w:t>Section 1350 Certification of Chief Executive Officer.</w:t>
      </w:r>
    </w:p>
    <w:p>
      <w:pPr>
        <w:spacing w:after="0" w:line="117"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color w:val="auto"/>
        </w:rPr>
        <w:t>32(b)</w:t>
      </w:r>
      <w:r>
        <w:rPr>
          <w:sz w:val="20"/>
          <w:szCs w:val="20"/>
          <w:color w:val="auto"/>
        </w:rPr>
        <w:tab/>
      </w:r>
      <w:r>
        <w:rPr>
          <w:rFonts w:ascii="Arial" w:cs="Arial" w:eastAsia="Arial" w:hAnsi="Arial"/>
          <w:sz w:val="18"/>
          <w:szCs w:val="18"/>
          <w:color w:val="auto"/>
        </w:rPr>
        <w:t>Section 1350 Certification of Chief Financial Officer.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Management Compensation Plans and Arrangements.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171" w:lineRule="exact"/>
        <w:rPr>
          <w:sz w:val="20"/>
          <w:szCs w:val="20"/>
          <w:color w:val="auto"/>
        </w:rPr>
      </w:pPr>
    </w:p>
    <w:p>
      <w:pPr>
        <w:jc w:val="both"/>
        <w:ind w:right="100"/>
        <w:spacing w:after="0" w:line="294" w:lineRule="auto"/>
        <w:rPr>
          <w:sz w:val="20"/>
          <w:szCs w:val="20"/>
          <w:color w:val="auto"/>
        </w:rPr>
      </w:pPr>
      <w:r>
        <w:rPr>
          <w:rFonts w:ascii="Arial" w:cs="Arial" w:eastAsia="Arial" w:hAnsi="Arial"/>
          <w:sz w:val="16"/>
          <w:szCs w:val="16"/>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16"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51" w:lineRule="exact"/>
        <w:rPr>
          <w:sz w:val="20"/>
          <w:szCs w:val="20"/>
          <w:color w:val="auto"/>
        </w:rPr>
      </w:pPr>
    </w:p>
    <w:p>
      <w:pPr>
        <w:ind w:left="780" w:right="10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50" w:lineRule="exact"/>
        <w:rPr>
          <w:rFonts w:ascii="Arial" w:cs="Arial" w:eastAsia="Arial" w:hAnsi="Arial"/>
          <w:sz w:val="18"/>
          <w:szCs w:val="18"/>
          <w:color w:val="auto"/>
        </w:rPr>
      </w:pPr>
    </w:p>
    <w:p>
      <w:pPr>
        <w:ind w:left="780" w:right="52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suppliers operate;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20" w:name="page21"/>
    <w:bookmarkEnd w:id="20"/>
    <w:p>
      <w:pPr>
        <w:ind w:left="780" w:right="6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Changes in the tax rate applicable to TI as the result of changes in tax law, the jurisdictions in which profits are determined to be earned and taxed, the outcome of tax audits and the ability to realize deferred tax assets;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0" w:lineRule="exact"/>
        <w:rPr>
          <w:rFonts w:ascii="Arial" w:cs="Arial" w:eastAsia="Arial" w:hAnsi="Arial"/>
          <w:sz w:val="18"/>
          <w:szCs w:val="18"/>
          <w:color w:val="auto"/>
        </w:rPr>
      </w:pPr>
    </w:p>
    <w:p>
      <w:pPr>
        <w:ind w:left="780" w:right="50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32"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For a more detailed discussion of these factors see the Risk Factors discussion in Item 1A of this report. The forward-looking statements included in this report are made only as of the date of this report and TI undertakes no obligation to update the forward-looking statements to reflect subsequent events or circumstances.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1" w:name="page22"/>
    <w:bookmarkEnd w:id="21"/>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6860"/>
        <w:spacing w:after="0"/>
        <w:tabs>
          <w:tab w:leader="none" w:pos="8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180"/>
        <w:spacing w:after="0"/>
        <w:rPr>
          <w:sz w:val="20"/>
          <w:szCs w:val="20"/>
          <w:color w:val="auto"/>
        </w:rPr>
      </w:pPr>
      <w:r>
        <w:rPr>
          <w:rFonts w:ascii="Arial" w:cs="Arial" w:eastAsia="Arial" w:hAnsi="Arial"/>
          <w:sz w:val="14"/>
          <w:szCs w:val="14"/>
          <w:b w:val="1"/>
          <w:bCs w:val="1"/>
          <w:color w:val="auto"/>
        </w:rPr>
        <w:t>Kevin P. March</w:t>
      </w:r>
    </w:p>
    <w:p>
      <w:pPr>
        <w:jc w:val="center"/>
        <w:ind w:left="718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left="7180"/>
        <w:spacing w:after="0" w:line="222" w:lineRule="auto"/>
        <w:rPr>
          <w:sz w:val="20"/>
          <w:szCs w:val="20"/>
          <w:color w:val="auto"/>
        </w:rPr>
      </w:pPr>
      <w:r>
        <w:rPr>
          <w:rFonts w:ascii="Arial" w:cs="Arial" w:eastAsia="Arial" w:hAnsi="Arial"/>
          <w:sz w:val="14"/>
          <w:szCs w:val="14"/>
          <w:b w:val="1"/>
          <w:bCs w:val="1"/>
          <w:color w:val="auto"/>
        </w:rPr>
        <w:t>Chief Financial Officer</w:t>
      </w:r>
    </w:p>
    <w:p>
      <w:pPr>
        <w:jc w:val="center"/>
        <w:ind w:left="7180"/>
        <w:spacing w:after="0"/>
        <w:rPr>
          <w:sz w:val="20"/>
          <w:szCs w:val="20"/>
          <w:color w:val="auto"/>
        </w:rPr>
      </w:pPr>
      <w:r>
        <w:rPr>
          <w:rFonts w:ascii="Arial" w:cs="Arial" w:eastAsia="Arial" w:hAnsi="Arial"/>
          <w:sz w:val="14"/>
          <w:szCs w:val="14"/>
          <w:b w:val="1"/>
          <w:bCs w:val="1"/>
          <w:color w:val="auto"/>
        </w:rPr>
        <w:t>and Chief Accounting Officer</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28, 2007</w:t>
      </w:r>
    </w:p>
    <w:p>
      <w:pPr>
        <w:spacing w:after="0" w:line="171"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Each person whose signature appears below constitutes and appoints each of Richard K. Templeton, Kevin P. March and Joseph F. Hubach, or any of them, each acting alone, his or her true and lawful attorneys-in-fact and agents, with full power of substitution and resubstitution, for such person and in his or her name, place and stead, in any and all capacities in connection with the annual report on Form 10-K of Texas Instruments Incorporated for the year ended December 31, 2006, to sign any and all amendments to the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substitutes or substitute, may lawfully do or cause to be done by virtue hereof.</w:t>
      </w:r>
    </w:p>
    <w:p>
      <w:pPr>
        <w:spacing w:after="0" w:line="10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28th day of February 2007.</w:t>
      </w:r>
    </w:p>
    <w:p>
      <w:pPr>
        <w:spacing w:after="0" w:line="168" w:lineRule="exact"/>
        <w:rPr>
          <w:sz w:val="20"/>
          <w:szCs w:val="20"/>
          <w:color w:val="auto"/>
        </w:rPr>
      </w:pPr>
    </w:p>
    <w:p>
      <w:pPr>
        <w:ind w:left="2640"/>
        <w:spacing w:after="0"/>
        <w:tabs>
          <w:tab w:leader="none" w:pos="87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40" w:type="dxa"/>
            <w:vAlign w:val="bottom"/>
            <w:tcBorders>
              <w:bottom w:val="single" w:sz="8" w:color="auto"/>
            </w:tcBorders>
          </w:tcPr>
          <w:p>
            <w:pPr>
              <w:jc w:val="center"/>
              <w:ind w:left="1022"/>
              <w:spacing w:after="0"/>
              <w:rPr>
                <w:sz w:val="20"/>
                <w:szCs w:val="20"/>
                <w:color w:val="auto"/>
              </w:rPr>
            </w:pPr>
            <w:r>
              <w:rPr>
                <w:rFonts w:ascii="Arial" w:cs="Arial" w:eastAsia="Arial" w:hAnsi="Arial"/>
                <w:sz w:val="18"/>
                <w:szCs w:val="18"/>
                <w:color w:val="auto"/>
                <w:w w:val="86"/>
              </w:rPr>
              <w:t>/s/ James R. Adams</w:t>
            </w:r>
          </w:p>
        </w:tc>
        <w:tc>
          <w:tcPr>
            <w:tcW w:w="1080" w:type="dxa"/>
            <w:vAlign w:val="bottom"/>
            <w:tcBorders>
              <w:bottom w:val="single" w:sz="8" w:color="auto"/>
            </w:tcBorders>
          </w:tcPr>
          <w:p>
            <w:pPr>
              <w:spacing w:after="0"/>
              <w:rPr>
                <w:sz w:val="19"/>
                <w:szCs w:val="19"/>
                <w:color w:val="auto"/>
              </w:rPr>
            </w:pPr>
          </w:p>
        </w:tc>
        <w:tc>
          <w:tcPr>
            <w:tcW w:w="4180" w:type="dxa"/>
            <w:vAlign w:val="bottom"/>
          </w:tcPr>
          <w:p>
            <w:pPr>
              <w:jc w:val="center"/>
              <w:ind w:left="1792"/>
              <w:spacing w:after="0"/>
              <w:rPr>
                <w:sz w:val="20"/>
                <w:szCs w:val="20"/>
                <w:color w:val="auto"/>
              </w:rPr>
            </w:pPr>
            <w:r>
              <w:rPr>
                <w:rFonts w:ascii="Arial" w:cs="Arial" w:eastAsia="Arial" w:hAnsi="Arial"/>
                <w:sz w:val="18"/>
                <w:szCs w:val="18"/>
                <w:color w:val="auto"/>
                <w:w w:val="91"/>
              </w:rPr>
              <w:t>Director</w:t>
            </w:r>
          </w:p>
        </w:tc>
      </w:tr>
      <w:tr>
        <w:trPr>
          <w:trHeight w:val="170"/>
        </w:trPr>
        <w:tc>
          <w:tcPr>
            <w:tcW w:w="4740" w:type="dxa"/>
            <w:vAlign w:val="bottom"/>
          </w:tcPr>
          <w:p>
            <w:pPr>
              <w:jc w:val="center"/>
              <w:ind w:left="1022"/>
              <w:spacing w:after="0"/>
              <w:rPr>
                <w:sz w:val="20"/>
                <w:szCs w:val="20"/>
                <w:color w:val="auto"/>
              </w:rPr>
            </w:pPr>
            <w:r>
              <w:rPr>
                <w:rFonts w:ascii="Arial" w:cs="Arial" w:eastAsia="Arial" w:hAnsi="Arial"/>
                <w:sz w:val="14"/>
                <w:szCs w:val="14"/>
                <w:b w:val="1"/>
                <w:bCs w:val="1"/>
                <w:color w:val="auto"/>
                <w:w w:val="85"/>
              </w:rPr>
              <w:t>James R. Adams</w:t>
            </w:r>
          </w:p>
        </w:tc>
        <w:tc>
          <w:tcPr>
            <w:tcW w:w="108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418"/>
        </w:trPr>
        <w:tc>
          <w:tcPr>
            <w:tcW w:w="4740" w:type="dxa"/>
            <w:vAlign w:val="bottom"/>
            <w:tcBorders>
              <w:bottom w:val="single" w:sz="8" w:color="auto"/>
            </w:tcBorders>
          </w:tcPr>
          <w:p>
            <w:pPr>
              <w:jc w:val="center"/>
              <w:ind w:left="1022"/>
              <w:spacing w:after="0"/>
              <w:rPr>
                <w:sz w:val="20"/>
                <w:szCs w:val="20"/>
                <w:color w:val="auto"/>
              </w:rPr>
            </w:pPr>
            <w:r>
              <w:rPr>
                <w:rFonts w:ascii="Arial" w:cs="Arial" w:eastAsia="Arial" w:hAnsi="Arial"/>
                <w:sz w:val="18"/>
                <w:szCs w:val="18"/>
                <w:color w:val="auto"/>
                <w:w w:val="92"/>
              </w:rPr>
              <w:t>/s/ David L. Boren</w:t>
            </w:r>
          </w:p>
        </w:tc>
        <w:tc>
          <w:tcPr>
            <w:tcW w:w="1080" w:type="dxa"/>
            <w:vAlign w:val="bottom"/>
            <w:tcBorders>
              <w:bottom w:val="single" w:sz="8" w:color="auto"/>
            </w:tcBorders>
          </w:tcPr>
          <w:p>
            <w:pPr>
              <w:spacing w:after="0"/>
              <w:rPr>
                <w:sz w:val="24"/>
                <w:szCs w:val="24"/>
                <w:color w:val="auto"/>
              </w:rPr>
            </w:pPr>
          </w:p>
        </w:tc>
        <w:tc>
          <w:tcPr>
            <w:tcW w:w="4180" w:type="dxa"/>
            <w:vAlign w:val="bottom"/>
          </w:tcPr>
          <w:p>
            <w:pPr>
              <w:jc w:val="center"/>
              <w:ind w:left="1792"/>
              <w:spacing w:after="0"/>
              <w:rPr>
                <w:sz w:val="20"/>
                <w:szCs w:val="20"/>
                <w:color w:val="auto"/>
              </w:rPr>
            </w:pPr>
            <w:r>
              <w:rPr>
                <w:rFonts w:ascii="Arial" w:cs="Arial" w:eastAsia="Arial" w:hAnsi="Arial"/>
                <w:sz w:val="18"/>
                <w:szCs w:val="18"/>
                <w:color w:val="auto"/>
                <w:w w:val="91"/>
              </w:rPr>
              <w:t>Director</w:t>
            </w:r>
          </w:p>
        </w:tc>
      </w:tr>
      <w:tr>
        <w:trPr>
          <w:trHeight w:val="170"/>
        </w:trPr>
        <w:tc>
          <w:tcPr>
            <w:tcW w:w="4740" w:type="dxa"/>
            <w:vAlign w:val="bottom"/>
          </w:tcPr>
          <w:p>
            <w:pPr>
              <w:jc w:val="center"/>
              <w:ind w:left="1022"/>
              <w:spacing w:after="0"/>
              <w:rPr>
                <w:sz w:val="20"/>
                <w:szCs w:val="20"/>
                <w:color w:val="auto"/>
              </w:rPr>
            </w:pPr>
            <w:r>
              <w:rPr>
                <w:rFonts w:ascii="Arial" w:cs="Arial" w:eastAsia="Arial" w:hAnsi="Arial"/>
                <w:sz w:val="14"/>
                <w:szCs w:val="14"/>
                <w:b w:val="1"/>
                <w:bCs w:val="1"/>
                <w:color w:val="auto"/>
                <w:w w:val="89"/>
              </w:rPr>
              <w:t>David L. Boren</w:t>
            </w:r>
          </w:p>
        </w:tc>
        <w:tc>
          <w:tcPr>
            <w:tcW w:w="108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418"/>
        </w:trPr>
        <w:tc>
          <w:tcPr>
            <w:tcW w:w="4740" w:type="dxa"/>
            <w:vAlign w:val="bottom"/>
            <w:tcBorders>
              <w:bottom w:val="single" w:sz="8" w:color="auto"/>
            </w:tcBorders>
          </w:tcPr>
          <w:p>
            <w:pPr>
              <w:jc w:val="center"/>
              <w:ind w:left="1022"/>
              <w:spacing w:after="0"/>
              <w:rPr>
                <w:sz w:val="20"/>
                <w:szCs w:val="20"/>
                <w:color w:val="auto"/>
              </w:rPr>
            </w:pPr>
            <w:r>
              <w:rPr>
                <w:rFonts w:ascii="Arial" w:cs="Arial" w:eastAsia="Arial" w:hAnsi="Arial"/>
                <w:sz w:val="18"/>
                <w:szCs w:val="18"/>
                <w:color w:val="auto"/>
                <w:w w:val="90"/>
              </w:rPr>
              <w:t>/s/ Daniel A. Carp</w:t>
            </w:r>
          </w:p>
        </w:tc>
        <w:tc>
          <w:tcPr>
            <w:tcW w:w="1080" w:type="dxa"/>
            <w:vAlign w:val="bottom"/>
            <w:tcBorders>
              <w:bottom w:val="single" w:sz="8" w:color="auto"/>
            </w:tcBorders>
          </w:tcPr>
          <w:p>
            <w:pPr>
              <w:spacing w:after="0"/>
              <w:rPr>
                <w:sz w:val="24"/>
                <w:szCs w:val="24"/>
                <w:color w:val="auto"/>
              </w:rPr>
            </w:pPr>
          </w:p>
        </w:tc>
        <w:tc>
          <w:tcPr>
            <w:tcW w:w="4180" w:type="dxa"/>
            <w:vAlign w:val="bottom"/>
          </w:tcPr>
          <w:p>
            <w:pPr>
              <w:jc w:val="center"/>
              <w:ind w:left="1792"/>
              <w:spacing w:after="0"/>
              <w:rPr>
                <w:sz w:val="20"/>
                <w:szCs w:val="20"/>
                <w:color w:val="auto"/>
              </w:rPr>
            </w:pPr>
            <w:r>
              <w:rPr>
                <w:rFonts w:ascii="Arial" w:cs="Arial" w:eastAsia="Arial" w:hAnsi="Arial"/>
                <w:sz w:val="18"/>
                <w:szCs w:val="18"/>
                <w:color w:val="auto"/>
                <w:w w:val="91"/>
              </w:rPr>
              <w:t>Director</w:t>
            </w:r>
          </w:p>
        </w:tc>
      </w:tr>
      <w:tr>
        <w:trPr>
          <w:trHeight w:val="170"/>
        </w:trPr>
        <w:tc>
          <w:tcPr>
            <w:tcW w:w="4740" w:type="dxa"/>
            <w:vAlign w:val="bottom"/>
          </w:tcPr>
          <w:p>
            <w:pPr>
              <w:jc w:val="center"/>
              <w:ind w:left="1022"/>
              <w:spacing w:after="0"/>
              <w:rPr>
                <w:sz w:val="20"/>
                <w:szCs w:val="20"/>
                <w:color w:val="auto"/>
              </w:rPr>
            </w:pPr>
            <w:r>
              <w:rPr>
                <w:rFonts w:ascii="Arial" w:cs="Arial" w:eastAsia="Arial" w:hAnsi="Arial"/>
                <w:sz w:val="14"/>
                <w:szCs w:val="14"/>
                <w:b w:val="1"/>
                <w:bCs w:val="1"/>
                <w:color w:val="auto"/>
                <w:w w:val="91"/>
              </w:rPr>
              <w:t>Daniel A. Carp</w:t>
            </w:r>
          </w:p>
        </w:tc>
        <w:tc>
          <w:tcPr>
            <w:tcW w:w="108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418"/>
        </w:trPr>
        <w:tc>
          <w:tcPr>
            <w:tcW w:w="4740" w:type="dxa"/>
            <w:vAlign w:val="bottom"/>
            <w:tcBorders>
              <w:bottom w:val="single" w:sz="8" w:color="auto"/>
            </w:tcBorders>
          </w:tcPr>
          <w:p>
            <w:pPr>
              <w:jc w:val="center"/>
              <w:ind w:left="1022"/>
              <w:spacing w:after="0"/>
              <w:rPr>
                <w:sz w:val="20"/>
                <w:szCs w:val="20"/>
                <w:color w:val="auto"/>
              </w:rPr>
            </w:pPr>
            <w:r>
              <w:rPr>
                <w:rFonts w:ascii="Arial" w:cs="Arial" w:eastAsia="Arial" w:hAnsi="Arial"/>
                <w:sz w:val="18"/>
                <w:szCs w:val="18"/>
                <w:color w:val="auto"/>
                <w:w w:val="87"/>
              </w:rPr>
              <w:t>/s/ Carrie S. Cox</w:t>
            </w:r>
          </w:p>
        </w:tc>
        <w:tc>
          <w:tcPr>
            <w:tcW w:w="1080" w:type="dxa"/>
            <w:vAlign w:val="bottom"/>
            <w:tcBorders>
              <w:bottom w:val="single" w:sz="8" w:color="auto"/>
            </w:tcBorders>
          </w:tcPr>
          <w:p>
            <w:pPr>
              <w:spacing w:after="0"/>
              <w:rPr>
                <w:sz w:val="24"/>
                <w:szCs w:val="24"/>
                <w:color w:val="auto"/>
              </w:rPr>
            </w:pPr>
          </w:p>
        </w:tc>
        <w:tc>
          <w:tcPr>
            <w:tcW w:w="4180" w:type="dxa"/>
            <w:vAlign w:val="bottom"/>
          </w:tcPr>
          <w:p>
            <w:pPr>
              <w:jc w:val="center"/>
              <w:ind w:left="1792"/>
              <w:spacing w:after="0"/>
              <w:rPr>
                <w:sz w:val="20"/>
                <w:szCs w:val="20"/>
                <w:color w:val="auto"/>
              </w:rPr>
            </w:pPr>
            <w:r>
              <w:rPr>
                <w:rFonts w:ascii="Arial" w:cs="Arial" w:eastAsia="Arial" w:hAnsi="Arial"/>
                <w:sz w:val="18"/>
                <w:szCs w:val="18"/>
                <w:color w:val="auto"/>
                <w:w w:val="91"/>
              </w:rPr>
              <w:t>Director</w:t>
            </w:r>
          </w:p>
        </w:tc>
      </w:tr>
      <w:tr>
        <w:trPr>
          <w:trHeight w:val="170"/>
        </w:trPr>
        <w:tc>
          <w:tcPr>
            <w:tcW w:w="4740" w:type="dxa"/>
            <w:vAlign w:val="bottom"/>
          </w:tcPr>
          <w:p>
            <w:pPr>
              <w:jc w:val="center"/>
              <w:ind w:left="1022"/>
              <w:spacing w:after="0"/>
              <w:rPr>
                <w:sz w:val="20"/>
                <w:szCs w:val="20"/>
                <w:color w:val="auto"/>
              </w:rPr>
            </w:pPr>
            <w:r>
              <w:rPr>
                <w:rFonts w:ascii="Arial" w:cs="Arial" w:eastAsia="Arial" w:hAnsi="Arial"/>
                <w:sz w:val="14"/>
                <w:szCs w:val="14"/>
                <w:b w:val="1"/>
                <w:bCs w:val="1"/>
                <w:color w:val="auto"/>
                <w:w w:val="90"/>
              </w:rPr>
              <w:t>Carrie S. Cox</w:t>
            </w:r>
          </w:p>
        </w:tc>
        <w:tc>
          <w:tcPr>
            <w:tcW w:w="108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418"/>
        </w:trPr>
        <w:tc>
          <w:tcPr>
            <w:tcW w:w="4740" w:type="dxa"/>
            <w:vAlign w:val="bottom"/>
            <w:tcBorders>
              <w:bottom w:val="single" w:sz="8" w:color="auto"/>
            </w:tcBorders>
          </w:tcPr>
          <w:p>
            <w:pPr>
              <w:jc w:val="center"/>
              <w:ind w:left="1022"/>
              <w:spacing w:after="0"/>
              <w:rPr>
                <w:sz w:val="20"/>
                <w:szCs w:val="20"/>
                <w:color w:val="auto"/>
              </w:rPr>
            </w:pPr>
            <w:r>
              <w:rPr>
                <w:rFonts w:ascii="Arial" w:cs="Arial" w:eastAsia="Arial" w:hAnsi="Arial"/>
                <w:sz w:val="18"/>
                <w:szCs w:val="18"/>
                <w:color w:val="auto"/>
                <w:w w:val="87"/>
              </w:rPr>
              <w:t>/s/ Thomas J. Engibous</w:t>
            </w:r>
          </w:p>
        </w:tc>
        <w:tc>
          <w:tcPr>
            <w:tcW w:w="1080" w:type="dxa"/>
            <w:vAlign w:val="bottom"/>
            <w:tcBorders>
              <w:bottom w:val="single" w:sz="8" w:color="auto"/>
            </w:tcBorders>
          </w:tcPr>
          <w:p>
            <w:pPr>
              <w:spacing w:after="0"/>
              <w:rPr>
                <w:sz w:val="24"/>
                <w:szCs w:val="24"/>
                <w:color w:val="auto"/>
              </w:rPr>
            </w:pPr>
          </w:p>
        </w:tc>
        <w:tc>
          <w:tcPr>
            <w:tcW w:w="4180" w:type="dxa"/>
            <w:vAlign w:val="bottom"/>
          </w:tcPr>
          <w:p>
            <w:pPr>
              <w:jc w:val="center"/>
              <w:ind w:left="1792"/>
              <w:spacing w:after="0"/>
              <w:rPr>
                <w:sz w:val="20"/>
                <w:szCs w:val="20"/>
                <w:color w:val="auto"/>
              </w:rPr>
            </w:pPr>
            <w:r>
              <w:rPr>
                <w:rFonts w:ascii="Arial" w:cs="Arial" w:eastAsia="Arial" w:hAnsi="Arial"/>
                <w:sz w:val="18"/>
                <w:szCs w:val="18"/>
                <w:color w:val="auto"/>
                <w:w w:val="90"/>
              </w:rPr>
              <w:t>Chairman of the Board; Director</w:t>
            </w:r>
          </w:p>
        </w:tc>
      </w:tr>
      <w:tr>
        <w:trPr>
          <w:trHeight w:val="170"/>
        </w:trPr>
        <w:tc>
          <w:tcPr>
            <w:tcW w:w="4740" w:type="dxa"/>
            <w:vAlign w:val="bottom"/>
          </w:tcPr>
          <w:p>
            <w:pPr>
              <w:jc w:val="center"/>
              <w:ind w:left="1022"/>
              <w:spacing w:after="0"/>
              <w:rPr>
                <w:sz w:val="20"/>
                <w:szCs w:val="20"/>
                <w:color w:val="auto"/>
              </w:rPr>
            </w:pPr>
            <w:r>
              <w:rPr>
                <w:rFonts w:ascii="Arial" w:cs="Arial" w:eastAsia="Arial" w:hAnsi="Arial"/>
                <w:sz w:val="14"/>
                <w:szCs w:val="14"/>
                <w:b w:val="1"/>
                <w:bCs w:val="1"/>
                <w:color w:val="auto"/>
                <w:w w:val="84"/>
              </w:rPr>
              <w:t>Thomas J. Engibous</w:t>
            </w:r>
          </w:p>
        </w:tc>
        <w:tc>
          <w:tcPr>
            <w:tcW w:w="108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418"/>
        </w:trPr>
        <w:tc>
          <w:tcPr>
            <w:tcW w:w="4740" w:type="dxa"/>
            <w:vAlign w:val="bottom"/>
            <w:tcBorders>
              <w:bottom w:val="single" w:sz="8" w:color="auto"/>
            </w:tcBorders>
          </w:tcPr>
          <w:p>
            <w:pPr>
              <w:jc w:val="center"/>
              <w:ind w:left="1022"/>
              <w:spacing w:after="0"/>
              <w:rPr>
                <w:sz w:val="20"/>
                <w:szCs w:val="20"/>
                <w:color w:val="auto"/>
              </w:rPr>
            </w:pPr>
            <w:r>
              <w:rPr>
                <w:rFonts w:ascii="Arial" w:cs="Arial" w:eastAsia="Arial" w:hAnsi="Arial"/>
                <w:sz w:val="18"/>
                <w:szCs w:val="18"/>
                <w:color w:val="auto"/>
                <w:w w:val="86"/>
              </w:rPr>
              <w:t>/s/ Gerald W. Fronterhouse</w:t>
            </w:r>
          </w:p>
        </w:tc>
        <w:tc>
          <w:tcPr>
            <w:tcW w:w="1080" w:type="dxa"/>
            <w:vAlign w:val="bottom"/>
            <w:tcBorders>
              <w:bottom w:val="single" w:sz="8" w:color="auto"/>
            </w:tcBorders>
          </w:tcPr>
          <w:p>
            <w:pPr>
              <w:spacing w:after="0"/>
              <w:rPr>
                <w:sz w:val="24"/>
                <w:szCs w:val="24"/>
                <w:color w:val="auto"/>
              </w:rPr>
            </w:pPr>
          </w:p>
        </w:tc>
        <w:tc>
          <w:tcPr>
            <w:tcW w:w="4180" w:type="dxa"/>
            <w:vAlign w:val="bottom"/>
          </w:tcPr>
          <w:p>
            <w:pPr>
              <w:jc w:val="center"/>
              <w:ind w:left="1792"/>
              <w:spacing w:after="0"/>
              <w:rPr>
                <w:sz w:val="20"/>
                <w:szCs w:val="20"/>
                <w:color w:val="auto"/>
              </w:rPr>
            </w:pPr>
            <w:r>
              <w:rPr>
                <w:rFonts w:ascii="Arial" w:cs="Arial" w:eastAsia="Arial" w:hAnsi="Arial"/>
                <w:sz w:val="18"/>
                <w:szCs w:val="18"/>
                <w:color w:val="auto"/>
                <w:w w:val="91"/>
              </w:rPr>
              <w:t>Director</w:t>
            </w:r>
          </w:p>
        </w:tc>
      </w:tr>
      <w:tr>
        <w:trPr>
          <w:trHeight w:val="170"/>
        </w:trPr>
        <w:tc>
          <w:tcPr>
            <w:tcW w:w="4740" w:type="dxa"/>
            <w:vAlign w:val="bottom"/>
          </w:tcPr>
          <w:p>
            <w:pPr>
              <w:jc w:val="center"/>
              <w:ind w:left="1022"/>
              <w:spacing w:after="0"/>
              <w:rPr>
                <w:sz w:val="20"/>
                <w:szCs w:val="20"/>
                <w:color w:val="auto"/>
              </w:rPr>
            </w:pPr>
            <w:r>
              <w:rPr>
                <w:rFonts w:ascii="Arial" w:cs="Arial" w:eastAsia="Arial" w:hAnsi="Arial"/>
                <w:sz w:val="14"/>
                <w:szCs w:val="14"/>
                <w:b w:val="1"/>
                <w:bCs w:val="1"/>
                <w:color w:val="auto"/>
                <w:w w:val="87"/>
              </w:rPr>
              <w:t>Gerald W. Fronterhouse</w:t>
            </w:r>
          </w:p>
        </w:tc>
        <w:tc>
          <w:tcPr>
            <w:tcW w:w="108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418"/>
        </w:trPr>
        <w:tc>
          <w:tcPr>
            <w:tcW w:w="4740" w:type="dxa"/>
            <w:vAlign w:val="bottom"/>
            <w:tcBorders>
              <w:bottom w:val="single" w:sz="8" w:color="auto"/>
            </w:tcBorders>
          </w:tcPr>
          <w:p>
            <w:pPr>
              <w:jc w:val="center"/>
              <w:ind w:left="1022"/>
              <w:spacing w:after="0"/>
              <w:rPr>
                <w:sz w:val="20"/>
                <w:szCs w:val="20"/>
                <w:color w:val="auto"/>
              </w:rPr>
            </w:pPr>
            <w:r>
              <w:rPr>
                <w:rFonts w:ascii="Arial" w:cs="Arial" w:eastAsia="Arial" w:hAnsi="Arial"/>
                <w:sz w:val="18"/>
                <w:szCs w:val="18"/>
                <w:color w:val="auto"/>
                <w:w w:val="89"/>
              </w:rPr>
              <w:t>/s/ David R. Goode</w:t>
            </w:r>
          </w:p>
        </w:tc>
        <w:tc>
          <w:tcPr>
            <w:tcW w:w="1080" w:type="dxa"/>
            <w:vAlign w:val="bottom"/>
            <w:tcBorders>
              <w:bottom w:val="single" w:sz="8" w:color="auto"/>
            </w:tcBorders>
          </w:tcPr>
          <w:p>
            <w:pPr>
              <w:spacing w:after="0"/>
              <w:rPr>
                <w:sz w:val="24"/>
                <w:szCs w:val="24"/>
                <w:color w:val="auto"/>
              </w:rPr>
            </w:pPr>
          </w:p>
        </w:tc>
        <w:tc>
          <w:tcPr>
            <w:tcW w:w="4180" w:type="dxa"/>
            <w:vAlign w:val="bottom"/>
          </w:tcPr>
          <w:p>
            <w:pPr>
              <w:jc w:val="center"/>
              <w:ind w:left="1792"/>
              <w:spacing w:after="0"/>
              <w:rPr>
                <w:sz w:val="20"/>
                <w:szCs w:val="20"/>
                <w:color w:val="auto"/>
              </w:rPr>
            </w:pPr>
            <w:r>
              <w:rPr>
                <w:rFonts w:ascii="Arial" w:cs="Arial" w:eastAsia="Arial" w:hAnsi="Arial"/>
                <w:sz w:val="18"/>
                <w:szCs w:val="18"/>
                <w:color w:val="auto"/>
                <w:w w:val="91"/>
              </w:rPr>
              <w:t>Director</w:t>
            </w:r>
          </w:p>
        </w:tc>
      </w:tr>
      <w:tr>
        <w:trPr>
          <w:trHeight w:val="170"/>
        </w:trPr>
        <w:tc>
          <w:tcPr>
            <w:tcW w:w="4740" w:type="dxa"/>
            <w:vAlign w:val="bottom"/>
          </w:tcPr>
          <w:p>
            <w:pPr>
              <w:jc w:val="center"/>
              <w:ind w:left="1022"/>
              <w:spacing w:after="0"/>
              <w:rPr>
                <w:sz w:val="20"/>
                <w:szCs w:val="20"/>
                <w:color w:val="auto"/>
              </w:rPr>
            </w:pPr>
            <w:r>
              <w:rPr>
                <w:rFonts w:ascii="Arial" w:cs="Arial" w:eastAsia="Arial" w:hAnsi="Arial"/>
                <w:sz w:val="14"/>
                <w:szCs w:val="14"/>
                <w:b w:val="1"/>
                <w:bCs w:val="1"/>
                <w:color w:val="auto"/>
                <w:w w:val="88"/>
              </w:rPr>
              <w:t>David R. Goode</w:t>
            </w:r>
          </w:p>
        </w:tc>
        <w:tc>
          <w:tcPr>
            <w:tcW w:w="108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418"/>
        </w:trPr>
        <w:tc>
          <w:tcPr>
            <w:tcW w:w="4740" w:type="dxa"/>
            <w:vAlign w:val="bottom"/>
            <w:tcBorders>
              <w:bottom w:val="single" w:sz="8" w:color="auto"/>
            </w:tcBorders>
          </w:tcPr>
          <w:p>
            <w:pPr>
              <w:jc w:val="center"/>
              <w:ind w:left="1022"/>
              <w:spacing w:after="0"/>
              <w:rPr>
                <w:sz w:val="20"/>
                <w:szCs w:val="20"/>
                <w:color w:val="auto"/>
              </w:rPr>
            </w:pPr>
            <w:r>
              <w:rPr>
                <w:rFonts w:ascii="Arial" w:cs="Arial" w:eastAsia="Arial" w:hAnsi="Arial"/>
                <w:sz w:val="18"/>
                <w:szCs w:val="18"/>
                <w:color w:val="auto"/>
                <w:w w:val="85"/>
              </w:rPr>
              <w:t>/s/ Pamela H. Patsley</w:t>
            </w:r>
          </w:p>
        </w:tc>
        <w:tc>
          <w:tcPr>
            <w:tcW w:w="1080" w:type="dxa"/>
            <w:vAlign w:val="bottom"/>
            <w:tcBorders>
              <w:bottom w:val="single" w:sz="8" w:color="auto"/>
            </w:tcBorders>
          </w:tcPr>
          <w:p>
            <w:pPr>
              <w:spacing w:after="0"/>
              <w:rPr>
                <w:sz w:val="24"/>
                <w:szCs w:val="24"/>
                <w:color w:val="auto"/>
              </w:rPr>
            </w:pPr>
          </w:p>
        </w:tc>
        <w:tc>
          <w:tcPr>
            <w:tcW w:w="4180" w:type="dxa"/>
            <w:vAlign w:val="bottom"/>
          </w:tcPr>
          <w:p>
            <w:pPr>
              <w:jc w:val="center"/>
              <w:ind w:left="1792"/>
              <w:spacing w:after="0"/>
              <w:rPr>
                <w:sz w:val="20"/>
                <w:szCs w:val="20"/>
                <w:color w:val="auto"/>
              </w:rPr>
            </w:pPr>
            <w:r>
              <w:rPr>
                <w:rFonts w:ascii="Arial" w:cs="Arial" w:eastAsia="Arial" w:hAnsi="Arial"/>
                <w:sz w:val="18"/>
                <w:szCs w:val="18"/>
                <w:color w:val="auto"/>
                <w:w w:val="91"/>
              </w:rPr>
              <w:t>Director</w:t>
            </w:r>
          </w:p>
        </w:tc>
      </w:tr>
      <w:tr>
        <w:trPr>
          <w:trHeight w:val="170"/>
        </w:trPr>
        <w:tc>
          <w:tcPr>
            <w:tcW w:w="4740" w:type="dxa"/>
            <w:vAlign w:val="bottom"/>
          </w:tcPr>
          <w:p>
            <w:pPr>
              <w:jc w:val="center"/>
              <w:ind w:left="1022"/>
              <w:spacing w:after="0"/>
              <w:rPr>
                <w:sz w:val="20"/>
                <w:szCs w:val="20"/>
                <w:color w:val="auto"/>
              </w:rPr>
            </w:pPr>
            <w:r>
              <w:rPr>
                <w:rFonts w:ascii="Arial" w:cs="Arial" w:eastAsia="Arial" w:hAnsi="Arial"/>
                <w:sz w:val="14"/>
                <w:szCs w:val="14"/>
                <w:b w:val="1"/>
                <w:bCs w:val="1"/>
                <w:color w:val="auto"/>
                <w:w w:val="86"/>
              </w:rPr>
              <w:t>Pamela H. Patsley</w:t>
            </w:r>
          </w:p>
        </w:tc>
        <w:tc>
          <w:tcPr>
            <w:tcW w:w="108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350"/>
        </w:trPr>
        <w:tc>
          <w:tcPr>
            <w:tcW w:w="47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4180" w:type="dxa"/>
            <w:vAlign w:val="bottom"/>
          </w:tcPr>
          <w:p>
            <w:pPr>
              <w:spacing w:after="0"/>
              <w:rPr>
                <w:sz w:val="24"/>
                <w:szCs w:val="24"/>
                <w:color w:val="auto"/>
              </w:rPr>
            </w:pPr>
          </w:p>
        </w:tc>
      </w:tr>
    </w:tbl>
    <w:p>
      <w:pPr>
        <w:sectPr>
          <w:pgSz w:w="11900" w:h="16838" w:orient="portrait"/>
          <w:cols w:equalWidth="0" w:num="1">
            <w:col w:w="11320"/>
          </w:cols>
          <w:pgMar w:left="240" w:top="280" w:right="339" w:bottom="1440" w:gutter="0" w:footer="0" w:header="0"/>
        </w:sectPr>
      </w:pPr>
    </w:p>
    <w:bookmarkStart w:id="22" w:name="page23"/>
    <w:bookmarkEnd w:id="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4760" w:type="dxa"/>
            <w:vAlign w:val="bottom"/>
            <w:tcBorders>
              <w:bottom w:val="single" w:sz="8" w:color="auto"/>
            </w:tcBorders>
          </w:tcPr>
          <w:p>
            <w:pPr>
              <w:jc w:val="center"/>
              <w:ind w:left="982"/>
              <w:spacing w:after="0"/>
              <w:rPr>
                <w:sz w:val="20"/>
                <w:szCs w:val="20"/>
                <w:color w:val="auto"/>
              </w:rPr>
            </w:pPr>
            <w:r>
              <w:rPr>
                <w:rFonts w:ascii="Arial" w:cs="Arial" w:eastAsia="Arial" w:hAnsi="Arial"/>
                <w:sz w:val="18"/>
                <w:szCs w:val="18"/>
                <w:color w:val="auto"/>
                <w:w w:val="85"/>
              </w:rPr>
              <w:t>/s/ Wayne R. Sanders</w:t>
            </w:r>
          </w:p>
        </w:tc>
        <w:tc>
          <w:tcPr>
            <w:tcW w:w="1060" w:type="dxa"/>
            <w:vAlign w:val="bottom"/>
            <w:tcBorders>
              <w:bottom w:val="single" w:sz="8" w:color="auto"/>
            </w:tcBorders>
          </w:tcPr>
          <w:p>
            <w:pPr>
              <w:spacing w:after="0"/>
              <w:rPr>
                <w:sz w:val="19"/>
                <w:szCs w:val="19"/>
                <w:color w:val="auto"/>
              </w:rPr>
            </w:pPr>
          </w:p>
        </w:tc>
        <w:tc>
          <w:tcPr>
            <w:tcW w:w="4200" w:type="dxa"/>
            <w:vAlign w:val="bottom"/>
          </w:tcPr>
          <w:p>
            <w:pPr>
              <w:jc w:val="center"/>
              <w:ind w:left="1552"/>
              <w:spacing w:after="0"/>
              <w:rPr>
                <w:sz w:val="20"/>
                <w:szCs w:val="20"/>
                <w:color w:val="auto"/>
              </w:rPr>
            </w:pPr>
            <w:r>
              <w:rPr>
                <w:rFonts w:ascii="Arial" w:cs="Arial" w:eastAsia="Arial" w:hAnsi="Arial"/>
                <w:sz w:val="18"/>
                <w:szCs w:val="18"/>
                <w:color w:val="auto"/>
                <w:w w:val="95"/>
              </w:rPr>
              <w:t>Director</w:t>
            </w:r>
          </w:p>
        </w:tc>
      </w:tr>
      <w:tr>
        <w:trPr>
          <w:trHeight w:val="170"/>
        </w:trPr>
        <w:tc>
          <w:tcPr>
            <w:tcW w:w="4760" w:type="dxa"/>
            <w:vAlign w:val="bottom"/>
          </w:tcPr>
          <w:p>
            <w:pPr>
              <w:jc w:val="center"/>
              <w:ind w:left="982"/>
              <w:spacing w:after="0"/>
              <w:rPr>
                <w:sz w:val="20"/>
                <w:szCs w:val="20"/>
                <w:color w:val="auto"/>
              </w:rPr>
            </w:pPr>
            <w:r>
              <w:rPr>
                <w:rFonts w:ascii="Arial" w:cs="Arial" w:eastAsia="Arial" w:hAnsi="Arial"/>
                <w:sz w:val="14"/>
                <w:szCs w:val="14"/>
                <w:b w:val="1"/>
                <w:bCs w:val="1"/>
                <w:color w:val="auto"/>
                <w:w w:val="86"/>
              </w:rPr>
              <w:t>Wayne R. Sanders</w:t>
            </w:r>
          </w:p>
        </w:tc>
        <w:tc>
          <w:tcPr>
            <w:tcW w:w="1060" w:type="dxa"/>
            <w:vAlign w:val="bottom"/>
          </w:tcPr>
          <w:p>
            <w:pPr>
              <w:spacing w:after="0"/>
              <w:rPr>
                <w:sz w:val="14"/>
                <w:szCs w:val="14"/>
                <w:color w:val="auto"/>
              </w:rPr>
            </w:pPr>
          </w:p>
        </w:tc>
        <w:tc>
          <w:tcPr>
            <w:tcW w:w="4200" w:type="dxa"/>
            <w:vAlign w:val="bottom"/>
          </w:tcPr>
          <w:p>
            <w:pPr>
              <w:spacing w:after="0"/>
              <w:rPr>
                <w:sz w:val="14"/>
                <w:szCs w:val="14"/>
                <w:color w:val="auto"/>
              </w:rPr>
            </w:pPr>
          </w:p>
        </w:tc>
      </w:tr>
      <w:tr>
        <w:trPr>
          <w:trHeight w:val="418"/>
        </w:trPr>
        <w:tc>
          <w:tcPr>
            <w:tcW w:w="4760" w:type="dxa"/>
            <w:vAlign w:val="bottom"/>
            <w:tcBorders>
              <w:bottom w:val="single" w:sz="8" w:color="auto"/>
            </w:tcBorders>
          </w:tcPr>
          <w:p>
            <w:pPr>
              <w:jc w:val="center"/>
              <w:ind w:left="1002"/>
              <w:spacing w:after="0"/>
              <w:rPr>
                <w:sz w:val="20"/>
                <w:szCs w:val="20"/>
                <w:color w:val="auto"/>
              </w:rPr>
            </w:pPr>
            <w:r>
              <w:rPr>
                <w:rFonts w:ascii="Arial" w:cs="Arial" w:eastAsia="Arial" w:hAnsi="Arial"/>
                <w:sz w:val="18"/>
                <w:szCs w:val="18"/>
                <w:color w:val="auto"/>
                <w:w w:val="86"/>
              </w:rPr>
              <w:t>/s/ Ruth J. Simmons</w:t>
            </w:r>
          </w:p>
        </w:tc>
        <w:tc>
          <w:tcPr>
            <w:tcW w:w="1060" w:type="dxa"/>
            <w:vAlign w:val="bottom"/>
            <w:tcBorders>
              <w:bottom w:val="single" w:sz="8" w:color="auto"/>
            </w:tcBorders>
          </w:tcPr>
          <w:p>
            <w:pPr>
              <w:spacing w:after="0"/>
              <w:rPr>
                <w:sz w:val="24"/>
                <w:szCs w:val="24"/>
                <w:color w:val="auto"/>
              </w:rPr>
            </w:pPr>
          </w:p>
        </w:tc>
        <w:tc>
          <w:tcPr>
            <w:tcW w:w="4200" w:type="dxa"/>
            <w:vAlign w:val="bottom"/>
          </w:tcPr>
          <w:p>
            <w:pPr>
              <w:jc w:val="center"/>
              <w:ind w:left="1552"/>
              <w:spacing w:after="0"/>
              <w:rPr>
                <w:sz w:val="20"/>
                <w:szCs w:val="20"/>
                <w:color w:val="auto"/>
              </w:rPr>
            </w:pPr>
            <w:r>
              <w:rPr>
                <w:rFonts w:ascii="Arial" w:cs="Arial" w:eastAsia="Arial" w:hAnsi="Arial"/>
                <w:sz w:val="18"/>
                <w:szCs w:val="18"/>
                <w:color w:val="auto"/>
                <w:w w:val="95"/>
              </w:rPr>
              <w:t>Director</w:t>
            </w:r>
          </w:p>
        </w:tc>
      </w:tr>
      <w:tr>
        <w:trPr>
          <w:trHeight w:val="170"/>
        </w:trPr>
        <w:tc>
          <w:tcPr>
            <w:tcW w:w="4760" w:type="dxa"/>
            <w:vAlign w:val="bottom"/>
          </w:tcPr>
          <w:p>
            <w:pPr>
              <w:jc w:val="center"/>
              <w:ind w:left="1002"/>
              <w:spacing w:after="0"/>
              <w:rPr>
                <w:sz w:val="20"/>
                <w:szCs w:val="20"/>
                <w:color w:val="auto"/>
              </w:rPr>
            </w:pPr>
            <w:r>
              <w:rPr>
                <w:rFonts w:ascii="Arial" w:cs="Arial" w:eastAsia="Arial" w:hAnsi="Arial"/>
                <w:sz w:val="14"/>
                <w:szCs w:val="14"/>
                <w:b w:val="1"/>
                <w:bCs w:val="1"/>
                <w:color w:val="auto"/>
                <w:w w:val="87"/>
              </w:rPr>
              <w:t>Ruth J. Simmons</w:t>
            </w:r>
          </w:p>
        </w:tc>
        <w:tc>
          <w:tcPr>
            <w:tcW w:w="1060" w:type="dxa"/>
            <w:vAlign w:val="bottom"/>
          </w:tcPr>
          <w:p>
            <w:pPr>
              <w:spacing w:after="0"/>
              <w:rPr>
                <w:sz w:val="14"/>
                <w:szCs w:val="14"/>
                <w:color w:val="auto"/>
              </w:rPr>
            </w:pPr>
          </w:p>
        </w:tc>
        <w:tc>
          <w:tcPr>
            <w:tcW w:w="4200" w:type="dxa"/>
            <w:vAlign w:val="bottom"/>
          </w:tcPr>
          <w:p>
            <w:pPr>
              <w:spacing w:after="0"/>
              <w:rPr>
                <w:sz w:val="14"/>
                <w:szCs w:val="14"/>
                <w:color w:val="auto"/>
              </w:rPr>
            </w:pPr>
          </w:p>
        </w:tc>
      </w:tr>
      <w:tr>
        <w:trPr>
          <w:trHeight w:val="417"/>
        </w:trPr>
        <w:tc>
          <w:tcPr>
            <w:tcW w:w="4760" w:type="dxa"/>
            <w:vAlign w:val="bottom"/>
            <w:tcBorders>
              <w:bottom w:val="single" w:sz="8" w:color="auto"/>
            </w:tcBorders>
          </w:tcPr>
          <w:p>
            <w:pPr>
              <w:jc w:val="center"/>
              <w:ind w:left="1002"/>
              <w:spacing w:after="0"/>
              <w:rPr>
                <w:sz w:val="20"/>
                <w:szCs w:val="20"/>
                <w:color w:val="auto"/>
              </w:rPr>
            </w:pPr>
            <w:r>
              <w:rPr>
                <w:rFonts w:ascii="Arial" w:cs="Arial" w:eastAsia="Arial" w:hAnsi="Arial"/>
                <w:sz w:val="18"/>
                <w:szCs w:val="18"/>
                <w:color w:val="auto"/>
                <w:w w:val="88"/>
              </w:rPr>
              <w:t>/s/ Richard K. Templeton</w:t>
            </w:r>
          </w:p>
        </w:tc>
        <w:tc>
          <w:tcPr>
            <w:tcW w:w="1060" w:type="dxa"/>
            <w:vAlign w:val="bottom"/>
            <w:tcBorders>
              <w:bottom w:val="single" w:sz="8" w:color="auto"/>
            </w:tcBorders>
          </w:tcPr>
          <w:p>
            <w:pPr>
              <w:spacing w:after="0"/>
              <w:rPr>
                <w:sz w:val="24"/>
                <w:szCs w:val="24"/>
                <w:color w:val="auto"/>
              </w:rPr>
            </w:pPr>
          </w:p>
        </w:tc>
        <w:tc>
          <w:tcPr>
            <w:tcW w:w="4200" w:type="dxa"/>
            <w:vAlign w:val="bottom"/>
          </w:tcPr>
          <w:p>
            <w:pPr>
              <w:jc w:val="center"/>
              <w:ind w:left="1552"/>
              <w:spacing w:after="0"/>
              <w:rPr>
                <w:sz w:val="20"/>
                <w:szCs w:val="20"/>
                <w:color w:val="auto"/>
              </w:rPr>
            </w:pPr>
            <w:r>
              <w:rPr>
                <w:rFonts w:ascii="Arial" w:cs="Arial" w:eastAsia="Arial" w:hAnsi="Arial"/>
                <w:sz w:val="18"/>
                <w:szCs w:val="18"/>
                <w:color w:val="auto"/>
                <w:w w:val="89"/>
              </w:rPr>
              <w:t>Director; President and Chief</w:t>
            </w:r>
          </w:p>
        </w:tc>
      </w:tr>
      <w:tr>
        <w:trPr>
          <w:trHeight w:val="202"/>
        </w:trPr>
        <w:tc>
          <w:tcPr>
            <w:tcW w:w="4760" w:type="dxa"/>
            <w:vAlign w:val="bottom"/>
          </w:tcPr>
          <w:p>
            <w:pPr>
              <w:jc w:val="center"/>
              <w:ind w:left="1002"/>
              <w:spacing w:after="0"/>
              <w:rPr>
                <w:sz w:val="20"/>
                <w:szCs w:val="20"/>
                <w:color w:val="auto"/>
              </w:rPr>
            </w:pPr>
            <w:r>
              <w:rPr>
                <w:rFonts w:ascii="Arial" w:cs="Arial" w:eastAsia="Arial" w:hAnsi="Arial"/>
                <w:sz w:val="14"/>
                <w:szCs w:val="14"/>
                <w:b w:val="1"/>
                <w:bCs w:val="1"/>
                <w:color w:val="auto"/>
                <w:w w:val="88"/>
              </w:rPr>
              <w:t>Richard K. Templeton</w:t>
            </w:r>
          </w:p>
        </w:tc>
        <w:tc>
          <w:tcPr>
            <w:tcW w:w="1060" w:type="dxa"/>
            <w:vAlign w:val="bottom"/>
          </w:tcPr>
          <w:p>
            <w:pPr>
              <w:spacing w:after="0"/>
              <w:rPr>
                <w:sz w:val="17"/>
                <w:szCs w:val="17"/>
                <w:color w:val="auto"/>
              </w:rPr>
            </w:pPr>
          </w:p>
        </w:tc>
        <w:tc>
          <w:tcPr>
            <w:tcW w:w="4200" w:type="dxa"/>
            <w:vAlign w:val="bottom"/>
          </w:tcPr>
          <w:p>
            <w:pPr>
              <w:jc w:val="center"/>
              <w:ind w:left="1552"/>
              <w:spacing w:after="0" w:line="202" w:lineRule="exact"/>
              <w:rPr>
                <w:sz w:val="20"/>
                <w:szCs w:val="20"/>
                <w:color w:val="auto"/>
              </w:rPr>
            </w:pPr>
            <w:r>
              <w:rPr>
                <w:rFonts w:ascii="Arial" w:cs="Arial" w:eastAsia="Arial" w:hAnsi="Arial"/>
                <w:sz w:val="18"/>
                <w:szCs w:val="18"/>
                <w:color w:val="auto"/>
                <w:w w:val="91"/>
              </w:rPr>
              <w:t>Executive Officer</w:t>
            </w:r>
          </w:p>
        </w:tc>
      </w:tr>
      <w:tr>
        <w:trPr>
          <w:trHeight w:val="373"/>
        </w:trPr>
        <w:tc>
          <w:tcPr>
            <w:tcW w:w="4760" w:type="dxa"/>
            <w:vAlign w:val="bottom"/>
            <w:tcBorders>
              <w:bottom w:val="single" w:sz="8" w:color="auto"/>
            </w:tcBorders>
          </w:tcPr>
          <w:p>
            <w:pPr>
              <w:jc w:val="center"/>
              <w:ind w:left="1002"/>
              <w:spacing w:after="0"/>
              <w:rPr>
                <w:sz w:val="20"/>
                <w:szCs w:val="20"/>
                <w:color w:val="auto"/>
              </w:rPr>
            </w:pPr>
            <w:r>
              <w:rPr>
                <w:rFonts w:ascii="Arial" w:cs="Arial" w:eastAsia="Arial" w:hAnsi="Arial"/>
                <w:sz w:val="18"/>
                <w:szCs w:val="18"/>
                <w:color w:val="auto"/>
                <w:w w:val="90"/>
              </w:rPr>
              <w:t>/s/ Christine Todd Whitman</w:t>
            </w:r>
          </w:p>
        </w:tc>
        <w:tc>
          <w:tcPr>
            <w:tcW w:w="1060" w:type="dxa"/>
            <w:vAlign w:val="bottom"/>
            <w:tcBorders>
              <w:bottom w:val="single" w:sz="8" w:color="auto"/>
            </w:tcBorders>
          </w:tcPr>
          <w:p>
            <w:pPr>
              <w:spacing w:after="0"/>
              <w:rPr>
                <w:sz w:val="24"/>
                <w:szCs w:val="24"/>
                <w:color w:val="auto"/>
              </w:rPr>
            </w:pPr>
          </w:p>
        </w:tc>
        <w:tc>
          <w:tcPr>
            <w:tcW w:w="4200" w:type="dxa"/>
            <w:vAlign w:val="bottom"/>
          </w:tcPr>
          <w:p>
            <w:pPr>
              <w:jc w:val="center"/>
              <w:ind w:left="1552"/>
              <w:spacing w:after="0"/>
              <w:rPr>
                <w:sz w:val="20"/>
                <w:szCs w:val="20"/>
                <w:color w:val="auto"/>
              </w:rPr>
            </w:pPr>
            <w:r>
              <w:rPr>
                <w:rFonts w:ascii="Arial" w:cs="Arial" w:eastAsia="Arial" w:hAnsi="Arial"/>
                <w:sz w:val="18"/>
                <w:szCs w:val="18"/>
                <w:color w:val="auto"/>
                <w:w w:val="95"/>
              </w:rPr>
              <w:t>Director</w:t>
            </w:r>
          </w:p>
        </w:tc>
      </w:tr>
      <w:tr>
        <w:trPr>
          <w:trHeight w:val="170"/>
        </w:trPr>
        <w:tc>
          <w:tcPr>
            <w:tcW w:w="4760" w:type="dxa"/>
            <w:vAlign w:val="bottom"/>
          </w:tcPr>
          <w:p>
            <w:pPr>
              <w:jc w:val="center"/>
              <w:ind w:left="1002"/>
              <w:spacing w:after="0"/>
              <w:rPr>
                <w:sz w:val="20"/>
                <w:szCs w:val="20"/>
                <w:color w:val="auto"/>
              </w:rPr>
            </w:pPr>
            <w:r>
              <w:rPr>
                <w:rFonts w:ascii="Arial" w:cs="Arial" w:eastAsia="Arial" w:hAnsi="Arial"/>
                <w:sz w:val="14"/>
                <w:szCs w:val="14"/>
                <w:b w:val="1"/>
                <w:bCs w:val="1"/>
                <w:color w:val="auto"/>
                <w:w w:val="88"/>
              </w:rPr>
              <w:t>Christine Todd Whitman</w:t>
            </w:r>
          </w:p>
        </w:tc>
        <w:tc>
          <w:tcPr>
            <w:tcW w:w="1060" w:type="dxa"/>
            <w:vAlign w:val="bottom"/>
          </w:tcPr>
          <w:p>
            <w:pPr>
              <w:spacing w:after="0"/>
              <w:rPr>
                <w:sz w:val="14"/>
                <w:szCs w:val="14"/>
                <w:color w:val="auto"/>
              </w:rPr>
            </w:pPr>
          </w:p>
        </w:tc>
        <w:tc>
          <w:tcPr>
            <w:tcW w:w="4200" w:type="dxa"/>
            <w:vAlign w:val="bottom"/>
          </w:tcPr>
          <w:p>
            <w:pPr>
              <w:spacing w:after="0"/>
              <w:rPr>
                <w:sz w:val="14"/>
                <w:szCs w:val="14"/>
                <w:color w:val="auto"/>
              </w:rPr>
            </w:pPr>
          </w:p>
        </w:tc>
      </w:tr>
      <w:tr>
        <w:trPr>
          <w:trHeight w:val="417"/>
        </w:trPr>
        <w:tc>
          <w:tcPr>
            <w:tcW w:w="4760" w:type="dxa"/>
            <w:vAlign w:val="bottom"/>
            <w:tcBorders>
              <w:bottom w:val="single" w:sz="8" w:color="auto"/>
            </w:tcBorders>
          </w:tcPr>
          <w:p>
            <w:pPr>
              <w:jc w:val="center"/>
              <w:ind w:left="1002"/>
              <w:spacing w:after="0"/>
              <w:rPr>
                <w:sz w:val="20"/>
                <w:szCs w:val="20"/>
                <w:color w:val="auto"/>
              </w:rPr>
            </w:pPr>
            <w:r>
              <w:rPr>
                <w:rFonts w:ascii="Arial" w:cs="Arial" w:eastAsia="Arial" w:hAnsi="Arial"/>
                <w:sz w:val="18"/>
                <w:szCs w:val="18"/>
                <w:color w:val="auto"/>
                <w:w w:val="90"/>
              </w:rPr>
              <w:t>/s/ Kevin P. March</w:t>
            </w:r>
          </w:p>
        </w:tc>
        <w:tc>
          <w:tcPr>
            <w:tcW w:w="1060" w:type="dxa"/>
            <w:vAlign w:val="bottom"/>
            <w:tcBorders>
              <w:bottom w:val="single" w:sz="8" w:color="auto"/>
            </w:tcBorders>
          </w:tcPr>
          <w:p>
            <w:pPr>
              <w:spacing w:after="0"/>
              <w:rPr>
                <w:sz w:val="24"/>
                <w:szCs w:val="24"/>
                <w:color w:val="auto"/>
              </w:rPr>
            </w:pPr>
          </w:p>
        </w:tc>
        <w:tc>
          <w:tcPr>
            <w:tcW w:w="4200" w:type="dxa"/>
            <w:vAlign w:val="bottom"/>
          </w:tcPr>
          <w:p>
            <w:pPr>
              <w:jc w:val="center"/>
              <w:ind w:left="1552"/>
              <w:spacing w:after="0"/>
              <w:rPr>
                <w:sz w:val="20"/>
                <w:szCs w:val="20"/>
                <w:color w:val="auto"/>
              </w:rPr>
            </w:pPr>
            <w:r>
              <w:rPr>
                <w:rFonts w:ascii="Arial" w:cs="Arial" w:eastAsia="Arial" w:hAnsi="Arial"/>
                <w:sz w:val="18"/>
                <w:szCs w:val="18"/>
                <w:color w:val="auto"/>
                <w:w w:val="88"/>
              </w:rPr>
              <w:t>Senior Vice President; Chief</w:t>
            </w:r>
          </w:p>
        </w:tc>
      </w:tr>
      <w:tr>
        <w:trPr>
          <w:trHeight w:val="190"/>
        </w:trPr>
        <w:tc>
          <w:tcPr>
            <w:tcW w:w="4760" w:type="dxa"/>
            <w:vAlign w:val="bottom"/>
          </w:tcPr>
          <w:p>
            <w:pPr>
              <w:jc w:val="center"/>
              <w:ind w:left="1002"/>
              <w:spacing w:after="0"/>
              <w:rPr>
                <w:sz w:val="20"/>
                <w:szCs w:val="20"/>
                <w:color w:val="auto"/>
              </w:rPr>
            </w:pPr>
            <w:r>
              <w:rPr>
                <w:rFonts w:ascii="Arial" w:cs="Arial" w:eastAsia="Arial" w:hAnsi="Arial"/>
                <w:sz w:val="14"/>
                <w:szCs w:val="14"/>
                <w:b w:val="1"/>
                <w:bCs w:val="1"/>
                <w:color w:val="auto"/>
                <w:w w:val="91"/>
              </w:rPr>
              <w:t>Kevin P. March</w:t>
            </w:r>
          </w:p>
        </w:tc>
        <w:tc>
          <w:tcPr>
            <w:tcW w:w="1060" w:type="dxa"/>
            <w:vAlign w:val="bottom"/>
          </w:tcPr>
          <w:p>
            <w:pPr>
              <w:spacing w:after="0"/>
              <w:rPr>
                <w:sz w:val="16"/>
                <w:szCs w:val="16"/>
                <w:color w:val="auto"/>
              </w:rPr>
            </w:pPr>
          </w:p>
        </w:tc>
        <w:tc>
          <w:tcPr>
            <w:tcW w:w="4200" w:type="dxa"/>
            <w:vAlign w:val="bottom"/>
          </w:tcPr>
          <w:p>
            <w:pPr>
              <w:jc w:val="center"/>
              <w:ind w:left="1552"/>
              <w:spacing w:after="0" w:line="190" w:lineRule="exact"/>
              <w:rPr>
                <w:sz w:val="20"/>
                <w:szCs w:val="20"/>
                <w:color w:val="auto"/>
              </w:rPr>
            </w:pPr>
            <w:r>
              <w:rPr>
                <w:rFonts w:ascii="Arial" w:cs="Arial" w:eastAsia="Arial" w:hAnsi="Arial"/>
                <w:sz w:val="18"/>
                <w:szCs w:val="18"/>
                <w:color w:val="auto"/>
                <w:w w:val="92"/>
              </w:rPr>
              <w:t>Financial Officer; Chief Accounting</w:t>
            </w:r>
          </w:p>
        </w:tc>
      </w:tr>
      <w:tr>
        <w:trPr>
          <w:trHeight w:val="222"/>
        </w:trPr>
        <w:tc>
          <w:tcPr>
            <w:tcW w:w="4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0" w:type="dxa"/>
            <w:vAlign w:val="bottom"/>
          </w:tcPr>
          <w:p>
            <w:pPr>
              <w:jc w:val="center"/>
              <w:ind w:left="1552"/>
              <w:spacing w:after="0"/>
              <w:rPr>
                <w:sz w:val="20"/>
                <w:szCs w:val="20"/>
                <w:color w:val="auto"/>
              </w:rPr>
            </w:pPr>
            <w:r>
              <w:rPr>
                <w:rFonts w:ascii="Arial" w:cs="Arial" w:eastAsia="Arial" w:hAnsi="Arial"/>
                <w:sz w:val="18"/>
                <w:szCs w:val="18"/>
                <w:color w:val="auto"/>
                <w:w w:val="98"/>
              </w:rPr>
              <w:t>Officer</w:t>
            </w:r>
          </w:p>
        </w:tc>
      </w:tr>
      <w:tr>
        <w:trPr>
          <w:trHeight w:val="527"/>
        </w:trPr>
        <w:tc>
          <w:tcPr>
            <w:tcW w:w="47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4200" w:type="dxa"/>
            <w:vAlign w:val="bottom"/>
          </w:tcPr>
          <w:p>
            <w:pPr>
              <w:spacing w:after="0"/>
              <w:rPr>
                <w:sz w:val="24"/>
                <w:szCs w:val="24"/>
                <w:color w:val="auto"/>
              </w:rPr>
            </w:pPr>
          </w:p>
        </w:tc>
      </w:tr>
    </w:tbl>
    <w:p>
      <w:pPr>
        <w:sectPr>
          <w:pgSz w:w="11900" w:h="16838" w:orient="portrait"/>
          <w:cols w:equalWidth="0" w:num="1">
            <w:col w:w="10219"/>
          </w:cols>
          <w:pgMar w:left="240" w:top="280" w:right="1440"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15(a))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149"/>
        </w:trPr>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Reference in</w:t>
            </w:r>
          </w:p>
        </w:tc>
      </w:tr>
      <w:tr>
        <w:trPr>
          <w:trHeight w:val="149"/>
        </w:trPr>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2006 Annual</w:t>
            </w:r>
          </w:p>
        </w:tc>
      </w:tr>
      <w:tr>
        <w:trPr>
          <w:trHeight w:val="149"/>
        </w:trPr>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Report to</w:t>
            </w: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Stockholders</w:t>
            </w:r>
          </w:p>
        </w:tc>
      </w:tr>
      <w:tr>
        <w:trPr>
          <w:trHeight w:val="208"/>
        </w:trPr>
        <w:tc>
          <w:tcPr>
            <w:tcW w:w="10660" w:type="dxa"/>
            <w:vAlign w:val="bottom"/>
            <w:gridSpan w:val="10"/>
          </w:tcPr>
          <w:p>
            <w:pPr>
              <w:spacing w:after="0"/>
              <w:rPr>
                <w:sz w:val="20"/>
                <w:szCs w:val="20"/>
                <w:color w:val="auto"/>
              </w:rPr>
            </w:pPr>
            <w:r>
              <w:rPr>
                <w:rFonts w:ascii="Arial" w:cs="Arial" w:eastAsia="Arial" w:hAnsi="Arial"/>
                <w:sz w:val="18"/>
                <w:szCs w:val="18"/>
                <w:color w:val="auto"/>
              </w:rPr>
              <w:t>Information incorporated by reference to the Registrant’s 2006 annual report to stockholders</w:t>
            </w:r>
          </w:p>
        </w:tc>
        <w:tc>
          <w:tcPr>
            <w:tcW w:w="760" w:type="dxa"/>
            <w:vAlign w:val="bottom"/>
          </w:tcPr>
          <w:p>
            <w:pPr>
              <w:spacing w:after="0"/>
              <w:rPr>
                <w:sz w:val="18"/>
                <w:szCs w:val="18"/>
                <w:color w:val="auto"/>
              </w:rPr>
            </w:pPr>
          </w:p>
        </w:tc>
      </w:tr>
      <w:tr>
        <w:trPr>
          <w:trHeight w:val="432"/>
        </w:trPr>
        <w:tc>
          <w:tcPr>
            <w:tcW w:w="10660" w:type="dxa"/>
            <w:vAlign w:val="bottom"/>
            <w:gridSpan w:val="10"/>
          </w:tcPr>
          <w:p>
            <w:pPr>
              <w:spacing w:after="0"/>
              <w:rPr>
                <w:sz w:val="20"/>
                <w:szCs w:val="20"/>
                <w:color w:val="auto"/>
              </w:rPr>
            </w:pPr>
            <w:r>
              <w:rPr>
                <w:rFonts w:ascii="Arial" w:cs="Arial" w:eastAsia="Arial" w:hAnsi="Arial"/>
                <w:sz w:val="18"/>
                <w:szCs w:val="18"/>
                <w:color w:val="auto"/>
              </w:rPr>
              <w:t>Consolidated Financial Statements:</w:t>
            </w:r>
          </w:p>
        </w:tc>
        <w:tc>
          <w:tcPr>
            <w:tcW w:w="76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52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7"/>
              </w:rPr>
              <w:t>Income for each of the three years in the period ended December 31, 2006</w:t>
            </w:r>
          </w:p>
        </w:tc>
        <w:tc>
          <w:tcPr>
            <w:tcW w:w="5000" w:type="dxa"/>
            <w:vAlign w:val="bottom"/>
            <w:gridSpan w:val="4"/>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304"/>
        </w:trPr>
        <w:tc>
          <w:tcPr>
            <w:tcW w:w="440" w:type="dxa"/>
            <w:vAlign w:val="bottom"/>
          </w:tcPr>
          <w:p>
            <w:pPr>
              <w:spacing w:after="0"/>
              <w:rPr>
                <w:sz w:val="24"/>
                <w:szCs w:val="24"/>
                <w:color w:val="auto"/>
              </w:rPr>
            </w:pPr>
          </w:p>
        </w:tc>
        <w:tc>
          <w:tcPr>
            <w:tcW w:w="10220" w:type="dxa"/>
            <w:vAlign w:val="bottom"/>
            <w:gridSpan w:val="9"/>
          </w:tcPr>
          <w:p>
            <w:pPr>
              <w:spacing w:after="0"/>
              <w:rPr>
                <w:sz w:val="20"/>
                <w:szCs w:val="20"/>
                <w:color w:val="auto"/>
              </w:rPr>
            </w:pPr>
            <w:r>
              <w:rPr>
                <w:rFonts w:ascii="Arial" w:cs="Arial" w:eastAsia="Arial" w:hAnsi="Arial"/>
                <w:sz w:val="18"/>
                <w:szCs w:val="18"/>
                <w:color w:val="0000EE"/>
              </w:rPr>
              <w:t>Comprehensive Income for each of the three years in the period ended December 31, 2006</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304"/>
        </w:trPr>
        <w:tc>
          <w:tcPr>
            <w:tcW w:w="440" w:type="dxa"/>
            <w:vAlign w:val="bottom"/>
          </w:tcPr>
          <w:p>
            <w:pPr>
              <w:spacing w:after="0"/>
              <w:rPr>
                <w:sz w:val="24"/>
                <w:szCs w:val="24"/>
                <w:color w:val="auto"/>
              </w:rPr>
            </w:pPr>
          </w:p>
        </w:tc>
        <w:tc>
          <w:tcPr>
            <w:tcW w:w="33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85"/>
              </w:rPr>
              <w:t>Balance Sheets at December 31, 2006 and 2005</w:t>
            </w:r>
          </w:p>
        </w:tc>
        <w:tc>
          <w:tcPr>
            <w:tcW w:w="3000" w:type="dxa"/>
            <w:vAlign w:val="bottom"/>
            <w:tcBorders>
              <w:top w:val="single" w:sz="8" w:color="0000EE"/>
            </w:tcBorders>
            <w:gridSpan w:val="5"/>
          </w:tcPr>
          <w:p>
            <w:pPr>
              <w:spacing w:after="0"/>
              <w:rPr>
                <w:sz w:val="24"/>
                <w:szCs w:val="24"/>
                <w:color w:val="auto"/>
              </w:rPr>
            </w:pPr>
          </w:p>
        </w:tc>
        <w:tc>
          <w:tcPr>
            <w:tcW w:w="38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304"/>
        </w:trPr>
        <w:tc>
          <w:tcPr>
            <w:tcW w:w="440" w:type="dxa"/>
            <w:vAlign w:val="bottom"/>
          </w:tcPr>
          <w:p>
            <w:pPr>
              <w:spacing w:after="0"/>
              <w:rPr>
                <w:sz w:val="24"/>
                <w:szCs w:val="24"/>
                <w:color w:val="auto"/>
              </w:rPr>
            </w:pPr>
          </w:p>
        </w:tc>
        <w:tc>
          <w:tcPr>
            <w:tcW w:w="55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87"/>
              </w:rPr>
              <w:t>Cash Flows for each of the three years in the period ended December 31, 2006</w:t>
            </w:r>
          </w:p>
        </w:tc>
        <w:tc>
          <w:tcPr>
            <w:tcW w:w="4700" w:type="dxa"/>
            <w:vAlign w:val="bottom"/>
            <w:gridSpan w:val="3"/>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9</w:t>
            </w:r>
          </w:p>
        </w:tc>
      </w:tr>
      <w:tr>
        <w:trPr>
          <w:trHeight w:val="304"/>
        </w:trPr>
        <w:tc>
          <w:tcPr>
            <w:tcW w:w="440" w:type="dxa"/>
            <w:vAlign w:val="bottom"/>
          </w:tcPr>
          <w:p>
            <w:pPr>
              <w:spacing w:after="0"/>
              <w:rPr>
                <w:sz w:val="24"/>
                <w:szCs w:val="24"/>
                <w:color w:val="auto"/>
              </w:rPr>
            </w:pPr>
          </w:p>
        </w:tc>
        <w:tc>
          <w:tcPr>
            <w:tcW w:w="10220" w:type="dxa"/>
            <w:vAlign w:val="bottom"/>
            <w:gridSpan w:val="9"/>
          </w:tcPr>
          <w:p>
            <w:pPr>
              <w:spacing w:after="0"/>
              <w:rPr>
                <w:sz w:val="20"/>
                <w:szCs w:val="20"/>
                <w:color w:val="auto"/>
              </w:rPr>
            </w:pPr>
            <w:r>
              <w:rPr>
                <w:rFonts w:ascii="Arial" w:cs="Arial" w:eastAsia="Arial" w:hAnsi="Arial"/>
                <w:sz w:val="18"/>
                <w:szCs w:val="18"/>
                <w:color w:val="0000EE"/>
              </w:rPr>
              <w:t>Stockholders’ Equity for each of the three years in the period ended December 31, 2006</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10</w:t>
            </w:r>
          </w:p>
        </w:tc>
      </w:tr>
      <w:tr>
        <w:trPr>
          <w:trHeight w:val="20"/>
        </w:trPr>
        <w:tc>
          <w:tcPr>
            <w:tcW w:w="460" w:type="dxa"/>
            <w:vAlign w:val="bottom"/>
            <w:gridSpan w:val="2"/>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04"/>
        </w:trPr>
        <w:tc>
          <w:tcPr>
            <w:tcW w:w="21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7"/>
              </w:rPr>
              <w:t>Notes to Financial Statements</w:t>
            </w:r>
          </w:p>
        </w:tc>
        <w:tc>
          <w:tcPr>
            <w:tcW w:w="8540" w:type="dxa"/>
            <w:vAlign w:val="bottom"/>
            <w:gridSpan w:val="7"/>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6"/>
              </w:rPr>
              <w:t>11-38</w:t>
            </w:r>
          </w:p>
        </w:tc>
      </w:tr>
      <w:tr>
        <w:trPr>
          <w:trHeight w:val="304"/>
        </w:trPr>
        <w:tc>
          <w:tcPr>
            <w:tcW w:w="10660" w:type="dxa"/>
            <w:vAlign w:val="bottom"/>
            <w:gridSpan w:val="10"/>
          </w:tcPr>
          <w:p>
            <w:pPr>
              <w:spacing w:after="0"/>
              <w:rPr>
                <w:sz w:val="20"/>
                <w:szCs w:val="20"/>
                <w:color w:val="auto"/>
              </w:rPr>
            </w:pPr>
            <w:r>
              <w:rPr>
                <w:rFonts w:ascii="Arial" w:cs="Arial" w:eastAsia="Arial" w:hAnsi="Arial"/>
                <w:sz w:val="18"/>
                <w:szCs w:val="18"/>
                <w:color w:val="0000EE"/>
              </w:rPr>
              <w:t>Report of Independent Registered Public Accounting Firm</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39</w:t>
            </w:r>
          </w:p>
        </w:tc>
      </w:tr>
      <w:tr>
        <w:trPr>
          <w:trHeight w:val="20"/>
        </w:trPr>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Schedules have been omitted because the required information is not present or not present in amounts sufficient to require submission of the schedule, or because the information required is included in the consolidated financial statements or the notes thereto.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u w:val="single" w:color="auto"/>
          <w:color w:val="auto"/>
        </w:rPr>
        <w:t>Exhibit 10(k)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2003 DIRECTOR COMPENSATION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November 30,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w:t>
      </w:r>
    </w:p>
    <w:p>
      <w:pPr>
        <w:spacing w:after="0" w:line="9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Texas Instruments 2003 Director Compensation Plan is designed to attract and retain qualified individuals to serve as directors of the Company and to increase the proprietary and vested interest of such directors in the growth and performance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9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“Account” </w:t>
      </w:r>
      <w:r>
        <w:rPr>
          <w:rFonts w:ascii="Arial" w:cs="Arial" w:eastAsia="Arial" w:hAnsi="Arial"/>
          <w:sz w:val="18"/>
          <w:szCs w:val="18"/>
          <w:color w:val="auto"/>
        </w:rPr>
        <w:t>means a Cash Account or Stock Unit Account established under Section 8 of the Plan.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the Board or a committee of directors designated by the Board to administer the Plan.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means any Option, Restricted Stock Unit or other stock-based award under the Plan.</w:t>
      </w:r>
    </w:p>
    <w:p>
      <w:pPr>
        <w:spacing w:after="0" w:line="9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means any written agreement, contract or other instrument or document evidencing any Award granted under the Plan, which may, but</w:t>
      </w:r>
      <w:r>
        <w:rPr>
          <w:rFonts w:ascii="Arial" w:cs="Arial" w:eastAsia="Arial" w:hAnsi="Arial"/>
          <w:sz w:val="18"/>
          <w:szCs w:val="18"/>
          <w:i w:val="1"/>
          <w:iCs w:val="1"/>
          <w:color w:val="auto"/>
        </w:rPr>
        <w:t xml:space="preserve"> </w:t>
      </w:r>
      <w:r>
        <w:rPr>
          <w:rFonts w:ascii="Arial" w:cs="Arial" w:eastAsia="Arial" w:hAnsi="Arial"/>
          <w:sz w:val="18"/>
          <w:szCs w:val="18"/>
          <w:color w:val="auto"/>
        </w:rPr>
        <w:t>need not, be executed or acknowledged by a Director.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 as constituted from time to time.</w:t>
      </w:r>
    </w:p>
    <w:p>
      <w:pPr>
        <w:spacing w:after="0" w:line="90"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“Cash Account” </w:t>
      </w:r>
      <w:r>
        <w:rPr>
          <w:rFonts w:ascii="Arial" w:cs="Arial" w:eastAsia="Arial" w:hAnsi="Arial"/>
          <w:sz w:val="18"/>
          <w:szCs w:val="18"/>
          <w:color w:val="auto"/>
        </w:rPr>
        <w:t>means the bookkeeping account established pursuant to Section 8(c) on behalf of each Director who elects pursuant to Section 8(b) to</w:t>
      </w:r>
      <w:r>
        <w:rPr>
          <w:rFonts w:ascii="Arial" w:cs="Arial" w:eastAsia="Arial" w:hAnsi="Arial"/>
          <w:sz w:val="18"/>
          <w:szCs w:val="18"/>
          <w:i w:val="1"/>
          <w:iCs w:val="1"/>
          <w:color w:val="auto"/>
        </w:rPr>
        <w:t xml:space="preserve"> </w:t>
      </w:r>
      <w:r>
        <w:rPr>
          <w:rFonts w:ascii="Arial" w:cs="Arial" w:eastAsia="Arial" w:hAnsi="Arial"/>
          <w:sz w:val="18"/>
          <w:szCs w:val="18"/>
          <w:color w:val="auto"/>
        </w:rPr>
        <w:t>have any of his or her Deferred Compensation credited to a cash account.</w:t>
      </w:r>
    </w:p>
    <w:p>
      <w:pPr>
        <w:spacing w:after="0" w:line="50" w:lineRule="exact"/>
        <w:rPr>
          <w:rFonts w:ascii="Arial" w:cs="Arial" w:eastAsia="Arial" w:hAnsi="Arial"/>
          <w:sz w:val="18"/>
          <w:szCs w:val="18"/>
          <w:color w:val="auto"/>
        </w:rPr>
      </w:pPr>
    </w:p>
    <w:p>
      <w:pPr>
        <w:ind w:left="460" w:right="40" w:hanging="452"/>
        <w:spacing w:after="0" w:line="287"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means an event when (i) any Person, alone or together with its Affiliates and Associates or otherwise, shall become an Acquiring</w:t>
      </w:r>
      <w:r>
        <w:rPr>
          <w:rFonts w:ascii="Arial" w:cs="Arial" w:eastAsia="Arial" w:hAnsi="Arial"/>
          <w:sz w:val="16"/>
          <w:szCs w:val="16"/>
          <w:i w:val="1"/>
          <w:iCs w:val="1"/>
          <w:color w:val="auto"/>
        </w:rPr>
        <w:t xml:space="preserve"> </w:t>
      </w:r>
      <w:r>
        <w:rPr>
          <w:rFonts w:ascii="Arial" w:cs="Arial" w:eastAsia="Arial" w:hAnsi="Arial"/>
          <w:sz w:val="16"/>
          <w:szCs w:val="16"/>
          <w:color w:val="auto"/>
        </w:rPr>
        <w:t>Person otherwise than pursuant to a transaction or agreement approved by the Board prior to the time the Acquiring Person became such, or (ii) a majority of the Board shall change within any 24-month period unless the election or the nomination for election by the Company’s stockholders of each new director has been approved by a vote of at least a majority of the directors then still in office who were directors at the beginning of the period. For the purposes hereof, the terms Person, Affiliates, Associates and Acquiring Person shall have the meanings given to such terms in the Rights Agreement dated as of June 17, 1998 between the Company and Harris Trust and Savings Bank, as in effect on the date hereof; provided, however, that if the percentage employed in the definition of Acquiring Person is reduced hereafter from 20% in such Rights Agreement, then such reduction shall also be applicable for the purposes hereof. Notwithstanding the foregoing, if a Restricted Stock Unit granted under this Plan is or becomes subject to Section 409(A) of the Code, then with respect to such Restricted Stock Unit “Change in Control” shall mean a change in control event as to the Company, as defined in Section 409(A) of the Code and the regulations thereunder.</w:t>
      </w:r>
    </w:p>
    <w:p>
      <w:pPr>
        <w:spacing w:after="0" w:line="41"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Texas Instruments Incorporated, together with any successor thereto.</w:t>
      </w:r>
    </w:p>
    <w:p>
      <w:pPr>
        <w:spacing w:after="0" w:line="90"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Deferred Cash Compensation</w:t>
      </w:r>
      <w:r>
        <w:rPr>
          <w:rFonts w:ascii="Arial" w:cs="Arial" w:eastAsia="Arial" w:hAnsi="Arial"/>
          <w:sz w:val="18"/>
          <w:szCs w:val="18"/>
          <w:color w:val="auto"/>
        </w:rPr>
        <w:t>” means that portion of any Director’s Eligible Compensation that is payable in cash and that he or she elects pursuant to Section 8(a) to be deferred in accordance with this Plan.</w:t>
      </w:r>
    </w:p>
    <w:p>
      <w:pPr>
        <w:spacing w:after="0" w:line="50" w:lineRule="exact"/>
        <w:rPr>
          <w:rFonts w:ascii="Arial" w:cs="Arial" w:eastAsia="Arial" w:hAnsi="Arial"/>
          <w:sz w:val="18"/>
          <w:szCs w:val="18"/>
          <w:color w:val="auto"/>
        </w:rPr>
      </w:pPr>
    </w:p>
    <w:p>
      <w:pPr>
        <w:ind w:left="460" w:right="48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means that portion of any Director’s Eligible Compensation that he or she elects pursuant to Section 8(a) to be deferred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this Plan.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means a member of the Board who is not an employee of the Company or any subsidiary thereof.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1" w:right="239" w:bottom="1440" w:gutter="0" w:footer="0" w:header="0"/>
        </w:sectPr>
      </w:pPr>
    </w:p>
    <w:bookmarkStart w:id="25" w:name="page26"/>
    <w:bookmarkEnd w:id="25"/>
    <w:p>
      <w:pPr>
        <w:ind w:left="460" w:right="260" w:hanging="452"/>
        <w:spacing w:after="0" w:line="298"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“Eligible Compensation” </w:t>
      </w:r>
      <w:r>
        <w:rPr>
          <w:rFonts w:ascii="Arial" w:cs="Arial" w:eastAsia="Arial" w:hAnsi="Arial"/>
          <w:sz w:val="16"/>
          <w:szCs w:val="16"/>
          <w:color w:val="auto"/>
        </w:rPr>
        <w:t>means (i) the cash portion of any compensation payable by the Company to a Director for his or her services as a Director but</w:t>
      </w:r>
      <w:r>
        <w:rPr>
          <w:rFonts w:ascii="Arial" w:cs="Arial" w:eastAsia="Arial" w:hAnsi="Arial"/>
          <w:sz w:val="16"/>
          <w:szCs w:val="16"/>
          <w:i w:val="1"/>
          <w:iCs w:val="1"/>
          <w:color w:val="auto"/>
        </w:rPr>
        <w:t xml:space="preserve"> </w:t>
      </w:r>
      <w:r>
        <w:rPr>
          <w:rFonts w:ascii="Arial" w:cs="Arial" w:eastAsia="Arial" w:hAnsi="Arial"/>
          <w:sz w:val="16"/>
          <w:szCs w:val="16"/>
          <w:color w:val="auto"/>
        </w:rPr>
        <w:t>shall not include any reimbursement by the Company of expenses incurred by a Director incidental to attendance at a meeting of the Company’s stockholders, the Board, or any committee of the Board, or of any other expense incurred on behalf of the Company and (ii) any Restricted Stock Units granted by the Company after November 30, 2006 to a Director for his or her services as a Director.</w:t>
      </w:r>
    </w:p>
    <w:p>
      <w:pPr>
        <w:spacing w:after="0" w:line="31" w:lineRule="exact"/>
        <w:rPr>
          <w:rFonts w:ascii="Arial" w:cs="Arial" w:eastAsia="Arial" w:hAnsi="Arial"/>
          <w:sz w:val="16"/>
          <w:szCs w:val="16"/>
          <w:color w:val="auto"/>
        </w:rPr>
      </w:pPr>
    </w:p>
    <w:p>
      <w:pPr>
        <w:ind w:left="460" w:right="160" w:hanging="452"/>
        <w:spacing w:after="0" w:line="306"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“Fair Market Value” </w:t>
      </w:r>
      <w:r>
        <w:rPr>
          <w:rFonts w:ascii="Arial" w:cs="Arial" w:eastAsia="Arial" w:hAnsi="Arial"/>
          <w:sz w:val="16"/>
          <w:szCs w:val="16"/>
          <w:color w:val="auto"/>
        </w:rPr>
        <w:t>means the closing price of the Shares on the date specified (or, if there is no trading on the New York Stock Exchange on such date,</w:t>
      </w:r>
      <w:r>
        <w:rPr>
          <w:rFonts w:ascii="Arial" w:cs="Arial" w:eastAsia="Arial" w:hAnsi="Arial"/>
          <w:sz w:val="16"/>
          <w:szCs w:val="16"/>
          <w:i w:val="1"/>
          <w:iCs w:val="1"/>
          <w:color w:val="auto"/>
        </w:rPr>
        <w:t xml:space="preserve"> </w:t>
      </w:r>
      <w:r>
        <w:rPr>
          <w:rFonts w:ascii="Arial" w:cs="Arial" w:eastAsia="Arial" w:hAnsi="Arial"/>
          <w:sz w:val="16"/>
          <w:szCs w:val="16"/>
          <w:color w:val="auto"/>
        </w:rPr>
        <w:t>then on the first previous date on which there is such trading) as reported in “New York Stock Exchange Composite Transactions” in “The Wall Street Journal” or by WSJ.com or Bloomberg L.P.</w:t>
      </w:r>
      <w:r>
        <w:rPr>
          <w:rFonts w:ascii="Arial" w:cs="Arial" w:eastAsia="Arial" w:hAnsi="Arial"/>
          <w:sz w:val="16"/>
          <w:szCs w:val="16"/>
          <w:i w:val="1"/>
          <w:iCs w:val="1"/>
          <w:color w:val="auto"/>
        </w:rPr>
        <w:t>,</w:t>
      </w:r>
      <w:r>
        <w:rPr>
          <w:rFonts w:ascii="Arial" w:cs="Arial" w:eastAsia="Arial" w:hAnsi="Arial"/>
          <w:sz w:val="16"/>
          <w:szCs w:val="16"/>
          <w:color w:val="auto"/>
        </w:rPr>
        <w:t xml:space="preserve"> or if unavailable, then by reference to any other source as may be deemed appropriate by the Administrator.</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“G&amp;SR Committee” </w:t>
      </w:r>
      <w:r>
        <w:rPr>
          <w:rFonts w:ascii="Arial" w:cs="Arial" w:eastAsia="Arial" w:hAnsi="Arial"/>
          <w:sz w:val="18"/>
          <w:szCs w:val="18"/>
          <w:color w:val="auto"/>
        </w:rPr>
        <w:t>means the Governance and Stockholder Relations Committee of the Board or any successor committee.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means an option granted under Section 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an individual who has received an Award or established an Account under the Plan.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means this Texas Instruments 2003 Director Compensation Plan.</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Unit” </w:t>
      </w:r>
      <w:r>
        <w:rPr>
          <w:rFonts w:ascii="Arial" w:cs="Arial" w:eastAsia="Arial" w:hAnsi="Arial"/>
          <w:sz w:val="18"/>
          <w:szCs w:val="18"/>
          <w:color w:val="auto"/>
        </w:rPr>
        <w:t>means a contractual right granted under Section 7 that is denominated in Shares, each of which represents a right to receive a Share</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terms and conditions set forth in the Plan and the applicable Award Agreement.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“Secretary” </w:t>
      </w:r>
      <w:r>
        <w:rPr>
          <w:rFonts w:ascii="Arial" w:cs="Arial" w:eastAsia="Arial" w:hAnsi="Arial"/>
          <w:sz w:val="18"/>
          <w:szCs w:val="18"/>
          <w:color w:val="auto"/>
        </w:rPr>
        <w:t>means the Secretary of the Company.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shall mean shares of the common stock of the Company, $1.00 par value.</w:t>
      </w:r>
    </w:p>
    <w:p>
      <w:pPr>
        <w:spacing w:after="0" w:line="90" w:lineRule="exact"/>
        <w:rPr>
          <w:rFonts w:ascii="Arial" w:cs="Arial" w:eastAsia="Arial" w:hAnsi="Arial"/>
          <w:sz w:val="18"/>
          <w:szCs w:val="18"/>
          <w:color w:val="auto"/>
        </w:rPr>
      </w:pPr>
    </w:p>
    <w:p>
      <w:pPr>
        <w:ind w:left="460" w:right="90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“Stock Unit Account” </w:t>
      </w:r>
      <w:r>
        <w:rPr>
          <w:rFonts w:ascii="Arial" w:cs="Arial" w:eastAsia="Arial" w:hAnsi="Arial"/>
          <w:sz w:val="18"/>
          <w:szCs w:val="18"/>
          <w:color w:val="auto"/>
        </w:rPr>
        <w:t>means the bookkeeping account established, pursuant to Section 8(d), on behalf of each Director who elects,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8(b), to have any of his or her Deferred Cash Compensation credited to a stock unit account.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“Year” </w:t>
      </w:r>
      <w:r>
        <w:rPr>
          <w:rFonts w:ascii="Arial" w:cs="Arial" w:eastAsia="Arial" w:hAnsi="Arial"/>
          <w:sz w:val="18"/>
          <w:szCs w:val="18"/>
          <w:color w:val="auto"/>
        </w:rPr>
        <w:t>means a calendar year.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ELIGIBILITY.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Each Director shall be eligible to defer compensation and to receive Awards under the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ADMINISTRATION.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This Plan shall be administered by the Administrator. Subject to the terms of the Plan and applicable law, the Administrator shall have full power and authority to:</w:t>
      </w:r>
    </w:p>
    <w:p>
      <w:pPr>
        <w:spacing w:after="0" w:line="38"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interpret, construe and administer the Plan and any instrument or agreement relating to, or Award granted or Accounts established under, the Plan;</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establish, amend, suspend or waive such rules and regulations and appoint such agents as it deems appropriate for the proper administration of the Plan; and</w:t>
      </w:r>
    </w:p>
    <w:p>
      <w:pPr>
        <w:spacing w:after="0" w:line="43" w:lineRule="exact"/>
        <w:rPr>
          <w:rFonts w:ascii="Arial" w:cs="Arial" w:eastAsia="Arial" w:hAnsi="Arial"/>
          <w:sz w:val="15"/>
          <w:szCs w:val="15"/>
          <w:color w:val="auto"/>
        </w:rPr>
      </w:pPr>
    </w:p>
    <w:p>
      <w:pPr>
        <w:ind w:right="780" w:firstLine="8"/>
        <w:spacing w:after="0" w:line="323" w:lineRule="auto"/>
        <w:tabs>
          <w:tab w:leader="none" w:pos="307"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make any other determination and take any other action that it deems necessary or desirable for the administration of this Plan. All decisions of the Administrator shall be final, conclusive and binding upon all parties, including the Company, the stockholders and the directors.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SHARES SUBJECT TO THE PLAN.</w:t>
      </w:r>
    </w:p>
    <w:p>
      <w:pPr>
        <w:spacing w:after="0" w:line="9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to adjustment as provided below, the number of Shares available for issuance under the Plan shall be 2,000,000 Shares.</w:t>
      </w:r>
    </w:p>
    <w:p>
      <w:pPr>
        <w:spacing w:after="0" w:line="90"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after the effective date of the Plan, any Shares covered by an Award or Stock Unit Account, or to which such an Award relates, are forfeited, or if such an Award or Account otherwise terminates without the delivery of Shares, then such Shares, to the extent of any such forfeiture or termination, shall again be, or shall become, available for issuance under the Plan.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6" w:name="page27"/>
    <w:bookmarkEnd w:id="26"/>
    <w:p>
      <w:pPr>
        <w:ind w:left="460" w:right="14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event that any Award granted hereunder is exercised through the delivery of Shares, or in the event that withholding tax liabilities arising from such Award are satisfied by the withholding of Shares by the Company, the number of Shares available for Awards under the Plan shall be increased by the number of Shares so surrendered or withheld.</w:t>
      </w:r>
    </w:p>
    <w:p>
      <w:pPr>
        <w:spacing w:after="0" w:line="59" w:lineRule="exact"/>
        <w:rPr>
          <w:rFonts w:ascii="Arial" w:cs="Arial" w:eastAsia="Arial" w:hAnsi="Arial"/>
          <w:sz w:val="18"/>
          <w:szCs w:val="18"/>
          <w:color w:val="auto"/>
        </w:rPr>
      </w:pPr>
    </w:p>
    <w:p>
      <w:pPr>
        <w:ind w:left="460" w:right="54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Shares delivered pursuant to an Award or Stock Unit Account may consist, in whole or in part, of authorized and unissued Shares or of treasury Shares.</w:t>
      </w:r>
    </w:p>
    <w:p>
      <w:pPr>
        <w:spacing w:after="0" w:line="50" w:lineRule="exact"/>
        <w:rPr>
          <w:rFonts w:ascii="Arial" w:cs="Arial" w:eastAsia="Arial" w:hAnsi="Arial"/>
          <w:sz w:val="18"/>
          <w:szCs w:val="18"/>
          <w:color w:val="auto"/>
        </w:rPr>
      </w:pPr>
    </w:p>
    <w:p>
      <w:pPr>
        <w:ind w:left="460" w:right="40" w:hanging="452"/>
        <w:spacing w:after="0" w:line="288"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the event that the Administrator shall determine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determined by the Administrator to be appropriate in order to prevent dilution or enlargement of the benefits or potential benefits intended to be made available under the Plan, then the Administrator shall, in such manner as it may deem equitable, adjust any or all of (i) the number of outstanding Restricted Stock Units, (ii) the number and type of Shares credited to Stock Unit Accounts, (iii) the number and type of Shares subject to Options, (iv) the exercise price with respect to any Option or, if deemed appropriate, make provision for a cash payment to the holder of an outstanding Option, and (v) the aggregate limit specified in Section 5(a); provided, however, that no fractional Restricted Stock Units or Shares shall be issued or outstanding hereunder.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OPTIONS.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After the effective date of this Plan, each Director will be granted annually an Option to purchase 7,000 Shares. The Options granted will be nonstatutory stock options not intended to qualify under Section 422 of the Code and shall have the following terms and conditions:</w:t>
      </w:r>
    </w:p>
    <w:p>
      <w:pPr>
        <w:spacing w:after="0" w:line="51" w:lineRule="exact"/>
        <w:rPr>
          <w:sz w:val="20"/>
          <w:szCs w:val="20"/>
          <w:color w:val="auto"/>
        </w:rPr>
      </w:pPr>
    </w:p>
    <w:p>
      <w:pPr>
        <w:ind w:left="460" w:right="4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Price and Term of Options</w:t>
      </w:r>
      <w:r>
        <w:rPr>
          <w:rFonts w:ascii="Arial" w:cs="Arial" w:eastAsia="Arial" w:hAnsi="Arial"/>
          <w:sz w:val="16"/>
          <w:szCs w:val="16"/>
          <w:color w:val="auto"/>
        </w:rPr>
        <w:t>. The purchase price per share of Shares deliverable upon the exercise of each Option shall be 100% of the Fair Market Value per</w:t>
      </w:r>
      <w:r>
        <w:rPr>
          <w:rFonts w:ascii="Arial" w:cs="Arial" w:eastAsia="Arial" w:hAnsi="Arial"/>
          <w:sz w:val="16"/>
          <w:szCs w:val="16"/>
          <w:i w:val="1"/>
          <w:iCs w:val="1"/>
          <w:color w:val="auto"/>
        </w:rPr>
        <w:t xml:space="preserve"> </w:t>
      </w:r>
      <w:r>
        <w:rPr>
          <w:rFonts w:ascii="Arial" w:cs="Arial" w:eastAsia="Arial" w:hAnsi="Arial"/>
          <w:sz w:val="16"/>
          <w:szCs w:val="16"/>
          <w:color w:val="auto"/>
        </w:rPr>
        <w:t>share of the Shares on the date the Option is granted. Each Option shall have a term not to exceed ten years from the date of grant.</w:t>
      </w:r>
    </w:p>
    <w:p>
      <w:pPr>
        <w:spacing w:after="0" w:line="4" w:lineRule="exact"/>
        <w:rPr>
          <w:rFonts w:ascii="Arial" w:cs="Arial" w:eastAsia="Arial" w:hAnsi="Arial"/>
          <w:sz w:val="16"/>
          <w:szCs w:val="16"/>
          <w:color w:val="auto"/>
        </w:rPr>
      </w:pPr>
    </w:p>
    <w:p>
      <w:pPr>
        <w:ind w:left="460" w:right="4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The Secretary shall determine the method or methods by which, and the form or forms, including, without limitation, cash, Shares,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or any combination thereof, having a Fair Market Value on the exercise date equal to the relevant exercise price, in which payment of the exercise price with respect to an Option may be made or deemed to have been made.</w:t>
      </w:r>
    </w:p>
    <w:p>
      <w:pPr>
        <w:spacing w:after="0" w:line="59"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Exercisability. </w:t>
      </w:r>
      <w:r>
        <w:rPr>
          <w:rFonts w:ascii="Arial" w:cs="Arial" w:eastAsia="Arial" w:hAnsi="Arial"/>
          <w:sz w:val="18"/>
          <w:szCs w:val="18"/>
          <w:color w:val="auto"/>
        </w:rPr>
        <w:t>Subject to Sections 6(d) and 6(e), Options shall become exercisable in four equal annual installments commencing on the first anniversary</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the grant.</w:t>
      </w:r>
    </w:p>
    <w:p>
      <w:pPr>
        <w:spacing w:after="0" w:line="5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of a Change in Control, the provisions of Sections 6(c) and 6(e) shall not apply (except for Section 6(e)(vi)(B), which shall</w:t>
      </w:r>
      <w:r>
        <w:rPr>
          <w:rFonts w:ascii="Arial" w:cs="Arial" w:eastAsia="Arial" w:hAnsi="Arial"/>
          <w:sz w:val="18"/>
          <w:szCs w:val="18"/>
          <w:i w:val="1"/>
          <w:iCs w:val="1"/>
          <w:color w:val="auto"/>
        </w:rPr>
        <w:t xml:space="preserve"> </w:t>
      </w:r>
      <w:r>
        <w:rPr>
          <w:rFonts w:ascii="Arial" w:cs="Arial" w:eastAsia="Arial" w:hAnsi="Arial"/>
          <w:sz w:val="18"/>
          <w:szCs w:val="18"/>
          <w:color w:val="auto"/>
        </w:rPr>
        <w:t>apply) and Options outstanding under the Plan shall be immediately exercisable in full and continue to full term.</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Service as a Director. </w:t>
      </w:r>
      <w:r>
        <w:rPr>
          <w:rFonts w:ascii="Arial" w:cs="Arial" w:eastAsia="Arial" w:hAnsi="Arial"/>
          <w:sz w:val="18"/>
          <w:szCs w:val="18"/>
          <w:color w:val="auto"/>
        </w:rPr>
        <w:t>The effect of a Participant’s termination of service as a director shall be as follows: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Termination for cause: </w:t>
      </w:r>
      <w:r>
        <w:rPr>
          <w:rFonts w:ascii="Arial" w:cs="Arial" w:eastAsia="Arial" w:hAnsi="Arial"/>
          <w:sz w:val="18"/>
          <w:szCs w:val="18"/>
          <w:color w:val="auto"/>
        </w:rPr>
        <w:t>All outstanding Options held by the Participant shall be canceled immediately upon termination.</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Death: </w:t>
      </w:r>
      <w:r>
        <w:rPr>
          <w:rFonts w:ascii="Arial" w:cs="Arial" w:eastAsia="Arial" w:hAnsi="Arial"/>
          <w:sz w:val="18"/>
          <w:szCs w:val="18"/>
          <w:color w:val="auto"/>
        </w:rPr>
        <w:t>All outstanding Options held by the Participant shall continue to full term, becoming exercisable in accordance with Section 6(c), and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by such Participant’s heirs.</w:t>
      </w:r>
    </w:p>
    <w:p>
      <w:pPr>
        <w:spacing w:after="0" w:line="50" w:lineRule="exact"/>
        <w:rPr>
          <w:rFonts w:ascii="Arial" w:cs="Arial" w:eastAsia="Arial" w:hAnsi="Arial"/>
          <w:sz w:val="18"/>
          <w:szCs w:val="18"/>
          <w:color w:val="auto"/>
        </w:rPr>
      </w:pPr>
    </w:p>
    <w:p>
      <w:pPr>
        <w:ind w:left="900" w:right="80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Permanent disability: </w:t>
      </w:r>
      <w:r>
        <w:rPr>
          <w:rFonts w:ascii="Arial" w:cs="Arial" w:eastAsia="Arial" w:hAnsi="Arial"/>
          <w:sz w:val="18"/>
          <w:szCs w:val="18"/>
          <w:color w:val="auto"/>
        </w:rPr>
        <w:t>All outstanding Options held by the Participant shall continue to full term, becoming exercisable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6(c).</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Termination after 8 years of service: </w:t>
      </w:r>
      <w:r>
        <w:rPr>
          <w:rFonts w:ascii="Arial" w:cs="Arial" w:eastAsia="Arial" w:hAnsi="Arial"/>
          <w:sz w:val="18"/>
          <w:szCs w:val="18"/>
          <w:color w:val="auto"/>
        </w:rPr>
        <w:t>All outstanding Options held by the Participant shall continue to full term, becoming exercisable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Section 6(c).</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Termination by reason of ineligibility to stand for reelection under the Company’s by-laws: </w:t>
      </w:r>
      <w:r>
        <w:rPr>
          <w:rFonts w:ascii="Arial" w:cs="Arial" w:eastAsia="Arial" w:hAnsi="Arial"/>
          <w:sz w:val="18"/>
          <w:szCs w:val="18"/>
          <w:color w:val="auto"/>
        </w:rPr>
        <w:t>All outstanding Options held by the Participant shall</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full term, becoming exercisable in accordance with Section 6(c).</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7" w:name="page28"/>
    <w:bookmarkEnd w:id="27"/>
    <w:p>
      <w:pPr>
        <w:ind w:left="900" w:right="40" w:hanging="446"/>
        <w:spacing w:after="0" w:line="332" w:lineRule="auto"/>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Other: </w:t>
      </w:r>
      <w:r>
        <w:rPr>
          <w:rFonts w:ascii="Arial" w:cs="Arial" w:eastAsia="Arial" w:hAnsi="Arial"/>
          <w:sz w:val="16"/>
          <w:szCs w:val="16"/>
          <w:color w:val="auto"/>
        </w:rPr>
        <w:t>For any termination other than those specified above, all outstanding Options held by the Participant shall be exercisable for 30 days after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termination, only to the extent that such Options were exercisable on the date of termination, except as follows:</w:t>
      </w:r>
    </w:p>
    <w:p>
      <w:pPr>
        <w:spacing w:after="0" w:line="4" w:lineRule="exact"/>
        <w:rPr>
          <w:rFonts w:ascii="Arial" w:cs="Arial" w:eastAsia="Arial" w:hAnsi="Arial"/>
          <w:sz w:val="16"/>
          <w:szCs w:val="16"/>
          <w:color w:val="auto"/>
        </w:rPr>
      </w:pPr>
    </w:p>
    <w:p>
      <w:pPr>
        <w:ind w:left="1480" w:right="60" w:hanging="567"/>
        <w:spacing w:after="0" w:line="332" w:lineRule="auto"/>
        <w:tabs>
          <w:tab w:leader="none" w:pos="1480" w:val="left"/>
        </w:tabs>
        <w:numPr>
          <w:ilvl w:val="2"/>
          <w:numId w:val="21"/>
        </w:numPr>
        <w:rPr>
          <w:rFonts w:ascii="Arial" w:cs="Arial" w:eastAsia="Arial" w:hAnsi="Arial"/>
          <w:sz w:val="16"/>
          <w:szCs w:val="16"/>
          <w:color w:val="auto"/>
        </w:rPr>
      </w:pPr>
      <w:r>
        <w:rPr>
          <w:rFonts w:ascii="Arial" w:cs="Arial" w:eastAsia="Arial" w:hAnsi="Arial"/>
          <w:sz w:val="16"/>
          <w:szCs w:val="16"/>
          <w:color w:val="auto"/>
        </w:rPr>
        <w:t>If the Participant dies within 30 days after his or her termination, then such Participant’s heirs may exercise the Options for a period of up to one year after the Participant’s death, but only to the extent any unexercised portion was exercisable on the date of termination.</w:t>
      </w:r>
    </w:p>
    <w:p>
      <w:pPr>
        <w:spacing w:after="0" w:line="4" w:lineRule="exact"/>
        <w:rPr>
          <w:rFonts w:ascii="Arial" w:cs="Arial" w:eastAsia="Arial" w:hAnsi="Arial"/>
          <w:sz w:val="16"/>
          <w:szCs w:val="16"/>
          <w:color w:val="auto"/>
        </w:rPr>
      </w:pPr>
    </w:p>
    <w:p>
      <w:pPr>
        <w:ind w:left="1480" w:right="260" w:hanging="567"/>
        <w:spacing w:after="0" w:line="268" w:lineRule="auto"/>
        <w:tabs>
          <w:tab w:leader="none" w:pos="1480" w:val="left"/>
        </w:tabs>
        <w:numPr>
          <w:ilvl w:val="2"/>
          <w:numId w:val="21"/>
        </w:numPr>
        <w:rPr>
          <w:rFonts w:ascii="Arial" w:cs="Arial" w:eastAsia="Arial" w:hAnsi="Arial"/>
          <w:sz w:val="18"/>
          <w:szCs w:val="18"/>
          <w:color w:val="auto"/>
        </w:rPr>
      </w:pPr>
      <w:r>
        <w:rPr>
          <w:rFonts w:ascii="Arial" w:cs="Arial" w:eastAsia="Arial" w:hAnsi="Arial"/>
          <w:sz w:val="18"/>
          <w:szCs w:val="18"/>
          <w:color w:val="auto"/>
        </w:rPr>
        <w:t>If the Participant’s termination occurs within 30 days before the effective date of a Change in Control, then the Change in Control will be deemed to have occurred first and the Options shall be exercisable in accordance with Section 6(d).</w:t>
      </w:r>
    </w:p>
    <w:p>
      <w:pPr>
        <w:spacing w:after="0" w:line="50" w:lineRule="exact"/>
        <w:rPr>
          <w:rFonts w:ascii="Arial" w:cs="Arial" w:eastAsia="Arial" w:hAnsi="Arial"/>
          <w:sz w:val="18"/>
          <w:szCs w:val="18"/>
          <w:color w:val="auto"/>
        </w:rPr>
      </w:pPr>
    </w:p>
    <w:p>
      <w:pPr>
        <w:ind w:left="460" w:right="48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Option Agreement</w:t>
      </w:r>
      <w:r>
        <w:rPr>
          <w:rFonts w:ascii="Arial" w:cs="Arial" w:eastAsia="Arial" w:hAnsi="Arial"/>
          <w:sz w:val="18"/>
          <w:szCs w:val="18"/>
          <w:color w:val="auto"/>
        </w:rPr>
        <w:t>. Each Option granted hereunder shall be evidenced by an Award Agreement with the Company, which shall contain the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set forth herein and shall otherwise be consistent with the provisions of the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RESTRICTED STOCK UNITS.</w:t>
      </w:r>
    </w:p>
    <w:p>
      <w:pPr>
        <w:spacing w:after="0" w:line="96"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Grants of Restricted Stock Units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Following the effective date of this Plan, each Director shall, effective as of the date of such individual’s initial election or appointment to the Board, be granted 2,000 Restricted Stock Units.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Effective November 30, 2006, each Director shall also be granted annually 2,500 Restricted Stock Units.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Each Restricted Stock Unit granted pursuant to this Section 7(a) shall be paid or settled by the issuance of one Share.</w:t>
      </w:r>
    </w:p>
    <w:p>
      <w:pPr>
        <w:spacing w:after="0" w:line="90" w:lineRule="exact"/>
        <w:rPr>
          <w:rFonts w:ascii="Arial" w:cs="Arial" w:eastAsia="Arial" w:hAnsi="Arial"/>
          <w:sz w:val="18"/>
          <w:szCs w:val="18"/>
          <w:color w:val="auto"/>
        </w:rPr>
      </w:pPr>
    </w:p>
    <w:p>
      <w:pPr>
        <w:ind w:left="900" w:hanging="446"/>
        <w:spacing w:after="0" w:line="290" w:lineRule="auto"/>
        <w:tabs>
          <w:tab w:leader="none" w:pos="9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Each Restricted Stock Unit grant made prior to November 30, 2006, shall be paid or settled upon the termination of such recipient’s service as a director of the Company, provided that such termination of service shall have occurred (A) after the age at which a director is ineligible under the Company’s by laws to stand for reelection to the board, (B) after the completion of at least eight years of service as a director of the Company, (C) as a result of the Director’s death or disability, or (D) in connection with or as a result of a Change in Control. In the event such recipient’s membership on the Board shall terminate prior to the attainment of the age of ineligibility for reelection and prior to the completion of eight years of service as a director for reasons other than death or disability, such Restricted Stock Units shall terminate and all of the rights, title and interest of the recipient thereunder shall be forfeited in their entirety.</w:t>
      </w:r>
    </w:p>
    <w:p>
      <w:pPr>
        <w:spacing w:after="0" w:line="37" w:lineRule="exact"/>
        <w:rPr>
          <w:rFonts w:ascii="Arial" w:cs="Arial" w:eastAsia="Arial" w:hAnsi="Arial"/>
          <w:sz w:val="16"/>
          <w:szCs w:val="16"/>
          <w:color w:val="auto"/>
        </w:rPr>
      </w:pPr>
    </w:p>
    <w:p>
      <w:pPr>
        <w:ind w:left="900" w:hanging="446"/>
        <w:spacing w:after="0"/>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Each Restricted Stock Unit grant made on or after November 30, 2006, shall have the following additional terms and conditions:</w:t>
      </w:r>
    </w:p>
    <w:p>
      <w:pPr>
        <w:spacing w:after="0" w:line="90" w:lineRule="exact"/>
        <w:rPr>
          <w:rFonts w:ascii="Arial" w:cs="Arial" w:eastAsia="Arial" w:hAnsi="Arial"/>
          <w:sz w:val="18"/>
          <w:szCs w:val="18"/>
          <w:color w:val="auto"/>
        </w:rPr>
      </w:pPr>
    </w:p>
    <w:p>
      <w:pPr>
        <w:ind w:left="1480" w:right="180" w:hanging="567"/>
        <w:spacing w:after="0" w:line="259" w:lineRule="auto"/>
        <w:tabs>
          <w:tab w:leader="none" w:pos="14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Vesting. Subject to Section 7(a)(v)(B) and subject to a Director’s election to defer the settlement of Restricted Stock Units pursuant to Section 8, the shares covered by the Restricted Stock Units shall be issued as soon as practicable after the fourth anniversary of the date of grant.</w:t>
      </w:r>
    </w:p>
    <w:p>
      <w:pPr>
        <w:spacing w:after="0" w:line="59" w:lineRule="exact"/>
        <w:rPr>
          <w:rFonts w:ascii="Arial" w:cs="Arial" w:eastAsia="Arial" w:hAnsi="Arial"/>
          <w:sz w:val="18"/>
          <w:szCs w:val="18"/>
          <w:color w:val="auto"/>
        </w:rPr>
      </w:pPr>
    </w:p>
    <w:p>
      <w:pPr>
        <w:jc w:val="both"/>
        <w:ind w:left="1480" w:right="260" w:hanging="567"/>
        <w:spacing w:after="0" w:line="259" w:lineRule="auto"/>
        <w:tabs>
          <w:tab w:leader="none" w:pos="14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Change in Control. In the event of a Change in Control, the provisions of Section 7(a)(v)(A) shall not apply, any election by a Director to defer settlement of Restricted Stock Units pursuant to Section 8 shall be cancelled and Restricted Stock Units outstanding under this Plan shall vest immediately.</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Termination of Service as a Director. The effect of a Participant’s termination of service as a director shall be as follows:</w:t>
      </w:r>
    </w:p>
    <w:p>
      <w:pPr>
        <w:spacing w:after="0" w:line="90" w:lineRule="exact"/>
        <w:rPr>
          <w:rFonts w:ascii="Arial" w:cs="Arial" w:eastAsia="Arial" w:hAnsi="Arial"/>
          <w:sz w:val="18"/>
          <w:szCs w:val="18"/>
          <w:color w:val="auto"/>
        </w:rPr>
      </w:pPr>
    </w:p>
    <w:p>
      <w:pPr>
        <w:ind w:left="1920" w:right="620" w:hanging="440"/>
        <w:spacing w:after="0" w:line="268" w:lineRule="auto"/>
        <w:tabs>
          <w:tab w:leader="none" w:pos="1920" w:val="left"/>
        </w:tabs>
        <w:numPr>
          <w:ilvl w:val="3"/>
          <w:numId w:val="23"/>
        </w:numPr>
        <w:rPr>
          <w:rFonts w:ascii="Arial" w:cs="Arial" w:eastAsia="Arial" w:hAnsi="Arial"/>
          <w:sz w:val="18"/>
          <w:szCs w:val="18"/>
          <w:color w:val="auto"/>
        </w:rPr>
      </w:pPr>
      <w:r>
        <w:rPr>
          <w:rFonts w:ascii="Arial" w:cs="Arial" w:eastAsia="Arial" w:hAnsi="Arial"/>
          <w:sz w:val="18"/>
          <w:szCs w:val="18"/>
          <w:i w:val="1"/>
          <w:iCs w:val="1"/>
          <w:color w:val="auto"/>
        </w:rPr>
        <w:t>Death</w:t>
      </w:r>
      <w:r>
        <w:rPr>
          <w:rFonts w:ascii="Arial" w:cs="Arial" w:eastAsia="Arial" w:hAnsi="Arial"/>
          <w:sz w:val="18"/>
          <w:szCs w:val="18"/>
          <w:color w:val="auto"/>
        </w:rPr>
        <w:t>. All outstanding Restricted Stock Units held by the Participant shall continue to full term subject to the other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of this Plan, and shares shall be issued to such</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28" w:name="page29"/>
    <w:bookmarkEnd w:id="28"/>
    <w:p>
      <w:pPr>
        <w:ind w:left="19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Participant’s heirs at such times and in such manner as if the Participant were still a Director of the Company on the date of vesting.</w:t>
      </w:r>
    </w:p>
    <w:p>
      <w:pPr>
        <w:spacing w:after="0" w:line="113" w:lineRule="exact"/>
        <w:rPr>
          <w:sz w:val="20"/>
          <w:szCs w:val="20"/>
          <w:color w:val="auto"/>
        </w:rPr>
      </w:pPr>
    </w:p>
    <w:p>
      <w:pPr>
        <w:ind w:left="1920" w:right="160" w:hanging="440"/>
        <w:spacing w:after="0" w:line="259" w:lineRule="auto"/>
        <w:tabs>
          <w:tab w:leader="none" w:pos="192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Permanent disability</w:t>
      </w:r>
      <w:r>
        <w:rPr>
          <w:rFonts w:ascii="Arial" w:cs="Arial" w:eastAsia="Arial" w:hAnsi="Arial"/>
          <w:sz w:val="18"/>
          <w:szCs w:val="18"/>
          <w:color w:val="auto"/>
        </w:rPr>
        <w:t>. All outstanding Restricted Stock Units held by the Participant shall continue to full term subject to the other</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conditions of this Plan, and shares shall be issued to such Participant at such times and in such manner as if the Participant were still a Director of the Company on the date of vesting.</w:t>
      </w:r>
    </w:p>
    <w:p>
      <w:pPr>
        <w:spacing w:after="0" w:line="59" w:lineRule="exact"/>
        <w:rPr>
          <w:sz w:val="20"/>
          <w:szCs w:val="20"/>
          <w:color w:val="auto"/>
        </w:rPr>
      </w:pPr>
    </w:p>
    <w:p>
      <w:pPr>
        <w:ind w:left="1920" w:right="40" w:hanging="440"/>
        <w:spacing w:after="0" w:line="268" w:lineRule="auto"/>
        <w:tabs>
          <w:tab w:leader="none" w:pos="19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Termination after 8 years of service. </w:t>
      </w:r>
      <w:r>
        <w:rPr>
          <w:rFonts w:ascii="Arial" w:cs="Arial" w:eastAsia="Arial" w:hAnsi="Arial"/>
          <w:sz w:val="18"/>
          <w:szCs w:val="18"/>
          <w:color w:val="auto"/>
        </w:rPr>
        <w:t>All outstanding Restricted Stock Units held by the Participant will continue to full term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other terms and conditions of this Plan.</w:t>
      </w:r>
    </w:p>
    <w:p>
      <w:pPr>
        <w:spacing w:after="0" w:line="51" w:lineRule="exact"/>
        <w:rPr>
          <w:sz w:val="20"/>
          <w:szCs w:val="20"/>
          <w:color w:val="auto"/>
        </w:rPr>
      </w:pPr>
    </w:p>
    <w:p>
      <w:pPr>
        <w:ind w:left="1920" w:right="300" w:hanging="439"/>
        <w:spacing w:after="0" w:line="332" w:lineRule="auto"/>
        <w:tabs>
          <w:tab w:leader="none" w:pos="1900" w:val="left"/>
        </w:tabs>
        <w:rPr>
          <w:sz w:val="20"/>
          <w:szCs w:val="20"/>
          <w:color w:val="auto"/>
        </w:rPr>
      </w:pPr>
      <w:r>
        <w:rPr>
          <w:rFonts w:ascii="Arial" w:cs="Arial" w:eastAsia="Arial" w:hAnsi="Arial"/>
          <w:sz w:val="16"/>
          <w:szCs w:val="16"/>
          <w:color w:val="auto"/>
        </w:rPr>
        <w:t>(IV)</w:t>
      </w:r>
      <w:r>
        <w:rPr>
          <w:sz w:val="20"/>
          <w:szCs w:val="20"/>
          <w:color w:val="auto"/>
        </w:rPr>
        <w:tab/>
      </w:r>
      <w:r>
        <w:rPr>
          <w:rFonts w:ascii="Arial" w:cs="Arial" w:eastAsia="Arial" w:hAnsi="Arial"/>
          <w:sz w:val="16"/>
          <w:szCs w:val="16"/>
          <w:i w:val="1"/>
          <w:iCs w:val="1"/>
          <w:color w:val="auto"/>
        </w:rPr>
        <w:t xml:space="preserve">Termination for reason of ineligibility to stand for reelection under the Company’s By-laws. </w:t>
      </w:r>
      <w:r>
        <w:rPr>
          <w:rFonts w:ascii="Arial" w:cs="Arial" w:eastAsia="Arial" w:hAnsi="Arial"/>
          <w:sz w:val="16"/>
          <w:szCs w:val="16"/>
          <w:color w:val="auto"/>
        </w:rPr>
        <w:t>All outstanding Restricted Stock Units</w:t>
      </w:r>
      <w:r>
        <w:rPr>
          <w:rFonts w:ascii="Arial" w:cs="Arial" w:eastAsia="Arial" w:hAnsi="Arial"/>
          <w:sz w:val="16"/>
          <w:szCs w:val="16"/>
          <w:i w:val="1"/>
          <w:iCs w:val="1"/>
          <w:color w:val="auto"/>
        </w:rPr>
        <w:t xml:space="preserve"> </w:t>
      </w:r>
      <w:r>
        <w:rPr>
          <w:rFonts w:ascii="Arial" w:cs="Arial" w:eastAsia="Arial" w:hAnsi="Arial"/>
          <w:sz w:val="16"/>
          <w:szCs w:val="16"/>
          <w:color w:val="auto"/>
        </w:rPr>
        <w:t>held by the Participant will continue to full term subject to the other terms and conditions of this Plan.</w:t>
      </w:r>
    </w:p>
    <w:p>
      <w:pPr>
        <w:spacing w:after="0" w:line="4" w:lineRule="exact"/>
        <w:rPr>
          <w:sz w:val="20"/>
          <w:szCs w:val="20"/>
          <w:color w:val="auto"/>
        </w:rPr>
      </w:pPr>
    </w:p>
    <w:p>
      <w:pPr>
        <w:ind w:left="1920" w:right="560" w:hanging="440"/>
        <w:spacing w:after="0" w:line="332" w:lineRule="auto"/>
        <w:tabs>
          <w:tab w:leader="none" w:pos="192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For any termination other than those specified above, all outstanding Restricted Stock Units held by the Participant shall</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 and become void without any shares being issued, except as provided in Section 7(a)(v)(c)(VI).</w:t>
      </w:r>
    </w:p>
    <w:p>
      <w:pPr>
        <w:spacing w:after="0" w:line="4" w:lineRule="exact"/>
        <w:rPr>
          <w:sz w:val="20"/>
          <w:szCs w:val="20"/>
          <w:color w:val="auto"/>
        </w:rPr>
      </w:pPr>
    </w:p>
    <w:p>
      <w:pPr>
        <w:ind w:left="1920" w:right="560" w:hanging="439"/>
        <w:spacing w:after="0" w:line="332" w:lineRule="auto"/>
        <w:tabs>
          <w:tab w:leader="none" w:pos="1900" w:val="left"/>
        </w:tabs>
        <w:rPr>
          <w:sz w:val="20"/>
          <w:szCs w:val="20"/>
          <w:color w:val="auto"/>
        </w:rPr>
      </w:pPr>
      <w:r>
        <w:rPr>
          <w:rFonts w:ascii="Arial" w:cs="Arial" w:eastAsia="Arial" w:hAnsi="Arial"/>
          <w:sz w:val="16"/>
          <w:szCs w:val="16"/>
          <w:color w:val="auto"/>
        </w:rPr>
        <w:t>(VI)</w:t>
        <w:tab/>
        <w:t>If a Participant’s termination of service (other than for cause) occurs within 30 days of a Change in Control, then the Change in Control shall be deemed to have occurred first and the provisions of Section 7(a)(v)(B) shall apply.</w:t>
      </w:r>
    </w:p>
    <w:p>
      <w:pPr>
        <w:spacing w:after="0" w:line="4" w:lineRule="exact"/>
        <w:rPr>
          <w:sz w:val="20"/>
          <w:szCs w:val="20"/>
          <w:color w:val="auto"/>
        </w:rPr>
      </w:pPr>
    </w:p>
    <w:p>
      <w:pPr>
        <w:ind w:left="1480" w:right="100" w:hanging="567"/>
        <w:spacing w:after="0" w:line="259"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Restricted Stock Unit Agreement. Each Restricted Stock Unit granted under this Section 7(b) shall be evidenced by an Award Agreement with the Company, which shall contain the terms and conditions set forth herein and shall otherwise be consistent with the provisions of this Plan.</w:t>
      </w:r>
    </w:p>
    <w:p>
      <w:pPr>
        <w:spacing w:after="0" w:line="59" w:lineRule="exact"/>
        <w:rPr>
          <w:rFonts w:ascii="Arial" w:cs="Arial" w:eastAsia="Arial" w:hAnsi="Arial"/>
          <w:sz w:val="18"/>
          <w:szCs w:val="18"/>
          <w:color w:val="auto"/>
        </w:rPr>
      </w:pPr>
    </w:p>
    <w:p>
      <w:pPr>
        <w:ind w:left="460" w:right="80" w:hanging="452"/>
        <w:spacing w:after="0" w:line="298"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Right to Dividend Equivalents</w:t>
      </w:r>
      <w:r>
        <w:rPr>
          <w:rFonts w:ascii="Arial" w:cs="Arial" w:eastAsia="Arial" w:hAnsi="Arial"/>
          <w:sz w:val="16"/>
          <w:szCs w:val="16"/>
          <w:color w:val="auto"/>
        </w:rPr>
        <w:t>. Each recipient of Restricted Stock Units under this Plan shall have the right, during the period when such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Units are outstanding and prior to the termination, forfeiture or payment or settlement thereof, to receive dividend equivalents equal to the amount or value of any cash or other distributions or dividends payable on the same number of Shares. The Company shall accumulate dividend equivalents on each dividend payment date and pay such accumulated amounts without interest annually.</w:t>
      </w:r>
    </w:p>
    <w:p>
      <w:pPr>
        <w:spacing w:after="0" w:line="31" w:lineRule="exact"/>
        <w:rPr>
          <w:rFonts w:ascii="Arial" w:cs="Arial" w:eastAsia="Arial" w:hAnsi="Arial"/>
          <w:sz w:val="16"/>
          <w:szCs w:val="16"/>
          <w:color w:val="auto"/>
        </w:rPr>
      </w:pPr>
    </w:p>
    <w:p>
      <w:pPr>
        <w:ind w:left="460" w:right="2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Issuance of Shares Upon Lapse of Restrictions</w:t>
      </w:r>
      <w:r>
        <w:rPr>
          <w:rFonts w:ascii="Arial" w:cs="Arial" w:eastAsia="Arial" w:hAnsi="Arial"/>
          <w:sz w:val="18"/>
          <w:szCs w:val="18"/>
          <w:color w:val="auto"/>
        </w:rPr>
        <w:t>. A stock certificate or certificates shall be registered and issued in the name of the holder of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Units and delivered to such holder as soon as practicable after such Restricted Stock Units have become payable or settleable in accordance with the terms of the Plan.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DEFERRED COMPENSATION.</w:t>
      </w:r>
    </w:p>
    <w:p>
      <w:pPr>
        <w:spacing w:after="0" w:line="96" w:lineRule="exact"/>
        <w:rPr>
          <w:sz w:val="20"/>
          <w:szCs w:val="20"/>
          <w:color w:val="auto"/>
        </w:rPr>
      </w:pPr>
    </w:p>
    <w:p>
      <w:pPr>
        <w:ind w:left="460" w:right="42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Deferral Election</w:t>
      </w:r>
      <w:r>
        <w:rPr>
          <w:rFonts w:ascii="Arial" w:cs="Arial" w:eastAsia="Arial" w:hAnsi="Arial"/>
          <w:sz w:val="18"/>
          <w:szCs w:val="18"/>
          <w:color w:val="auto"/>
        </w:rPr>
        <w:t>. Each eligible Director may elect, with respect to any Year, that all or any portion of his or her Eligible Compensation be deferred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terms of this Plan.</w:t>
      </w:r>
    </w:p>
    <w:p>
      <w:pPr>
        <w:spacing w:after="0" w:line="50" w:lineRule="exact"/>
        <w:rPr>
          <w:rFonts w:ascii="Arial" w:cs="Arial" w:eastAsia="Arial" w:hAnsi="Arial"/>
          <w:sz w:val="18"/>
          <w:szCs w:val="18"/>
          <w:color w:val="auto"/>
        </w:rPr>
      </w:pPr>
    </w:p>
    <w:p>
      <w:pPr>
        <w:ind w:left="460" w:right="50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Cash Compensation </w:t>
      </w:r>
      <w:r>
        <w:rPr>
          <w:rFonts w:ascii="Arial" w:cs="Arial" w:eastAsia="Arial" w:hAnsi="Arial"/>
          <w:sz w:val="18"/>
          <w:szCs w:val="18"/>
          <w:i w:val="1"/>
          <w:iCs w:val="1"/>
          <w:color w:val="auto"/>
        </w:rPr>
        <w:t>Investment Alternatives</w:t>
      </w:r>
      <w:r>
        <w:rPr>
          <w:rFonts w:ascii="Arial" w:cs="Arial" w:eastAsia="Arial" w:hAnsi="Arial"/>
          <w:sz w:val="18"/>
          <w:szCs w:val="18"/>
          <w:color w:val="auto"/>
        </w:rPr>
        <w:t>. Each Director may elect that his or her Deferred Cash Compensation for any Year be credited to a Cash Account or a Stock Unit Account or to any combination thereof.</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Cash Accounts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The Company shall establish and maintain a separate unfunded Cash Account for each Director who has elected that any portion of his or her Deferred Cash Compensation be credited to a Cash Account.</w:t>
      </w:r>
    </w:p>
    <w:p>
      <w:pPr>
        <w:spacing w:after="0" w:line="50" w:lineRule="exact"/>
        <w:rPr>
          <w:rFonts w:ascii="Arial" w:cs="Arial" w:eastAsia="Arial" w:hAnsi="Arial"/>
          <w:sz w:val="18"/>
          <w:szCs w:val="18"/>
          <w:color w:val="auto"/>
        </w:rPr>
      </w:pPr>
    </w:p>
    <w:p>
      <w:pPr>
        <w:ind w:left="1480" w:right="380" w:hanging="567"/>
        <w:spacing w:after="0" w:line="259" w:lineRule="auto"/>
        <w:tabs>
          <w:tab w:leader="none" w:pos="14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As of the date on which any amount of a Director’s Deferred Cash Compensation becomes payable, his or her Cash Account shall be credited with an amount equal to that portion of such Deferred Cash Compensation as such Director has elected be credited to his or her Cash Account.</w:t>
      </w:r>
    </w:p>
    <w:p>
      <w:pPr>
        <w:spacing w:after="0" w:line="59" w:lineRule="exact"/>
        <w:rPr>
          <w:rFonts w:ascii="Arial" w:cs="Arial" w:eastAsia="Arial" w:hAnsi="Arial"/>
          <w:sz w:val="18"/>
          <w:szCs w:val="18"/>
          <w:color w:val="auto"/>
        </w:rPr>
      </w:pPr>
    </w:p>
    <w:p>
      <w:pPr>
        <w:ind w:left="1480" w:right="40" w:hanging="567"/>
        <w:spacing w:after="0" w:line="306" w:lineRule="auto"/>
        <w:tabs>
          <w:tab w:leader="none" w:pos="1480" w:val="left"/>
        </w:tabs>
        <w:numPr>
          <w:ilvl w:val="2"/>
          <w:numId w:val="29"/>
        </w:numPr>
        <w:rPr>
          <w:rFonts w:ascii="Arial" w:cs="Arial" w:eastAsia="Arial" w:hAnsi="Arial"/>
          <w:sz w:val="16"/>
          <w:szCs w:val="16"/>
          <w:color w:val="auto"/>
        </w:rPr>
      </w:pPr>
      <w:r>
        <w:rPr>
          <w:rFonts w:ascii="Arial" w:cs="Arial" w:eastAsia="Arial" w:hAnsi="Arial"/>
          <w:sz w:val="16"/>
          <w:szCs w:val="16"/>
          <w:color w:val="auto"/>
        </w:rPr>
        <w:t>As of the last day of each month, interest on each Cash Account shall be credited on the average of the balances on the first and last day of such month. Interest shall be credited at a rate equivalent to the average yield on corporate bonds rated Aaa by Moody’s Investors Service on September 30 of the preceding Year (or if there is no such yield reported for such date, then on the next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9" w:name="page30"/>
    <w:bookmarkEnd w:id="29"/>
    <w:p>
      <w:pPr>
        <w:ind w:left="1026"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preceding date for which such a yield is reported) as published in Federal Reserve Statistical Release H.15, or at such other rate as may be determined by the G&amp;SR Committee for each Year.</w:t>
      </w:r>
    </w:p>
    <w:p>
      <w:pPr>
        <w:spacing w:after="0" w:line="51" w:lineRule="exact"/>
        <w:rPr>
          <w:sz w:val="20"/>
          <w:szCs w:val="20"/>
          <w:color w:val="auto"/>
        </w:rPr>
      </w:pPr>
    </w:p>
    <w:p>
      <w:pPr>
        <w:ind w:left="446" w:hanging="446"/>
        <w:spacing w:after="0"/>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Stock Unit Accounts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26" w:right="40" w:hanging="567"/>
        <w:spacing w:after="0" w:line="268" w:lineRule="auto"/>
        <w:tabs>
          <w:tab w:leader="none" w:pos="1026"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Company shall establish and maintain a separate unfunded Stock Unit Account for each Director who has elected that any portion of his or her Deferred Cash Compensation be credited to a Stock Unit Account.</w:t>
      </w:r>
    </w:p>
    <w:p>
      <w:pPr>
        <w:spacing w:after="0" w:line="50" w:lineRule="exact"/>
        <w:rPr>
          <w:rFonts w:ascii="Arial" w:cs="Arial" w:eastAsia="Arial" w:hAnsi="Arial"/>
          <w:sz w:val="18"/>
          <w:szCs w:val="18"/>
          <w:color w:val="auto"/>
        </w:rPr>
      </w:pPr>
    </w:p>
    <w:p>
      <w:pPr>
        <w:ind w:left="1026" w:hanging="567"/>
        <w:spacing w:after="0" w:line="256" w:lineRule="auto"/>
        <w:tabs>
          <w:tab w:leader="none" w:pos="1026" w:val="left"/>
        </w:tabs>
        <w:numPr>
          <w:ilvl w:val="1"/>
          <w:numId w:val="30"/>
        </w:numPr>
        <w:rPr>
          <w:rFonts w:ascii="Arial" w:cs="Arial" w:eastAsia="Arial" w:hAnsi="Arial"/>
          <w:sz w:val="18"/>
          <w:szCs w:val="18"/>
          <w:color w:val="auto"/>
        </w:rPr>
      </w:pPr>
      <w:r>
        <w:rPr>
          <w:rFonts w:ascii="Arial" w:cs="Arial" w:eastAsia="Arial" w:hAnsi="Arial"/>
          <w:sz w:val="18"/>
          <w:szCs w:val="18"/>
          <w:color w:val="auto"/>
        </w:rPr>
        <w:t>As of each date on which any amount of a Director’s Deferred Cash Compensation becomes payable, his or her Stock Unit Account shall be credited with that number of units as are equal to the number of full or fractional Shares as could be purchased at the Fair Market Value on the first trading day preceding such date with the portion of such Deferred Cash Compensation as such Director has elected be credited to his or her Stock Unit Account.</w:t>
      </w:r>
    </w:p>
    <w:p>
      <w:pPr>
        <w:spacing w:after="0" w:line="62" w:lineRule="exact"/>
        <w:rPr>
          <w:rFonts w:ascii="Arial" w:cs="Arial" w:eastAsia="Arial" w:hAnsi="Arial"/>
          <w:sz w:val="18"/>
          <w:szCs w:val="18"/>
          <w:color w:val="auto"/>
        </w:rPr>
      </w:pPr>
    </w:p>
    <w:p>
      <w:pPr>
        <w:ind w:left="1026" w:hanging="567"/>
        <w:spacing w:after="0" w:line="298" w:lineRule="auto"/>
        <w:tabs>
          <w:tab w:leader="none" w:pos="1026" w:val="left"/>
        </w:tabs>
        <w:numPr>
          <w:ilvl w:val="1"/>
          <w:numId w:val="30"/>
        </w:numPr>
        <w:rPr>
          <w:rFonts w:ascii="Arial" w:cs="Arial" w:eastAsia="Arial" w:hAnsi="Arial"/>
          <w:sz w:val="16"/>
          <w:szCs w:val="16"/>
          <w:color w:val="auto"/>
        </w:rPr>
      </w:pPr>
      <w:r>
        <w:rPr>
          <w:rFonts w:ascii="Arial" w:cs="Arial" w:eastAsia="Arial" w:hAnsi="Arial"/>
          <w:sz w:val="16"/>
          <w:szCs w:val="16"/>
          <w:color w:val="auto"/>
        </w:rPr>
        <w:t>As of the payment date for each dividend on Shares declared by the Board, there shall be credited to each Stock Unit Account that number of units as are equal to the number of full or fractional Shares as could be purchased at the Fair Market Value on the first trading day preceding the payment date for such dividend with an amount equal to the product of: (i) the dividend per share, and (ii) the number of units in such Stock Unit Account immediately prior to the record date for such dividend.</w:t>
      </w:r>
    </w:p>
    <w:p>
      <w:pPr>
        <w:spacing w:after="0" w:line="32" w:lineRule="exact"/>
        <w:rPr>
          <w:sz w:val="20"/>
          <w:szCs w:val="20"/>
          <w:color w:val="auto"/>
        </w:rPr>
      </w:pPr>
    </w:p>
    <w:p>
      <w:pPr>
        <w:ind w:left="446" w:hanging="446"/>
        <w:spacing w:after="0"/>
        <w:tabs>
          <w:tab w:leader="none" w:pos="446"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Restricted Stock Units</w:t>
      </w:r>
      <w:r>
        <w:rPr>
          <w:rFonts w:ascii="Arial" w:cs="Arial" w:eastAsia="Arial" w:hAnsi="Arial"/>
          <w:sz w:val="16"/>
          <w:szCs w:val="16"/>
          <w:color w:val="auto"/>
        </w:rPr>
        <w:t>. Each Director may elect to defer all or a portion of any Restricted Stock Unit granted after November 30, 2006.</w:t>
      </w:r>
    </w:p>
    <w:p>
      <w:pPr>
        <w:spacing w:after="0" w:line="113" w:lineRule="exact"/>
        <w:rPr>
          <w:rFonts w:ascii="Arial" w:cs="Arial" w:eastAsia="Arial" w:hAnsi="Arial"/>
          <w:sz w:val="16"/>
          <w:szCs w:val="16"/>
          <w:color w:val="auto"/>
        </w:rPr>
      </w:pPr>
    </w:p>
    <w:p>
      <w:pPr>
        <w:ind w:left="446" w:right="200" w:hanging="446"/>
        <w:spacing w:after="0" w:line="294" w:lineRule="auto"/>
        <w:tabs>
          <w:tab w:leader="none" w:pos="446"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Form and Time of Election. </w:t>
      </w:r>
      <w:r>
        <w:rPr>
          <w:rFonts w:ascii="Arial" w:cs="Arial" w:eastAsia="Arial" w:hAnsi="Arial"/>
          <w:sz w:val="16"/>
          <w:szCs w:val="16"/>
          <w:color w:val="auto"/>
        </w:rPr>
        <w:t>A Director’s election to defer all or any portion of his or her Eligible Compensation for any Year shall be irrevocable.</w:t>
      </w:r>
      <w:r>
        <w:rPr>
          <w:rFonts w:ascii="Arial" w:cs="Arial" w:eastAsia="Arial" w:hAnsi="Arial"/>
          <w:sz w:val="16"/>
          <w:szCs w:val="16"/>
          <w:i w:val="1"/>
          <w:iCs w:val="1"/>
          <w:color w:val="auto"/>
        </w:rPr>
        <w:t xml:space="preserve"> </w:t>
      </w:r>
      <w:r>
        <w:rPr>
          <w:rFonts w:ascii="Arial" w:cs="Arial" w:eastAsia="Arial" w:hAnsi="Arial"/>
          <w:sz w:val="16"/>
          <w:szCs w:val="16"/>
          <w:color w:val="auto"/>
        </w:rPr>
        <w:t>The election shall be made in writing in the form (“Election Form”) prescribed by the Secretary. Except as hereinafter provided, to be effective, an Election Form for any Year shall be required to be received by the Secretary on or before December 31 of the preceding Year. In the case of a Director’s initial election to the Board, the initial Election Form shall be received not more than 30 days following his or her election to the Board and, if not received within such 30-day period, the Election Form shall be effective only for Eligible Compensation earned after its receipt.</w:t>
      </w:r>
    </w:p>
    <w:p>
      <w:pPr>
        <w:spacing w:after="0" w:line="34" w:lineRule="exact"/>
        <w:rPr>
          <w:rFonts w:ascii="Arial" w:cs="Arial" w:eastAsia="Arial" w:hAnsi="Arial"/>
          <w:sz w:val="16"/>
          <w:szCs w:val="16"/>
          <w:color w:val="auto"/>
        </w:rPr>
      </w:pPr>
    </w:p>
    <w:p>
      <w:pPr>
        <w:ind w:left="446" w:right="20" w:hanging="446"/>
        <w:spacing w:after="0" w:line="286" w:lineRule="auto"/>
        <w:tabs>
          <w:tab w:leader="none" w:pos="446"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Form and Time of Distributions</w:t>
      </w:r>
      <w:r>
        <w:rPr>
          <w:rFonts w:ascii="Arial" w:cs="Arial" w:eastAsia="Arial" w:hAnsi="Arial"/>
          <w:sz w:val="16"/>
          <w:szCs w:val="16"/>
          <w:color w:val="auto"/>
        </w:rPr>
        <w:t>. (i) Distributions of amounts credited to each Director’s Cash Account shall be made in cash. (ii) Distributions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units credited to each Director’s Stock Unit Account shall be made by issuing to such Director an equivalent number of Shares; provided, however, that no fractional shares will be issued and any fractional unit will be distributed by payment of cash in the amount represented by such fractional unit based on the Fair Market Value on the date preceding the date of payment. (iii) Distribution of Shares relating to vested Restricted Stock Units the Director has elected to defer shall be made by issuing to such Director the whole number of Shares attributable to such vested Restricted Stock Units; provided, however, that no fractional shares will be issued and any fractional unit will be distributed by payment of cash in the amount represented by such fractional unit based on the Fair Market Value on the date preceding the date of payment. Except as otherwise hereinafter provided, distributions of Deferred Compensation shall be made (y) on the first day of the month following such Director’s termination of service on the Board for any reason other than death, or (z) at such later time as the Director has elected in accordance with the terms of this Plan. Notwithstanding the foregoing, (I) an earlier distribution may be made, at the discretion of the Administrator, upon a finding that a Director is suffering a significant financial hardship caused by a recent event or events not within such Director’s control; provided, however, that in such event, the cash or shares distributed shall be limited to those amounts necessary to accommodate the financial hardship, as determined by the Administrator and (II) an earlier distribution of Restricted Stock Units shall be made upon a Change in Control as provided by Section 7(a)(v)(B).</w:t>
      </w:r>
    </w:p>
    <w:p>
      <w:pPr>
        <w:spacing w:after="0" w:line="39" w:lineRule="exact"/>
        <w:rPr>
          <w:rFonts w:ascii="Arial" w:cs="Arial" w:eastAsia="Arial" w:hAnsi="Arial"/>
          <w:sz w:val="16"/>
          <w:szCs w:val="16"/>
          <w:color w:val="auto"/>
        </w:rPr>
      </w:pPr>
    </w:p>
    <w:p>
      <w:pPr>
        <w:ind w:left="446" w:right="140" w:hanging="446"/>
        <w:spacing w:after="0" w:line="268" w:lineRule="auto"/>
        <w:tabs>
          <w:tab w:leader="none" w:pos="446"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Death of Director</w:t>
      </w:r>
      <w:r>
        <w:rPr>
          <w:rFonts w:ascii="Arial" w:cs="Arial" w:eastAsia="Arial" w:hAnsi="Arial"/>
          <w:sz w:val="18"/>
          <w:szCs w:val="18"/>
          <w:color w:val="auto"/>
        </w:rPr>
        <w:t>. Notwithstanding the foregoing, in the event of the death of a Director prior to receipt by such Director of the full amount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and number of shares to be distributed to the</w:t>
      </w:r>
    </w:p>
    <w:p>
      <w:pPr>
        <w:spacing w:after="0" w:line="11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6"/>
          </w:cols>
          <w:pgMar w:left="694" w:top="280" w:right="259" w:bottom="1440" w:gutter="0" w:footer="0" w:header="0"/>
        </w:sectPr>
      </w:pPr>
    </w:p>
    <w:bookmarkStart w:id="30" w:name="page31"/>
    <w:bookmarkEnd w:id="30"/>
    <w:p>
      <w:pPr>
        <w:ind w:left="9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from the Cash Account and Stock Unit Account, all such cash and/or shares will be distributed to the beneficiary or beneficiaries designated by the Director, or if no beneficiary has been designated, to the Director’s estate as soon as practicable following the month in which the death occurred. Shares to be distributed to the Director in connection with deferred Restricted Stock Units that are vested shall also be distributed as described in the preceding sentence; for unvested Restricted Stock Units, distribution shall occur as soon as practicable following their vesting date.</w:t>
      </w:r>
    </w:p>
    <w:p>
      <w:pPr>
        <w:spacing w:after="0" w:line="32" w:lineRule="exact"/>
        <w:rPr>
          <w:sz w:val="20"/>
          <w:szCs w:val="20"/>
          <w:color w:val="auto"/>
        </w:rPr>
      </w:pPr>
    </w:p>
    <w:p>
      <w:pPr>
        <w:ind w:left="900" w:hanging="446"/>
        <w:spacing w:after="0" w:line="298"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Certain Rights Reserved by the Company</w:t>
      </w:r>
      <w:r>
        <w:rPr>
          <w:rFonts w:ascii="Arial" w:cs="Arial" w:eastAsia="Arial" w:hAnsi="Arial"/>
          <w:sz w:val="16"/>
          <w:szCs w:val="16"/>
          <w:color w:val="auto"/>
        </w:rPr>
        <w:t>. In the event that, pursuant to Section 10, the Company suspends, modifies or terminates this Plan,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shall have the right to distribute to each Director all amounts in such Director’s Cash Account or Shares equivalent to units in such Director’s Stock Unit Account, including, in the case of Stock Unit Accounts, the right to distribute cash equivalent to the units in such Accounts and all Shares attributable to vested Restricted Stock Units that a Director has elected to defer.</w:t>
      </w:r>
    </w:p>
    <w:p>
      <w:pPr>
        <w:spacing w:after="0" w:line="31" w:lineRule="exact"/>
        <w:rPr>
          <w:rFonts w:ascii="Arial" w:cs="Arial" w:eastAsia="Arial" w:hAnsi="Arial"/>
          <w:sz w:val="16"/>
          <w:szCs w:val="16"/>
          <w:color w:val="auto"/>
        </w:rPr>
      </w:pPr>
    </w:p>
    <w:p>
      <w:pPr>
        <w:ind w:left="900" w:right="120" w:hanging="446"/>
        <w:spacing w:after="0" w:line="298"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Certain Affiliations</w:t>
      </w:r>
      <w:r>
        <w:rPr>
          <w:rFonts w:ascii="Arial" w:cs="Arial" w:eastAsia="Arial" w:hAnsi="Arial"/>
          <w:sz w:val="16"/>
          <w:szCs w:val="16"/>
          <w:color w:val="auto"/>
        </w:rPr>
        <w:t>. In the event that any Director terminates his or her membership on the Board and becomes affiliated with a government agency</w:t>
      </w:r>
      <w:r>
        <w:rPr>
          <w:rFonts w:ascii="Arial" w:cs="Arial" w:eastAsia="Arial" w:hAnsi="Arial"/>
          <w:sz w:val="16"/>
          <w:szCs w:val="16"/>
          <w:i w:val="1"/>
          <w:iCs w:val="1"/>
          <w:color w:val="auto"/>
        </w:rPr>
        <w:t xml:space="preserve"> </w:t>
      </w:r>
      <w:r>
        <w:rPr>
          <w:rFonts w:ascii="Arial" w:cs="Arial" w:eastAsia="Arial" w:hAnsi="Arial"/>
          <w:sz w:val="16"/>
          <w:szCs w:val="16"/>
          <w:color w:val="auto"/>
        </w:rPr>
        <w:t>or with any private company or firm that the G&amp;SR Committee believes to be in competition with the Company, the Board may, at its discretion, require a distribution of all amounts in any Director’s Cash Account, shares equivalent to units in such Director’s Stock Unit Account or Shares attributable to vested Restricted Stock Units that such Director has elected to defer.</w:t>
      </w:r>
    </w:p>
    <w:p>
      <w:pPr>
        <w:spacing w:after="0" w:line="31" w:lineRule="exact"/>
        <w:rPr>
          <w:rFonts w:ascii="Arial" w:cs="Arial" w:eastAsia="Arial" w:hAnsi="Arial"/>
          <w:sz w:val="16"/>
          <w:szCs w:val="16"/>
          <w:color w:val="auto"/>
        </w:rPr>
      </w:pPr>
    </w:p>
    <w:p>
      <w:pPr>
        <w:ind w:left="900" w:right="48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Distribution of Shares Relating to Restricted Stock Units</w:t>
      </w:r>
      <w:r>
        <w:rPr>
          <w:rFonts w:ascii="Arial" w:cs="Arial" w:eastAsia="Arial" w:hAnsi="Arial"/>
          <w:sz w:val="18"/>
          <w:szCs w:val="18"/>
          <w:color w:val="auto"/>
        </w:rPr>
        <w:t>. Notwithstanding anything to the contrary herein, no distribution of Shares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Units shall occur until the Restricted Stock Units have vested.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OTHER STOCK-BASED AWARDS.</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Administrator is hereby authorized to grant to Directors such other Awards (including, without limitation, stock appreciation rights and rights to dividends and dividend equivalents) that are denominated or payable in, valued in whole or in part by reference to, or otherwise based on or related to, Shares (including, without limitation, securities convertible into Shares) as are deemed by the Administrator to be consistent with the purposes of the Plan. Subject to the terms of the Plan, the Administrator shall determine the terms and conditions of such Awards. Shares or other securities delivered pursuant to a purchase right granted under this Section 9 shall be purchased for such consideration, which may be paid by such method or methods and in such form or forms, including, without limitation, cash, Shares, other securities, other Awards, or other property, or any combination thereof, as the Administrator shall determine, the value of which consideration, as established by the Administrator, shall not be less than the Fair Market Value of such Shares or other securities as of the date such purchase right is granted.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AMENDMENT AND TERMINATION.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Except to the extent prohibited by applicable law:</w:t>
      </w:r>
    </w:p>
    <w:p>
      <w:pPr>
        <w:spacing w:after="0" w:line="90" w:lineRule="exact"/>
        <w:rPr>
          <w:sz w:val="20"/>
          <w:szCs w:val="20"/>
          <w:color w:val="auto"/>
        </w:rPr>
      </w:pPr>
    </w:p>
    <w:p>
      <w:pPr>
        <w:ind w:left="460" w:right="40" w:hanging="452"/>
        <w:spacing w:after="0" w:line="289"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Amendments to the Plan</w:t>
      </w:r>
      <w:r>
        <w:rPr>
          <w:rFonts w:ascii="Arial" w:cs="Arial" w:eastAsia="Arial" w:hAnsi="Arial"/>
          <w:sz w:val="16"/>
          <w:szCs w:val="16"/>
          <w:color w:val="auto"/>
        </w:rPr>
        <w:t>. The Board may amend, alter, suspend, discontinue or terminate the Plan, including, without limitation, the number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subject to Awards granted pursuant to Sections 6 and 7, without the consent of any stockholder, Participant, other holder or beneficiary of any Award, or other person;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such amendment, alteration, suspension, discontinuation or termination shall be made without (i) stockholder approval if such approval is necessary to qualify for or comply with any tax or regulatory requirement for which or with which the Board deems it necessary or desirable to qualify or comply or (ii) the consent of the affected Participant, if such action would adversely affect the rights of such Participant under any outstanding Award;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no such amendment or alteration shall increase the aggregate number of shares that may be issued under the Plan except as provided in Section 5(e). Notwithstanding any other provision of the Plan or any Award Agreement, no such amendment, alteration, suspension, discontinuation or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31" w:name="page32"/>
    <w:bookmarkEnd w:id="31"/>
    <w:p>
      <w:pPr>
        <w:ind w:left="460" w:right="6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shall be made that would (1) permit Options to be granted with a per Share exercise price of less than the Fair Market Value of a Share on the date of grant thereof or (2) except as provided in Section 5(e), (x) reduce the exercise price of any Option established at the time of grant thereof, (y) be treated as a repricing under U.S. generally accepted accounting principles (“GAAP”) or (z) cancel an Option at a time when its exercise price is equal to or greater than the Fair Market Value of a Share, in exchange for another Option, restricted stock unit or other equity, unless such cancellation and exchange occurs in connection with a merger, acquisition, spin-off or other similar corporate transaction. A cancellation and exchange described in clause (z) of the immediately preceding sentence is prohibited regardless of whether the option, restricted stock unit or other equity is delivered simultaneously with the cancellation and regardless of whether the cancellation and exchange is treated as a repricing under GAAP or is voluntary on the part of the Participant.</w:t>
      </w:r>
    </w:p>
    <w:p>
      <w:pPr>
        <w:spacing w:after="0" w:line="24" w:lineRule="exact"/>
        <w:rPr>
          <w:sz w:val="20"/>
          <w:szCs w:val="20"/>
          <w:color w:val="auto"/>
        </w:rPr>
      </w:pPr>
    </w:p>
    <w:p>
      <w:pPr>
        <w:ind w:left="460" w:right="22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Correction of Defects, Omissions and Inconsistencies</w:t>
      </w:r>
      <w:r>
        <w:rPr>
          <w:rFonts w:ascii="Arial" w:cs="Arial" w:eastAsia="Arial" w:hAnsi="Arial"/>
          <w:sz w:val="18"/>
          <w:szCs w:val="18"/>
          <w:color w:val="auto"/>
        </w:rPr>
        <w:t>. The Administrator may correct any defect, supply any omission, or reconcile any inconsistency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or any Award in the manner and to the extent it shall deem desirable to carry the Plan into effect.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GENERAL PROVISIONS.</w:t>
      </w:r>
    </w:p>
    <w:p>
      <w:pPr>
        <w:spacing w:after="0" w:line="96" w:lineRule="exact"/>
        <w:rPr>
          <w:sz w:val="20"/>
          <w:szCs w:val="20"/>
          <w:color w:val="auto"/>
        </w:rPr>
      </w:pPr>
    </w:p>
    <w:p>
      <w:pPr>
        <w:jc w:val="both"/>
        <w:ind w:left="460" w:hanging="452"/>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No Rights of Stockholders</w:t>
      </w:r>
      <w:r>
        <w:rPr>
          <w:rFonts w:ascii="Arial" w:cs="Arial" w:eastAsia="Arial" w:hAnsi="Arial"/>
          <w:sz w:val="18"/>
          <w:szCs w:val="18"/>
          <w:color w:val="auto"/>
        </w:rPr>
        <w:t>. Neither a Participant nor a Participant’s legal representative shall be, or have any of the rights and privileges of, a stockholder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in respect of any Shares issuable under the Plan in connection with any Award or Account, in whole or in part, unless and until certificates for such shares shall have been issued.</w:t>
      </w:r>
    </w:p>
    <w:p>
      <w:pPr>
        <w:spacing w:after="0" w:line="59" w:lineRule="exact"/>
        <w:rPr>
          <w:sz w:val="20"/>
          <w:szCs w:val="20"/>
          <w:color w:val="auto"/>
        </w:rPr>
      </w:pPr>
    </w:p>
    <w:p>
      <w:pPr>
        <w:ind w:left="460" w:right="180" w:hanging="445"/>
        <w:spacing w:after="0" w:line="259" w:lineRule="auto"/>
        <w:tabs>
          <w:tab w:leader="none" w:pos="440" w:val="left"/>
        </w:tabs>
        <w:rPr>
          <w:sz w:val="20"/>
          <w:szCs w:val="20"/>
          <w:color w:val="auto"/>
        </w:rPr>
      </w:pPr>
      <w:r>
        <w:rPr>
          <w:rFonts w:ascii="Arial" w:cs="Arial" w:eastAsia="Arial" w:hAnsi="Arial"/>
          <w:sz w:val="18"/>
          <w:szCs w:val="18"/>
          <w:color w:val="auto"/>
        </w:rPr>
        <w:t>(b</w:t>
      </w:r>
      <w:r>
        <w:rPr>
          <w:rFonts w:ascii="Arial" w:cs="Arial" w:eastAsia="Arial" w:hAnsi="Arial"/>
          <w:sz w:val="18"/>
          <w:szCs w:val="18"/>
          <w:i w:val="1"/>
          <w:iCs w:val="1"/>
          <w:color w:val="auto"/>
        </w:rPr>
        <w:t>)</w:t>
      </w:r>
      <w:r>
        <w:rPr>
          <w:sz w:val="20"/>
          <w:szCs w:val="20"/>
          <w:color w:val="auto"/>
        </w:rPr>
        <w:tab/>
      </w:r>
      <w:r>
        <w:rPr>
          <w:rFonts w:ascii="Arial" w:cs="Arial" w:eastAsia="Arial" w:hAnsi="Arial"/>
          <w:sz w:val="18"/>
          <w:szCs w:val="18"/>
          <w:i w:val="1"/>
          <w:iCs w:val="1"/>
          <w:color w:val="auto"/>
        </w:rPr>
        <w:t xml:space="preserve">Limits of Transfer of Awards. </w:t>
      </w:r>
      <w:r>
        <w:rPr>
          <w:rFonts w:ascii="Arial" w:cs="Arial" w:eastAsia="Arial" w:hAnsi="Arial"/>
          <w:sz w:val="18"/>
          <w:szCs w:val="18"/>
          <w:color w:val="auto"/>
        </w:rPr>
        <w:t>No Award and no right under any such Award, shall be assignable, alienable, saleable or transferable by a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than by will or by the laws of descent and distribution. During the Participant’s lifetime, rights under an Award shall be exercisable only by the Participant, or if permissible under applicable law, by the Participant’s guardian or legal representative.</w:t>
      </w:r>
    </w:p>
    <w:p>
      <w:pPr>
        <w:spacing w:after="0" w:line="59" w:lineRule="exact"/>
        <w:rPr>
          <w:sz w:val="20"/>
          <w:szCs w:val="20"/>
          <w:color w:val="auto"/>
        </w:rPr>
      </w:pPr>
    </w:p>
    <w:p>
      <w:pPr>
        <w:ind w:left="460" w:right="200" w:hanging="452"/>
        <w:spacing w:after="0" w:line="332"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No Limit on Other Compensation Arrangements</w:t>
      </w:r>
      <w:r>
        <w:rPr>
          <w:rFonts w:ascii="Arial" w:cs="Arial" w:eastAsia="Arial" w:hAnsi="Arial"/>
          <w:sz w:val="16"/>
          <w:szCs w:val="16"/>
          <w:color w:val="auto"/>
        </w:rPr>
        <w:t>. Nothing contained in the Plan shall prevent the Company from adopting or continuing in effect other or</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compensation arrangements, and such arrangements may be either generally applicable or applicable only in specific cases.</w:t>
      </w:r>
    </w:p>
    <w:p>
      <w:pPr>
        <w:spacing w:after="0" w:line="4" w:lineRule="exact"/>
        <w:rPr>
          <w:rFonts w:ascii="Arial" w:cs="Arial" w:eastAsia="Arial" w:hAnsi="Arial"/>
          <w:sz w:val="16"/>
          <w:szCs w:val="16"/>
          <w:color w:val="auto"/>
        </w:rPr>
      </w:pPr>
    </w:p>
    <w:p>
      <w:pPr>
        <w:ind w:left="460" w:right="12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validity, construction, and effect of the Plan and any rules and regulations relating to the Plan shall be determined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laws of the State of Delaware and applicable federal law.</w:t>
      </w:r>
    </w:p>
    <w:p>
      <w:pPr>
        <w:spacing w:after="0" w:line="50" w:lineRule="exact"/>
        <w:rPr>
          <w:rFonts w:ascii="Arial" w:cs="Arial" w:eastAsia="Arial" w:hAnsi="Arial"/>
          <w:sz w:val="18"/>
          <w:szCs w:val="18"/>
          <w:color w:val="auto"/>
        </w:rPr>
      </w:pPr>
    </w:p>
    <w:p>
      <w:pPr>
        <w:ind w:left="460" w:right="60" w:hanging="452"/>
        <w:spacing w:after="0" w:line="294"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Severability</w:t>
      </w:r>
      <w:r>
        <w:rPr>
          <w:rFonts w:ascii="Arial" w:cs="Arial" w:eastAsia="Arial" w:hAnsi="Arial"/>
          <w:sz w:val="16"/>
          <w:szCs w:val="16"/>
          <w:color w:val="auto"/>
        </w:rPr>
        <w:t>. If any provision of the Plan or any Award Agreement is or becomes or is deemed to be invalid, illegal, or unenforceable in any jurisdiction, or</w:t>
      </w:r>
      <w:r>
        <w:rPr>
          <w:rFonts w:ascii="Arial" w:cs="Arial" w:eastAsia="Arial" w:hAnsi="Arial"/>
          <w:sz w:val="16"/>
          <w:szCs w:val="16"/>
          <w:i w:val="1"/>
          <w:iCs w:val="1"/>
          <w:color w:val="auto"/>
        </w:rPr>
        <w:t xml:space="preserve"> </w:t>
      </w:r>
      <w:r>
        <w:rPr>
          <w:rFonts w:ascii="Arial" w:cs="Arial" w:eastAsia="Arial" w:hAnsi="Arial"/>
          <w:sz w:val="16"/>
          <w:szCs w:val="16"/>
          <w:color w:val="auto"/>
        </w:rPr>
        <w:t>as to any person, Award or Account, or would disqualify the Plan or any Award under any law deemed applicable by the Administrator, such provision shall be construed or deemed amended to conform to applicable laws, or if it cannot be so construed or deemed amended without, in the determination of the Administrator, materially altering the intent of the Plan or the Award, such provision shall be stricken as to such jurisdiction, person or Award, and the remainder of the Plan and any such Award shall remain in full force and effect.</w:t>
      </w:r>
    </w:p>
    <w:p>
      <w:pPr>
        <w:spacing w:after="0" w:line="34" w:lineRule="exact"/>
        <w:rPr>
          <w:rFonts w:ascii="Arial" w:cs="Arial" w:eastAsia="Arial" w:hAnsi="Arial"/>
          <w:sz w:val="16"/>
          <w:szCs w:val="16"/>
          <w:color w:val="auto"/>
        </w:rPr>
      </w:pPr>
    </w:p>
    <w:p>
      <w:pPr>
        <w:ind w:left="460" w:hanging="452"/>
        <w:spacing w:after="0" w:line="256"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No Trust or Fund Created</w:t>
      </w:r>
      <w:r>
        <w:rPr>
          <w:rFonts w:ascii="Arial" w:cs="Arial" w:eastAsia="Arial" w:hAnsi="Arial"/>
          <w:sz w:val="18"/>
          <w:szCs w:val="18"/>
          <w:color w:val="auto"/>
        </w:rPr>
        <w:t>. Neither the Plan nor any Award or Account shall create or be construed to create a trust or separate fund of any kind or a</w:t>
      </w:r>
      <w:r>
        <w:rPr>
          <w:rFonts w:ascii="Arial" w:cs="Arial" w:eastAsia="Arial" w:hAnsi="Arial"/>
          <w:sz w:val="18"/>
          <w:szCs w:val="18"/>
          <w:i w:val="1"/>
          <w:iCs w:val="1"/>
          <w:color w:val="auto"/>
        </w:rPr>
        <w:t xml:space="preserve"> </w:t>
      </w:r>
      <w:r>
        <w:rPr>
          <w:rFonts w:ascii="Arial" w:cs="Arial" w:eastAsia="Arial" w:hAnsi="Arial"/>
          <w:sz w:val="18"/>
          <w:szCs w:val="18"/>
          <w:color w:val="auto"/>
        </w:rPr>
        <w:t>fiduciary relationship between the Company and a Participant or any other person. To the extent that any person acquires a right to receive an Award or Account, or Shares pursuant to an Award or Account, from the Company pursuant to this Plan, such right shall be no greater than the right of any unsecured general creditor of the Company.</w:t>
      </w:r>
    </w:p>
    <w:p>
      <w:pPr>
        <w:spacing w:after="0" w:line="62" w:lineRule="exact"/>
        <w:rPr>
          <w:rFonts w:ascii="Arial" w:cs="Arial" w:eastAsia="Arial" w:hAnsi="Arial"/>
          <w:sz w:val="18"/>
          <w:szCs w:val="18"/>
          <w:color w:val="auto"/>
        </w:rPr>
      </w:pPr>
    </w:p>
    <w:p>
      <w:pPr>
        <w:ind w:left="460" w:right="80" w:hanging="452"/>
        <w:spacing w:after="0" w:line="256"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Accounts Unsecured</w:t>
      </w:r>
      <w:r>
        <w:rPr>
          <w:rFonts w:ascii="Arial" w:cs="Arial" w:eastAsia="Arial" w:hAnsi="Arial"/>
          <w:sz w:val="18"/>
          <w:szCs w:val="18"/>
          <w:color w:val="auto"/>
        </w:rPr>
        <w:t>. Until distributed, all amounts credited to any Cash Accounts or represented by units credited to any Stock Unit Account or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of the Company, available for the Company’s use, and subject to the claims of general creditors of the Company. The rights of any Director or beneficiary to distributions under this Plan are not subject to anticipation, alienation, sale, transfer, assignment, or encumbrance, and shall not be subject to the debts or liabilities of any Director or beneficiary.</w:t>
      </w:r>
    </w:p>
    <w:p>
      <w:pPr>
        <w:spacing w:after="0" w:line="62" w:lineRule="exact"/>
        <w:rPr>
          <w:rFonts w:ascii="Arial" w:cs="Arial" w:eastAsia="Arial" w:hAnsi="Arial"/>
          <w:sz w:val="18"/>
          <w:szCs w:val="18"/>
          <w:color w:val="auto"/>
        </w:rPr>
      </w:pPr>
    </w:p>
    <w:p>
      <w:pPr>
        <w:ind w:left="460" w:right="100" w:hanging="452"/>
        <w:spacing w:after="0" w:line="332"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Withholding</w:t>
      </w:r>
      <w:r>
        <w:rPr>
          <w:rFonts w:ascii="Arial" w:cs="Arial" w:eastAsia="Arial" w:hAnsi="Arial"/>
          <w:sz w:val="16"/>
          <w:szCs w:val="16"/>
          <w:color w:val="auto"/>
        </w:rPr>
        <w:t>. The Company shall be authorized to withhold from any Awards granted or any transfer made under any Award or under the Plan or from any</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equivalents to be paid on Restricted Stock Units the amount (in cash, Shares, other securities, or other property) of any taxes required to be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32" w:name="page33"/>
    <w:bookmarkEnd w:id="32"/>
    <w:p>
      <w:pPr>
        <w:ind w:left="460" w:right="80"/>
        <w:spacing w:after="0" w:line="36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withheld in respect of a grant, exercise, payment or settlement of an Award or any payment of dividend equivalents under Restricted Stock Units or under the Plan and to take such other action as may be necessary in the opinion of the Company to satisfy all obligations for the payment of any such taxes.</w:t>
      </w:r>
    </w:p>
    <w:p>
      <w:pPr>
        <w:spacing w:after="0" w:line="1" w:lineRule="exact"/>
        <w:rPr>
          <w:sz w:val="20"/>
          <w:szCs w:val="20"/>
          <w:color w:val="auto"/>
        </w:rPr>
      </w:pPr>
    </w:p>
    <w:p>
      <w:pPr>
        <w:ind w:left="460" w:hanging="452"/>
        <w:spacing w:after="0" w:line="256"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No Right to Continued Board Membership</w:t>
      </w:r>
      <w:r>
        <w:rPr>
          <w:rFonts w:ascii="Arial" w:cs="Arial" w:eastAsia="Arial" w:hAnsi="Arial"/>
          <w:sz w:val="18"/>
          <w:szCs w:val="18"/>
          <w:color w:val="auto"/>
        </w:rPr>
        <w:t>. The grant of an Award or establishment of an Account shall not be construed as giving a Participant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be retained as a director of the Company. The Board may at any time fail or refuse to nominate a Participant for election to the Board, and the stockholders of the Company may at any election fail or refuse to elect any Participant to the Board free from any liability or claim under this Plan or any Award or Account.</w:t>
      </w:r>
    </w:p>
    <w:p>
      <w:pPr>
        <w:spacing w:after="0" w:line="62"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Cancellation</w:t>
      </w:r>
      <w:r>
        <w:rPr>
          <w:rFonts w:ascii="Arial" w:cs="Arial" w:eastAsia="Arial" w:hAnsi="Arial"/>
          <w:sz w:val="18"/>
          <w:szCs w:val="18"/>
          <w:color w:val="auto"/>
        </w:rPr>
        <w:t>. Any provision of the Plan or any Award Agreement to the contrary notwithstanding, the Administrator may cause any Award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to be cancelled in consideration of a cash payment or alternative Award made to the holder of such cancelled Award equal in value to the Fair Market Value of such cancelled Award on the date of cancellation.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EFFECTIVE DATE OF PLAN.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be effective as of the date of its approval by the stockholders of the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TERM OF THE PLAN.</w:t>
      </w:r>
    </w:p>
    <w:p>
      <w:pPr>
        <w:spacing w:after="0" w:line="9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No Award shall be granted or compensation deferred under the Plan after the seventh anniversary of the Effective Date of the Plan. However, unless otherwise expressly provided in the Plan or in an applicable Award Agreement, any Award granted or Account established prior to the termination of the Plan may extend beyond such date, and the authority of the Committee to amend, alter, adjust, suspend, discontinue, or terminate any such Award or Account, or to waive any conditions or rights thereunder, and the authority of the Board to amend the Plan, shall extend beyond such date.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80" w:right="3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u w:val="single" w:color="auto"/>
          <w:color w:val="auto"/>
        </w:rPr>
        <w:t>Exhibit 10(l)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5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Form No. 2</w:t>
      </w:r>
    </w:p>
    <w:p>
      <w:pPr>
        <w:spacing w:after="0" w:line="21"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2000 LTIP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Your option is subject to the following terms and conditions, your acceptance of which is required before you can exercise the option:</w:t>
      </w:r>
    </w:p>
    <w:p>
      <w:pPr>
        <w:spacing w:after="0" w:line="212" w:lineRule="exact"/>
        <w:rPr>
          <w:sz w:val="20"/>
          <w:szCs w:val="20"/>
          <w:color w:val="auto"/>
        </w:rPr>
      </w:pPr>
    </w:p>
    <w:p>
      <w:pPr>
        <w:ind w:left="460" w:right="42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On or after the first anniversary of the Option Date (as defined in Section 9), during the balance of the option term, your option may be exercised and shares purchased at any time or times under the following conditions:</w:t>
      </w:r>
    </w:p>
    <w:p>
      <w:pPr>
        <w:spacing w:after="0" w:line="172" w:lineRule="exact"/>
        <w:rPr>
          <w:sz w:val="20"/>
          <w:szCs w:val="20"/>
          <w:color w:val="auto"/>
        </w:rPr>
      </w:pPr>
    </w:p>
    <w:p>
      <w:pPr>
        <w:ind w:left="900" w:right="8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Installment Table</w:t>
      </w:r>
      <w:r>
        <w:rPr>
          <w:rFonts w:ascii="Arial" w:cs="Arial" w:eastAsia="Arial" w:hAnsi="Arial"/>
          <w:sz w:val="18"/>
          <w:szCs w:val="18"/>
          <w:color w:val="auto"/>
        </w:rPr>
        <w:t>. Except as provided in Sections 1(b), 1(c) and 1(d), the option will be exercisable through the tenth anniversary of the Option Date based on the following table.</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700" w:type="dxa"/>
            <w:vAlign w:val="bottom"/>
          </w:tcPr>
          <w:p>
            <w:pPr>
              <w:ind w:left="3000"/>
              <w:spacing w:after="0"/>
              <w:rPr>
                <w:sz w:val="20"/>
                <w:szCs w:val="20"/>
                <w:color w:val="auto"/>
              </w:rPr>
            </w:pPr>
            <w:r>
              <w:rPr>
                <w:rFonts w:ascii="Arial" w:cs="Arial" w:eastAsia="Arial" w:hAnsi="Arial"/>
                <w:sz w:val="14"/>
                <w:szCs w:val="14"/>
                <w:b w:val="1"/>
                <w:bCs w:val="1"/>
                <w:color w:val="auto"/>
              </w:rPr>
              <w:t>On or After</w:t>
            </w:r>
          </w:p>
        </w:tc>
        <w:tc>
          <w:tcPr>
            <w:tcW w:w="2420" w:type="dxa"/>
            <w:vAlign w:val="bottom"/>
            <w:gridSpan w:val="2"/>
          </w:tcPr>
          <w:p>
            <w:pPr>
              <w:ind w:left="1280"/>
              <w:spacing w:after="0"/>
              <w:rPr>
                <w:sz w:val="20"/>
                <w:szCs w:val="20"/>
                <w:color w:val="auto"/>
              </w:rPr>
            </w:pPr>
            <w:r>
              <w:rPr>
                <w:rFonts w:ascii="Arial" w:cs="Arial" w:eastAsia="Arial" w:hAnsi="Arial"/>
                <w:sz w:val="14"/>
                <w:szCs w:val="14"/>
                <w:b w:val="1"/>
                <w:bCs w:val="1"/>
                <w:color w:val="auto"/>
                <w:w w:val="84"/>
              </w:rPr>
              <w:t>Percent Exercisable</w:t>
            </w:r>
          </w:p>
        </w:tc>
      </w:tr>
      <w:tr>
        <w:trPr>
          <w:trHeight w:val="216"/>
        </w:trPr>
        <w:tc>
          <w:tcPr>
            <w:tcW w:w="20" w:type="dxa"/>
            <w:vAlign w:val="bottom"/>
          </w:tcPr>
          <w:p>
            <w:pPr>
              <w:spacing w:after="0"/>
              <w:rPr>
                <w:sz w:val="18"/>
                <w:szCs w:val="18"/>
                <w:color w:val="auto"/>
              </w:rPr>
            </w:pPr>
          </w:p>
        </w:tc>
        <w:tc>
          <w:tcPr>
            <w:tcW w:w="6700" w:type="dxa"/>
            <w:vAlign w:val="bottom"/>
            <w:tcBorders>
              <w:top w:val="single" w:sz="8" w:color="auto"/>
            </w:tcBorders>
            <w:shd w:val="clear" w:color="auto" w:fill="CCEEFF"/>
          </w:tcPr>
          <w:p>
            <w:pPr>
              <w:spacing w:after="0" w:line="217" w:lineRule="exact"/>
              <w:rPr>
                <w:sz w:val="20"/>
                <w:szCs w:val="20"/>
                <w:color w:val="auto"/>
              </w:rPr>
            </w:pPr>
            <w:r>
              <w:rPr>
                <w:rFonts w:ascii="Arial" w:cs="Arial" w:eastAsia="Arial" w:hAnsi="Arial"/>
                <w:sz w:val="18"/>
                <w:szCs w:val="18"/>
                <w:color w:val="auto"/>
              </w:rPr>
              <w:t>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anniversary of the Option Date</w:t>
            </w:r>
          </w:p>
        </w:tc>
        <w:tc>
          <w:tcPr>
            <w:tcW w:w="1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25%</w:t>
            </w:r>
          </w:p>
        </w:tc>
      </w:tr>
      <w:tr>
        <w:trPr>
          <w:trHeight w:val="216"/>
        </w:trPr>
        <w:tc>
          <w:tcPr>
            <w:tcW w:w="20" w:type="dxa"/>
            <w:vAlign w:val="bottom"/>
          </w:tcPr>
          <w:p>
            <w:pPr>
              <w:spacing w:after="0"/>
              <w:rPr>
                <w:sz w:val="18"/>
                <w:szCs w:val="18"/>
                <w:color w:val="auto"/>
              </w:rPr>
            </w:pPr>
          </w:p>
        </w:tc>
        <w:tc>
          <w:tcPr>
            <w:tcW w:w="6700" w:type="dxa"/>
            <w:vAlign w:val="bottom"/>
          </w:tcPr>
          <w:p>
            <w:pPr>
              <w:spacing w:after="0" w:line="217" w:lineRule="exact"/>
              <w:rPr>
                <w:sz w:val="20"/>
                <w:szCs w:val="20"/>
                <w:color w:val="auto"/>
              </w:rPr>
            </w:pPr>
            <w:r>
              <w:rPr>
                <w:rFonts w:ascii="Arial" w:cs="Arial" w:eastAsia="Arial" w:hAnsi="Arial"/>
                <w:sz w:val="18"/>
                <w:szCs w:val="18"/>
                <w:color w:val="auto"/>
              </w:rPr>
              <w:t>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anniversary of the Option Date</w:t>
            </w:r>
          </w:p>
        </w:tc>
        <w:tc>
          <w:tcPr>
            <w:tcW w:w="2420" w:type="dxa"/>
            <w:vAlign w:val="bottom"/>
            <w:gridSpan w:val="2"/>
          </w:tcPr>
          <w:p>
            <w:pPr>
              <w:jc w:val="center"/>
              <w:ind w:left="1177"/>
              <w:spacing w:after="0"/>
              <w:rPr>
                <w:sz w:val="20"/>
                <w:szCs w:val="20"/>
                <w:color w:val="auto"/>
              </w:rPr>
            </w:pPr>
            <w:r>
              <w:rPr>
                <w:rFonts w:ascii="Arial" w:cs="Arial" w:eastAsia="Arial" w:hAnsi="Arial"/>
                <w:sz w:val="18"/>
                <w:szCs w:val="18"/>
                <w:color w:val="auto"/>
                <w:w w:val="88"/>
              </w:rPr>
              <w:t>50%</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anniversary of the Option Date</w:t>
            </w:r>
          </w:p>
        </w:tc>
        <w:tc>
          <w:tcPr>
            <w:tcW w:w="2420" w:type="dxa"/>
            <w:vAlign w:val="bottom"/>
            <w:gridSpan w:val="2"/>
            <w:shd w:val="clear" w:color="auto" w:fill="CCEEFF"/>
          </w:tcPr>
          <w:p>
            <w:pPr>
              <w:jc w:val="center"/>
              <w:ind w:left="1177"/>
              <w:spacing w:after="0"/>
              <w:rPr>
                <w:sz w:val="20"/>
                <w:szCs w:val="20"/>
                <w:color w:val="auto"/>
              </w:rPr>
            </w:pPr>
            <w:r>
              <w:rPr>
                <w:rFonts w:ascii="Arial" w:cs="Arial" w:eastAsia="Arial" w:hAnsi="Arial"/>
                <w:sz w:val="18"/>
                <w:szCs w:val="18"/>
                <w:color w:val="auto"/>
                <w:w w:val="88"/>
              </w:rPr>
              <w:t>75%</w:t>
            </w:r>
          </w:p>
        </w:tc>
      </w:tr>
      <w:tr>
        <w:trPr>
          <w:trHeight w:val="293"/>
        </w:trPr>
        <w:tc>
          <w:tcPr>
            <w:tcW w:w="20" w:type="dxa"/>
            <w:vAlign w:val="bottom"/>
          </w:tcPr>
          <w:p>
            <w:pPr>
              <w:spacing w:after="0"/>
              <w:rPr>
                <w:sz w:val="24"/>
                <w:szCs w:val="24"/>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anniversary of the Option Date</w:t>
            </w:r>
          </w:p>
        </w:tc>
        <w:tc>
          <w:tcPr>
            <w:tcW w:w="2420" w:type="dxa"/>
            <w:vAlign w:val="bottom"/>
            <w:gridSpan w:val="2"/>
          </w:tcPr>
          <w:p>
            <w:pPr>
              <w:jc w:val="center"/>
              <w:ind w:left="1177"/>
              <w:spacing w:after="0"/>
              <w:rPr>
                <w:sz w:val="20"/>
                <w:szCs w:val="20"/>
                <w:color w:val="auto"/>
              </w:rPr>
            </w:pPr>
            <w:r>
              <w:rPr>
                <w:rFonts w:ascii="Arial" w:cs="Arial" w:eastAsia="Arial" w:hAnsi="Arial"/>
                <w:sz w:val="18"/>
                <w:szCs w:val="18"/>
                <w:color w:val="auto"/>
                <w:w w:val="86"/>
              </w:rPr>
              <w:t>100%</w:t>
            </w:r>
          </w:p>
        </w:tc>
      </w:tr>
    </w:tbl>
    <w:p>
      <w:pPr>
        <w:spacing w:after="0" w:line="118" w:lineRule="exact"/>
        <w:rPr>
          <w:sz w:val="20"/>
          <w:szCs w:val="20"/>
          <w:color w:val="auto"/>
        </w:rPr>
      </w:pPr>
    </w:p>
    <w:p>
      <w:pPr>
        <w:jc w:val="both"/>
        <w:ind w:left="900" w:right="120" w:hanging="446"/>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If there is a Change in Control (as defined in Section 9), then Section 1(c) (except Section 1(c)(vii)) and the table in Section 1(a) will not apply and, subject to the other terms and conditions of this agreement, the option will be exercisable in full through the tenth anniversary of the Option Date.</w:t>
      </w:r>
    </w:p>
    <w:p>
      <w:pPr>
        <w:spacing w:after="0" w:line="18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The effect of termination of employment from TI (as defined in Section 9) is as follows:</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The option will be canceled immediately upon termination.</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The option will continue to full term, becoming exercisable per the table in Section 1(a), and will be exercisable by your heirs.</w:t>
      </w:r>
    </w:p>
    <w:p>
      <w:pPr>
        <w:spacing w:after="0" w:line="234" w:lineRule="exact"/>
        <w:rPr>
          <w:rFonts w:ascii="Arial" w:cs="Arial" w:eastAsia="Arial" w:hAnsi="Arial"/>
          <w:sz w:val="16"/>
          <w:szCs w:val="16"/>
          <w:color w:val="auto"/>
        </w:rPr>
      </w:pPr>
    </w:p>
    <w:p>
      <w:pPr>
        <w:ind w:left="1480" w:hanging="567"/>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Permanent disability</w:t>
      </w:r>
      <w:r>
        <w:rPr>
          <w:rFonts w:ascii="Arial" w:cs="Arial" w:eastAsia="Arial" w:hAnsi="Arial"/>
          <w:sz w:val="18"/>
          <w:szCs w:val="18"/>
          <w:color w:val="auto"/>
        </w:rPr>
        <w:t>: The option will continue to full term, becoming exercisable per the table in Section 1(a).</w:t>
      </w:r>
    </w:p>
    <w:p>
      <w:pPr>
        <w:spacing w:after="0" w:line="211" w:lineRule="exact"/>
        <w:rPr>
          <w:rFonts w:ascii="Arial" w:cs="Arial" w:eastAsia="Arial" w:hAnsi="Arial"/>
          <w:sz w:val="18"/>
          <w:szCs w:val="18"/>
          <w:color w:val="auto"/>
        </w:rPr>
      </w:pPr>
    </w:p>
    <w:p>
      <w:pPr>
        <w:jc w:val="both"/>
        <w:ind w:left="1480" w:right="100" w:hanging="567"/>
        <w:spacing w:after="0" w:line="306" w:lineRule="auto"/>
        <w:tabs>
          <w:tab w:leader="none" w:pos="1480"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Termination (except for cause), at least six months after the Option Date and when you are retirement eligible (normal or early) either under the terms of the TI 401(k) or pension plan in your home country or the country in which you work, as applicable (regardless of whether you are a participant in such plan), or if there is no such plan, as may be set forth in the laws or</w:t>
      </w:r>
    </w:p>
    <w:p>
      <w:pPr>
        <w:sectPr>
          <w:pgSz w:w="11900" w:h="16838" w:orient="portrait"/>
          <w:cols w:equalWidth="0" w:num="1">
            <w:col w:w="11420"/>
          </w:cols>
          <w:pgMar w:left="240" w:top="131" w:right="239" w:bottom="1440" w:gutter="0" w:footer="0" w:header="0"/>
        </w:sectPr>
      </w:pPr>
    </w:p>
    <w:bookmarkStart w:id="34" w:name="page35"/>
    <w:bookmarkEnd w:id="34"/>
    <w:p>
      <w:pPr>
        <w:ind w:left="1472" w:right="760"/>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regulations in your home country or the country in which you work, as applicable:</w:t>
      </w:r>
      <w:r>
        <w:rPr>
          <w:rFonts w:ascii="Arial" w:cs="Arial" w:eastAsia="Arial" w:hAnsi="Arial"/>
          <w:sz w:val="18"/>
          <w:szCs w:val="18"/>
          <w:color w:val="auto"/>
        </w:rPr>
        <w:t xml:space="preserve"> The option will continue to full term, becoming exercisable per the table in Section 1(a).</w:t>
      </w:r>
    </w:p>
    <w:p>
      <w:pPr>
        <w:spacing w:after="0" w:line="172" w:lineRule="exact"/>
        <w:rPr>
          <w:sz w:val="20"/>
          <w:szCs w:val="20"/>
          <w:color w:val="auto"/>
        </w:rPr>
      </w:pPr>
    </w:p>
    <w:p>
      <w:pPr>
        <w:ind w:left="1472" w:right="200" w:hanging="567"/>
        <w:spacing w:after="0" w:line="259" w:lineRule="auto"/>
        <w:tabs>
          <w:tab w:leader="none" w:pos="1472" w:val="left"/>
        </w:tabs>
        <w:numPr>
          <w:ilvl w:val="2"/>
          <w:numId w:val="41"/>
        </w:numPr>
        <w:rPr>
          <w:rFonts w:ascii="Arial" w:cs="Arial" w:eastAsia="Arial" w:hAnsi="Arial"/>
          <w:sz w:val="18"/>
          <w:szCs w:val="18"/>
          <w:color w:val="auto"/>
        </w:rPr>
      </w:pPr>
      <w:r>
        <w:rPr>
          <w:rFonts w:ascii="Arial" w:cs="Arial" w:eastAsia="Arial" w:hAnsi="Arial"/>
          <w:sz w:val="18"/>
          <w:szCs w:val="18"/>
          <w:u w:val="single" w:color="auto"/>
          <w:color w:val="auto"/>
        </w:rPr>
        <w:t>Termination (except for cause) at least six months after the Option Date and after 20 years of service (credited or otherwise) as a TI employee, but you are not retirement eligible as described in Section 1(c)(iv)</w:t>
      </w:r>
      <w:r>
        <w:rPr>
          <w:rFonts w:ascii="Arial" w:cs="Arial" w:eastAsia="Arial" w:hAnsi="Arial"/>
          <w:sz w:val="18"/>
          <w:szCs w:val="18"/>
          <w:color w:val="auto"/>
        </w:rPr>
        <w:t>: The option will continue to full term, but will be exercisable only to the extent it was exercisable on the date of termination.</w:t>
      </w:r>
    </w:p>
    <w:p>
      <w:pPr>
        <w:spacing w:after="0" w:line="180" w:lineRule="exact"/>
        <w:rPr>
          <w:rFonts w:ascii="Arial" w:cs="Arial" w:eastAsia="Arial" w:hAnsi="Arial"/>
          <w:sz w:val="18"/>
          <w:szCs w:val="18"/>
          <w:color w:val="auto"/>
        </w:rPr>
      </w:pPr>
    </w:p>
    <w:p>
      <w:pPr>
        <w:ind w:left="1472" w:hanging="567"/>
        <w:spacing w:after="0"/>
        <w:tabs>
          <w:tab w:leader="none" w:pos="1472" w:val="left"/>
        </w:tabs>
        <w:numPr>
          <w:ilvl w:val="2"/>
          <w:numId w:val="41"/>
        </w:numPr>
        <w:rPr>
          <w:rFonts w:ascii="Arial" w:cs="Arial" w:eastAsia="Arial" w:hAnsi="Arial"/>
          <w:sz w:val="16"/>
          <w:szCs w:val="16"/>
          <w:color w:val="auto"/>
        </w:rPr>
      </w:pPr>
      <w:r>
        <w:rPr>
          <w:rFonts w:ascii="Arial" w:cs="Arial" w:eastAsia="Arial" w:hAnsi="Arial"/>
          <w:sz w:val="16"/>
          <w:szCs w:val="16"/>
          <w:u w:val="single" w:color="auto"/>
          <w:color w:val="auto"/>
        </w:rPr>
        <w:t>Other</w:t>
      </w:r>
      <w:r>
        <w:rPr>
          <w:rFonts w:ascii="Arial" w:cs="Arial" w:eastAsia="Arial" w:hAnsi="Arial"/>
          <w:sz w:val="16"/>
          <w:szCs w:val="16"/>
          <w:color w:val="auto"/>
        </w:rPr>
        <w:t>: For any termination other than those specified above, the option will be exercisable for 30 days after the date of termination, only to</w:t>
      </w:r>
    </w:p>
    <w:p>
      <w:pPr>
        <w:spacing w:after="0" w:line="38" w:lineRule="exact"/>
        <w:rPr>
          <w:rFonts w:ascii="Arial" w:cs="Arial" w:eastAsia="Arial" w:hAnsi="Arial"/>
          <w:sz w:val="16"/>
          <w:szCs w:val="16"/>
          <w:color w:val="auto"/>
        </w:rPr>
      </w:pPr>
    </w:p>
    <w:p>
      <w:pPr>
        <w:ind w:left="1472" w:right="280"/>
        <w:spacing w:after="0" w:line="255" w:lineRule="auto"/>
        <w:rPr>
          <w:rFonts w:ascii="Arial" w:cs="Arial" w:eastAsia="Arial" w:hAnsi="Arial"/>
          <w:sz w:val="16"/>
          <w:szCs w:val="16"/>
          <w:color w:val="auto"/>
        </w:rPr>
      </w:pPr>
      <w:r>
        <w:rPr>
          <w:rFonts w:ascii="Arial" w:cs="Arial" w:eastAsia="Arial" w:hAnsi="Arial"/>
          <w:sz w:val="18"/>
          <w:szCs w:val="18"/>
          <w:color w:val="auto"/>
        </w:rPr>
        <w:t>the extent that it was exercisable on the date of termination per the table in Section 1(a), except as follows: If you die within 30 days after your termination, then your heirs may exercise the option for a period of up to one year after your death, but only to the extent any unexercised portion was exercisable on the date of termination.</w:t>
      </w:r>
    </w:p>
    <w:p>
      <w:pPr>
        <w:spacing w:after="0" w:line="184" w:lineRule="exact"/>
        <w:rPr>
          <w:rFonts w:ascii="Arial" w:cs="Arial" w:eastAsia="Arial" w:hAnsi="Arial"/>
          <w:sz w:val="16"/>
          <w:szCs w:val="16"/>
          <w:color w:val="auto"/>
        </w:rPr>
      </w:pPr>
    </w:p>
    <w:p>
      <w:pPr>
        <w:ind w:left="1472" w:right="180" w:hanging="567"/>
        <w:spacing w:after="0" w:line="332" w:lineRule="auto"/>
        <w:tabs>
          <w:tab w:leader="none" w:pos="1472" w:val="left"/>
        </w:tabs>
        <w:numPr>
          <w:ilvl w:val="2"/>
          <w:numId w:val="41"/>
        </w:numPr>
        <w:rPr>
          <w:rFonts w:ascii="Arial" w:cs="Arial" w:eastAsia="Arial" w:hAnsi="Arial"/>
          <w:sz w:val="16"/>
          <w:szCs w:val="16"/>
          <w:color w:val="auto"/>
        </w:rPr>
      </w:pPr>
      <w:r>
        <w:rPr>
          <w:rFonts w:ascii="Arial" w:cs="Arial" w:eastAsia="Arial" w:hAnsi="Arial"/>
          <w:sz w:val="16"/>
          <w:szCs w:val="16"/>
          <w:color w:val="auto"/>
        </w:rPr>
        <w:t>If your termination under Section 1(c)(v) or (vi) occurs within 30 days before the effective date of a Change in Control, then the Change in Control will be deemed to have occurred first and the option will be exercisable in accordance with Section 1(b).</w:t>
      </w:r>
    </w:p>
    <w:p>
      <w:pPr>
        <w:spacing w:after="0" w:line="119" w:lineRule="exact"/>
        <w:rPr>
          <w:rFonts w:ascii="Arial" w:cs="Arial" w:eastAsia="Arial" w:hAnsi="Arial"/>
          <w:sz w:val="16"/>
          <w:szCs w:val="16"/>
          <w:color w:val="auto"/>
        </w:rPr>
      </w:pPr>
    </w:p>
    <w:p>
      <w:pPr>
        <w:ind w:left="892" w:right="60" w:hanging="446"/>
        <w:spacing w:after="0" w:line="275" w:lineRule="auto"/>
        <w:tabs>
          <w:tab w:leader="none" w:pos="892"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 and Competition</w:t>
      </w:r>
      <w:r>
        <w:rPr>
          <w:rFonts w:ascii="Arial" w:cs="Arial" w:eastAsia="Arial" w:hAnsi="Arial"/>
          <w:sz w:val="18"/>
          <w:szCs w:val="18"/>
          <w:b w:val="1"/>
          <w:bCs w:val="1"/>
          <w:color w:val="auto"/>
        </w:rPr>
        <w:t>. See Section 6, particularly Section 6(c), for the effect of disclosure of confidential information or of competition with TI.</w:t>
      </w:r>
    </w:p>
    <w:p>
      <w:pPr>
        <w:spacing w:after="0" w:line="166" w:lineRule="exact"/>
        <w:rPr>
          <w:rFonts w:ascii="Arial" w:cs="Arial" w:eastAsia="Arial" w:hAnsi="Arial"/>
          <w:sz w:val="18"/>
          <w:szCs w:val="18"/>
          <w:b w:val="1"/>
          <w:bCs w:val="1"/>
          <w:color w:val="auto"/>
        </w:rPr>
      </w:pPr>
    </w:p>
    <w:p>
      <w:pPr>
        <w:ind w:left="452" w:right="40" w:hanging="452"/>
        <w:spacing w:after="0" w:line="332" w:lineRule="auto"/>
        <w:tabs>
          <w:tab w:leader="none" w:pos="452"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Continuing Employment</w:t>
      </w:r>
      <w:r>
        <w:rPr>
          <w:rFonts w:ascii="Arial" w:cs="Arial" w:eastAsia="Arial" w:hAnsi="Arial"/>
          <w:sz w:val="16"/>
          <w:szCs w:val="16"/>
          <w:color w:val="auto"/>
        </w:rPr>
        <w:t>. Your option will not be affected by any change of employment so long as you continue to be employed by TI. The option will not constitute or be evidence of any agreement or understanding, expressed or implied, on the part of TI to employ you for any specific period.</w:t>
      </w:r>
    </w:p>
    <w:p>
      <w:pPr>
        <w:spacing w:after="0" w:line="125" w:lineRule="exact"/>
        <w:rPr>
          <w:rFonts w:ascii="Arial" w:cs="Arial" w:eastAsia="Arial" w:hAnsi="Arial"/>
          <w:sz w:val="16"/>
          <w:szCs w:val="16"/>
          <w:color w:val="auto"/>
        </w:rPr>
      </w:pPr>
    </w:p>
    <w:p>
      <w:pPr>
        <w:ind w:left="452" w:right="80" w:hanging="452"/>
        <w:spacing w:after="0" w:line="268" w:lineRule="auto"/>
        <w:tabs>
          <w:tab w:leader="none" w:pos="45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Your option is not transferable except by will or by the laws of descent and distribution, and during your lifetime may be exercised only by you.</w:t>
      </w:r>
    </w:p>
    <w:p>
      <w:pPr>
        <w:spacing w:after="0" w:line="172" w:lineRule="exact"/>
        <w:rPr>
          <w:rFonts w:ascii="Arial" w:cs="Arial" w:eastAsia="Arial" w:hAnsi="Arial"/>
          <w:sz w:val="18"/>
          <w:szCs w:val="18"/>
          <w:color w:val="auto"/>
        </w:rPr>
      </w:pPr>
    </w:p>
    <w:p>
      <w:pPr>
        <w:ind w:left="452" w:hanging="452"/>
        <w:spacing w:after="0" w:line="256" w:lineRule="auto"/>
        <w:tabs>
          <w:tab w:leader="none" w:pos="45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 Your option may be exercised by delivery of a written notice of exercise to the Secretary of the Company or the Secretary’s designee, specifying the number of shares for which you wish to exercise the option, and delivery of the full purchase price thereof, in a form approved by the Compensation Committee of the Board of Directors of the Company, to the Secretary or the Secretary’s designee, or in such other manner as the Committee may otherwise from time to time permit.</w:t>
      </w:r>
    </w:p>
    <w:p>
      <w:pPr>
        <w:spacing w:after="0" w:line="183" w:lineRule="exact"/>
        <w:rPr>
          <w:rFonts w:ascii="Arial" w:cs="Arial" w:eastAsia="Arial" w:hAnsi="Arial"/>
          <w:sz w:val="18"/>
          <w:szCs w:val="18"/>
          <w:color w:val="auto"/>
        </w:rPr>
      </w:pPr>
    </w:p>
    <w:p>
      <w:pPr>
        <w:ind w:left="452" w:right="220" w:hanging="452"/>
        <w:spacing w:after="0" w:line="259" w:lineRule="auto"/>
        <w:tabs>
          <w:tab w:leader="none" w:pos="45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Long-Term Incentive Plan</w:t>
      </w:r>
      <w:r>
        <w:rPr>
          <w:rFonts w:ascii="Arial" w:cs="Arial" w:eastAsia="Arial" w:hAnsi="Arial"/>
          <w:sz w:val="18"/>
          <w:szCs w:val="18"/>
          <w:color w:val="auto"/>
        </w:rPr>
        <w:t>. Your option is subject to all of the terms and conditions of the Texas Instruments 2000 Long-Term Incentive Plan (hereinafter “the Plan”). In the event of any conflict between such terms and conditions and those set forth herein, the terms of the Plan shall govern and be determinative. It is expressly</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280" w:right="239" w:bottom="1440" w:gutter="0" w:footer="0" w:header="0"/>
        </w:sectPr>
      </w:pPr>
    </w:p>
    <w:bookmarkStart w:id="35" w:name="page36"/>
    <w:bookmarkEnd w:id="35"/>
    <w:p>
      <w:pPr>
        <w:ind w:left="452"/>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intended that the definition of Change in Control contained in Section 9 shall supersede any definition of such term or similar term that may be contained in the Plan.</w:t>
      </w:r>
    </w:p>
    <w:p>
      <w:pPr>
        <w:spacing w:after="0" w:line="166" w:lineRule="exact"/>
        <w:rPr>
          <w:sz w:val="20"/>
          <w:szCs w:val="20"/>
          <w:color w:val="auto"/>
        </w:rPr>
      </w:pPr>
    </w:p>
    <w:p>
      <w:pPr>
        <w:ind w:left="452" w:right="280" w:hanging="452"/>
        <w:spacing w:after="0" w:line="275" w:lineRule="auto"/>
        <w:tabs>
          <w:tab w:leader="none" w:pos="452"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 and Competition</w:t>
      </w:r>
      <w:r>
        <w:rPr>
          <w:rFonts w:ascii="Arial" w:cs="Arial" w:eastAsia="Arial" w:hAnsi="Arial"/>
          <w:sz w:val="18"/>
          <w:szCs w:val="18"/>
          <w:color w:val="auto"/>
        </w:rPr>
        <w:t>. By accepting your option, and in consideration for the option and for the Company’s obligations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herein, you agree with the Company as follows:</w:t>
      </w:r>
    </w:p>
    <w:p>
      <w:pPr>
        <w:spacing w:after="0" w:line="166" w:lineRule="exact"/>
        <w:rPr>
          <w:rFonts w:ascii="Arial" w:cs="Arial" w:eastAsia="Arial" w:hAnsi="Arial"/>
          <w:sz w:val="18"/>
          <w:szCs w:val="18"/>
          <w:color w:val="auto"/>
        </w:rPr>
      </w:pPr>
    </w:p>
    <w:p>
      <w:pPr>
        <w:ind w:left="892" w:right="140" w:hanging="446"/>
        <w:spacing w:after="0" w:line="306" w:lineRule="auto"/>
        <w:tabs>
          <w:tab w:leader="none" w:pos="892" w:val="left"/>
        </w:tabs>
        <w:numPr>
          <w:ilvl w:val="1"/>
          <w:numId w:val="44"/>
        </w:numPr>
        <w:rPr>
          <w:rFonts w:ascii="Arial" w:cs="Arial" w:eastAsia="Arial" w:hAnsi="Arial"/>
          <w:sz w:val="16"/>
          <w:szCs w:val="16"/>
          <w:color w:val="auto"/>
        </w:rPr>
      </w:pPr>
      <w:r>
        <w:rPr>
          <w:rFonts w:ascii="Arial" w:cs="Arial" w:eastAsia="Arial" w:hAnsi="Arial"/>
          <w:sz w:val="16"/>
          <w:szCs w:val="16"/>
          <w:color w:val="auto"/>
        </w:rPr>
        <w:t>You recognize and acknowledge that in the course of your employment with TI, you have obtained private or confidential information and proprietary data relating to TI, including but not limited to TI’s trade secrets (hereinafter “Confidential Information”). TI agrees that it will continue to provide you with access to its Confidential Information to the extent necessary for you to carry out the duties of your employment with TI.</w:t>
      </w:r>
    </w:p>
    <w:p>
      <w:pPr>
        <w:spacing w:after="0" w:line="147" w:lineRule="exact"/>
        <w:rPr>
          <w:rFonts w:ascii="Arial" w:cs="Arial" w:eastAsia="Arial" w:hAnsi="Arial"/>
          <w:sz w:val="16"/>
          <w:szCs w:val="16"/>
          <w:color w:val="auto"/>
        </w:rPr>
      </w:pPr>
    </w:p>
    <w:p>
      <w:pPr>
        <w:ind w:left="892" w:hanging="446"/>
        <w:spacing w:after="0" w:line="298" w:lineRule="auto"/>
        <w:tabs>
          <w:tab w:leader="none" w:pos="892" w:val="left"/>
        </w:tabs>
        <w:numPr>
          <w:ilvl w:val="1"/>
          <w:numId w:val="44"/>
        </w:numPr>
        <w:rPr>
          <w:rFonts w:ascii="Arial" w:cs="Arial" w:eastAsia="Arial" w:hAnsi="Arial"/>
          <w:sz w:val="16"/>
          <w:szCs w:val="16"/>
          <w:color w:val="auto"/>
        </w:rPr>
      </w:pPr>
      <w:r>
        <w:rPr>
          <w:rFonts w:ascii="Arial" w:cs="Arial" w:eastAsia="Arial" w:hAnsi="Arial"/>
          <w:sz w:val="16"/>
          <w:szCs w:val="16"/>
          <w:color w:val="auto"/>
        </w:rPr>
        <w:t>You agree not to use or disclose to third parties, either directly or indirectly, Confidential Information at any time, except with the prior written consent of TI. Without intending to limit the remedies available to TI, you acknowledge that damages at law will be an insufficient remedy to TI if you violate the terms of this Section 6(b) and agree that TI may apply for and have injunctive relief in any court of competent jurisdiction specifically to enforce the terms of this paragraph upon the breach or threatened breach of any such terms or otherwise specifically to enforce such terms.</w:t>
      </w:r>
    </w:p>
    <w:p>
      <w:pPr>
        <w:spacing w:after="0" w:line="153" w:lineRule="exact"/>
        <w:rPr>
          <w:rFonts w:ascii="Arial" w:cs="Arial" w:eastAsia="Arial" w:hAnsi="Arial"/>
          <w:sz w:val="16"/>
          <w:szCs w:val="16"/>
          <w:color w:val="auto"/>
        </w:rPr>
      </w:pPr>
    </w:p>
    <w:p>
      <w:pPr>
        <w:ind w:left="892" w:right="120" w:hanging="446"/>
        <w:spacing w:after="0" w:line="253" w:lineRule="auto"/>
        <w:tabs>
          <w:tab w:leader="none" w:pos="8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You agree that, if, during your employment and for a period of two years thereafter you engage in Competition (as defined in Section 9), either directly or indirectly, for your own benefit or on behalf of any other person or entity, or if, at any time, you use or disclose to third parties any Confidential Information without the written consent of the Company, then (i) the option will not be thereafter exercisable at any time, and (ii) you shall repay immediately to the Company any profit (spread between Option Price and market price of the Company’s common stock on the date of exercise) made on the option within three years prior to termination of your employment or any time after termination of your employment. Any amount payable to the Company pursuant to this provision may be reduced or waived as the Company, in its sole judgment, deems warranted by the circumstances.</w:t>
      </w:r>
    </w:p>
    <w:p>
      <w:pPr>
        <w:spacing w:after="0" w:line="187" w:lineRule="exact"/>
        <w:rPr>
          <w:rFonts w:ascii="Arial" w:cs="Arial" w:eastAsia="Arial" w:hAnsi="Arial"/>
          <w:sz w:val="18"/>
          <w:szCs w:val="18"/>
          <w:color w:val="auto"/>
        </w:rPr>
      </w:pPr>
    </w:p>
    <w:p>
      <w:pPr>
        <w:ind w:left="892" w:right="140" w:hanging="446"/>
        <w:spacing w:after="0" w:line="256" w:lineRule="auto"/>
        <w:tabs>
          <w:tab w:leader="none" w:pos="8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You recognize and acknowledge that the provisions of this Section 6 relating to nondisclosure and noncompetition during and after employment are entered into by you in consideration of, and as a material inducement to, the agreements by the Company herein as well as an inducement for the Company to enter into this Option Agreement, and that, but for your agreement to the provisions of this Section 6, the Company would not have entered into this Agreement.</w:t>
      </w:r>
    </w:p>
    <w:p>
      <w:pPr>
        <w:spacing w:after="0" w:line="183" w:lineRule="exact"/>
        <w:rPr>
          <w:rFonts w:ascii="Arial" w:cs="Arial" w:eastAsia="Arial" w:hAnsi="Arial"/>
          <w:sz w:val="18"/>
          <w:szCs w:val="18"/>
          <w:color w:val="auto"/>
        </w:rPr>
      </w:pPr>
    </w:p>
    <w:p>
      <w:pPr>
        <w:ind w:left="452" w:right="260" w:hanging="452"/>
        <w:spacing w:after="0" w:line="268" w:lineRule="auto"/>
        <w:tabs>
          <w:tab w:leader="none" w:pos="45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You acknowledge that the ultimate liability for income tax, social insurance or other tax-related withholding (hereinafter “Tax-Related Items”) in connection with this grant, its exercise or the subsequent sale of shares received</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80" w:right="239" w:bottom="1440" w:gutter="0" w:footer="0" w:header="0"/>
        </w:sectPr>
      </w:pPr>
    </w:p>
    <w:bookmarkStart w:id="36" w:name="page37"/>
    <w:bookmarkEnd w:id="36"/>
    <w:p>
      <w:pPr>
        <w:ind w:left="452"/>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thereunder is your responsibility, and that TI (a) makes no representations or undertakings with respect to the treatment for tax purposes of the grant or exercise of this option or sale of shares received thereunder, or any dividends on issued shares, and (b) does not commit to structure the grant to reduce your liability for Tax-Related Items. You authorize TI to withhold all applicable Tax-Related Items legally payable by you from your wages or other cash compensation paid to you by TI or from proceeds of the sale of the shares. If permissible under local law, TI may (a) sell or arrange for the sale of shares that you acquire to meet the withholding obligation for Tax-Related Items, and/or (b) withhold shares, provided that TI only withholds the number of shares necessary to satisfy the minimum withholding amount. Finally, you shall pay to TI any amount of Tax-Related Items that TI may be required to withhold that cannot be satisfied by the means described above.</w:t>
      </w:r>
    </w:p>
    <w:p>
      <w:pPr>
        <w:spacing w:after="0" w:line="159" w:lineRule="exact"/>
        <w:rPr>
          <w:sz w:val="20"/>
          <w:szCs w:val="20"/>
          <w:color w:val="auto"/>
        </w:rPr>
      </w:pPr>
    </w:p>
    <w:p>
      <w:pPr>
        <w:ind w:left="452" w:hanging="452"/>
        <w:spacing w:after="0" w:line="289" w:lineRule="auto"/>
        <w:tabs>
          <w:tab w:leader="none" w:pos="452"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Nature of Grant.</w:t>
      </w:r>
      <w:r>
        <w:rPr>
          <w:rFonts w:ascii="Arial" w:cs="Arial" w:eastAsia="Arial" w:hAnsi="Arial"/>
          <w:sz w:val="16"/>
          <w:szCs w:val="16"/>
          <w:color w:val="auto"/>
        </w:rPr>
        <w:t xml:space="preserve"> In accepting this grant, you acknowledge that: (a) the Plan is established voluntarily by the Company, it is discretionary in nature and it may be modified, amended, suspended or terminated by the Company at any time, as provided in the Plan; (b) all decisions with respect to future grants, if any, will be at the sole discretion of the Company; (c) the grant of your option is voluntary and occasional and does not create any contractual or other right to receive future grants of options, or benefits in lieu of options; (d) you are voluntarily participating in the Plan; (e) your option is an extraordinary item that does not constitute compensation for services rendered to TI; (f) your option is not part of normal or expected compensation or salary for any purposes, including, but not limited to, calculating any severance, termination, pension or retirement benefits or similar payments; (g) the option grant will not be interpreted to form an employment contract or relationship with TI; (h) the future value of the underlying shares is unknown and cannot be predicted with certainty; and (i) the value of any shares acquired upon exercise may increase or decrease in value.</w:t>
      </w:r>
    </w:p>
    <w:p>
      <w:pPr>
        <w:spacing w:after="0" w:line="158" w:lineRule="exact"/>
        <w:rPr>
          <w:rFonts w:ascii="Arial" w:cs="Arial" w:eastAsia="Arial" w:hAnsi="Arial"/>
          <w:sz w:val="16"/>
          <w:szCs w:val="16"/>
          <w:color w:val="auto"/>
        </w:rPr>
      </w:pPr>
    </w:p>
    <w:p>
      <w:pPr>
        <w:ind w:left="452" w:hanging="452"/>
        <w:spacing w:after="0"/>
        <w:tabs>
          <w:tab w:leader="none" w:pos="452"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892" w:hanging="446"/>
        <w:spacing w:after="0" w:line="289" w:lineRule="auto"/>
        <w:tabs>
          <w:tab w:leader="none" w:pos="892"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i w:val="1"/>
          <w:iCs w:val="1"/>
          <w:color w:val="auto"/>
        </w:rPr>
        <w:t>Change in Control</w:t>
      </w:r>
      <w:r>
        <w:rPr>
          <w:rFonts w:ascii="Arial" w:cs="Arial" w:eastAsia="Arial" w:hAnsi="Arial"/>
          <w:sz w:val="16"/>
          <w:szCs w:val="16"/>
          <w:color w:val="auto"/>
        </w:rPr>
        <w:t>” means an event when (i) any Person, alone or together with its Affiliates and Associates or otherwise, shall become an Acquiring Person otherwise than pursuant to a transaction or agreement approved by the Board of Directors of the Company prior to the time the Acquiring Person became such, or (ii) a majority of the Board of Directors of the Company shall change within any 24-month period unless the election or the nomination for election by the Company’s stockholders of each new director has been approved by a vote of at least a majority of the directors then still in office who were directors at the beginning of the period. For the purposes hereof, the terms Person, Affiliates, Associates and Acquiring Person shall have the meanings given to such terms in the Rights Agreement dated as of June 18, 1998, between the Company and Harris Trust and Savings Bank, as in effect on the Option Date; provided, however, that if the percentage employed in the definition of Acquiring Person is reduced hereafter from 20% in such Rights</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80" w:right="259" w:bottom="1440" w:gutter="0" w:footer="0" w:header="0"/>
        </w:sectPr>
      </w:pPr>
    </w:p>
    <w:bookmarkStart w:id="37" w:name="page38"/>
    <w:bookmarkEnd w:id="37"/>
    <w:p>
      <w:pPr>
        <w:ind w:left="9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or any successor Rights Agreement, then such reduction shall also be applicable for the purposes hereof.</w:t>
      </w:r>
    </w:p>
    <w:p>
      <w:pPr>
        <w:spacing w:after="0" w:line="212" w:lineRule="exact"/>
        <w:rPr>
          <w:sz w:val="20"/>
          <w:szCs w:val="20"/>
          <w:color w:val="auto"/>
        </w:rPr>
      </w:pPr>
    </w:p>
    <w:p>
      <w:pPr>
        <w:ind w:left="892" w:right="740" w:hanging="446"/>
        <w:spacing w:after="0" w:line="268" w:lineRule="auto"/>
        <w:tabs>
          <w:tab w:leader="none" w:pos="8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Company</w:t>
      </w:r>
      <w:r>
        <w:rPr>
          <w:rFonts w:ascii="Arial" w:cs="Arial" w:eastAsia="Arial" w:hAnsi="Arial"/>
          <w:sz w:val="18"/>
          <w:szCs w:val="18"/>
          <w:color w:val="auto"/>
        </w:rPr>
        <w:t>” means Texas Instruments Incorporated and the term “</w:t>
      </w:r>
      <w:r>
        <w:rPr>
          <w:rFonts w:ascii="Arial" w:cs="Arial" w:eastAsia="Arial" w:hAnsi="Arial"/>
          <w:sz w:val="18"/>
          <w:szCs w:val="18"/>
          <w:i w:val="1"/>
          <w:iCs w:val="1"/>
          <w:color w:val="auto"/>
        </w:rPr>
        <w:t>TI</w:t>
      </w:r>
      <w:r>
        <w:rPr>
          <w:rFonts w:ascii="Arial" w:cs="Arial" w:eastAsia="Arial" w:hAnsi="Arial"/>
          <w:sz w:val="18"/>
          <w:szCs w:val="18"/>
          <w:color w:val="auto"/>
        </w:rPr>
        <w:t>” means and includes Texas Instruments Incorporated and its subsidiaries.</w:t>
      </w:r>
    </w:p>
    <w:p>
      <w:pPr>
        <w:spacing w:after="0" w:line="166" w:lineRule="exact"/>
        <w:rPr>
          <w:rFonts w:ascii="Arial" w:cs="Arial" w:eastAsia="Arial" w:hAnsi="Arial"/>
          <w:sz w:val="18"/>
          <w:szCs w:val="18"/>
          <w:color w:val="auto"/>
        </w:rPr>
      </w:pPr>
    </w:p>
    <w:p>
      <w:pPr>
        <w:ind w:left="892" w:hanging="446"/>
        <w:spacing w:after="0"/>
        <w:tabs>
          <w:tab w:leader="none" w:pos="892" w:val="left"/>
        </w:tabs>
        <w:numPr>
          <w:ilvl w:val="1"/>
          <w:numId w:val="46"/>
        </w:numPr>
        <w:rPr>
          <w:rFonts w:ascii="Arial" w:cs="Arial" w:eastAsia="Arial" w:hAnsi="Arial"/>
          <w:sz w:val="18"/>
          <w:szCs w:val="18"/>
          <w:color w:val="auto"/>
        </w:rPr>
      </w:pPr>
      <w:r>
        <w:rPr>
          <w:rFonts w:ascii="Arial" w:cs="Arial" w:eastAsia="Arial" w:hAnsi="Arial"/>
          <w:sz w:val="18"/>
          <w:szCs w:val="18"/>
          <w:b w:val="1"/>
          <w:bCs w:val="1"/>
          <w:color w:val="auto"/>
        </w:rPr>
        <w:t>The term “</w:t>
      </w:r>
      <w:r>
        <w:rPr>
          <w:rFonts w:ascii="Arial" w:cs="Arial" w:eastAsia="Arial" w:hAnsi="Arial"/>
          <w:sz w:val="18"/>
          <w:szCs w:val="18"/>
          <w:b w:val="1"/>
          <w:bCs w:val="1"/>
          <w:i w:val="1"/>
          <w:iCs w:val="1"/>
          <w:color w:val="auto"/>
        </w:rPr>
        <w:t>Competition</w:t>
      </w:r>
      <w:r>
        <w:rPr>
          <w:rFonts w:ascii="Arial" w:cs="Arial" w:eastAsia="Arial" w:hAnsi="Arial"/>
          <w:sz w:val="18"/>
          <w:szCs w:val="18"/>
          <w:b w:val="1"/>
          <w:bCs w:val="1"/>
          <w:color w:val="auto"/>
        </w:rPr>
        <w:t>” means:</w:t>
      </w:r>
    </w:p>
    <w:p>
      <w:pPr>
        <w:spacing w:after="0" w:line="217" w:lineRule="exact"/>
        <w:rPr>
          <w:rFonts w:ascii="Arial" w:cs="Arial" w:eastAsia="Arial" w:hAnsi="Arial"/>
          <w:sz w:val="18"/>
          <w:szCs w:val="18"/>
          <w:color w:val="auto"/>
        </w:rPr>
      </w:pPr>
    </w:p>
    <w:p>
      <w:pPr>
        <w:jc w:val="both"/>
        <w:ind w:left="1472" w:right="60" w:hanging="567"/>
        <w:spacing w:after="0" w:line="259" w:lineRule="auto"/>
        <w:tabs>
          <w:tab w:leader="none" w:pos="1472" w:val="left"/>
        </w:tabs>
        <w:numPr>
          <w:ilvl w:val="2"/>
          <w:numId w:val="46"/>
        </w:numPr>
        <w:rPr>
          <w:rFonts w:ascii="Arial" w:cs="Arial" w:eastAsia="Arial" w:hAnsi="Arial"/>
          <w:sz w:val="18"/>
          <w:szCs w:val="18"/>
          <w:color w:val="auto"/>
        </w:rPr>
      </w:pPr>
      <w:r>
        <w:rPr>
          <w:rFonts w:ascii="Arial" w:cs="Arial" w:eastAsia="Arial" w:hAnsi="Arial"/>
          <w:sz w:val="18"/>
          <w:szCs w:val="18"/>
          <w:color w:val="auto"/>
        </w:rPr>
        <w:t>engaging in any business activity similar to that in which you engaged during your last three years of employment with TI for any person or entity selling, marketing, designing or manufacturing products the same as, similar to, or that compete with products that TI sells or markets in any area that TI sells or markets such products;</w:t>
      </w:r>
    </w:p>
    <w:p>
      <w:pPr>
        <w:spacing w:after="0" w:line="180" w:lineRule="exact"/>
        <w:rPr>
          <w:rFonts w:ascii="Arial" w:cs="Arial" w:eastAsia="Arial" w:hAnsi="Arial"/>
          <w:sz w:val="18"/>
          <w:szCs w:val="18"/>
          <w:color w:val="auto"/>
        </w:rPr>
      </w:pPr>
    </w:p>
    <w:p>
      <w:pPr>
        <w:ind w:left="1472" w:right="100" w:hanging="567"/>
        <w:spacing w:after="0" w:line="259" w:lineRule="auto"/>
        <w:tabs>
          <w:tab w:leader="none" w:pos="1472" w:val="left"/>
        </w:tabs>
        <w:numPr>
          <w:ilvl w:val="2"/>
          <w:numId w:val="46"/>
        </w:numPr>
        <w:rPr>
          <w:rFonts w:ascii="Arial" w:cs="Arial" w:eastAsia="Arial" w:hAnsi="Arial"/>
          <w:sz w:val="18"/>
          <w:szCs w:val="18"/>
          <w:color w:val="auto"/>
        </w:rPr>
      </w:pPr>
      <w:r>
        <w:rPr>
          <w:rFonts w:ascii="Arial" w:cs="Arial" w:eastAsia="Arial" w:hAnsi="Arial"/>
          <w:sz w:val="18"/>
          <w:szCs w:val="18"/>
          <w:color w:val="auto"/>
        </w:rPr>
        <w:t>engaging in the selling or marketing of any products that are the same as, similar to, or that compete with any products that you sold or marketed, or attempted to sell or market, during the last three years of your employment with TI in any area in which you sold or marketed, or attempted to sell or market, such products;</w:t>
      </w:r>
    </w:p>
    <w:p>
      <w:pPr>
        <w:spacing w:after="0" w:line="180" w:lineRule="exact"/>
        <w:rPr>
          <w:rFonts w:ascii="Arial" w:cs="Arial" w:eastAsia="Arial" w:hAnsi="Arial"/>
          <w:sz w:val="18"/>
          <w:szCs w:val="18"/>
          <w:color w:val="auto"/>
        </w:rPr>
      </w:pPr>
    </w:p>
    <w:p>
      <w:pPr>
        <w:ind w:left="1472" w:hanging="567"/>
        <w:spacing w:after="0" w:line="259" w:lineRule="auto"/>
        <w:tabs>
          <w:tab w:leader="none" w:pos="1472" w:val="left"/>
        </w:tabs>
        <w:numPr>
          <w:ilvl w:val="2"/>
          <w:numId w:val="46"/>
        </w:numPr>
        <w:rPr>
          <w:rFonts w:ascii="Arial" w:cs="Arial" w:eastAsia="Arial" w:hAnsi="Arial"/>
          <w:sz w:val="18"/>
          <w:szCs w:val="18"/>
          <w:color w:val="auto"/>
        </w:rPr>
      </w:pPr>
      <w:r>
        <w:rPr>
          <w:rFonts w:ascii="Arial" w:cs="Arial" w:eastAsia="Arial" w:hAnsi="Arial"/>
          <w:sz w:val="18"/>
          <w:szCs w:val="18"/>
          <w:color w:val="auto"/>
        </w:rPr>
        <w:t>engaging in the manufacture or design of any products that are the same as, similar to or that compete with any products that you sold or marketed, or attempted to sell or market, or participated in the design or manufacture of, during the last three years of your employment with TI; or</w:t>
      </w:r>
    </w:p>
    <w:p>
      <w:pPr>
        <w:spacing w:after="0" w:line="180" w:lineRule="exact"/>
        <w:rPr>
          <w:rFonts w:ascii="Arial" w:cs="Arial" w:eastAsia="Arial" w:hAnsi="Arial"/>
          <w:sz w:val="18"/>
          <w:szCs w:val="18"/>
          <w:color w:val="auto"/>
        </w:rPr>
      </w:pPr>
    </w:p>
    <w:p>
      <w:pPr>
        <w:ind w:left="1472" w:right="80" w:hanging="567"/>
        <w:spacing w:after="0" w:line="259" w:lineRule="auto"/>
        <w:tabs>
          <w:tab w:leader="none" w:pos="1472" w:val="left"/>
        </w:tabs>
        <w:numPr>
          <w:ilvl w:val="2"/>
          <w:numId w:val="46"/>
        </w:numPr>
        <w:rPr>
          <w:rFonts w:ascii="Arial" w:cs="Arial" w:eastAsia="Arial" w:hAnsi="Arial"/>
          <w:sz w:val="18"/>
          <w:szCs w:val="18"/>
          <w:color w:val="auto"/>
        </w:rPr>
      </w:pPr>
      <w:r>
        <w:rPr>
          <w:rFonts w:ascii="Arial" w:cs="Arial" w:eastAsia="Arial" w:hAnsi="Arial"/>
          <w:sz w:val="18"/>
          <w:szCs w:val="18"/>
          <w:color w:val="auto"/>
        </w:rPr>
        <w:t>engaging in the selling or marketing of any products that are the same as, similar to, or that compete with any products that you participated in the design or manufacture of during the last three years of your employment with TI in any area in which TI has sold or marketed, or attempted to sell or market, such products.</w:t>
      </w:r>
    </w:p>
    <w:p>
      <w:pPr>
        <w:spacing w:after="0" w:line="180" w:lineRule="exact"/>
        <w:rPr>
          <w:rFonts w:ascii="Arial" w:cs="Arial" w:eastAsia="Arial" w:hAnsi="Arial"/>
          <w:sz w:val="18"/>
          <w:szCs w:val="18"/>
          <w:color w:val="auto"/>
        </w:rPr>
      </w:pPr>
    </w:p>
    <w:p>
      <w:pPr>
        <w:ind w:left="892" w:hanging="446"/>
        <w:spacing w:after="0"/>
        <w:tabs>
          <w:tab w:leader="none" w:pos="8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Option Date</w:t>
      </w:r>
      <w:r>
        <w:rPr>
          <w:rFonts w:ascii="Arial" w:cs="Arial" w:eastAsia="Arial" w:hAnsi="Arial"/>
          <w:sz w:val="18"/>
          <w:szCs w:val="18"/>
          <w:color w:val="auto"/>
        </w:rPr>
        <w:t>” means the date of grant of this option.</w:t>
      </w:r>
    </w:p>
    <w:p>
      <w:pPr>
        <w:spacing w:after="0" w:line="211" w:lineRule="exact"/>
        <w:rPr>
          <w:rFonts w:ascii="Arial" w:cs="Arial" w:eastAsia="Arial" w:hAnsi="Arial"/>
          <w:sz w:val="18"/>
          <w:szCs w:val="18"/>
          <w:color w:val="auto"/>
        </w:rPr>
      </w:pPr>
    </w:p>
    <w:p>
      <w:pPr>
        <w:ind w:left="452" w:right="440" w:hanging="452"/>
        <w:spacing w:after="0" w:line="332" w:lineRule="auto"/>
        <w:tabs>
          <w:tab w:leader="none" w:pos="452"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Texas Law</w:t>
      </w:r>
      <w:r>
        <w:rPr>
          <w:rFonts w:ascii="Arial" w:cs="Arial" w:eastAsia="Arial" w:hAnsi="Arial"/>
          <w:sz w:val="16"/>
          <w:szCs w:val="16"/>
          <w:color w:val="auto"/>
        </w:rPr>
        <w:t>. This agreement and specifically the provisions of Section 6 hereof shall be construed both as to validity and performance and enforced in accordance with the laws of the State of Texas without giving effect to the principles of conflict of laws thereof.</w:t>
      </w:r>
    </w:p>
    <w:p>
      <w:pPr>
        <w:spacing w:after="0" w:line="125" w:lineRule="exact"/>
        <w:rPr>
          <w:rFonts w:ascii="Arial" w:cs="Arial" w:eastAsia="Arial" w:hAnsi="Arial"/>
          <w:sz w:val="16"/>
          <w:szCs w:val="16"/>
          <w:color w:val="auto"/>
        </w:rPr>
      </w:pPr>
    </w:p>
    <w:p>
      <w:pPr>
        <w:ind w:left="452" w:right="100" w:hanging="452"/>
        <w:spacing w:after="0" w:line="268" w:lineRule="auto"/>
        <w:tabs>
          <w:tab w:leader="none" w:pos="45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26"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END</w:t>
      </w:r>
    </w:p>
    <w:p>
      <w:pPr>
        <w:spacing w:after="0" w:line="16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72"/>
          </w:cols>
          <w:pgMar w:left="248" w:top="280" w:right="279" w:bottom="1440" w:gutter="0" w:footer="0" w:header="0"/>
        </w:sectPr>
      </w:pPr>
    </w:p>
    <w:bookmarkStart w:id="38" w:name="page39"/>
    <w:bookmarkEnd w:id="38"/>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accepting this option agreement, I acknowledge I have read and I agree to be bound by all of the terms and conditions set forth above, including Section 6 relating to Confidential Information and Competition.</w:t>
      </w:r>
    </w:p>
    <w:p>
      <w:pPr>
        <w:spacing w:after="0" w:line="11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240" w:top="274" w:right="6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u w:val="single" w:color="auto"/>
          <w:color w:val="auto"/>
        </w:rPr>
        <w:t>Exhibit 10(m)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RSU Form No.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LTIP</w:t>
      </w:r>
    </w:p>
    <w:p>
      <w:pPr>
        <w:spacing w:after="0" w:line="16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 xml:space="preserve">Your award of Restricted Stock Units (the “Award”) is subject to the following terms and conditions, your acceptance of which is required within 120 days of the Grant Date (as defined in Section 9 below). </w:t>
      </w:r>
      <w:r>
        <w:rPr>
          <w:rFonts w:ascii="Arial" w:cs="Arial" w:eastAsia="Arial" w:hAnsi="Arial"/>
          <w:sz w:val="18"/>
          <w:szCs w:val="18"/>
          <w:b w:val="1"/>
          <w:bCs w:val="1"/>
          <w:color w:val="auto"/>
        </w:rPr>
        <w:t>Failure to accept this Agreement by such date will result in termination of the Award without any shares being</w:t>
      </w:r>
      <w:r>
        <w:rPr>
          <w:rFonts w:ascii="Arial" w:cs="Arial" w:eastAsia="Arial" w:hAnsi="Arial"/>
          <w:sz w:val="18"/>
          <w:szCs w:val="18"/>
          <w:color w:val="auto"/>
        </w:rPr>
        <w:t xml:space="preserve"> </w:t>
      </w:r>
      <w:r>
        <w:rPr>
          <w:rFonts w:ascii="Arial" w:cs="Arial" w:eastAsia="Arial" w:hAnsi="Arial"/>
          <w:sz w:val="18"/>
          <w:szCs w:val="18"/>
          <w:b w:val="1"/>
          <w:bCs w:val="1"/>
          <w:color w:val="auto"/>
        </w:rPr>
        <w:t>issued.</w:t>
      </w:r>
    </w:p>
    <w:p>
      <w:pPr>
        <w:spacing w:after="0" w:line="181" w:lineRule="exact"/>
        <w:rPr>
          <w:sz w:val="20"/>
          <w:szCs w:val="20"/>
          <w:color w:val="auto"/>
        </w:rPr>
      </w:pPr>
    </w:p>
    <w:p>
      <w:pPr>
        <w:ind w:left="460" w:right="80" w:hanging="452"/>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Share Issuance</w:t>
      </w:r>
      <w:r>
        <w:rPr>
          <w:rFonts w:ascii="Arial" w:cs="Arial" w:eastAsia="Arial" w:hAnsi="Arial"/>
          <w:sz w:val="18"/>
          <w:szCs w:val="18"/>
          <w:color w:val="auto"/>
        </w:rPr>
        <w:t>. Each Restricted Stock Unit represents the right to receive one share of common stock of Texas Instruments Incorporated (“the Company”). The shares covered by this Award will be issued in your name as soon as practicable after the date of vesting stated on your Employee Stock Grant Communication (“Vesting Date”), except as provided below in this Section 1:</w:t>
      </w:r>
    </w:p>
    <w:p>
      <w:pPr>
        <w:spacing w:after="0" w:line="180"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a Change in Control (as defined in Section 9) on or before the Vesting Date, the Vesting Date will be deemed to be the effective date of the Change in Control.</w:t>
      </w:r>
    </w:p>
    <w:p>
      <w:pPr>
        <w:spacing w:after="0" w:line="172"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Change in Employment Status</w:t>
      </w:r>
      <w:r>
        <w:rPr>
          <w:rFonts w:ascii="Arial" w:cs="Arial" w:eastAsia="Arial" w:hAnsi="Arial"/>
          <w:sz w:val="18"/>
          <w:szCs w:val="18"/>
          <w:color w:val="auto"/>
        </w:rPr>
        <w:t>. The effect of changes in your employment status with TI (as defined in Section 9) before the Vesting Date will be as follows:</w:t>
      </w:r>
    </w:p>
    <w:p>
      <w:pPr>
        <w:spacing w:after="0" w:line="172" w:lineRule="exact"/>
        <w:rPr>
          <w:rFonts w:ascii="Arial" w:cs="Arial" w:eastAsia="Arial" w:hAnsi="Arial"/>
          <w:sz w:val="18"/>
          <w:szCs w:val="18"/>
          <w:color w:val="auto"/>
        </w:rPr>
      </w:pPr>
    </w:p>
    <w:p>
      <w:pPr>
        <w:ind w:left="1480" w:right="20" w:hanging="567"/>
        <w:spacing w:after="0" w:line="306" w:lineRule="auto"/>
        <w:tabs>
          <w:tab w:leader="none" w:pos="1480" w:val="left"/>
        </w:tabs>
        <w:numPr>
          <w:ilvl w:val="2"/>
          <w:numId w:val="48"/>
        </w:numPr>
        <w:rPr>
          <w:rFonts w:ascii="Arial" w:cs="Arial" w:eastAsia="Arial" w:hAnsi="Arial"/>
          <w:sz w:val="16"/>
          <w:szCs w:val="16"/>
          <w:color w:val="auto"/>
        </w:rPr>
      </w:pPr>
      <w:r>
        <w:rPr>
          <w:rFonts w:ascii="Arial" w:cs="Arial" w:eastAsia="Arial" w:hAnsi="Arial"/>
          <w:sz w:val="16"/>
          <w:szCs w:val="16"/>
          <w:u w:val="single" w:color="auto"/>
          <w:color w:val="auto"/>
        </w:rPr>
        <w:t>Termination due to death or permanent disability</w:t>
      </w:r>
      <w:r>
        <w:rPr>
          <w:rFonts w:ascii="Arial" w:cs="Arial" w:eastAsia="Arial" w:hAnsi="Arial"/>
          <w:sz w:val="16"/>
          <w:szCs w:val="16"/>
          <w:color w:val="auto"/>
        </w:rPr>
        <w:t>: The Award will continue to full term subject to the other terms and conditions of this Agreement, and shares will be issued to you or to your personal representatives, heirs, legatees or distributes, as applicable, at such times and in such number and manner as if you were still an employee of TI on the Vesting Date.</w:t>
      </w:r>
    </w:p>
    <w:p>
      <w:pPr>
        <w:spacing w:after="0" w:line="147" w:lineRule="exact"/>
        <w:rPr>
          <w:rFonts w:ascii="Arial" w:cs="Arial" w:eastAsia="Arial" w:hAnsi="Arial"/>
          <w:sz w:val="16"/>
          <w:szCs w:val="16"/>
          <w:color w:val="auto"/>
        </w:rPr>
      </w:pPr>
    </w:p>
    <w:p>
      <w:pPr>
        <w:ind w:left="1480" w:hanging="567"/>
        <w:spacing w:after="0" w:line="255" w:lineRule="auto"/>
        <w:tabs>
          <w:tab w:leader="none" w:pos="1480" w:val="left"/>
        </w:tabs>
        <w:numPr>
          <w:ilvl w:val="2"/>
          <w:numId w:val="48"/>
        </w:numPr>
        <w:rPr>
          <w:rFonts w:ascii="Arial" w:cs="Arial" w:eastAsia="Arial" w:hAnsi="Arial"/>
          <w:sz w:val="18"/>
          <w:szCs w:val="18"/>
          <w:color w:val="auto"/>
        </w:rPr>
      </w:pPr>
      <w:r>
        <w:rPr>
          <w:rFonts w:ascii="Arial" w:cs="Arial" w:eastAsia="Arial" w:hAnsi="Arial"/>
          <w:sz w:val="18"/>
          <w:szCs w:val="18"/>
          <w:u w:val="single" w:color="auto"/>
          <w:color w:val="auto"/>
        </w:rPr>
        <w:t>Termination (except for cause) when you are retirement eligible (normal or early) either under the terms of the TI 401(k) or pension plan in your home country or the country in which you work, as applicable (regardless of whether you are a participant in such plan), or if there is no such plan, as may be set forth in the laws or regulations in your home country or the country in which you work, as applicable</w:t>
      </w:r>
      <w:r>
        <w:rPr>
          <w:rFonts w:ascii="Arial" w:cs="Arial" w:eastAsia="Arial" w:hAnsi="Arial"/>
          <w:sz w:val="18"/>
          <w:szCs w:val="18"/>
          <w:color w:val="auto"/>
        </w:rPr>
        <w:t>: The Award will continue to full term subject to the other terms and conditions of this Agreement, except that the number of shares issuable to you on the Vesting Date will be reduced pro rata as follows:</w:t>
      </w:r>
    </w:p>
    <w:p>
      <w:pPr>
        <w:spacing w:after="0" w:line="143" w:lineRule="exact"/>
        <w:rPr>
          <w:sz w:val="20"/>
          <w:szCs w:val="20"/>
          <w:color w:val="auto"/>
        </w:rPr>
      </w:pPr>
    </w:p>
    <w:p>
      <w:pPr>
        <w:ind w:left="1940" w:right="560"/>
        <w:spacing w:after="0" w:line="268" w:lineRule="auto"/>
        <w:rPr>
          <w:sz w:val="20"/>
          <w:szCs w:val="20"/>
          <w:color w:val="auto"/>
        </w:rPr>
      </w:pPr>
      <w:r>
        <w:rPr>
          <w:rFonts w:ascii="Arial" w:cs="Arial" w:eastAsia="Arial" w:hAnsi="Arial"/>
          <w:sz w:val="18"/>
          <w:szCs w:val="18"/>
          <w:color w:val="auto"/>
        </w:rPr>
        <w:t>The number of shares will be the number specified for the Vesting Date on the Employee Stock Grant Communication, times a fraction equal to your Pre-Retirement Period (as defined in Section 9(e)) divided by the</w:t>
      </w:r>
    </w:p>
    <w:p>
      <w:pPr>
        <w:sectPr>
          <w:pgSz w:w="11900" w:h="16838" w:orient="portrait"/>
          <w:cols w:equalWidth="0" w:num="1">
            <w:col w:w="11420"/>
          </w:cols>
          <w:pgMar w:left="240" w:top="131" w:right="239" w:bottom="1440" w:gutter="0" w:footer="0" w:header="0"/>
        </w:sectPr>
      </w:pPr>
    </w:p>
    <w:bookmarkStart w:id="40" w:name="page41"/>
    <w:bookmarkEnd w:id="40"/>
    <w:p>
      <w:pPr>
        <w:ind w:left="1486"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Vesting Period (as defined in Section 9(f)). If the number of shares calculated pursuant to the previous sentence includes a fraction of a share, the number will be rounded up to the next whole share. If your Award provides for more than one Vesting Date, this calculation will be done to determine the number of shares issuable on each Vesting Date.</w:t>
      </w:r>
    </w:p>
    <w:p>
      <w:pPr>
        <w:spacing w:after="0" w:line="147" w:lineRule="exact"/>
        <w:rPr>
          <w:sz w:val="20"/>
          <w:szCs w:val="20"/>
          <w:color w:val="auto"/>
        </w:rPr>
      </w:pPr>
    </w:p>
    <w:p>
      <w:pPr>
        <w:ind w:left="1026" w:right="420" w:hanging="567"/>
        <w:spacing w:after="0" w:line="268" w:lineRule="auto"/>
        <w:tabs>
          <w:tab w:leader="none" w:pos="1026"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Termination under other circumstances</w:t>
      </w:r>
      <w:r>
        <w:rPr>
          <w:rFonts w:ascii="Arial" w:cs="Arial" w:eastAsia="Arial" w:hAnsi="Arial"/>
          <w:sz w:val="18"/>
          <w:szCs w:val="18"/>
          <w:color w:val="auto"/>
        </w:rPr>
        <w:t>: For any termination other than those specified in (i) or (ii) above, the Award will terminate and become void without any shares being issued, except as provided in (iv).</w:t>
      </w:r>
    </w:p>
    <w:p>
      <w:pPr>
        <w:spacing w:after="0" w:line="172" w:lineRule="exact"/>
        <w:rPr>
          <w:rFonts w:ascii="Arial" w:cs="Arial" w:eastAsia="Arial" w:hAnsi="Arial"/>
          <w:sz w:val="18"/>
          <w:szCs w:val="18"/>
          <w:color w:val="auto"/>
        </w:rPr>
      </w:pPr>
    </w:p>
    <w:p>
      <w:pPr>
        <w:ind w:left="1026" w:right="300" w:hanging="567"/>
        <w:spacing w:after="0" w:line="268" w:lineRule="auto"/>
        <w:tabs>
          <w:tab w:leader="none" w:pos="1026"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your termination of employment (other than for cause) occurs within 30 days before the effective date of a Change in Control, then the Change in Control will be deemed to have occurred first and the provisions of Section 1(a) will apply.</w:t>
      </w:r>
    </w:p>
    <w:p>
      <w:pPr>
        <w:spacing w:after="0" w:line="172" w:lineRule="exact"/>
        <w:rPr>
          <w:rFonts w:ascii="Arial" w:cs="Arial" w:eastAsia="Arial" w:hAnsi="Arial"/>
          <w:sz w:val="18"/>
          <w:szCs w:val="18"/>
          <w:color w:val="auto"/>
        </w:rPr>
      </w:pPr>
    </w:p>
    <w:p>
      <w:pPr>
        <w:ind w:left="1026" w:right="20" w:hanging="567"/>
        <w:spacing w:after="0" w:line="259" w:lineRule="auto"/>
        <w:tabs>
          <w:tab w:leader="none" w:pos="1026"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Commencement of a Bridge to Retirement (as defined in Section 9(g)) even if you subsequently return to full- or part-time employment with TI</w:t>
      </w:r>
      <w:r>
        <w:rPr>
          <w:rFonts w:ascii="Arial" w:cs="Arial" w:eastAsia="Arial" w:hAnsi="Arial"/>
          <w:sz w:val="18"/>
          <w:szCs w:val="18"/>
          <w:color w:val="auto"/>
        </w:rPr>
        <w:t>: The Award will continue to full term subject to the other terms and conditions of this Agreement, except that the number of shares issuable to you on the Vesting Date will be reduced pro rata as follows:</w:t>
      </w:r>
    </w:p>
    <w:p>
      <w:pPr>
        <w:spacing w:after="0" w:line="140" w:lineRule="exact"/>
        <w:rPr>
          <w:sz w:val="20"/>
          <w:szCs w:val="20"/>
          <w:color w:val="auto"/>
        </w:rPr>
      </w:pPr>
    </w:p>
    <w:p>
      <w:pPr>
        <w:ind w:left="1486"/>
        <w:spacing w:after="0" w:line="255" w:lineRule="auto"/>
        <w:rPr>
          <w:sz w:val="20"/>
          <w:szCs w:val="20"/>
          <w:color w:val="auto"/>
        </w:rPr>
      </w:pPr>
      <w:r>
        <w:rPr>
          <w:rFonts w:ascii="Arial" w:cs="Arial" w:eastAsia="Arial" w:hAnsi="Arial"/>
          <w:sz w:val="18"/>
          <w:szCs w:val="18"/>
          <w:color w:val="auto"/>
        </w:rPr>
        <w:t>The number of shares will be the number specified for the Vesting Date on the Employee Stock Grant Communication, times a fraction equal to your Pre-Bridge Period (as defined in Section 9(h)) divided by the Vesting Period (as defined in Section 9(f)). If the number of shares calculated pursuant to the previous sentence includes a fraction of a share, the number will be rounded up to the next whole share. If your Award provides for more than one Vesting Date, this calculation will be done to determine the number of shares to be issuable on each Vesting Date.</w:t>
      </w:r>
    </w:p>
    <w:p>
      <w:pPr>
        <w:spacing w:after="0" w:line="143" w:lineRule="exact"/>
        <w:rPr>
          <w:sz w:val="20"/>
          <w:szCs w:val="20"/>
          <w:color w:val="auto"/>
        </w:rPr>
      </w:pPr>
    </w:p>
    <w:p>
      <w:pPr>
        <w:jc w:val="both"/>
        <w:ind w:left="1486" w:right="340"/>
        <w:spacing w:after="0" w:line="259" w:lineRule="auto"/>
        <w:rPr>
          <w:sz w:val="20"/>
          <w:szCs w:val="20"/>
          <w:color w:val="auto"/>
        </w:rPr>
      </w:pPr>
      <w:r>
        <w:rPr>
          <w:rFonts w:ascii="Arial" w:cs="Arial" w:eastAsia="Arial" w:hAnsi="Arial"/>
          <w:sz w:val="18"/>
          <w:szCs w:val="18"/>
          <w:color w:val="auto"/>
        </w:rPr>
        <w:t>If you go on a Bridge to Retirement and subsequently terminate under the circumstances described in (i) or (ii) above, there is no further adjustment to the number of shares issuable under your Award, even if you have returned to full- or part-time employment before terminating.</w:t>
      </w:r>
    </w:p>
    <w:p>
      <w:pPr>
        <w:spacing w:after="0" w:line="181" w:lineRule="exact"/>
        <w:rPr>
          <w:sz w:val="20"/>
          <w:szCs w:val="20"/>
          <w:color w:val="auto"/>
        </w:rPr>
      </w:pPr>
    </w:p>
    <w:p>
      <w:pPr>
        <w:ind w:left="1026" w:hanging="567"/>
        <w:spacing w:after="0"/>
        <w:tabs>
          <w:tab w:leader="none" w:pos="1026"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Other changes in employment status</w:t>
      </w:r>
      <w:r>
        <w:rPr>
          <w:rFonts w:ascii="Arial" w:cs="Arial" w:eastAsia="Arial" w:hAnsi="Arial"/>
          <w:sz w:val="16"/>
          <w:szCs w:val="16"/>
          <w:color w:val="auto"/>
        </w:rPr>
        <w:t>: No changes in employment status other than those described above will affect the Award.</w:t>
      </w:r>
    </w:p>
    <w:p>
      <w:pPr>
        <w:spacing w:after="0" w:line="228" w:lineRule="exact"/>
        <w:rPr>
          <w:rFonts w:ascii="Arial" w:cs="Arial" w:eastAsia="Arial" w:hAnsi="Arial"/>
          <w:sz w:val="16"/>
          <w:szCs w:val="16"/>
          <w:color w:val="auto"/>
        </w:rPr>
      </w:pPr>
    </w:p>
    <w:p>
      <w:pPr>
        <w:ind w:left="446" w:right="40" w:hanging="446"/>
        <w:spacing w:after="0" w:line="275" w:lineRule="auto"/>
        <w:tabs>
          <w:tab w:leader="none" w:pos="446"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 and Competition</w:t>
      </w:r>
      <w:r>
        <w:rPr>
          <w:rFonts w:ascii="Arial" w:cs="Arial" w:eastAsia="Arial" w:hAnsi="Arial"/>
          <w:sz w:val="18"/>
          <w:szCs w:val="18"/>
          <w:b w:val="1"/>
          <w:bCs w:val="1"/>
          <w:color w:val="auto"/>
        </w:rPr>
        <w:t>. See Section 6, particularly Section 6(c), for the effect of disclosure of confidential information or of competition with TI.</w:t>
      </w:r>
    </w:p>
    <w:p>
      <w:pPr>
        <w:spacing w:after="0" w:line="166" w:lineRule="exact"/>
        <w:rPr>
          <w:rFonts w:ascii="Arial" w:cs="Arial" w:eastAsia="Arial" w:hAnsi="Arial"/>
          <w:sz w:val="18"/>
          <w:szCs w:val="18"/>
          <w:b w:val="1"/>
          <w:bCs w:val="1"/>
          <w:color w:val="auto"/>
        </w:rPr>
      </w:pPr>
    </w:p>
    <w:p>
      <w:pPr>
        <w:ind w:left="446" w:hanging="446"/>
        <w:spacing w:after="0"/>
        <w:tabs>
          <w:tab w:leader="none" w:pos="446"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Employee Stock Grant Communication</w:t>
      </w:r>
      <w:r>
        <w:rPr>
          <w:rFonts w:ascii="Arial" w:cs="Arial" w:eastAsia="Arial" w:hAnsi="Arial"/>
          <w:sz w:val="16"/>
          <w:szCs w:val="16"/>
          <w:color w:val="auto"/>
        </w:rPr>
        <w:t>. This Award was granted by the Compensation Committee of the Company’s Board of Directors (the</w:t>
      </w:r>
    </w:p>
    <w:p>
      <w:pPr>
        <w:spacing w:after="0" w:line="181"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6"/>
          </w:cols>
          <w:pgMar w:left="694" w:top="280" w:right="259" w:bottom="1440" w:gutter="0" w:footer="0" w:header="0"/>
        </w:sectPr>
      </w:pPr>
    </w:p>
    <w:bookmarkStart w:id="41" w:name="page42"/>
    <w:bookmarkEnd w:id="41"/>
    <w:p>
      <w:pPr>
        <w:ind w:left="912"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“Committee”). In the event of a conflict between the Employee Stock Grant Communication and the records of the Committee, the latter shall govern and be determinative.</w:t>
      </w:r>
    </w:p>
    <w:p>
      <w:pPr>
        <w:spacing w:after="0" w:line="172" w:lineRule="exact"/>
        <w:rPr>
          <w:sz w:val="20"/>
          <w:szCs w:val="20"/>
          <w:color w:val="auto"/>
        </w:rPr>
      </w:pPr>
    </w:p>
    <w:p>
      <w:pPr>
        <w:ind w:left="452" w:right="60" w:hanging="452"/>
        <w:spacing w:after="0" w:line="290" w:lineRule="auto"/>
        <w:tabs>
          <w:tab w:leader="none" w:pos="452"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Each year in which this Award is in effect, you will receive a payment equivalent to the cash dividends you would have received if the shares to which you are entitled under this Award, but not yet issued in your name, had already been issued to you (“Dividend Equivalents”); provided, however, that no payment will be made if your Award has terminated before the last dividend record date of the year for any reason other than vesting. The payment to which you are entitled under this paragraph will be made once each year on or as soon as practicable after the date of the last cash dividend payment in the year. The Dividend Equivalents will be calculated for the record dates on which this Award was in effect during the year. If the number of shares to which you are entitled under this Award is reduced pursuant to Section 1(b)(ii) or (v), then your right to dividend equivalents will be correspondingly reduced with effect from the date of your retirement or commencement of a Bridge to Retirement, as applicable.</w:t>
      </w:r>
    </w:p>
    <w:p>
      <w:pPr>
        <w:spacing w:after="0" w:line="158" w:lineRule="exact"/>
        <w:rPr>
          <w:rFonts w:ascii="Arial" w:cs="Arial" w:eastAsia="Arial" w:hAnsi="Arial"/>
          <w:sz w:val="16"/>
          <w:szCs w:val="16"/>
          <w:color w:val="auto"/>
        </w:rPr>
      </w:pPr>
    </w:p>
    <w:p>
      <w:pPr>
        <w:ind w:left="452" w:right="460" w:hanging="452"/>
        <w:spacing w:after="0" w:line="268" w:lineRule="auto"/>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Continuing Employment</w:t>
      </w:r>
      <w:r>
        <w:rPr>
          <w:rFonts w:ascii="Arial" w:cs="Arial" w:eastAsia="Arial" w:hAnsi="Arial"/>
          <w:sz w:val="18"/>
          <w:szCs w:val="18"/>
          <w:color w:val="auto"/>
        </w:rPr>
        <w:t>. This Award will not constitute or be evidence of any agreement or understanding, expressed or implied, on the part of TI to employ you for any specific period.</w:t>
      </w:r>
    </w:p>
    <w:p>
      <w:pPr>
        <w:spacing w:after="0" w:line="172"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Your Award is not transferable except by will or by the laws of descent and distribution. During your lifetime, the shares issuable hereunder may be issued only to you.</w:t>
      </w:r>
    </w:p>
    <w:p>
      <w:pPr>
        <w:spacing w:after="0" w:line="172" w:lineRule="exact"/>
        <w:rPr>
          <w:rFonts w:ascii="Arial" w:cs="Arial" w:eastAsia="Arial" w:hAnsi="Arial"/>
          <w:sz w:val="18"/>
          <w:szCs w:val="18"/>
          <w:color w:val="auto"/>
        </w:rPr>
      </w:pPr>
    </w:p>
    <w:p>
      <w:pPr>
        <w:ind w:left="452" w:hanging="452"/>
        <w:spacing w:after="0" w:line="256" w:lineRule="auto"/>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Long-Term Incentive Plan</w:t>
      </w:r>
      <w:r>
        <w:rPr>
          <w:rFonts w:ascii="Arial" w:cs="Arial" w:eastAsia="Arial" w:hAnsi="Arial"/>
          <w:sz w:val="18"/>
          <w:szCs w:val="18"/>
          <w:color w:val="auto"/>
        </w:rPr>
        <w:t>. Your Award is subject to all of the terms and conditions of the Texas Instruments 2000 Long-Term Incentive Plan (“the Plan”). In the event of any conflict between such terms and conditions and those set forth herein, the terms of the Plan shall govern and be determinative. It is expressly intended that the definition of Change in Control contained in Section 9(a) shall supersede any definition of such term or similar term that may be contained in the Plan</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color w:val="auto"/>
        </w:rPr>
      </w:pPr>
    </w:p>
    <w:p>
      <w:pPr>
        <w:ind w:left="452" w:right="60" w:hanging="452"/>
        <w:spacing w:after="0" w:line="275" w:lineRule="auto"/>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 and Competition</w:t>
      </w:r>
      <w:r>
        <w:rPr>
          <w:rFonts w:ascii="Arial" w:cs="Arial" w:eastAsia="Arial" w:hAnsi="Arial"/>
          <w:sz w:val="18"/>
          <w:szCs w:val="18"/>
          <w:color w:val="auto"/>
        </w:rPr>
        <w:t>. By accepting your Award, and in consideration for the Award and for the Company’s obligations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you agree with the Company as follows:</w:t>
      </w:r>
    </w:p>
    <w:p>
      <w:pPr>
        <w:spacing w:after="0" w:line="166" w:lineRule="exact"/>
        <w:rPr>
          <w:rFonts w:ascii="Arial" w:cs="Arial" w:eastAsia="Arial" w:hAnsi="Arial"/>
          <w:sz w:val="18"/>
          <w:szCs w:val="18"/>
          <w:color w:val="auto"/>
        </w:rPr>
      </w:pPr>
    </w:p>
    <w:p>
      <w:pPr>
        <w:ind w:left="892" w:right="160" w:hanging="446"/>
        <w:spacing w:after="0" w:line="306" w:lineRule="auto"/>
        <w:tabs>
          <w:tab w:leader="none" w:pos="892" w:val="left"/>
        </w:tabs>
        <w:numPr>
          <w:ilvl w:val="1"/>
          <w:numId w:val="52"/>
        </w:numPr>
        <w:rPr>
          <w:rFonts w:ascii="Arial" w:cs="Arial" w:eastAsia="Arial" w:hAnsi="Arial"/>
          <w:sz w:val="16"/>
          <w:szCs w:val="16"/>
          <w:color w:val="auto"/>
        </w:rPr>
      </w:pPr>
      <w:r>
        <w:rPr>
          <w:rFonts w:ascii="Arial" w:cs="Arial" w:eastAsia="Arial" w:hAnsi="Arial"/>
          <w:sz w:val="16"/>
          <w:szCs w:val="16"/>
          <w:color w:val="auto"/>
        </w:rPr>
        <w:t>You recognize and acknowledge that in the course of your employment with TI, you have obtained private or confidential information and proprietary data relating to TI, including but not limited to TI’s trade secrets (“Confidential Information”). TI agrees that it will continue to provide you with access to its Confidential Information to the extent necessary for you to carry out the duties of your employment with TI.</w:t>
      </w:r>
    </w:p>
    <w:p>
      <w:pPr>
        <w:spacing w:after="0" w:line="147" w:lineRule="exact"/>
        <w:rPr>
          <w:rFonts w:ascii="Arial" w:cs="Arial" w:eastAsia="Arial" w:hAnsi="Arial"/>
          <w:sz w:val="16"/>
          <w:szCs w:val="16"/>
          <w:color w:val="auto"/>
        </w:rPr>
      </w:pPr>
    </w:p>
    <w:p>
      <w:pPr>
        <w:ind w:left="892" w:right="480" w:hanging="446"/>
        <w:spacing w:after="0" w:line="268" w:lineRule="auto"/>
        <w:tabs>
          <w:tab w:leader="none" w:pos="892" w:val="left"/>
        </w:tabs>
        <w:numPr>
          <w:ilvl w:val="1"/>
          <w:numId w:val="52"/>
        </w:numPr>
        <w:rPr>
          <w:rFonts w:ascii="Arial" w:cs="Arial" w:eastAsia="Arial" w:hAnsi="Arial"/>
          <w:sz w:val="18"/>
          <w:szCs w:val="18"/>
          <w:color w:val="auto"/>
        </w:rPr>
      </w:pPr>
      <w:r>
        <w:rPr>
          <w:rFonts w:ascii="Arial" w:cs="Arial" w:eastAsia="Arial" w:hAnsi="Arial"/>
          <w:sz w:val="18"/>
          <w:szCs w:val="18"/>
          <w:color w:val="auto"/>
        </w:rPr>
        <w:t>You agree not to use or disclose to third parties, either directly or indirectly, Confidential Information at any time, except with the prior written consent of TI.</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80" w:right="259" w:bottom="1440" w:gutter="0" w:footer="0" w:header="0"/>
        </w:sectPr>
      </w:pPr>
    </w:p>
    <w:bookmarkStart w:id="42" w:name="page43"/>
    <w:bookmarkEnd w:id="42"/>
    <w:p>
      <w:pPr>
        <w:jc w:val="both"/>
        <w:ind w:left="912"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Without intending to limit the remedies available to TI, you acknowledge that damages at law will be an insufficient remedy to TI if you violate the terms of this Section 6(b) and agree that TI may apply for and have injunctive relief in any court of competent jurisdiction specifically to enforce the terms of this paragraph upon the breach or threatened breach of any such terms or otherwise specifically to enforce such terms.</w:t>
      </w:r>
    </w:p>
    <w:p>
      <w:pPr>
        <w:spacing w:after="0" w:line="147" w:lineRule="exact"/>
        <w:rPr>
          <w:sz w:val="20"/>
          <w:szCs w:val="20"/>
          <w:color w:val="auto"/>
        </w:rPr>
      </w:pPr>
    </w:p>
    <w:p>
      <w:pPr>
        <w:ind w:left="892" w:right="60" w:hanging="446"/>
        <w:spacing w:after="0" w:line="288" w:lineRule="auto"/>
        <w:tabs>
          <w:tab w:leader="none" w:pos="892" w:val="left"/>
        </w:tabs>
        <w:numPr>
          <w:ilvl w:val="1"/>
          <w:numId w:val="53"/>
        </w:numPr>
        <w:rPr>
          <w:rFonts w:ascii="Arial" w:cs="Arial" w:eastAsia="Arial" w:hAnsi="Arial"/>
          <w:sz w:val="16"/>
          <w:szCs w:val="16"/>
          <w:color w:val="auto"/>
        </w:rPr>
      </w:pPr>
      <w:r>
        <w:rPr>
          <w:rFonts w:ascii="Arial" w:cs="Arial" w:eastAsia="Arial" w:hAnsi="Arial"/>
          <w:sz w:val="16"/>
          <w:szCs w:val="16"/>
          <w:color w:val="auto"/>
        </w:rPr>
        <w:t>You agree that, if, during your employment and for a period of two years thereafter you engage in Competition (as defined in Section 9(c)), either directly or indirectly, for your own benefit or on behalf of any other person or entity, or, if at any time, you use or disclose to third parties any Confidential Information without the written consent of TI, then (i) the Company’s obligation to issue shares under this Award will terminate and become void, and (ii) you shall repay immediately to TI the Fair Market Value (as defined in Section 9(j) below) of any shares of stock issued to you (or immediately surrender to the Company the same number of shares of stock as were issued to you) under this Award within three years prior to termination of your employment or any time after termination of your employment. If your Award provides for more than one Vesting Date, then payment shall be made, or shares surrendered, with respect to each such Vesting Date. Any amount payable (or number of shares subject to surrender) to the Company pursuant to this provision may be reduced or waived as the Company, in its sole judgment, deems warranted by the circumstances.</w:t>
      </w:r>
    </w:p>
    <w:p>
      <w:pPr>
        <w:spacing w:after="0" w:line="160" w:lineRule="exact"/>
        <w:rPr>
          <w:rFonts w:ascii="Arial" w:cs="Arial" w:eastAsia="Arial" w:hAnsi="Arial"/>
          <w:sz w:val="16"/>
          <w:szCs w:val="16"/>
          <w:color w:val="auto"/>
        </w:rPr>
      </w:pPr>
    </w:p>
    <w:p>
      <w:pPr>
        <w:ind w:left="892" w:right="60" w:hanging="446"/>
        <w:spacing w:after="0" w:line="259" w:lineRule="auto"/>
        <w:tabs>
          <w:tab w:leader="none" w:pos="892" w:val="left"/>
        </w:tabs>
        <w:numPr>
          <w:ilvl w:val="1"/>
          <w:numId w:val="53"/>
        </w:numPr>
        <w:rPr>
          <w:rFonts w:ascii="Arial" w:cs="Arial" w:eastAsia="Arial" w:hAnsi="Arial"/>
          <w:sz w:val="18"/>
          <w:szCs w:val="18"/>
          <w:color w:val="auto"/>
        </w:rPr>
      </w:pPr>
      <w:r>
        <w:rPr>
          <w:rFonts w:ascii="Arial" w:cs="Arial" w:eastAsia="Arial" w:hAnsi="Arial"/>
          <w:sz w:val="18"/>
          <w:szCs w:val="18"/>
          <w:color w:val="auto"/>
        </w:rPr>
        <w:t>You recognize and acknowledge that the provisions of this Section 6 are entered into by you in consideration of, and as a material inducement to, the agreements by the Company herein as well as an inducement for the Company to enter into this Agreement, and that, but for your agreement to the provisions of this Section 6, the Company would not have entered into this agreement.</w:t>
      </w:r>
    </w:p>
    <w:p>
      <w:pPr>
        <w:spacing w:after="0" w:line="180" w:lineRule="exact"/>
        <w:rPr>
          <w:rFonts w:ascii="Arial" w:cs="Arial" w:eastAsia="Arial" w:hAnsi="Arial"/>
          <w:sz w:val="18"/>
          <w:szCs w:val="18"/>
          <w:color w:val="auto"/>
        </w:rPr>
      </w:pPr>
    </w:p>
    <w:p>
      <w:pPr>
        <w:ind w:left="452" w:hanging="452"/>
        <w:spacing w:after="0" w:line="289" w:lineRule="auto"/>
        <w:tabs>
          <w:tab w:leader="none" w:pos="452"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Responsibility for Taxes</w:t>
      </w:r>
      <w:r>
        <w:rPr>
          <w:rFonts w:ascii="Arial" w:cs="Arial" w:eastAsia="Arial" w:hAnsi="Arial"/>
          <w:sz w:val="16"/>
          <w:szCs w:val="16"/>
          <w:color w:val="auto"/>
        </w:rPr>
        <w:t>. You acknowledge that the ultimate liability for income tax, social insurance or other tax-related withholding (“Tax-Related Items”) in connection with this Award, the payment of Dividend Equivalents or the issuance of shares hereunder, or the subsequent sale of such shares is your responsibility, and that TI makes (a) no representations or undertakings with respect to the treatment for tax purposes of this Award, any shares or Dividend Equivalents received hereunder, the sale of such shares or any dividends paid on issued shares and (b) does not commit to structure the grant to reduce your liability for Tax-Related Items. You authorize TI to withhold all applicable Tax-Related Items legally payable by you from your wages or other cash compensation paid to you by TI, from Dividend Equivalents or from proceeds of the sale of the shares. If permissible under local law, TI may (a) sell or arrange for the sale of shares that you acquire to meet the withholding obligation for Tax-Related Items, and/or (b) withhold shares, provided that TI only withholds the number of shares necessary to satisfy the minimum</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80" w:right="239" w:bottom="1440" w:gutter="0" w:footer="0" w:header="0"/>
        </w:sectPr>
      </w:pPr>
    </w:p>
    <w:bookmarkStart w:id="43" w:name="page44"/>
    <w:bookmarkEnd w:id="43"/>
    <w:p>
      <w:pPr>
        <w:ind w:left="452"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withholding amount. Finally, you shall pay to TI any amount of Tax-Related Items that TI may be required to withhold that cannot be satisfied by the means described above.</w:t>
      </w:r>
    </w:p>
    <w:p>
      <w:pPr>
        <w:spacing w:after="0" w:line="172" w:lineRule="exact"/>
        <w:rPr>
          <w:sz w:val="20"/>
          <w:szCs w:val="20"/>
          <w:color w:val="auto"/>
        </w:rPr>
      </w:pPr>
    </w:p>
    <w:p>
      <w:pPr>
        <w:ind w:left="452" w:right="20" w:hanging="452"/>
        <w:spacing w:after="0" w:line="289" w:lineRule="auto"/>
        <w:tabs>
          <w:tab w:leader="none" w:pos="452"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Nature of Grant</w:t>
      </w:r>
      <w:r>
        <w:rPr>
          <w:rFonts w:ascii="Arial" w:cs="Arial" w:eastAsia="Arial" w:hAnsi="Arial"/>
          <w:sz w:val="16"/>
          <w:szCs w:val="16"/>
          <w:color w:val="auto"/>
        </w:rPr>
        <w:t>. In accepting this Award, you acknowledge that: (a) the Plan is established voluntarily by the Company, it is discretionary in nature and it may be modified, amended, suspended or terminated by the Company at any time, as provided in the Plan; (b) all decisions with respect to future awards, if any, will be at the sole discretion of the Company; (c) the Award is voluntary and occasional and does not create any contractual or other right to receive future Awards, or benefits in lieu of Awards; (d) you are voluntarily participating in the Plan; (e) your Award is an extraordinary item that does not constitute compensation for services rendered to TI; (f) your Award is not part of normal or expected compensation or salary for any purposes, including, but not limited to, calculating any severance, termination, pension or retirement benefits or similar payments; (g) the Award will not be interpreted to form an employment contract or relationship with TI; (h) the future value of the underlying shares is unknown and cannot be predicted with certainty; and (i) if you receive shares, the value of such shares may increase or decrease in value.</w:t>
      </w:r>
    </w:p>
    <w:p>
      <w:pPr>
        <w:spacing w:after="0" w:line="158" w:lineRule="exact"/>
        <w:rPr>
          <w:rFonts w:ascii="Arial" w:cs="Arial" w:eastAsia="Arial" w:hAnsi="Arial"/>
          <w:sz w:val="16"/>
          <w:szCs w:val="16"/>
          <w:color w:val="auto"/>
        </w:rPr>
      </w:pPr>
    </w:p>
    <w:p>
      <w:pPr>
        <w:ind w:left="452" w:hanging="452"/>
        <w:spacing w:after="0"/>
        <w:tabs>
          <w:tab w:leader="none" w:pos="452"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892" w:hanging="446"/>
        <w:spacing w:after="0" w:line="286" w:lineRule="auto"/>
        <w:tabs>
          <w:tab w:leader="none" w:pos="892"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i w:val="1"/>
          <w:iCs w:val="1"/>
          <w:color w:val="auto"/>
        </w:rPr>
        <w:t>Change in Control</w:t>
      </w:r>
      <w:r>
        <w:rPr>
          <w:rFonts w:ascii="Arial" w:cs="Arial" w:eastAsia="Arial" w:hAnsi="Arial"/>
          <w:sz w:val="16"/>
          <w:szCs w:val="16"/>
          <w:color w:val="auto"/>
        </w:rPr>
        <w:t>” means an event when (i) any Person, alone or together with its Affiliates and Associates or otherwise, shall become an Acquiring Person otherwise than pursuant to a transaction or agreement approved by the Board of Directors of the Company prior to the time the Acquiring Person became such, or (ii) a majority of the Board of Directors of the Company shall change within any 24-month period unless the election or the nomination for election by the Company’s stockholders of each new director has been approved by a vote of at least a majority of the directors then still in office who were directors at the beginning of the period. For the purposes hereof, the terms Person, Affiliates, Associates and Acquiring Person shall have the meanings given to such terms in the Rights Agreement dated as of June 18, 1998, between the Company and Harris Trust and Savings Bank, as in effect on the Grant Date; provided, however, that if the percentage employed in the definition of Acquiring Person is reduced hereafter from 20% in such Rights Agreement or any successor Rights Agreement, then such reduction shall also be applicable for the purposes hereof. Notwithstanding the foregoing, if your Award is or becomes subject to Section 409A of the Internal Revenue Code, then “Change in Control” shall mean a change in control event as to the Company, as defined in Section 409A of the Internal Revenue Code and the regulations thereunder.</w:t>
      </w:r>
    </w:p>
    <w:p>
      <w:pPr>
        <w:spacing w:after="0" w:line="167" w:lineRule="exact"/>
        <w:rPr>
          <w:rFonts w:ascii="Arial" w:cs="Arial" w:eastAsia="Arial" w:hAnsi="Arial"/>
          <w:sz w:val="16"/>
          <w:szCs w:val="16"/>
          <w:color w:val="auto"/>
        </w:rPr>
      </w:pPr>
    </w:p>
    <w:p>
      <w:pPr>
        <w:ind w:left="892" w:right="760" w:hanging="446"/>
        <w:spacing w:after="0" w:line="268" w:lineRule="auto"/>
        <w:tabs>
          <w:tab w:leader="none" w:pos="892"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Company</w:t>
      </w:r>
      <w:r>
        <w:rPr>
          <w:rFonts w:ascii="Arial" w:cs="Arial" w:eastAsia="Arial" w:hAnsi="Arial"/>
          <w:sz w:val="18"/>
          <w:szCs w:val="18"/>
          <w:color w:val="auto"/>
        </w:rPr>
        <w:t>” means Texas Instruments Incorporated and the term “</w:t>
      </w:r>
      <w:r>
        <w:rPr>
          <w:rFonts w:ascii="Arial" w:cs="Arial" w:eastAsia="Arial" w:hAnsi="Arial"/>
          <w:sz w:val="18"/>
          <w:szCs w:val="18"/>
          <w:i w:val="1"/>
          <w:iCs w:val="1"/>
          <w:color w:val="auto"/>
        </w:rPr>
        <w:t>TI</w:t>
      </w:r>
      <w:r>
        <w:rPr>
          <w:rFonts w:ascii="Arial" w:cs="Arial" w:eastAsia="Arial" w:hAnsi="Arial"/>
          <w:sz w:val="18"/>
          <w:szCs w:val="18"/>
          <w:color w:val="auto"/>
        </w:rPr>
        <w:t>” means and includes Texas Instruments Incorporated and its subsidiaries.</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80" w:right="259" w:bottom="1440" w:gutter="0" w:footer="0" w:header="0"/>
        </w:sectPr>
      </w:pPr>
    </w:p>
    <w:bookmarkStart w:id="44" w:name="page45"/>
    <w:bookmarkEnd w:id="44"/>
    <w:p>
      <w:pPr>
        <w:ind w:left="446" w:hanging="446"/>
        <w:spacing w:after="0"/>
        <w:tabs>
          <w:tab w:leader="none" w:pos="446"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term </w:t>
      </w:r>
      <w:r>
        <w:rPr>
          <w:rFonts w:ascii="Arial" w:cs="Arial" w:eastAsia="Arial" w:hAnsi="Arial"/>
          <w:sz w:val="18"/>
          <w:szCs w:val="18"/>
          <w:b w:val="1"/>
          <w:bCs w:val="1"/>
          <w:i w:val="1"/>
          <w:iCs w:val="1"/>
          <w:color w:val="auto"/>
        </w:rPr>
        <w:t>“Competition”</w:t>
      </w:r>
      <w:r>
        <w:rPr>
          <w:rFonts w:ascii="Arial" w:cs="Arial" w:eastAsia="Arial" w:hAnsi="Arial"/>
          <w:sz w:val="18"/>
          <w:szCs w:val="18"/>
          <w:b w:val="1"/>
          <w:bCs w:val="1"/>
          <w:color w:val="auto"/>
        </w:rPr>
        <w:t xml:space="preserve"> means:</w:t>
      </w:r>
    </w:p>
    <w:p>
      <w:pPr>
        <w:spacing w:after="0" w:line="217" w:lineRule="exact"/>
        <w:rPr>
          <w:rFonts w:ascii="Arial" w:cs="Arial" w:eastAsia="Arial" w:hAnsi="Arial"/>
          <w:sz w:val="18"/>
          <w:szCs w:val="18"/>
          <w:color w:val="auto"/>
        </w:rPr>
      </w:pPr>
    </w:p>
    <w:p>
      <w:pPr>
        <w:jc w:val="both"/>
        <w:ind w:left="1026" w:right="60" w:hanging="567"/>
        <w:spacing w:after="0" w:line="259" w:lineRule="auto"/>
        <w:tabs>
          <w:tab w:leader="none" w:pos="1026" w:val="left"/>
        </w:tabs>
        <w:numPr>
          <w:ilvl w:val="1"/>
          <w:numId w:val="56"/>
        </w:numPr>
        <w:rPr>
          <w:rFonts w:ascii="Arial" w:cs="Arial" w:eastAsia="Arial" w:hAnsi="Arial"/>
          <w:sz w:val="18"/>
          <w:szCs w:val="18"/>
          <w:color w:val="auto"/>
        </w:rPr>
      </w:pPr>
      <w:r>
        <w:rPr>
          <w:rFonts w:ascii="Arial" w:cs="Arial" w:eastAsia="Arial" w:hAnsi="Arial"/>
          <w:sz w:val="18"/>
          <w:szCs w:val="18"/>
          <w:color w:val="auto"/>
        </w:rPr>
        <w:t>engaging in any business activity similar to that in which you engaged during your last three years of employment with TI for any person or entity selling, marketing, designing or manufacturing products the same as, similar to, or that compete with products that TI sells or markets in any area that TI sells or markets such products;</w:t>
      </w:r>
    </w:p>
    <w:p>
      <w:pPr>
        <w:spacing w:after="0" w:line="180" w:lineRule="exact"/>
        <w:rPr>
          <w:rFonts w:ascii="Arial" w:cs="Arial" w:eastAsia="Arial" w:hAnsi="Arial"/>
          <w:sz w:val="18"/>
          <w:szCs w:val="18"/>
          <w:color w:val="auto"/>
        </w:rPr>
      </w:pPr>
    </w:p>
    <w:p>
      <w:pPr>
        <w:ind w:left="1026" w:right="100" w:hanging="567"/>
        <w:spacing w:after="0" w:line="259" w:lineRule="auto"/>
        <w:tabs>
          <w:tab w:leader="none" w:pos="1026" w:val="left"/>
        </w:tabs>
        <w:numPr>
          <w:ilvl w:val="1"/>
          <w:numId w:val="56"/>
        </w:numPr>
        <w:rPr>
          <w:rFonts w:ascii="Arial" w:cs="Arial" w:eastAsia="Arial" w:hAnsi="Arial"/>
          <w:sz w:val="18"/>
          <w:szCs w:val="18"/>
          <w:color w:val="auto"/>
        </w:rPr>
      </w:pPr>
      <w:r>
        <w:rPr>
          <w:rFonts w:ascii="Arial" w:cs="Arial" w:eastAsia="Arial" w:hAnsi="Arial"/>
          <w:sz w:val="18"/>
          <w:szCs w:val="18"/>
          <w:color w:val="auto"/>
        </w:rPr>
        <w:t>engaging in the selling or marketing of any products that are the same as, similar to, or that compete with any products that you sold or marketed, or attempted to sell or market, during the last three years of your employment with TI in any area in which you sold or marketed, or attempted to sell or market, such products;</w:t>
      </w:r>
    </w:p>
    <w:p>
      <w:pPr>
        <w:spacing w:after="0" w:line="180" w:lineRule="exact"/>
        <w:rPr>
          <w:rFonts w:ascii="Arial" w:cs="Arial" w:eastAsia="Arial" w:hAnsi="Arial"/>
          <w:sz w:val="18"/>
          <w:szCs w:val="18"/>
          <w:color w:val="auto"/>
        </w:rPr>
      </w:pPr>
    </w:p>
    <w:p>
      <w:pPr>
        <w:ind w:left="1026" w:hanging="567"/>
        <w:spacing w:after="0" w:line="259" w:lineRule="auto"/>
        <w:tabs>
          <w:tab w:leader="none" w:pos="1026" w:val="left"/>
        </w:tabs>
        <w:numPr>
          <w:ilvl w:val="1"/>
          <w:numId w:val="56"/>
        </w:numPr>
        <w:rPr>
          <w:rFonts w:ascii="Arial" w:cs="Arial" w:eastAsia="Arial" w:hAnsi="Arial"/>
          <w:sz w:val="18"/>
          <w:szCs w:val="18"/>
          <w:color w:val="auto"/>
        </w:rPr>
      </w:pPr>
      <w:r>
        <w:rPr>
          <w:rFonts w:ascii="Arial" w:cs="Arial" w:eastAsia="Arial" w:hAnsi="Arial"/>
          <w:sz w:val="18"/>
          <w:szCs w:val="18"/>
          <w:color w:val="auto"/>
        </w:rPr>
        <w:t>engaging in the manufacture or design of any products that are the same as, similar to or that compete with any products that you sold or marketed, or attempted to sell or market, or participated in the design or manufacture of, during the last three years of your employment with TI; or</w:t>
      </w:r>
    </w:p>
    <w:p>
      <w:pPr>
        <w:spacing w:after="0" w:line="180" w:lineRule="exact"/>
        <w:rPr>
          <w:rFonts w:ascii="Arial" w:cs="Arial" w:eastAsia="Arial" w:hAnsi="Arial"/>
          <w:sz w:val="18"/>
          <w:szCs w:val="18"/>
          <w:color w:val="auto"/>
        </w:rPr>
      </w:pPr>
    </w:p>
    <w:p>
      <w:pPr>
        <w:ind w:left="1026" w:right="80" w:hanging="567"/>
        <w:spacing w:after="0" w:line="259" w:lineRule="auto"/>
        <w:tabs>
          <w:tab w:leader="none" w:pos="1026" w:val="left"/>
        </w:tabs>
        <w:numPr>
          <w:ilvl w:val="1"/>
          <w:numId w:val="56"/>
        </w:numPr>
        <w:rPr>
          <w:rFonts w:ascii="Arial" w:cs="Arial" w:eastAsia="Arial" w:hAnsi="Arial"/>
          <w:sz w:val="18"/>
          <w:szCs w:val="18"/>
          <w:color w:val="auto"/>
        </w:rPr>
      </w:pPr>
      <w:r>
        <w:rPr>
          <w:rFonts w:ascii="Arial" w:cs="Arial" w:eastAsia="Arial" w:hAnsi="Arial"/>
          <w:sz w:val="18"/>
          <w:szCs w:val="18"/>
          <w:color w:val="auto"/>
        </w:rPr>
        <w:t>engaging in the selling or marketing of any products that are the same as, similar to, or that compete with any products that you participated in the design or manufacture of during the last three years of your employment with TI in any area in which TI has sold or marketed, or attempted to sell or market, such products.</w:t>
      </w:r>
    </w:p>
    <w:p>
      <w:pPr>
        <w:spacing w:after="0" w:line="180" w:lineRule="exact"/>
        <w:rPr>
          <w:rFonts w:ascii="Arial" w:cs="Arial" w:eastAsia="Arial" w:hAnsi="Arial"/>
          <w:sz w:val="18"/>
          <w:szCs w:val="18"/>
          <w:color w:val="auto"/>
        </w:rPr>
      </w:pPr>
    </w:p>
    <w:p>
      <w:pPr>
        <w:ind w:left="446" w:hanging="446"/>
        <w:spacing w:after="0"/>
        <w:tabs>
          <w:tab w:leader="none" w:pos="44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Grant Date</w:t>
      </w:r>
      <w:r>
        <w:rPr>
          <w:rFonts w:ascii="Arial" w:cs="Arial" w:eastAsia="Arial" w:hAnsi="Arial"/>
          <w:sz w:val="18"/>
          <w:szCs w:val="18"/>
          <w:color w:val="auto"/>
        </w:rPr>
        <w:t>” means the date of grant of this Award.</w:t>
      </w:r>
    </w:p>
    <w:p>
      <w:pPr>
        <w:spacing w:after="0" w:line="211" w:lineRule="exact"/>
        <w:rPr>
          <w:rFonts w:ascii="Arial" w:cs="Arial" w:eastAsia="Arial" w:hAnsi="Arial"/>
          <w:sz w:val="18"/>
          <w:szCs w:val="18"/>
          <w:color w:val="auto"/>
        </w:rPr>
      </w:pPr>
    </w:p>
    <w:p>
      <w:pPr>
        <w:ind w:left="446" w:hanging="446"/>
        <w:spacing w:after="0" w:line="332" w:lineRule="auto"/>
        <w:tabs>
          <w:tab w:leader="none" w:pos="446"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i w:val="1"/>
          <w:iCs w:val="1"/>
          <w:color w:val="auto"/>
        </w:rPr>
        <w:t>Pre-Retirement Period</w:t>
      </w:r>
      <w:r>
        <w:rPr>
          <w:rFonts w:ascii="Arial" w:cs="Arial" w:eastAsia="Arial" w:hAnsi="Arial"/>
          <w:sz w:val="16"/>
          <w:szCs w:val="16"/>
          <w:color w:val="auto"/>
        </w:rPr>
        <w:t>” means the number of whole 365-day periods from (and including) the Grant Date through the earlier of (i) the day before your termination is effective or (ii) the day before the beginning of any Bridge to Retirement you have commenced after the Grant Date.</w:t>
      </w:r>
    </w:p>
    <w:p>
      <w:pPr>
        <w:spacing w:after="0" w:line="125" w:lineRule="exact"/>
        <w:rPr>
          <w:rFonts w:ascii="Arial" w:cs="Arial" w:eastAsia="Arial" w:hAnsi="Arial"/>
          <w:sz w:val="16"/>
          <w:szCs w:val="16"/>
          <w:color w:val="auto"/>
        </w:rPr>
      </w:pPr>
    </w:p>
    <w:p>
      <w:pPr>
        <w:ind w:left="446" w:hanging="446"/>
        <w:spacing w:after="0"/>
        <w:tabs>
          <w:tab w:leader="none" w:pos="446"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i w:val="1"/>
          <w:iCs w:val="1"/>
          <w:color w:val="auto"/>
        </w:rPr>
        <w:t>Vesting Period</w:t>
      </w:r>
      <w:r>
        <w:rPr>
          <w:rFonts w:ascii="Arial" w:cs="Arial" w:eastAsia="Arial" w:hAnsi="Arial"/>
          <w:sz w:val="16"/>
          <w:szCs w:val="16"/>
          <w:color w:val="auto"/>
        </w:rPr>
        <w:t>” means the number of whole 365-day periods from (and including) the Grant Date of the Award through the Vesting Date.</w:t>
      </w:r>
    </w:p>
    <w:p>
      <w:pPr>
        <w:spacing w:after="0" w:line="234" w:lineRule="exact"/>
        <w:rPr>
          <w:rFonts w:ascii="Arial" w:cs="Arial" w:eastAsia="Arial" w:hAnsi="Arial"/>
          <w:sz w:val="16"/>
          <w:szCs w:val="16"/>
          <w:color w:val="auto"/>
        </w:rPr>
      </w:pPr>
    </w:p>
    <w:p>
      <w:pPr>
        <w:ind w:left="446" w:right="660" w:hanging="446"/>
        <w:spacing w:after="0" w:line="268" w:lineRule="auto"/>
        <w:tabs>
          <w:tab w:leader="none" w:pos="446"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term </w:t>
      </w:r>
      <w:r>
        <w:rPr>
          <w:rFonts w:ascii="Arial" w:cs="Arial" w:eastAsia="Arial" w:hAnsi="Arial"/>
          <w:sz w:val="18"/>
          <w:szCs w:val="18"/>
          <w:i w:val="1"/>
          <w:iCs w:val="1"/>
          <w:color w:val="auto"/>
        </w:rPr>
        <w:t>“Bridge to Retirement”</w:t>
      </w:r>
      <w:r>
        <w:rPr>
          <w:rFonts w:ascii="Arial" w:cs="Arial" w:eastAsia="Arial" w:hAnsi="Arial"/>
          <w:sz w:val="18"/>
          <w:szCs w:val="18"/>
          <w:color w:val="auto"/>
        </w:rPr>
        <w:t xml:space="preserve"> means an unpaid leave of absence that TI has granted you solely to enable you to qualify for retirement as described in Section 1(b)(ii).</w:t>
      </w:r>
    </w:p>
    <w:p>
      <w:pPr>
        <w:spacing w:after="0" w:line="172" w:lineRule="exact"/>
        <w:rPr>
          <w:rFonts w:ascii="Arial" w:cs="Arial" w:eastAsia="Arial" w:hAnsi="Arial"/>
          <w:sz w:val="18"/>
          <w:szCs w:val="18"/>
          <w:color w:val="auto"/>
        </w:rPr>
      </w:pPr>
    </w:p>
    <w:p>
      <w:pPr>
        <w:ind w:left="446" w:right="440" w:hanging="446"/>
        <w:spacing w:after="0" w:line="268" w:lineRule="auto"/>
        <w:tabs>
          <w:tab w:leader="none" w:pos="44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Pre-Bridge Period</w:t>
      </w:r>
      <w:r>
        <w:rPr>
          <w:rFonts w:ascii="Arial" w:cs="Arial" w:eastAsia="Arial" w:hAnsi="Arial"/>
          <w:sz w:val="18"/>
          <w:szCs w:val="18"/>
          <w:color w:val="auto"/>
        </w:rPr>
        <w:t>” means the number of whole 365-day periods from (and including) the Grant Date of this Award through the day before you began your Bridge to Retirement.</w:t>
      </w:r>
    </w:p>
    <w:p>
      <w:pPr>
        <w:spacing w:after="0" w:line="118"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6"/>
          </w:cols>
          <w:pgMar w:left="694" w:top="274" w:right="279" w:bottom="1440" w:gutter="0" w:footer="0" w:header="0"/>
        </w:sectPr>
      </w:pPr>
    </w:p>
    <w:bookmarkStart w:id="45" w:name="page46"/>
    <w:bookmarkEnd w:id="45"/>
    <w:p>
      <w:pPr>
        <w:ind w:left="900" w:right="180" w:hanging="446"/>
        <w:spacing w:after="0" w:line="268" w:lineRule="auto"/>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 “</w:t>
      </w:r>
      <w:r>
        <w:rPr>
          <w:rFonts w:ascii="Arial" w:cs="Arial" w:eastAsia="Arial" w:hAnsi="Arial"/>
          <w:sz w:val="18"/>
          <w:szCs w:val="18"/>
          <w:i w:val="1"/>
          <w:iCs w:val="1"/>
          <w:color w:val="auto"/>
        </w:rPr>
        <w:t>Employee Stock Grant Communication</w:t>
      </w:r>
      <w:r>
        <w:rPr>
          <w:rFonts w:ascii="Arial" w:cs="Arial" w:eastAsia="Arial" w:hAnsi="Arial"/>
          <w:sz w:val="18"/>
          <w:szCs w:val="18"/>
          <w:color w:val="auto"/>
        </w:rPr>
        <w:t>” means the written communication from the Company to you stating the date(s) of vesting and number of shares under the Award.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closing price of TI common stock on the New York Stock Exchange on the day before the Vesting Date.</w:t>
      </w:r>
    </w:p>
    <w:p>
      <w:pPr>
        <w:spacing w:after="0" w:line="234" w:lineRule="exact"/>
        <w:rPr>
          <w:rFonts w:ascii="Arial" w:cs="Arial" w:eastAsia="Arial" w:hAnsi="Arial"/>
          <w:sz w:val="16"/>
          <w:szCs w:val="16"/>
          <w:color w:val="auto"/>
        </w:rPr>
      </w:pPr>
    </w:p>
    <w:p>
      <w:pPr>
        <w:ind w:left="460" w:right="120" w:hanging="452"/>
        <w:spacing w:after="0" w:line="332"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You will not have any rights as a stockholder of the Company in respect of any shares of common stock of the Company issuable under this Award unless and until such shares are issued in your name and delivered to you in accordance with the provisions hereof.</w:t>
      </w:r>
    </w:p>
    <w:p>
      <w:pPr>
        <w:spacing w:after="0" w:line="125" w:lineRule="exact"/>
        <w:rPr>
          <w:rFonts w:ascii="Arial" w:cs="Arial" w:eastAsia="Arial" w:hAnsi="Arial"/>
          <w:sz w:val="16"/>
          <w:szCs w:val="16"/>
          <w:color w:val="auto"/>
        </w:rPr>
      </w:pPr>
    </w:p>
    <w:p>
      <w:pPr>
        <w:ind w:left="460" w:right="340" w:hanging="452"/>
        <w:spacing w:after="0" w:line="332"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Texas Law</w:t>
      </w:r>
      <w:r>
        <w:rPr>
          <w:rFonts w:ascii="Arial" w:cs="Arial" w:eastAsia="Arial" w:hAnsi="Arial"/>
          <w:sz w:val="16"/>
          <w:szCs w:val="16"/>
          <w:color w:val="auto"/>
        </w:rPr>
        <w:t>. This agreement and specifically the provisions of Section 6 hereof shall be construed both as to validity and performance and enforced in accordance with the laws of the State of Texas without giving effect to the principles of conflict of laws thereof.</w:t>
      </w:r>
    </w:p>
    <w:p>
      <w:pPr>
        <w:spacing w:after="0" w:line="125"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END</w:t>
      </w:r>
    </w:p>
    <w:p>
      <w:pPr>
        <w:spacing w:after="0" w:line="17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By accepting this Restricted Stock Unit Award Agreement, I acknowledge I have read and I agree to be bound by all of the terms and conditions set forth above, including Section 6 relating to Confidential Information and Competition.</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80"/>
          </w:cols>
          <w:pgMar w:left="240" w:top="280" w:right="37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10(q)</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Agreement and General Release</w:t>
      </w:r>
    </w:p>
    <w:p>
      <w:pPr>
        <w:spacing w:after="0" w:line="17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This Separation Agreement and General Release (“Agreement”) is entered into and effective as of January 23, 2007 (the “Effective Date”), between Texas Instruments Incorporated (“TI”) and Gilles Delfassy (“Executive”), sometimes referred to collectively herein as the “parties.”</w:t>
      </w:r>
    </w:p>
    <w:p>
      <w:pPr>
        <w:spacing w:after="0" w:line="8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This Agreement is made in consideration of the parties’ mutual desire to amicably terminate their employment relationship and the parties’ recognition of TI’s need to protect its legitimate business interests including its confidential information and trade secrets, business strategy, public image, market share, business relationships, customer information and goodwill. In consideration of the mutual promises set out in this Agreement and for other good and valuable consideration, TI and Executive agree as follows:</w:t>
      </w:r>
    </w:p>
    <w:p>
      <w:pPr>
        <w:spacing w:after="0" w:line="259"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TI Promises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 exchange for the promises contained in this Agreement and release of claims as set forth below, TI will provide Executive the following:</w:t>
      </w:r>
    </w:p>
    <w:p>
      <w:pPr>
        <w:spacing w:after="0" w:line="90" w:lineRule="exact"/>
        <w:rPr>
          <w:rFonts w:ascii="Arial" w:cs="Arial" w:eastAsia="Arial" w:hAnsi="Arial"/>
          <w:sz w:val="18"/>
          <w:szCs w:val="18"/>
          <w:b w:val="1"/>
          <w:bCs w:val="1"/>
          <w:color w:val="auto"/>
        </w:rPr>
      </w:pPr>
    </w:p>
    <w:p>
      <w:pPr>
        <w:ind w:left="900" w:hanging="446"/>
        <w:spacing w:after="0" w:line="256"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Paid Leave of Absence (“LOA”) status for one year beginning August 1, 2007. The paid LOA period will begin August 1, 2007 and continue through July 31, 2008. Executive will then be placed on an unpaid LOA period beginning August 1, 2008 and continuing until July 22, 2010 when Executive reaches age 55 (“Bridge to Retirement”) with sufficient service to TI to be retired. Executive will retire from TI on that date. Executive’s status as an employee of TI is continued through the LOA period.</w:t>
      </w:r>
    </w:p>
    <w:p>
      <w:pPr>
        <w:spacing w:after="0" w:line="62" w:lineRule="exact"/>
        <w:rPr>
          <w:rFonts w:ascii="Arial" w:cs="Arial" w:eastAsia="Arial" w:hAnsi="Arial"/>
          <w:sz w:val="18"/>
          <w:szCs w:val="18"/>
          <w:color w:val="auto"/>
        </w:rPr>
      </w:pPr>
    </w:p>
    <w:p>
      <w:pPr>
        <w:ind w:left="900" w:right="220" w:hanging="446"/>
        <w:spacing w:after="0" w:line="254"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Continued payment during the paid LOA of the base salary applicable to him as of the Effective Date, which is thirty seven thousand five hundred U.S. dollars ($37,500.00) per month, less applicable withholdings. This pay is not “eligible earnings” for pension, profit sharing, 401(k) Savings Plans, or deferred compensation. Executive shall receive this pay in his regular paycheck cycles according to his pay schedule. Direct deposit shall continue, online check stub shall be cancelled, and check stubs shall be mailed to the home address on file with TI. Executive will receive the full one-year base salary; however Section 409A of the Internal Revenue Code may require payment to be made differently than indicated above (see Section 4(b) below).</w:t>
      </w:r>
    </w:p>
    <w:p>
      <w:pPr>
        <w:spacing w:after="0" w:line="63" w:lineRule="exact"/>
        <w:rPr>
          <w:rFonts w:ascii="Arial" w:cs="Arial" w:eastAsia="Arial" w:hAnsi="Arial"/>
          <w:sz w:val="18"/>
          <w:szCs w:val="18"/>
          <w:color w:val="auto"/>
        </w:rPr>
      </w:pPr>
    </w:p>
    <w:p>
      <w:pPr>
        <w:ind w:left="900" w:right="240" w:hanging="446"/>
        <w:spacing w:after="0" w:line="259"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Certain benefits during the paid and unpaid LOA, including: Medical (including EAP—employee assistance program), Dental, Vision, Life, and AD&amp;D (accidental death &amp; dismemberment) coverage and deductions continue under the active plan and premium rate structure. Health Care and Dependent Care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7" w:name="page48"/>
    <w:bookmarkEnd w:id="47"/>
    <w:p>
      <w:pPr>
        <w:ind w:left="920"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Spending Account deductions and 401(k) loan deductions also continue during the paid LOA period, but stop during the unpaid Bridge LOA period. Time Bank accruals, deductions for 401(k) Savings Plans, and coverage and deductions for DPC (disability pay continuance) and LTD (long-term disability) end at the beginning of the paid LOA period. TI employment and associated benefits are automatically terminated at the end of the unpaid LOA. Upon termination of the unpaid LOA, Executive will be eligible for extended health benefits or COBRA.</w:t>
      </w:r>
    </w:p>
    <w:p>
      <w:pPr>
        <w:spacing w:after="0" w:line="32" w:lineRule="exact"/>
        <w:rPr>
          <w:sz w:val="20"/>
          <w:szCs w:val="20"/>
          <w:color w:val="auto"/>
        </w:rPr>
      </w:pPr>
    </w:p>
    <w:p>
      <w:pPr>
        <w:ind w:left="900" w:right="360" w:hanging="446"/>
        <w:spacing w:after="0" w:line="332"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Profit sharing, if any, based on eligible earnings and distributed during the paid LOA, less applicable withholdings. Executive’s eligible earnings shall be the eligible earnings received from TI for active employment between January 1, 2007 and July 31, 2007.</w:t>
      </w:r>
    </w:p>
    <w:p>
      <w:pPr>
        <w:spacing w:after="0" w:line="4" w:lineRule="exact"/>
        <w:rPr>
          <w:rFonts w:ascii="Arial" w:cs="Arial" w:eastAsia="Arial" w:hAnsi="Arial"/>
          <w:sz w:val="16"/>
          <w:szCs w:val="16"/>
          <w:color w:val="auto"/>
        </w:rPr>
      </w:pPr>
    </w:p>
    <w:p>
      <w:pPr>
        <w:ind w:left="900" w:hanging="446"/>
        <w:spacing w:after="0" w:line="290"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Continuation of outstanding stock options and restricted stock unit awards according to the terms and conditions cited in the controlling agreement(s) as such terms and conditions may be interpreted by the Compensation Committee of TI’s Board of Directors. For the purposes of such agreements, Executive shall remain an employee during the paid and unpaid LOA. With specific reference to Executive’s award of restricted stock units (“RSUs”) granted on January 19, 2006, (the “Award”) TI confirms that the terms and conditions of the Award provide that the number of RSUs under the Award will be reduced by 50 percent, and that Executive will receive as soon as practicable after the vesting date specified in the Award one share of TI common stock for each of the remaining RSUs, provided that (a) the LOA (paid and unpaid) periods contemplated by this Agreement occur, and (b) Executive complies with the terms and conditions of this Agreement and of the Award.</w:t>
      </w:r>
    </w:p>
    <w:p>
      <w:pPr>
        <w:spacing w:after="0" w:line="37" w:lineRule="exact"/>
        <w:rPr>
          <w:rFonts w:ascii="Arial" w:cs="Arial" w:eastAsia="Arial" w:hAnsi="Arial"/>
          <w:sz w:val="16"/>
          <w:szCs w:val="16"/>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Consulting services from Challenger Gray and Christmas for a period of one year from the Effective 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Reimbursement for educational expenses of up to $25,000 incurred by executive during the paid and unpaid LOA.</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After the Effective Date, TI will not provide Executive performance bonuses, grants of stock options or stock grants or other contingent or discretionary benefits or income that TI might have provided to him if he were an active employee.</w:t>
      </w:r>
    </w:p>
    <w:p>
      <w:pPr>
        <w:spacing w:after="0" w:line="248"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Executive’s Promises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 consideration of the promises contained in this Agreement, Executive agrees as follows.</w:t>
      </w:r>
    </w:p>
    <w:p>
      <w:pPr>
        <w:spacing w:after="0" w:line="90" w:lineRule="exact"/>
        <w:rPr>
          <w:rFonts w:ascii="Arial" w:cs="Arial" w:eastAsia="Arial" w:hAnsi="Arial"/>
          <w:sz w:val="18"/>
          <w:szCs w:val="18"/>
          <w:b w:val="1"/>
          <w:bCs w:val="1"/>
          <w:color w:val="auto"/>
        </w:rPr>
      </w:pPr>
    </w:p>
    <w:p>
      <w:pPr>
        <w:ind w:left="900" w:right="400" w:hanging="446"/>
        <w:spacing w:after="0" w:line="268"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On behalf of himself, his heirs, successors and assigns, and anyone claiming through him, irrevocably and unconditionally to release, acquit and forever discharge TI and/or its subsidiaries, divisions, predecessors, successors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8" w:name="page49"/>
    <w:bookmarkEnd w:id="48"/>
    <w:p>
      <w:pPr>
        <w:ind w:left="46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assigns, as well as their past and present officers, directors, executives, shareholders, trustees, joint venturers, partners, and anyone claiming through them (hereinafter “Releases” collectively), in their individual and/or corporate capacities, from any and all claims, liabilities, promises, actions, damages and the like, known or unknown, asserted or unasserted, arising prior to or existing at the time of the execution of this Agreement which Executive had, now has or may have against any of the Releases that arise out of or relate to Executive’s employment with TI and/or the termination of Executive’ employment with TI. Said claims include, but are not limited to: (1) claims for employment discrimination, harassment or retaliation arising under Title VII of the Civil Rights Act of 1964, as amended, the Americans with Disabilities Act, 42 U.S.C. sections 1981 and 1983, the Equal Pay Act, the Texas Commission on Human Rights Act, Texas Labor Code section 451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and/or any other relevant federal or state statute, local law or municipal ordinance; (2) claims arising under other federal or state employment statutes such as the Family Medical Leave Act, the Occupational Safety and Health Act, and section 510 of the Employee Retirement Income Security Act; (3) claims for disputed wages, whether arising under statutory or common-law, including those arising under the Texas Labor Code; (4) claims for wrongful discharge and/or breach of any alleged employment contract; (5) claims based on any tort, such as invasion of privacy, defamation, fraud, infliction of emotional distress, tortious interference with contract or business relations, or negligence; and (6) any other statutory or common-law cause of action providing rights for individuals or employees against their employers, provided, however, that he is not waiving any right to enforce TI’s promises under this Agreement. The releases given by Executive under this section constitute a general release.</w:t>
      </w:r>
    </w:p>
    <w:p>
      <w:pPr>
        <w:spacing w:after="0" w:line="47" w:lineRule="exact"/>
        <w:rPr>
          <w:sz w:val="20"/>
          <w:szCs w:val="20"/>
          <w:color w:val="auto"/>
        </w:rPr>
      </w:pPr>
    </w:p>
    <w:p>
      <w:pPr>
        <w:ind w:left="446" w:right="120" w:hanging="446"/>
        <w:spacing w:after="0" w:line="268" w:lineRule="auto"/>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Paragraph 2a specifically waives and releases any and all rights or claims he might have under the Age Discrimination in Employment Act of 1967, as amended, except for any claims that might arise after he signs this Agreement.</w:t>
      </w:r>
    </w:p>
    <w:p>
      <w:pPr>
        <w:spacing w:after="0" w:line="50" w:lineRule="exact"/>
        <w:rPr>
          <w:rFonts w:ascii="Arial" w:cs="Arial" w:eastAsia="Arial" w:hAnsi="Arial"/>
          <w:sz w:val="18"/>
          <w:szCs w:val="18"/>
          <w:color w:val="auto"/>
        </w:rPr>
      </w:pPr>
    </w:p>
    <w:p>
      <w:pPr>
        <w:jc w:val="both"/>
        <w:ind w:left="446" w:right="40" w:hanging="446"/>
        <w:spacing w:after="0" w:line="306" w:lineRule="auto"/>
        <w:tabs>
          <w:tab w:leader="none" w:pos="446" w:val="left"/>
        </w:tabs>
        <w:numPr>
          <w:ilvl w:val="0"/>
          <w:numId w:val="62"/>
        </w:numPr>
        <w:rPr>
          <w:rFonts w:ascii="Arial" w:cs="Arial" w:eastAsia="Arial" w:hAnsi="Arial"/>
          <w:sz w:val="16"/>
          <w:szCs w:val="16"/>
          <w:color w:val="auto"/>
        </w:rPr>
      </w:pPr>
      <w:r>
        <w:rPr>
          <w:rFonts w:ascii="Arial" w:cs="Arial" w:eastAsia="Arial" w:hAnsi="Arial"/>
          <w:sz w:val="16"/>
          <w:szCs w:val="16"/>
          <w:color w:val="auto"/>
        </w:rPr>
        <w:t>He will not bring any legal action against any of the Releases for any claim waived and released under this Agreement, and Executive represents and warrants that no such claim has been filed to date. Executive further agrees that should he bring any type of administrative or legal action arising out of claims waived under this Agreement, he will bear all legal fees and costs, including those of the Releases.</w:t>
      </w:r>
    </w:p>
    <w:p>
      <w:pPr>
        <w:spacing w:after="0" w:line="25" w:lineRule="exact"/>
        <w:rPr>
          <w:rFonts w:ascii="Arial" w:cs="Arial" w:eastAsia="Arial" w:hAnsi="Arial"/>
          <w:sz w:val="16"/>
          <w:szCs w:val="16"/>
          <w:color w:val="auto"/>
        </w:rPr>
      </w:pPr>
    </w:p>
    <w:p>
      <w:pPr>
        <w:ind w:left="446" w:right="360" w:hanging="446"/>
        <w:spacing w:after="0" w:line="268" w:lineRule="auto"/>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He will not accept any recoveries or benefits that might be obtained in his behalf by another person or organization or in any class action against Releases arising out of or related to his employment at TI or termination thereof.</w:t>
      </w:r>
    </w:p>
    <w:p>
      <w:pPr>
        <w:spacing w:after="0" w:line="50" w:lineRule="exact"/>
        <w:rPr>
          <w:rFonts w:ascii="Arial" w:cs="Arial" w:eastAsia="Arial" w:hAnsi="Arial"/>
          <w:sz w:val="18"/>
          <w:szCs w:val="18"/>
          <w:color w:val="auto"/>
        </w:rPr>
      </w:pPr>
    </w:p>
    <w:p>
      <w:pPr>
        <w:ind w:left="446" w:right="280" w:hanging="446"/>
        <w:spacing w:after="0" w:line="259" w:lineRule="auto"/>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He agrees that prior to his retirement from TI in July 2010, he will not accept a position on the board of directors or as an executive officer of any company other than a non-profit one without the approval of the Chief Executive Officer or General Counsel of TI. The decision on whether to approve will not be</w:t>
      </w:r>
    </w:p>
    <w:p>
      <w:pPr>
        <w:spacing w:after="0" w:line="127"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6"/>
          </w:cols>
          <w:pgMar w:left="694" w:top="280" w:right="259" w:bottom="1440" w:gutter="0" w:footer="0" w:header="0"/>
        </w:sectPr>
      </w:pPr>
    </w:p>
    <w:bookmarkStart w:id="49" w:name="page50"/>
    <w:bookmarkEnd w:id="49"/>
    <w:p>
      <w:pPr>
        <w:ind w:left="466"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unreasonably withheld and will be based on consideration of the potential competitive impact to TI and/or the relationship with a TI supplier or customer.</w:t>
      </w:r>
    </w:p>
    <w:p>
      <w:pPr>
        <w:spacing w:after="0" w:line="51" w:lineRule="exact"/>
        <w:rPr>
          <w:sz w:val="20"/>
          <w:szCs w:val="20"/>
          <w:color w:val="auto"/>
        </w:rPr>
      </w:pPr>
    </w:p>
    <w:p>
      <w:pPr>
        <w:ind w:left="446" w:right="20" w:hanging="446"/>
        <w:spacing w:after="0" w:line="259" w:lineRule="auto"/>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He agrees that prior to his retirement from TI in July 2010 he will not accept employment by, serve on the board of directors of, or otherwise provide consulting, advising, or other services, directly or indirectly, to any TI competitor unless such employment or service is approved by the Chief Executive Officer or General Counsel of TI.</w:t>
      </w:r>
    </w:p>
    <w:p>
      <w:pPr>
        <w:spacing w:after="0" w:line="59" w:lineRule="exact"/>
        <w:rPr>
          <w:rFonts w:ascii="Arial" w:cs="Arial" w:eastAsia="Arial" w:hAnsi="Arial"/>
          <w:sz w:val="18"/>
          <w:szCs w:val="18"/>
          <w:color w:val="auto"/>
        </w:rPr>
      </w:pPr>
    </w:p>
    <w:p>
      <w:pPr>
        <w:ind w:left="446" w:right="100" w:hanging="446"/>
        <w:spacing w:after="0" w:line="256" w:lineRule="auto"/>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He agrees that prior to his retirement from TI in July 2010, unless he receives prior written approval from the Chief Executive Officer of TI, he will not directly or indirectly hire, employ, solicit for employment, attempt to solicit for employment or advise about changing employment any person who was an executive, engineer or other professional for TI or any of its divisions or subsidiaries at any time during the six months preceding such solicitation, advising or employment.</w:t>
      </w:r>
    </w:p>
    <w:p>
      <w:pPr>
        <w:spacing w:after="0" w:line="62" w:lineRule="exact"/>
        <w:rPr>
          <w:rFonts w:ascii="Arial" w:cs="Arial" w:eastAsia="Arial" w:hAnsi="Arial"/>
          <w:sz w:val="18"/>
          <w:szCs w:val="18"/>
          <w:color w:val="auto"/>
        </w:rPr>
      </w:pPr>
    </w:p>
    <w:p>
      <w:pPr>
        <w:ind w:left="446" w:right="320" w:hanging="446"/>
        <w:spacing w:after="0" w:line="298" w:lineRule="auto"/>
        <w:tabs>
          <w:tab w:leader="none" w:pos="446" w:val="left"/>
        </w:tabs>
        <w:numPr>
          <w:ilvl w:val="0"/>
          <w:numId w:val="63"/>
        </w:numPr>
        <w:rPr>
          <w:rFonts w:ascii="Arial" w:cs="Arial" w:eastAsia="Arial" w:hAnsi="Arial"/>
          <w:sz w:val="16"/>
          <w:szCs w:val="16"/>
          <w:color w:val="auto"/>
        </w:rPr>
      </w:pPr>
      <w:r>
        <w:rPr>
          <w:rFonts w:ascii="Arial" w:cs="Arial" w:eastAsia="Arial" w:hAnsi="Arial"/>
          <w:sz w:val="16"/>
          <w:szCs w:val="16"/>
          <w:color w:val="auto"/>
        </w:rPr>
        <w:t>Executive agrees not to remove any of TI’s property from TI premises and, within ten days of the start of the paid LOA to return all tangible and intangible property belonging to TI and relating to his employment with TI, including, but not limited to, customer lists, mailing lists, business strategies, account information, samples, prototypes, product development information, price lists and pricing information. Executive further represents and warrants that he has not retained any copies, electronic or otherwise, of such property.</w:t>
      </w:r>
    </w:p>
    <w:p>
      <w:pPr>
        <w:spacing w:after="0" w:line="31" w:lineRule="exact"/>
        <w:rPr>
          <w:rFonts w:ascii="Arial" w:cs="Arial" w:eastAsia="Arial" w:hAnsi="Arial"/>
          <w:sz w:val="16"/>
          <w:szCs w:val="16"/>
          <w:color w:val="auto"/>
        </w:rPr>
      </w:pPr>
    </w:p>
    <w:p>
      <w:pPr>
        <w:ind w:left="446" w:hanging="446"/>
        <w:spacing w:after="0"/>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He will cease to provide ongoing services to TI on August 1, 2007 and will not be reinstated or seek to be reinstated.</w:t>
      </w:r>
    </w:p>
    <w:p>
      <w:pPr>
        <w:spacing w:after="0" w:line="90" w:lineRule="exact"/>
        <w:rPr>
          <w:rFonts w:ascii="Arial" w:cs="Arial" w:eastAsia="Arial" w:hAnsi="Arial"/>
          <w:sz w:val="18"/>
          <w:szCs w:val="18"/>
          <w:color w:val="auto"/>
        </w:rPr>
      </w:pPr>
    </w:p>
    <w:p>
      <w:pPr>
        <w:ind w:left="446" w:hanging="446"/>
        <w:spacing w:after="0" w:line="298" w:lineRule="auto"/>
        <w:tabs>
          <w:tab w:leader="none" w:pos="446" w:val="left"/>
        </w:tabs>
        <w:numPr>
          <w:ilvl w:val="0"/>
          <w:numId w:val="63"/>
        </w:numPr>
        <w:rPr>
          <w:rFonts w:ascii="Arial" w:cs="Arial" w:eastAsia="Arial" w:hAnsi="Arial"/>
          <w:sz w:val="16"/>
          <w:szCs w:val="16"/>
          <w:color w:val="auto"/>
        </w:rPr>
      </w:pPr>
      <w:r>
        <w:rPr>
          <w:rFonts w:ascii="Arial" w:cs="Arial" w:eastAsia="Arial" w:hAnsi="Arial"/>
          <w:sz w:val="16"/>
          <w:szCs w:val="16"/>
          <w:color w:val="auto"/>
        </w:rPr>
        <w:t>He will resign the office of senior vice president on August 1, 2007. After August 1, 2007, Executive shall no longer be subject to the pre-trade clearance procedures outlined in TI’s SP&amp;P 11-4-2 relating to transactions in TI stock. However, Executive still should not trade in TI stock if he is in possession of material, non-public information regarding TI; and for the duration of the paid and unpaid LOA, Executive still should not engage in short sales of TI stock or trade in “puts,” “calls,” or other options or hedging techniques on TI stock.</w:t>
      </w:r>
    </w:p>
    <w:p>
      <w:pPr>
        <w:spacing w:after="0" w:line="31" w:lineRule="exact"/>
        <w:rPr>
          <w:rFonts w:ascii="Arial" w:cs="Arial" w:eastAsia="Arial" w:hAnsi="Arial"/>
          <w:sz w:val="16"/>
          <w:szCs w:val="16"/>
          <w:color w:val="auto"/>
        </w:rPr>
      </w:pPr>
    </w:p>
    <w:p>
      <w:pPr>
        <w:ind w:left="446" w:hanging="446"/>
        <w:spacing w:after="0"/>
        <w:tabs>
          <w:tab w:leader="none" w:pos="446" w:val="left"/>
        </w:tabs>
        <w:numPr>
          <w:ilvl w:val="0"/>
          <w:numId w:val="63"/>
        </w:numPr>
        <w:rPr>
          <w:rFonts w:ascii="Arial" w:cs="Arial" w:eastAsia="Arial" w:hAnsi="Arial"/>
          <w:sz w:val="16"/>
          <w:szCs w:val="16"/>
          <w:color w:val="auto"/>
        </w:rPr>
      </w:pPr>
      <w:r>
        <w:rPr>
          <w:rFonts w:ascii="Arial" w:cs="Arial" w:eastAsia="Arial" w:hAnsi="Arial"/>
          <w:sz w:val="16"/>
          <w:szCs w:val="16"/>
          <w:color w:val="auto"/>
        </w:rPr>
        <w:t>At the conclusion of the unpaid LOA, he must refer to the Employment Termination Handbook to initiate his termination and retirement process.</w:t>
      </w:r>
    </w:p>
    <w:p>
      <w:pPr>
        <w:spacing w:after="0" w:line="113" w:lineRule="exact"/>
        <w:rPr>
          <w:rFonts w:ascii="Arial" w:cs="Arial" w:eastAsia="Arial" w:hAnsi="Arial"/>
          <w:sz w:val="16"/>
          <w:szCs w:val="16"/>
          <w:color w:val="auto"/>
        </w:rPr>
      </w:pPr>
    </w:p>
    <w:p>
      <w:pPr>
        <w:ind w:left="446" w:right="40" w:hanging="446"/>
        <w:spacing w:after="0" w:line="259" w:lineRule="auto"/>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continue to comply with the provisions of his stock option and restricted stock unit agreements including without limitation provisions about noncompetition and non-disclosure of confidential TI and TI customer information, recognizing and understanding that the obligations and remedies contained in those agreements survive execution of this Agreement.</w:t>
      </w:r>
    </w:p>
    <w:p>
      <w:pPr>
        <w:spacing w:after="0" w:line="127"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6"/>
          </w:cols>
          <w:pgMar w:left="694" w:top="280" w:right="279" w:bottom="1440" w:gutter="0" w:footer="0" w:header="0"/>
        </w:sectPr>
      </w:pPr>
    </w:p>
    <w:bookmarkStart w:id="50" w:name="page51"/>
    <w:bookmarkEnd w:id="50"/>
    <w:p>
      <w:pPr>
        <w:ind w:left="900" w:right="180" w:hanging="446"/>
        <w:spacing w:after="0" w:line="259"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he breaches in any material respect his promises or obligations set forth in this Agreement, his LOA will immediately terminate, any outstanding obligations of TI under this Agreement will immediately terminate, and he will return to TI any and all monetary payments and benefits that he received pursuant to this Agreement.</w:t>
      </w:r>
    </w:p>
    <w:p>
      <w:pPr>
        <w:spacing w:after="0" w:line="255"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Mutual Agreements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Executive and TI mutually agree:</w:t>
      </w:r>
    </w:p>
    <w:p>
      <w:pPr>
        <w:spacing w:after="0" w:line="90" w:lineRule="exact"/>
        <w:rPr>
          <w:rFonts w:ascii="Arial" w:cs="Arial" w:eastAsia="Arial" w:hAnsi="Arial"/>
          <w:sz w:val="18"/>
          <w:szCs w:val="18"/>
          <w:b w:val="1"/>
          <w:bCs w:val="1"/>
          <w:color w:val="auto"/>
        </w:rPr>
      </w:pPr>
    </w:p>
    <w:p>
      <w:pPr>
        <w:ind w:left="900" w:right="160" w:hanging="446"/>
        <w:spacing w:after="0" w:line="294" w:lineRule="auto"/>
        <w:tabs>
          <w:tab w:leader="none" w:pos="9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to disclose the facts or terms of this Agreement only on the basis of a strict need to know, which would allow, without limitation, disclosures to the parties’ attorneys, and personal and financial advisors, as required for accounting, tax or SEC reporting purposes or as otherwise required by law or by direction of a court; however, notwithstanding the foregoing, Executive may disclose the contents of Section 2(g) to any person who was an executive, engineer or other professional for TI or any of its divisions or subsidiaries at any time during the six months preceding such solicitation, should such person contact Executive about employment issues;</w:t>
      </w:r>
    </w:p>
    <w:p>
      <w:pPr>
        <w:spacing w:after="0" w:line="34" w:lineRule="exact"/>
        <w:rPr>
          <w:rFonts w:ascii="Arial" w:cs="Arial" w:eastAsia="Arial" w:hAnsi="Arial"/>
          <w:sz w:val="16"/>
          <w:szCs w:val="16"/>
          <w:color w:val="auto"/>
        </w:rPr>
      </w:pPr>
    </w:p>
    <w:p>
      <w:pPr>
        <w:ind w:left="900" w:right="580" w:hanging="446"/>
        <w:spacing w:after="0" w:line="268"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that neither party will make any comments relating to Executive, TI or TI’s employees that are critical, derogatory or may tend to damage the reputation of either party or otherwise injure Executive or the business of TI;</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that the compensation that Executive receives pursuant to Paragraph 1 does not constitute back wages; and</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the event Executive is named as a party in any lawsuit or other legal claim or action arising from his actions as an employee of TI, TI will indemnify Executive so long as his actions have been consistent with his employment by TI and have not been outside the scope of his employment. Such indemnity shall include, but not be limited to, reasonable attorneys’ fees. Executive will receive the full benefit of any D&amp;O insurance coverage to which he is entitled as a result of his employment by TI.</w:t>
      </w:r>
    </w:p>
    <w:p>
      <w:pPr>
        <w:spacing w:after="0" w:line="143"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parties agree that the prevailing party in any legal action between the parties concerning this Agreement shall be entitled to recover his or its reasonable attorneys’ fees and court costs associated with such action.</w:t>
      </w:r>
    </w:p>
    <w:p>
      <w:pPr>
        <w:spacing w:after="0" w:line="248"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96" w:lineRule="exact"/>
        <w:rPr>
          <w:rFonts w:ascii="Arial" w:cs="Arial" w:eastAsia="Arial" w:hAnsi="Arial"/>
          <w:sz w:val="18"/>
          <w:szCs w:val="18"/>
          <w:b w:val="1"/>
          <w:bCs w:val="1"/>
          <w:color w:val="auto"/>
        </w:rPr>
      </w:pPr>
    </w:p>
    <w:p>
      <w:pPr>
        <w:ind w:left="900" w:right="80" w:hanging="446"/>
        <w:spacing w:after="0" w:line="268"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provisions of this Agreement are severable. If any provision is held to be invalid or unenforceable, it will not affect the validity or enforceability of any other provision.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This Agreement may be changed or modified by written amendment, without Executive’s consent or signature, if the Company determines, in its sole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51" w:name="page52"/>
    <w:bookmarkEnd w:id="51"/>
    <w:p>
      <w:pPr>
        <w:ind w:left="9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discretion, that such change or modification is necessary for purposes of compliance with or exemption from the requirements of Section 409A of the Internal Revenue Code and any regulations or other guidance issued thereunder, or otherwise to comply with any law.</w:t>
      </w:r>
    </w:p>
    <w:p>
      <w:pPr>
        <w:spacing w:after="0" w:line="4" w:lineRule="exact"/>
        <w:rPr>
          <w:sz w:val="20"/>
          <w:szCs w:val="20"/>
          <w:color w:val="auto"/>
        </w:rPr>
      </w:pPr>
    </w:p>
    <w:p>
      <w:pPr>
        <w:ind w:left="900" w:right="20" w:hanging="446"/>
        <w:spacing w:after="0" w:line="306" w:lineRule="auto"/>
        <w:tabs>
          <w:tab w:leader="none" w:pos="9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This Agreement sets forth the entire agreement between Executive and TI and, except as specifically set forth herein, supersedes any and all prior oral or written agreements or understandings between Executive and TI concerning the subject matter of this Agreement. This Agreement may not be altered, amended, waived or modified, except by a further written document signed by the party against whom the same is sought to be enforced.</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This Agreement is made within the State of Texas and will in all respects be interpreted, enforced and governed by the laws of the State of Texas.</w:t>
      </w:r>
    </w:p>
    <w:p>
      <w:pPr>
        <w:spacing w:after="0" w:line="309" w:lineRule="exact"/>
        <w:rPr>
          <w:rFonts w:ascii="Arial" w:cs="Arial" w:eastAsia="Arial" w:hAnsi="Arial"/>
          <w:sz w:val="16"/>
          <w:szCs w:val="16"/>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Executive’s Process Acknowledgements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Executive acknowledges that he has carefully read and understands all the provisions of this Agreement and that he is knowingly and voluntarily entering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into it. Executive also acknowledges specifically that:</w:t>
      </w:r>
    </w:p>
    <w:p>
      <w:pPr>
        <w:spacing w:after="0" w:line="84" w:lineRule="exact"/>
        <w:rPr>
          <w:sz w:val="20"/>
          <w:szCs w:val="20"/>
          <w:color w:val="auto"/>
        </w:rPr>
      </w:pPr>
    </w:p>
    <w:p>
      <w:pPr>
        <w:ind w:left="900" w:right="180" w:hanging="446"/>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TI recommended that he consult an attorney for the purpose of receiving information regarding the effect of signing this Agreement and the release contained herein;</w:t>
      </w:r>
    </w:p>
    <w:p>
      <w:pPr>
        <w:spacing w:after="0" w:line="50" w:lineRule="exact"/>
        <w:rPr>
          <w:rFonts w:ascii="Arial" w:cs="Arial" w:eastAsia="Arial" w:hAnsi="Arial"/>
          <w:sz w:val="18"/>
          <w:szCs w:val="18"/>
          <w:color w:val="auto"/>
        </w:rPr>
      </w:pPr>
    </w:p>
    <w:p>
      <w:pPr>
        <w:ind w:left="900" w:right="40" w:hanging="446"/>
        <w:spacing w:after="0" w:line="332"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he understands that he may revoke this Agreement within seven days of signing it by delivering a written notice of revocation to Darla Whitaker, and that if he revokes this Agreement, it will not be effective or enforceable, and he will not receive the benefits described above;</w:t>
      </w:r>
    </w:p>
    <w:p>
      <w:pPr>
        <w:spacing w:after="0" w:line="4" w:lineRule="exact"/>
        <w:rPr>
          <w:rFonts w:ascii="Arial" w:cs="Arial" w:eastAsia="Arial" w:hAnsi="Arial"/>
          <w:sz w:val="16"/>
          <w:szCs w:val="16"/>
          <w:color w:val="auto"/>
        </w:rPr>
      </w:pPr>
    </w:p>
    <w:p>
      <w:pPr>
        <w:ind w:left="900" w:right="220" w:hanging="446"/>
        <w:spacing w:after="0" w:line="332"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he understands that he has been given at least twenty one (21) days to review and consider this Agreement before signing it and that he may use as much of the twenty one (21) day period as he wishes prior to signing and he recognizes that the decision period ends January 26, 2007.</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52" w:name="page53"/>
    <w:bookmarkEnd w:id="52"/>
    <w:p>
      <w:pPr>
        <w:ind w:left="460" w:hanging="452"/>
        <w:spacing w:after="0"/>
        <w:tabs>
          <w:tab w:leader="none" w:pos="4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Provisions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and all notices and other information to be given by one party to the other under this agreement shall be deemed sufficiently given when: (i) sent by prepaid, registered or certified U.S. first class air mail; (ii) by nationally recognized overnight courier; (iii) transmission by facsimile; (iv) hand delivery to the other party; or (v) by email, so long as receipt of email is confirmed either by an email response from the recipient or verbally on a telephone call initiated by the sender, in each case addressed to the parties as follows: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If to TI:</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Joseph F. Hubach</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Senior Vice President and General Counsel</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Texas Instruments Incorporated</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Mail Station 8658</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Post Office Box 660199</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Dallas, Texas 75266-0199</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(214) 480-6030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j-hubach@ti.com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If to Executive:</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Gilles Delfassy</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[Address omitted]</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Notices shall be deemed to have been received five (5) business days after mailing if forwarded by U.S. mail, and the following business day if forwarded by courier, facsimile or hand delivery. The aforementioned address of either party may be changed at any time by giving five (5) days prior notice to the other party in accordance with the foregoing.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EXECUTED this 23rd day of January 2007.</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Executive: /s/ Gilles Delfassy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10795</wp:posOffset>
            </wp:positionV>
            <wp:extent cx="24180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Gilles Delfassy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Darla Whitaker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74" w:right="339" w:bottom="1440" w:gutter="0" w:footer="0" w:header="0"/>
        </w:sectPr>
      </w:pPr>
    </w:p>
    <w:bookmarkStart w:id="53" w:name="page54"/>
    <w:bookmarkEnd w:id="53"/>
    <w:p>
      <w:pPr>
        <w:ind w:left="10680"/>
        <w:spacing w:after="0"/>
        <w:rPr>
          <w:sz w:val="20"/>
          <w:szCs w:val="20"/>
          <w:color w:val="auto"/>
        </w:rPr>
      </w:pPr>
      <w:r>
        <w:rPr>
          <w:rFonts w:ascii="Arial" w:cs="Arial" w:eastAsia="Arial" w:hAnsi="Arial"/>
          <w:sz w:val="16"/>
          <w:szCs w:val="16"/>
          <w:u w:val="single" w:color="auto"/>
          <w:color w:val="auto"/>
        </w:rPr>
        <w:t>Exhibit 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of dollars)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2006</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2005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2003</w:t>
            </w:r>
          </w:p>
        </w:tc>
        <w:tc>
          <w:tcPr>
            <w:tcW w:w="28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2,638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2,173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1,691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1,065</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8"/>
              </w:rPr>
              <w:t>($475)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Add: Provision (benefit) for income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(58)</w:t>
            </w: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Amortization of capitalized interest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charges from below</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0" w:type="dxa"/>
            <w:vAlign w:val="bottom"/>
          </w:tcPr>
          <w:p>
            <w:pPr>
              <w:ind w:left="880"/>
              <w:spacing w:after="0"/>
              <w:rPr>
                <w:sz w:val="20"/>
                <w:szCs w:val="20"/>
                <w:color w:val="auto"/>
              </w:rPr>
            </w:pPr>
            <w:r>
              <w:rPr>
                <w:rFonts w:ascii="Arial" w:cs="Arial" w:eastAsia="Arial" w:hAnsi="Arial"/>
                <w:sz w:val="18"/>
                <w:szCs w:val="18"/>
                <w:color w:val="auto"/>
              </w:rPr>
              <w:t>Total earnings (loss)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3,664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2,799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2,222</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1,123</w:t>
            </w:r>
          </w:p>
        </w:tc>
        <w:tc>
          <w:tcPr>
            <w:tcW w:w="4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438)</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Total interest on loans (expensed)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attributable to rental and lease expense</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0" w:type="dxa"/>
            <w:vAlign w:val="bottom"/>
          </w:tcPr>
          <w:p>
            <w:pPr>
              <w:ind w:left="440"/>
              <w:spacing w:after="0"/>
              <w:rPr>
                <w:sz w:val="20"/>
                <w:szCs w:val="20"/>
                <w:color w:val="auto"/>
              </w:rPr>
            </w:pPr>
            <w:r>
              <w:rPr>
                <w:rFonts w:ascii="Arial" w:cs="Arial" w:eastAsia="Arial" w:hAnsi="Arial"/>
                <w:sz w:val="18"/>
                <w:szCs w:val="18"/>
                <w:color w:val="auto"/>
              </w:rPr>
              <w:t>Fixed charges deducted from earnings</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Capitalized interest</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0" w:type="dxa"/>
            <w:vAlign w:val="bottom"/>
          </w:tcPr>
          <w:p>
            <w:pPr>
              <w:ind w:left="880"/>
              <w:spacing w:after="0"/>
              <w:rPr>
                <w:sz w:val="20"/>
                <w:szCs w:val="20"/>
                <w:color w:val="auto"/>
              </w:rPr>
            </w:pPr>
            <w:r>
              <w:rPr>
                <w:rFonts w:ascii="Arial" w:cs="Arial" w:eastAsia="Arial" w:hAnsi="Arial"/>
                <w:sz w:val="18"/>
                <w:szCs w:val="18"/>
                <w:color w:val="auto"/>
              </w:rPr>
              <w:t>Total fixed charges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color w:val="auto"/>
              </w:rPr>
              <w:t>*  The ratio is not meaningful. The coverage deficiency was $521 million in year 2002.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54" w:name="page55"/>
    <w:bookmarkEnd w:id="54"/>
    <w:p>
      <w:pPr>
        <w:ind w:left="10340"/>
        <w:spacing w:after="0"/>
        <w:rPr>
          <w:sz w:val="20"/>
          <w:szCs w:val="20"/>
          <w:color w:val="auto"/>
        </w:rPr>
      </w:pPr>
      <w:r>
        <w:rPr>
          <w:rFonts w:ascii="Arial" w:cs="Arial" w:eastAsia="Arial" w:hAnsi="Arial"/>
          <w:sz w:val="16"/>
          <w:szCs w:val="16"/>
          <w:u w:val="single" w:color="auto"/>
          <w:color w:val="auto"/>
        </w:rPr>
        <w:t>Exhibit 13</w:t>
      </w:r>
    </w:p>
    <w:p>
      <w:pPr>
        <w:spacing w:after="0" w:line="202" w:lineRule="exact"/>
        <w:rPr>
          <w:sz w:val="20"/>
          <w:szCs w:val="20"/>
          <w:color w:val="auto"/>
        </w:rPr>
      </w:pPr>
    </w:p>
    <w:p>
      <w:pPr>
        <w:ind w:left="7660"/>
        <w:spacing w:after="0"/>
        <w:tabs>
          <w:tab w:leader="none" w:pos="10880" w:val="left"/>
        </w:tabs>
        <w:rPr>
          <w:sz w:val="20"/>
          <w:szCs w:val="20"/>
          <w:color w:val="auto"/>
        </w:rPr>
      </w:pPr>
      <w:r>
        <w:rPr>
          <w:rFonts w:ascii="Arial" w:cs="Arial" w:eastAsia="Arial" w:hAnsi="Arial"/>
          <w:sz w:val="14"/>
          <w:szCs w:val="14"/>
          <w:color w:val="939598"/>
        </w:rPr>
        <w:t>TEXAS INSTRUMENTS 2006 ANNUAL REPORT</w:t>
      </w:r>
      <w:r>
        <w:rPr>
          <w:sz w:val="20"/>
          <w:szCs w:val="20"/>
          <w:color w:val="auto"/>
        </w:rPr>
        <w:tab/>
      </w:r>
      <w:r>
        <w:rPr>
          <w:rFonts w:ascii="Arial" w:cs="Arial" w:eastAsia="Arial" w:hAnsi="Arial"/>
          <w:sz w:val="10"/>
          <w:szCs w:val="10"/>
          <w:color w:val="939598"/>
        </w:rPr>
        <w:t>5</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DE1A1E"/>
        </w:rPr>
        <w:t>FINANCIAL STATEMENTS 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2832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0" w:hanging="314"/>
        <w:spacing w:after="0"/>
        <w:tabs>
          <w:tab w:leader="none" w:pos="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Consolidated Statements of Income</w:t>
      </w:r>
    </w:p>
    <w:p>
      <w:pPr>
        <w:spacing w:after="0" w:line="63" w:lineRule="exact"/>
        <w:rPr>
          <w:sz w:val="20"/>
          <w:szCs w:val="20"/>
          <w:color w:val="auto"/>
        </w:rPr>
      </w:pPr>
    </w:p>
    <w:p>
      <w:pPr>
        <w:ind w:left="420" w:hanging="314"/>
        <w:spacing w:after="0"/>
        <w:tabs>
          <w:tab w:leader="none" w:pos="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Consolidated Statements of Comprehensive Income</w:t>
      </w:r>
    </w:p>
    <w:p>
      <w:pPr>
        <w:spacing w:after="0" w:line="6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8   Consolidated Balance Sheets</w:t>
      </w:r>
    </w:p>
    <w:p>
      <w:pPr>
        <w:spacing w:after="0" w:line="6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9   Consolidated Statements of Cash Flows</w:t>
      </w:r>
    </w:p>
    <w:p>
      <w:pPr>
        <w:spacing w:after="0" w:line="63" w:lineRule="exact"/>
        <w:rPr>
          <w:sz w:val="20"/>
          <w:szCs w:val="20"/>
          <w:color w:val="auto"/>
        </w:rPr>
      </w:pPr>
    </w:p>
    <w:p>
      <w:pPr>
        <w:ind w:left="420" w:hanging="412"/>
        <w:spacing w:after="0"/>
        <w:tabs>
          <w:tab w:leader="none" w:pos="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Consolidated Statements of Stockholders’ Equity</w:t>
      </w:r>
    </w:p>
    <w:p>
      <w:pPr>
        <w:spacing w:after="0" w:line="63" w:lineRule="exact"/>
        <w:rPr>
          <w:rFonts w:ascii="Arial" w:cs="Arial" w:eastAsia="Arial" w:hAnsi="Arial"/>
          <w:sz w:val="18"/>
          <w:szCs w:val="18"/>
          <w:color w:val="auto"/>
        </w:rPr>
      </w:pPr>
    </w:p>
    <w:p>
      <w:pPr>
        <w:ind w:left="420" w:hanging="412"/>
        <w:spacing w:after="0"/>
        <w:tabs>
          <w:tab w:leader="none" w:pos="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Notes to Financial Statements</w:t>
      </w:r>
    </w:p>
    <w:p>
      <w:pPr>
        <w:spacing w:after="0" w:line="63" w:lineRule="exact"/>
        <w:rPr>
          <w:sz w:val="20"/>
          <w:szCs w:val="20"/>
          <w:color w:val="auto"/>
        </w:rPr>
      </w:pPr>
    </w:p>
    <w:tbl>
      <w:tblPr>
        <w:tblLayout w:type="fixed"/>
        <w:tblInd w:w="420" w:type="dxa"/>
        <w:tblCellMar>
          <w:top w:w="0" w:type="dxa"/>
          <w:left w:w="0" w:type="dxa"/>
          <w:bottom w:w="0" w:type="dxa"/>
          <w:right w:w="0" w:type="dxa"/>
        </w:tblCellMar>
      </w:tblPr>
      <w:tr>
        <w:trPr>
          <w:trHeight w:val="211"/>
        </w:trPr>
        <w:tc>
          <w:tcPr>
            <w:tcW w:w="4880" w:type="dxa"/>
            <w:vAlign w:val="bottom"/>
            <w:gridSpan w:val="2"/>
          </w:tcPr>
          <w:p>
            <w:pPr>
              <w:spacing w:after="0"/>
              <w:rPr>
                <w:sz w:val="20"/>
                <w:szCs w:val="20"/>
                <w:color w:val="auto"/>
              </w:rPr>
            </w:pPr>
            <w:r>
              <w:rPr>
                <w:rFonts w:ascii="Arial" w:cs="Arial" w:eastAsia="Arial" w:hAnsi="Arial"/>
                <w:sz w:val="18"/>
                <w:szCs w:val="18"/>
                <w:color w:val="auto"/>
              </w:rPr>
              <w:t>-  Description of Business and Significant</w:t>
            </w:r>
          </w:p>
        </w:tc>
        <w:tc>
          <w:tcPr>
            <w:tcW w:w="920" w:type="dxa"/>
            <w:vAlign w:val="bottom"/>
          </w:tcPr>
          <w:p>
            <w:pPr>
              <w:ind w:left="780"/>
              <w:spacing w:after="0"/>
              <w:rPr>
                <w:sz w:val="20"/>
                <w:szCs w:val="20"/>
                <w:color w:val="auto"/>
              </w:rPr>
            </w:pPr>
            <w:r>
              <w:rPr>
                <w:rFonts w:ascii="Arial" w:cs="Arial" w:eastAsia="Arial" w:hAnsi="Arial"/>
                <w:sz w:val="18"/>
                <w:szCs w:val="18"/>
                <w:color w:val="auto"/>
              </w:rPr>
              <w:t>-</w:t>
            </w:r>
          </w:p>
        </w:tc>
        <w:tc>
          <w:tcPr>
            <w:tcW w:w="2920" w:type="dxa"/>
            <w:vAlign w:val="bottom"/>
          </w:tcPr>
          <w:p>
            <w:pPr>
              <w:ind w:left="80"/>
              <w:spacing w:after="0"/>
              <w:rPr>
                <w:sz w:val="20"/>
                <w:szCs w:val="20"/>
                <w:color w:val="auto"/>
              </w:rPr>
            </w:pPr>
            <w:r>
              <w:rPr>
                <w:rFonts w:ascii="Arial" w:cs="Arial" w:eastAsia="Arial" w:hAnsi="Arial"/>
                <w:sz w:val="18"/>
                <w:szCs w:val="18"/>
                <w:color w:val="auto"/>
              </w:rPr>
              <w:t>Stock-based Compensation</w:t>
            </w:r>
          </w:p>
        </w:tc>
      </w:tr>
      <w:tr>
        <w:trPr>
          <w:trHeight w:val="270"/>
        </w:trPr>
        <w:tc>
          <w:tcPr>
            <w:tcW w:w="120" w:type="dxa"/>
            <w:vAlign w:val="bottom"/>
          </w:tcPr>
          <w:p>
            <w:pPr>
              <w:spacing w:after="0"/>
              <w:rPr>
                <w:sz w:val="23"/>
                <w:szCs w:val="23"/>
                <w:color w:val="auto"/>
              </w:rPr>
            </w:pPr>
          </w:p>
        </w:tc>
        <w:tc>
          <w:tcPr>
            <w:tcW w:w="4760" w:type="dxa"/>
            <w:vAlign w:val="bottom"/>
          </w:tcPr>
          <w:p>
            <w:pPr>
              <w:ind w:left="80"/>
              <w:spacing w:after="0"/>
              <w:rPr>
                <w:sz w:val="20"/>
                <w:szCs w:val="20"/>
                <w:color w:val="auto"/>
              </w:rPr>
            </w:pPr>
            <w:r>
              <w:rPr>
                <w:rFonts w:ascii="Arial" w:cs="Arial" w:eastAsia="Arial" w:hAnsi="Arial"/>
                <w:sz w:val="18"/>
                <w:szCs w:val="18"/>
                <w:color w:val="auto"/>
              </w:rPr>
              <w:t>AccountingPolicies and Practices</w:t>
            </w:r>
          </w:p>
        </w:tc>
        <w:tc>
          <w:tcPr>
            <w:tcW w:w="920" w:type="dxa"/>
            <w:vAlign w:val="bottom"/>
          </w:tcPr>
          <w:p>
            <w:pPr>
              <w:ind w:left="780"/>
              <w:spacing w:after="0"/>
              <w:rPr>
                <w:sz w:val="20"/>
                <w:szCs w:val="20"/>
                <w:color w:val="auto"/>
              </w:rPr>
            </w:pPr>
            <w:r>
              <w:rPr>
                <w:rFonts w:ascii="Arial" w:cs="Arial" w:eastAsia="Arial" w:hAnsi="Arial"/>
                <w:sz w:val="18"/>
                <w:szCs w:val="18"/>
                <w:color w:val="auto"/>
              </w:rPr>
              <w:t>-</w:t>
            </w:r>
          </w:p>
        </w:tc>
        <w:tc>
          <w:tcPr>
            <w:tcW w:w="2920" w:type="dxa"/>
            <w:vAlign w:val="bottom"/>
          </w:tcPr>
          <w:p>
            <w:pPr>
              <w:ind w:left="80"/>
              <w:spacing w:after="0"/>
              <w:rPr>
                <w:sz w:val="20"/>
                <w:szCs w:val="20"/>
                <w:color w:val="auto"/>
              </w:rPr>
            </w:pPr>
            <w:r>
              <w:rPr>
                <w:rFonts w:ascii="Arial" w:cs="Arial" w:eastAsia="Arial" w:hAnsi="Arial"/>
                <w:sz w:val="18"/>
                <w:szCs w:val="18"/>
                <w:color w:val="auto"/>
              </w:rPr>
              <w:t>Postretirement Benefit Plans</w:t>
            </w:r>
          </w:p>
        </w:tc>
      </w:tr>
      <w:tr>
        <w:trPr>
          <w:trHeight w:val="27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760" w:type="dxa"/>
            <w:vAlign w:val="bottom"/>
          </w:tcPr>
          <w:p>
            <w:pPr>
              <w:ind w:left="100"/>
              <w:spacing w:after="0"/>
              <w:rPr>
                <w:sz w:val="20"/>
                <w:szCs w:val="20"/>
                <w:color w:val="auto"/>
              </w:rPr>
            </w:pPr>
            <w:r>
              <w:rPr>
                <w:rFonts w:ascii="Arial" w:cs="Arial" w:eastAsia="Arial" w:hAnsi="Arial"/>
                <w:sz w:val="18"/>
                <w:szCs w:val="18"/>
                <w:color w:val="auto"/>
              </w:rPr>
              <w:t>Discontinued Operations</w:t>
            </w:r>
          </w:p>
        </w:tc>
        <w:tc>
          <w:tcPr>
            <w:tcW w:w="3840" w:type="dxa"/>
            <w:vAlign w:val="bottom"/>
            <w:gridSpan w:val="2"/>
          </w:tcPr>
          <w:p>
            <w:pPr>
              <w:ind w:left="780"/>
              <w:spacing w:after="0"/>
              <w:rPr>
                <w:sz w:val="20"/>
                <w:szCs w:val="20"/>
                <w:color w:val="auto"/>
              </w:rPr>
            </w:pPr>
            <w:r>
              <w:rPr>
                <w:rFonts w:ascii="Arial" w:cs="Arial" w:eastAsia="Arial" w:hAnsi="Arial"/>
                <w:sz w:val="18"/>
                <w:szCs w:val="18"/>
                <w:color w:val="auto"/>
              </w:rPr>
              <w:t>-  Profit Sharing and Savings Plans</w:t>
            </w:r>
          </w:p>
        </w:tc>
      </w:tr>
      <w:tr>
        <w:trPr>
          <w:trHeight w:val="270"/>
        </w:trPr>
        <w:tc>
          <w:tcPr>
            <w:tcW w:w="4880" w:type="dxa"/>
            <w:vAlign w:val="bottom"/>
            <w:gridSpan w:val="2"/>
          </w:tcPr>
          <w:p>
            <w:pPr>
              <w:spacing w:after="0"/>
              <w:rPr>
                <w:sz w:val="20"/>
                <w:szCs w:val="20"/>
                <w:color w:val="auto"/>
              </w:rPr>
            </w:pPr>
            <w:r>
              <w:rPr>
                <w:rFonts w:ascii="Arial" w:cs="Arial" w:eastAsia="Arial" w:hAnsi="Arial"/>
                <w:sz w:val="18"/>
                <w:szCs w:val="18"/>
                <w:color w:val="auto"/>
              </w:rPr>
              <w:t>-  Cash Equivalents and Short-term Investments</w:t>
            </w:r>
          </w:p>
        </w:tc>
        <w:tc>
          <w:tcPr>
            <w:tcW w:w="3840" w:type="dxa"/>
            <w:vAlign w:val="bottom"/>
            <w:gridSpan w:val="2"/>
          </w:tcPr>
          <w:p>
            <w:pPr>
              <w:ind w:left="780"/>
              <w:spacing w:after="0"/>
              <w:rPr>
                <w:sz w:val="20"/>
                <w:szCs w:val="20"/>
                <w:color w:val="auto"/>
              </w:rPr>
            </w:pPr>
            <w:r>
              <w:rPr>
                <w:rFonts w:ascii="Arial" w:cs="Arial" w:eastAsia="Arial" w:hAnsi="Arial"/>
                <w:sz w:val="18"/>
                <w:szCs w:val="18"/>
                <w:color w:val="auto"/>
                <w:w w:val="98"/>
              </w:rPr>
              <w:t>-  Segment and Geographic Area Data</w:t>
            </w:r>
          </w:p>
        </w:tc>
      </w:tr>
      <w:tr>
        <w:trPr>
          <w:trHeight w:val="270"/>
        </w:trPr>
        <w:tc>
          <w:tcPr>
            <w:tcW w:w="4880" w:type="dxa"/>
            <w:vAlign w:val="bottom"/>
            <w:gridSpan w:val="2"/>
          </w:tcPr>
          <w:p>
            <w:pPr>
              <w:spacing w:after="0"/>
              <w:rPr>
                <w:sz w:val="20"/>
                <w:szCs w:val="20"/>
                <w:color w:val="auto"/>
              </w:rPr>
            </w:pPr>
            <w:r>
              <w:rPr>
                <w:rFonts w:ascii="Arial" w:cs="Arial" w:eastAsia="Arial" w:hAnsi="Arial"/>
                <w:sz w:val="18"/>
                <w:szCs w:val="18"/>
                <w:color w:val="auto"/>
              </w:rPr>
              <w:t>-  Equity and Other Long-term Investments</w:t>
            </w:r>
          </w:p>
        </w:tc>
        <w:tc>
          <w:tcPr>
            <w:tcW w:w="920" w:type="dxa"/>
            <w:vAlign w:val="bottom"/>
          </w:tcPr>
          <w:p>
            <w:pPr>
              <w:ind w:left="780"/>
              <w:spacing w:after="0"/>
              <w:rPr>
                <w:sz w:val="20"/>
                <w:szCs w:val="20"/>
                <w:color w:val="auto"/>
              </w:rPr>
            </w:pPr>
            <w:r>
              <w:rPr>
                <w:rFonts w:ascii="Arial" w:cs="Arial" w:eastAsia="Arial" w:hAnsi="Arial"/>
                <w:sz w:val="18"/>
                <w:szCs w:val="18"/>
                <w:color w:val="auto"/>
              </w:rPr>
              <w:t>-</w:t>
            </w:r>
          </w:p>
        </w:tc>
        <w:tc>
          <w:tcPr>
            <w:tcW w:w="2920" w:type="dxa"/>
            <w:vAlign w:val="bottom"/>
          </w:tcPr>
          <w:p>
            <w:pPr>
              <w:ind w:left="80"/>
              <w:spacing w:after="0"/>
              <w:rPr>
                <w:sz w:val="20"/>
                <w:szCs w:val="20"/>
                <w:color w:val="auto"/>
              </w:rPr>
            </w:pPr>
            <w:r>
              <w:rPr>
                <w:rFonts w:ascii="Arial" w:cs="Arial" w:eastAsia="Arial" w:hAnsi="Arial"/>
                <w:sz w:val="18"/>
                <w:szCs w:val="18"/>
                <w:color w:val="auto"/>
              </w:rPr>
              <w:t>Income Taxes</w:t>
            </w:r>
          </w:p>
        </w:tc>
      </w:tr>
      <w:tr>
        <w:trPr>
          <w:trHeight w:val="270"/>
        </w:trPr>
        <w:tc>
          <w:tcPr>
            <w:tcW w:w="4880" w:type="dxa"/>
            <w:vAlign w:val="bottom"/>
            <w:gridSpan w:val="2"/>
          </w:tcPr>
          <w:p>
            <w:pPr>
              <w:spacing w:after="0"/>
              <w:rPr>
                <w:sz w:val="20"/>
                <w:szCs w:val="20"/>
                <w:color w:val="auto"/>
              </w:rPr>
            </w:pPr>
            <w:r>
              <w:rPr>
                <w:rFonts w:ascii="Arial" w:cs="Arial" w:eastAsia="Arial" w:hAnsi="Arial"/>
                <w:sz w:val="18"/>
                <w:szCs w:val="18"/>
                <w:color w:val="auto"/>
              </w:rPr>
              <w:t>-  Goodwill and Other Acquisition-related Intangibles</w:t>
            </w:r>
          </w:p>
        </w:tc>
        <w:tc>
          <w:tcPr>
            <w:tcW w:w="920" w:type="dxa"/>
            <w:vAlign w:val="bottom"/>
          </w:tcPr>
          <w:p>
            <w:pPr>
              <w:ind w:left="780"/>
              <w:spacing w:after="0"/>
              <w:rPr>
                <w:sz w:val="20"/>
                <w:szCs w:val="20"/>
                <w:color w:val="auto"/>
              </w:rPr>
            </w:pPr>
            <w:r>
              <w:rPr>
                <w:rFonts w:ascii="Arial" w:cs="Arial" w:eastAsia="Arial" w:hAnsi="Arial"/>
                <w:sz w:val="18"/>
                <w:szCs w:val="18"/>
                <w:color w:val="auto"/>
              </w:rPr>
              <w:t>-</w:t>
            </w:r>
          </w:p>
        </w:tc>
        <w:tc>
          <w:tcPr>
            <w:tcW w:w="2920" w:type="dxa"/>
            <w:vAlign w:val="bottom"/>
          </w:tcPr>
          <w:p>
            <w:pPr>
              <w:ind w:left="80"/>
              <w:spacing w:after="0"/>
              <w:rPr>
                <w:sz w:val="20"/>
                <w:szCs w:val="20"/>
                <w:color w:val="auto"/>
              </w:rPr>
            </w:pPr>
            <w:r>
              <w:rPr>
                <w:rFonts w:ascii="Arial" w:cs="Arial" w:eastAsia="Arial" w:hAnsi="Arial"/>
                <w:sz w:val="18"/>
                <w:szCs w:val="18"/>
                <w:color w:val="auto"/>
              </w:rPr>
              <w:t>Commitments and Contingencies</w:t>
            </w:r>
          </w:p>
        </w:tc>
      </w:tr>
      <w:tr>
        <w:trPr>
          <w:trHeight w:val="270"/>
        </w:trPr>
        <w:tc>
          <w:tcPr>
            <w:tcW w:w="4880" w:type="dxa"/>
            <w:vAlign w:val="bottom"/>
            <w:gridSpan w:val="2"/>
          </w:tcPr>
          <w:p>
            <w:pPr>
              <w:spacing w:after="0"/>
              <w:rPr>
                <w:sz w:val="20"/>
                <w:szCs w:val="20"/>
                <w:color w:val="auto"/>
              </w:rPr>
            </w:pPr>
            <w:r>
              <w:rPr>
                <w:rFonts w:ascii="Arial" w:cs="Arial" w:eastAsia="Arial" w:hAnsi="Arial"/>
                <w:sz w:val="18"/>
                <w:szCs w:val="18"/>
                <w:color w:val="auto"/>
              </w:rPr>
              <w:t>-  Debt and Lines of Credit</w:t>
            </w:r>
          </w:p>
        </w:tc>
        <w:tc>
          <w:tcPr>
            <w:tcW w:w="920" w:type="dxa"/>
            <w:vAlign w:val="bottom"/>
          </w:tcPr>
          <w:p>
            <w:pPr>
              <w:ind w:left="780"/>
              <w:spacing w:after="0"/>
              <w:rPr>
                <w:sz w:val="20"/>
                <w:szCs w:val="20"/>
                <w:color w:val="auto"/>
              </w:rPr>
            </w:pPr>
            <w:r>
              <w:rPr>
                <w:rFonts w:ascii="Arial" w:cs="Arial" w:eastAsia="Arial" w:hAnsi="Arial"/>
                <w:sz w:val="18"/>
                <w:szCs w:val="18"/>
                <w:color w:val="auto"/>
              </w:rPr>
              <w:t>-</w:t>
            </w:r>
          </w:p>
        </w:tc>
        <w:tc>
          <w:tcPr>
            <w:tcW w:w="2920" w:type="dxa"/>
            <w:vAlign w:val="bottom"/>
          </w:tcPr>
          <w:p>
            <w:pPr>
              <w:ind w:left="80"/>
              <w:spacing w:after="0"/>
              <w:rPr>
                <w:sz w:val="20"/>
                <w:szCs w:val="20"/>
                <w:color w:val="auto"/>
              </w:rPr>
            </w:pPr>
            <w:r>
              <w:rPr>
                <w:rFonts w:ascii="Arial" w:cs="Arial" w:eastAsia="Arial" w:hAnsi="Arial"/>
                <w:sz w:val="18"/>
                <w:szCs w:val="18"/>
                <w:color w:val="auto"/>
                <w:w w:val="99"/>
              </w:rPr>
              <w:t>Supplemental Financial Information</w:t>
            </w:r>
          </w:p>
        </w:tc>
      </w:tr>
      <w:tr>
        <w:trPr>
          <w:trHeight w:val="270"/>
        </w:trPr>
        <w:tc>
          <w:tcPr>
            <w:tcW w:w="4880" w:type="dxa"/>
            <w:vAlign w:val="bottom"/>
            <w:gridSpan w:val="2"/>
          </w:tcPr>
          <w:p>
            <w:pPr>
              <w:spacing w:after="0"/>
              <w:rPr>
                <w:sz w:val="20"/>
                <w:szCs w:val="20"/>
                <w:color w:val="auto"/>
              </w:rPr>
            </w:pPr>
            <w:r>
              <w:rPr>
                <w:rFonts w:ascii="Arial" w:cs="Arial" w:eastAsia="Arial" w:hAnsi="Arial"/>
                <w:sz w:val="18"/>
                <w:szCs w:val="18"/>
                <w:color w:val="auto"/>
              </w:rPr>
              <w:t>-  Financial Instruments and Risk Concentration</w:t>
            </w:r>
          </w:p>
        </w:tc>
        <w:tc>
          <w:tcPr>
            <w:tcW w:w="920" w:type="dxa"/>
            <w:vAlign w:val="bottom"/>
          </w:tcPr>
          <w:p>
            <w:pPr>
              <w:ind w:left="780"/>
              <w:spacing w:after="0"/>
              <w:rPr>
                <w:sz w:val="20"/>
                <w:szCs w:val="20"/>
                <w:color w:val="auto"/>
              </w:rPr>
            </w:pPr>
            <w:r>
              <w:rPr>
                <w:rFonts w:ascii="Arial" w:cs="Arial" w:eastAsia="Arial" w:hAnsi="Arial"/>
                <w:sz w:val="18"/>
                <w:szCs w:val="18"/>
                <w:color w:val="auto"/>
              </w:rPr>
              <w:t>-</w:t>
            </w:r>
          </w:p>
        </w:tc>
        <w:tc>
          <w:tcPr>
            <w:tcW w:w="2920" w:type="dxa"/>
            <w:vAlign w:val="bottom"/>
          </w:tcPr>
          <w:p>
            <w:pPr>
              <w:ind w:left="80"/>
              <w:spacing w:after="0"/>
              <w:rPr>
                <w:sz w:val="20"/>
                <w:szCs w:val="20"/>
                <w:color w:val="auto"/>
              </w:rPr>
            </w:pPr>
            <w:r>
              <w:rPr>
                <w:rFonts w:ascii="Arial" w:cs="Arial" w:eastAsia="Arial" w:hAnsi="Arial"/>
                <w:sz w:val="18"/>
                <w:szCs w:val="18"/>
                <w:color w:val="auto"/>
              </w:rPr>
              <w:t>Subsequent Event</w:t>
            </w:r>
          </w:p>
        </w:tc>
      </w:tr>
      <w:tr>
        <w:trPr>
          <w:trHeight w:val="27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760" w:type="dxa"/>
            <w:vAlign w:val="bottom"/>
          </w:tcPr>
          <w:p>
            <w:pPr>
              <w:ind w:left="100"/>
              <w:spacing w:after="0"/>
              <w:rPr>
                <w:sz w:val="20"/>
                <w:szCs w:val="20"/>
                <w:color w:val="auto"/>
              </w:rPr>
            </w:pPr>
            <w:r>
              <w:rPr>
                <w:rFonts w:ascii="Arial" w:cs="Arial" w:eastAsia="Arial" w:hAnsi="Arial"/>
                <w:sz w:val="18"/>
                <w:szCs w:val="18"/>
                <w:color w:val="auto"/>
              </w:rPr>
              <w:t>Stockholders’ Equity</w:t>
            </w:r>
          </w:p>
        </w:tc>
        <w:tc>
          <w:tcPr>
            <w:tcW w:w="920" w:type="dxa"/>
            <w:vAlign w:val="bottom"/>
          </w:tcPr>
          <w:p>
            <w:pPr>
              <w:spacing w:after="0"/>
              <w:rPr>
                <w:sz w:val="23"/>
                <w:szCs w:val="23"/>
                <w:color w:val="auto"/>
              </w:rPr>
            </w:pPr>
          </w:p>
        </w:tc>
        <w:tc>
          <w:tcPr>
            <w:tcW w:w="2920" w:type="dxa"/>
            <w:vAlign w:val="bottom"/>
          </w:tcPr>
          <w:p>
            <w:pPr>
              <w:spacing w:after="0"/>
              <w:rPr>
                <w:sz w:val="23"/>
                <w:szCs w:val="23"/>
                <w:color w:val="auto"/>
              </w:rPr>
            </w:pPr>
          </w:p>
        </w:tc>
      </w:tr>
    </w:tbl>
    <w:p>
      <w:pPr>
        <w:spacing w:after="0" w:line="59" w:lineRule="exact"/>
        <w:rPr>
          <w:sz w:val="20"/>
          <w:szCs w:val="20"/>
          <w:color w:val="auto"/>
        </w:rPr>
      </w:pPr>
    </w:p>
    <w:p>
      <w:pPr>
        <w:ind w:left="420" w:hanging="412"/>
        <w:spacing w:after="0"/>
        <w:tabs>
          <w:tab w:leader="none" w:pos="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63" w:lineRule="exact"/>
        <w:rPr>
          <w:rFonts w:ascii="Arial" w:cs="Arial" w:eastAsia="Arial" w:hAnsi="Arial"/>
          <w:sz w:val="18"/>
          <w:szCs w:val="18"/>
          <w:color w:val="auto"/>
        </w:rPr>
      </w:pPr>
    </w:p>
    <w:p>
      <w:pPr>
        <w:ind w:left="420" w:right="6920" w:hanging="412"/>
        <w:spacing w:after="0" w:line="313" w:lineRule="auto"/>
        <w:tabs>
          <w:tab w:leader="none" w:pos="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Report by Management on Internal Control over Financial Reporting</w:t>
      </w:r>
    </w:p>
    <w:p>
      <w:pPr>
        <w:ind w:left="420" w:right="6140" w:hanging="412"/>
        <w:spacing w:after="0" w:line="313" w:lineRule="auto"/>
        <w:tabs>
          <w:tab w:leader="none" w:pos="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on Internal Control over Financial Reporting</w:t>
      </w:r>
    </w:p>
    <w:p>
      <w:pPr>
        <w:ind w:left="420" w:hanging="412"/>
        <w:spacing w:after="0"/>
        <w:tabs>
          <w:tab w:leader="none" w:pos="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Summary of Selected Financial Data</w:t>
      </w:r>
    </w:p>
    <w:p>
      <w:pPr>
        <w:spacing w:after="0" w:line="63" w:lineRule="exact"/>
        <w:rPr>
          <w:rFonts w:ascii="Arial" w:cs="Arial" w:eastAsia="Arial" w:hAnsi="Arial"/>
          <w:sz w:val="18"/>
          <w:szCs w:val="18"/>
          <w:color w:val="auto"/>
        </w:rPr>
      </w:pPr>
    </w:p>
    <w:p>
      <w:pPr>
        <w:ind w:left="420" w:right="7060" w:hanging="412"/>
        <w:spacing w:after="0" w:line="352" w:lineRule="auto"/>
        <w:tabs>
          <w:tab w:leader="none" w:pos="4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Management’s Discussion and Analysis of Financial Condition and Results of Operations</w:t>
      </w:r>
    </w:p>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11"/>
        </w:trPr>
        <w:tc>
          <w:tcPr>
            <w:tcW w:w="4120" w:type="dxa"/>
            <w:vAlign w:val="bottom"/>
          </w:tcPr>
          <w:p>
            <w:pPr>
              <w:spacing w:after="0"/>
              <w:rPr>
                <w:sz w:val="20"/>
                <w:szCs w:val="20"/>
                <w:color w:val="auto"/>
              </w:rPr>
            </w:pPr>
            <w:r>
              <w:rPr>
                <w:rFonts w:ascii="Arial" w:cs="Arial" w:eastAsia="Arial" w:hAnsi="Arial"/>
                <w:sz w:val="18"/>
                <w:szCs w:val="18"/>
                <w:color w:val="auto"/>
              </w:rPr>
              <w:t>- Overview</w:t>
            </w:r>
          </w:p>
        </w:tc>
        <w:tc>
          <w:tcPr>
            <w:tcW w:w="1680" w:type="dxa"/>
            <w:vAlign w:val="bottom"/>
          </w:tcPr>
          <w:p>
            <w:pPr>
              <w:ind w:left="1540"/>
              <w:spacing w:after="0"/>
              <w:rPr>
                <w:sz w:val="20"/>
                <w:szCs w:val="20"/>
                <w:color w:val="auto"/>
              </w:rPr>
            </w:pPr>
            <w:r>
              <w:rPr>
                <w:rFonts w:ascii="Arial" w:cs="Arial" w:eastAsia="Arial" w:hAnsi="Arial"/>
                <w:sz w:val="18"/>
                <w:szCs w:val="18"/>
                <w:color w:val="auto"/>
              </w:rPr>
              <w:t>-</w:t>
            </w:r>
          </w:p>
        </w:tc>
        <w:tc>
          <w:tcPr>
            <w:tcW w:w="3180" w:type="dxa"/>
            <w:vAlign w:val="bottom"/>
          </w:tcPr>
          <w:p>
            <w:pPr>
              <w:ind w:left="80"/>
              <w:spacing w:after="0"/>
              <w:rPr>
                <w:sz w:val="20"/>
                <w:szCs w:val="20"/>
                <w:color w:val="auto"/>
              </w:rPr>
            </w:pPr>
            <w:r>
              <w:rPr>
                <w:rFonts w:ascii="Arial" w:cs="Arial" w:eastAsia="Arial" w:hAnsi="Arial"/>
                <w:sz w:val="18"/>
                <w:szCs w:val="18"/>
                <w:color w:val="auto"/>
              </w:rPr>
              <w:t>Long-term Contractual Obligations</w:t>
            </w: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rPr>
              <w:t>- Results of Operations</w:t>
            </w:r>
          </w:p>
        </w:tc>
        <w:tc>
          <w:tcPr>
            <w:tcW w:w="1680" w:type="dxa"/>
            <w:vAlign w:val="bottom"/>
          </w:tcPr>
          <w:p>
            <w:pPr>
              <w:ind w:left="1540"/>
              <w:spacing w:after="0"/>
              <w:rPr>
                <w:sz w:val="20"/>
                <w:szCs w:val="20"/>
                <w:color w:val="auto"/>
              </w:rPr>
            </w:pPr>
            <w:r>
              <w:rPr>
                <w:rFonts w:ascii="Arial" w:cs="Arial" w:eastAsia="Arial" w:hAnsi="Arial"/>
                <w:sz w:val="18"/>
                <w:szCs w:val="18"/>
                <w:color w:val="auto"/>
              </w:rPr>
              <w:t>-</w:t>
            </w:r>
          </w:p>
        </w:tc>
        <w:tc>
          <w:tcPr>
            <w:tcW w:w="3180" w:type="dxa"/>
            <w:vAlign w:val="bottom"/>
          </w:tcPr>
          <w:p>
            <w:pPr>
              <w:ind w:left="80"/>
              <w:spacing w:after="0"/>
              <w:rPr>
                <w:sz w:val="20"/>
                <w:szCs w:val="20"/>
                <w:color w:val="auto"/>
              </w:rPr>
            </w:pPr>
            <w:r>
              <w:rPr>
                <w:rFonts w:ascii="Arial" w:cs="Arial" w:eastAsia="Arial" w:hAnsi="Arial"/>
                <w:sz w:val="18"/>
                <w:szCs w:val="18"/>
                <w:color w:val="auto"/>
              </w:rPr>
              <w:t>Critical Accounting Policies</w:t>
            </w: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rPr>
              <w:t>- Prior Results of Operations</w:t>
            </w:r>
          </w:p>
        </w:tc>
        <w:tc>
          <w:tcPr>
            <w:tcW w:w="4860" w:type="dxa"/>
            <w:vAlign w:val="bottom"/>
            <w:gridSpan w:val="2"/>
          </w:tcPr>
          <w:p>
            <w:pPr>
              <w:ind w:left="1540"/>
              <w:spacing w:after="0"/>
              <w:rPr>
                <w:sz w:val="20"/>
                <w:szCs w:val="20"/>
                <w:color w:val="auto"/>
              </w:rPr>
            </w:pPr>
            <w:r>
              <w:rPr>
                <w:rFonts w:ascii="Arial" w:cs="Arial" w:eastAsia="Arial" w:hAnsi="Arial"/>
                <w:sz w:val="18"/>
                <w:szCs w:val="18"/>
                <w:color w:val="auto"/>
              </w:rPr>
              <w:t>-  Changes in Accounting Standards</w:t>
            </w: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rPr>
              <w:t>- Financial Condition</w:t>
            </w:r>
          </w:p>
        </w:tc>
        <w:tc>
          <w:tcPr>
            <w:tcW w:w="4860" w:type="dxa"/>
            <w:vAlign w:val="bottom"/>
            <w:gridSpan w:val="2"/>
          </w:tcPr>
          <w:p>
            <w:pPr>
              <w:ind w:left="1540"/>
              <w:spacing w:after="0"/>
              <w:rPr>
                <w:sz w:val="20"/>
                <w:szCs w:val="20"/>
                <w:color w:val="auto"/>
              </w:rPr>
            </w:pPr>
            <w:r>
              <w:rPr>
                <w:rFonts w:ascii="Arial" w:cs="Arial" w:eastAsia="Arial" w:hAnsi="Arial"/>
                <w:sz w:val="18"/>
                <w:szCs w:val="18"/>
                <w:color w:val="auto"/>
                <w:w w:val="98"/>
              </w:rPr>
              <w:t>-  Quantitative and Qualitative Disclosures</w:t>
            </w: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rPr>
              <w:t>- Liquidity and Capital Resources</w:t>
            </w:r>
          </w:p>
        </w:tc>
        <w:tc>
          <w:tcPr>
            <w:tcW w:w="1680" w:type="dxa"/>
            <w:vAlign w:val="bottom"/>
          </w:tcPr>
          <w:p>
            <w:pPr>
              <w:spacing w:after="0"/>
              <w:rPr>
                <w:sz w:val="23"/>
                <w:szCs w:val="23"/>
                <w:color w:val="auto"/>
              </w:rPr>
            </w:pPr>
          </w:p>
        </w:tc>
        <w:tc>
          <w:tcPr>
            <w:tcW w:w="3180" w:type="dxa"/>
            <w:vAlign w:val="bottom"/>
          </w:tcPr>
          <w:p>
            <w:pPr>
              <w:ind w:left="60"/>
              <w:spacing w:after="0"/>
              <w:rPr>
                <w:sz w:val="20"/>
                <w:szCs w:val="20"/>
                <w:color w:val="auto"/>
              </w:rPr>
            </w:pPr>
            <w:r>
              <w:rPr>
                <w:rFonts w:ascii="Arial" w:cs="Arial" w:eastAsia="Arial" w:hAnsi="Arial"/>
                <w:sz w:val="18"/>
                <w:szCs w:val="18"/>
                <w:color w:val="auto"/>
              </w:rPr>
              <w:t>about Market Risk</w:t>
            </w:r>
          </w:p>
        </w:tc>
      </w:tr>
    </w:tbl>
    <w:p>
      <w:pPr>
        <w:spacing w:after="0" w:line="59" w:lineRule="exact"/>
        <w:rPr>
          <w:sz w:val="20"/>
          <w:szCs w:val="20"/>
          <w:color w:val="auto"/>
        </w:rPr>
      </w:pPr>
    </w:p>
    <w:p>
      <w:pPr>
        <w:ind w:left="420" w:hanging="412"/>
        <w:spacing w:after="0"/>
        <w:tabs>
          <w:tab w:leader="none" w:pos="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Quarterly Financial Data</w:t>
      </w:r>
    </w:p>
    <w:p>
      <w:pPr>
        <w:spacing w:after="0" w:line="63" w:lineRule="exact"/>
        <w:rPr>
          <w:rFonts w:ascii="Arial" w:cs="Arial" w:eastAsia="Arial" w:hAnsi="Arial"/>
          <w:sz w:val="18"/>
          <w:szCs w:val="18"/>
          <w:color w:val="auto"/>
        </w:rPr>
      </w:pPr>
    </w:p>
    <w:p>
      <w:pPr>
        <w:ind w:left="420" w:hanging="412"/>
        <w:spacing w:after="0"/>
        <w:tabs>
          <w:tab w:leader="none" w:pos="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Common Stock Prices and Dividends</w:t>
      </w:r>
    </w:p>
    <w:p>
      <w:pPr>
        <w:spacing w:after="0" w:line="63" w:lineRule="exact"/>
        <w:rPr>
          <w:rFonts w:ascii="Arial" w:cs="Arial" w:eastAsia="Arial" w:hAnsi="Arial"/>
          <w:sz w:val="18"/>
          <w:szCs w:val="18"/>
          <w:color w:val="auto"/>
        </w:rPr>
      </w:pPr>
    </w:p>
    <w:p>
      <w:pPr>
        <w:ind w:left="420" w:hanging="412"/>
        <w:spacing w:after="0"/>
        <w:tabs>
          <w:tab w:leader="none" w:pos="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Comparison of Total Shareholder Return</w:t>
      </w:r>
    </w:p>
    <w:p>
      <w:pPr>
        <w:spacing w:after="0" w:line="63" w:lineRule="exact"/>
        <w:rPr>
          <w:rFonts w:ascii="Arial" w:cs="Arial" w:eastAsia="Arial" w:hAnsi="Arial"/>
          <w:sz w:val="18"/>
          <w:szCs w:val="18"/>
          <w:color w:val="auto"/>
        </w:rPr>
      </w:pPr>
    </w:p>
    <w:p>
      <w:pPr>
        <w:ind w:left="420" w:hanging="412"/>
        <w:spacing w:after="0"/>
        <w:tabs>
          <w:tab w:leader="none" w:pos="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Safe Harbor Statement</w:t>
      </w:r>
    </w:p>
    <w:p>
      <w:pPr>
        <w:sectPr>
          <w:pgSz w:w="11900" w:h="16838" w:orient="portrait"/>
          <w:cols w:equalWidth="0" w:num="1">
            <w:col w:w="11060"/>
          </w:cols>
          <w:pgMar w:left="240" w:top="131" w:right="599" w:bottom="1440" w:gutter="0" w:footer="0" w:header="0"/>
        </w:sectPr>
      </w:pPr>
    </w:p>
    <w:bookmarkStart w:id="55" w:name="page56"/>
    <w:bookmarkEnd w:id="55"/>
    <w:p>
      <w:pPr>
        <w:ind w:left="292" w:hanging="292"/>
        <w:spacing w:after="0"/>
        <w:tabs>
          <w:tab w:leader="none" w:pos="292" w:val="left"/>
        </w:tabs>
        <w:numPr>
          <w:ilvl w:val="0"/>
          <w:numId w:val="76"/>
        </w:numPr>
        <w:rPr>
          <w:rFonts w:ascii="Arial" w:cs="Arial" w:eastAsia="Arial" w:hAnsi="Arial"/>
          <w:sz w:val="14"/>
          <w:szCs w:val="14"/>
          <w:color w:val="939598"/>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2006 ANNUAL REPORT</w:t>
      </w:r>
    </w:p>
    <w:p>
      <w:pPr>
        <w:spacing w:after="0" w:line="104"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CONSOLIDATED STATEMENTS OF INCOME</w:t>
      </w:r>
    </w:p>
    <w:p>
      <w:pPr>
        <w:spacing w:after="0" w:line="18"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(Millions of dollars, except share and per-share amounts)</w:t>
      </w:r>
    </w:p>
    <w:p>
      <w:pPr>
        <w:jc w:val="center"/>
        <w:ind w:left="8160"/>
        <w:spacing w:after="0" w:line="221" w:lineRule="auto"/>
        <w:rPr>
          <w:sz w:val="20"/>
          <w:szCs w:val="20"/>
          <w:color w:val="auto"/>
        </w:rPr>
      </w:pPr>
      <w:r>
        <w:rPr>
          <w:rFonts w:ascii="Arial" w:cs="Arial" w:eastAsia="Arial" w:hAnsi="Arial"/>
          <w:sz w:val="14"/>
          <w:szCs w:val="14"/>
          <w:b w:val="1"/>
          <w:bCs w:val="1"/>
          <w:color w:val="939598"/>
        </w:rPr>
        <w:t>FOR THE YEARS ENDED</w:t>
      </w:r>
    </w:p>
    <w:p>
      <w:pPr>
        <w:jc w:val="center"/>
        <w:ind w:left="8160"/>
        <w:spacing w:after="0"/>
        <w:rPr>
          <w:sz w:val="20"/>
          <w:szCs w:val="20"/>
          <w:color w:val="auto"/>
        </w:rPr>
      </w:pPr>
      <w:r>
        <w:rPr>
          <w:rFonts w:ascii="Arial" w:cs="Arial" w:eastAsia="Arial" w:hAnsi="Arial"/>
          <w:sz w:val="14"/>
          <w:szCs w:val="14"/>
          <w:b w:val="1"/>
          <w:bCs w:val="1"/>
          <w:color w:val="939598"/>
        </w:rPr>
        <w:t>DECEMBER 31,</w:t>
      </w:r>
    </w:p>
    <w:p>
      <w:pPr>
        <w:spacing w:after="0" w:line="29" w:lineRule="exact"/>
        <w:rPr>
          <w:sz w:val="20"/>
          <w:szCs w:val="20"/>
          <w:color w:val="auto"/>
        </w:rPr>
      </w:pPr>
    </w:p>
    <w:tbl>
      <w:tblPr>
        <w:tblLayout w:type="fixed"/>
        <w:tblInd w:w="352" w:type="dxa"/>
        <w:tblCellMar>
          <w:top w:w="0" w:type="dxa"/>
          <w:left w:w="0" w:type="dxa"/>
          <w:bottom w:w="0" w:type="dxa"/>
          <w:right w:w="0" w:type="dxa"/>
        </w:tblCellMar>
      </w:tblPr>
      <w:tr>
        <w:trPr>
          <w:trHeight w:val="257"/>
        </w:trPr>
        <w:tc>
          <w:tcPr>
            <w:tcW w:w="8100" w:type="dxa"/>
            <w:vAlign w:val="bottom"/>
            <w:shd w:val="clear" w:color="auto" w:fill="939598"/>
          </w:tcPr>
          <w:p>
            <w:pPr>
              <w:spacing w:after="0"/>
              <w:rPr>
                <w:sz w:val="22"/>
                <w:szCs w:val="22"/>
                <w:color w:val="auto"/>
              </w:rPr>
            </w:pPr>
          </w:p>
        </w:tc>
        <w:tc>
          <w:tcPr>
            <w:tcW w:w="100" w:type="dxa"/>
            <w:vAlign w:val="bottom"/>
            <w:shd w:val="clear" w:color="auto" w:fill="939598"/>
          </w:tcPr>
          <w:p>
            <w:pPr>
              <w:spacing w:after="0"/>
              <w:rPr>
                <w:sz w:val="22"/>
                <w:szCs w:val="22"/>
                <w:color w:val="auto"/>
              </w:rPr>
            </w:pPr>
          </w:p>
        </w:tc>
        <w:tc>
          <w:tcPr>
            <w:tcW w:w="20" w:type="dxa"/>
            <w:vAlign w:val="bottom"/>
            <w:shd w:val="clear" w:color="auto" w:fill="939598"/>
          </w:tcPr>
          <w:p>
            <w:pPr>
              <w:spacing w:after="0"/>
              <w:rPr>
                <w:sz w:val="22"/>
                <w:szCs w:val="22"/>
                <w:color w:val="auto"/>
              </w:rPr>
            </w:pPr>
          </w:p>
        </w:tc>
        <w:tc>
          <w:tcPr>
            <w:tcW w:w="120" w:type="dxa"/>
            <w:vAlign w:val="bottom"/>
            <w:shd w:val="clear" w:color="auto" w:fill="939598"/>
          </w:tcPr>
          <w:p>
            <w:pPr>
              <w:spacing w:after="0"/>
              <w:rPr>
                <w:sz w:val="22"/>
                <w:szCs w:val="22"/>
                <w:color w:val="auto"/>
              </w:rPr>
            </w:pPr>
          </w:p>
        </w:tc>
        <w:tc>
          <w:tcPr>
            <w:tcW w:w="660" w:type="dxa"/>
            <w:vAlign w:val="bottom"/>
            <w:shd w:val="clear" w:color="auto" w:fill="939598"/>
          </w:tcPr>
          <w:p>
            <w:pPr>
              <w:jc w:val="right"/>
              <w:ind w:right="193"/>
              <w:spacing w:after="0"/>
              <w:rPr>
                <w:sz w:val="20"/>
                <w:szCs w:val="20"/>
                <w:color w:val="auto"/>
              </w:rPr>
            </w:pPr>
            <w:r>
              <w:rPr>
                <w:rFonts w:ascii="Arial" w:cs="Arial" w:eastAsia="Arial" w:hAnsi="Arial"/>
                <w:sz w:val="14"/>
                <w:szCs w:val="14"/>
                <w:b w:val="1"/>
                <w:bCs w:val="1"/>
                <w:color w:val="FFFFFF"/>
              </w:rPr>
              <w:t>2006</w:t>
            </w:r>
          </w:p>
        </w:tc>
        <w:tc>
          <w:tcPr>
            <w:tcW w:w="240" w:type="dxa"/>
            <w:vAlign w:val="bottom"/>
            <w:shd w:val="clear" w:color="auto" w:fill="939598"/>
          </w:tcPr>
          <w:p>
            <w:pPr>
              <w:spacing w:after="0"/>
              <w:rPr>
                <w:sz w:val="22"/>
                <w:szCs w:val="22"/>
                <w:color w:val="auto"/>
              </w:rPr>
            </w:pPr>
          </w:p>
        </w:tc>
        <w:tc>
          <w:tcPr>
            <w:tcW w:w="640" w:type="dxa"/>
            <w:vAlign w:val="bottom"/>
            <w:shd w:val="clear" w:color="auto" w:fill="939598"/>
          </w:tcPr>
          <w:p>
            <w:pPr>
              <w:jc w:val="right"/>
              <w:ind w:right="193"/>
              <w:spacing w:after="0"/>
              <w:rPr>
                <w:sz w:val="20"/>
                <w:szCs w:val="20"/>
                <w:color w:val="auto"/>
              </w:rPr>
            </w:pPr>
            <w:r>
              <w:rPr>
                <w:rFonts w:ascii="Arial" w:cs="Arial" w:eastAsia="Arial" w:hAnsi="Arial"/>
                <w:sz w:val="14"/>
                <w:szCs w:val="14"/>
                <w:b w:val="1"/>
                <w:bCs w:val="1"/>
                <w:color w:val="FFFFFF"/>
              </w:rPr>
              <w:t>2005</w:t>
            </w:r>
          </w:p>
        </w:tc>
        <w:tc>
          <w:tcPr>
            <w:tcW w:w="200" w:type="dxa"/>
            <w:vAlign w:val="bottom"/>
            <w:shd w:val="clear" w:color="auto" w:fill="939598"/>
          </w:tcPr>
          <w:p>
            <w:pPr>
              <w:spacing w:after="0"/>
              <w:rPr>
                <w:sz w:val="22"/>
                <w:szCs w:val="22"/>
                <w:color w:val="auto"/>
              </w:rPr>
            </w:pPr>
          </w:p>
        </w:tc>
        <w:tc>
          <w:tcPr>
            <w:tcW w:w="580" w:type="dxa"/>
            <w:vAlign w:val="bottom"/>
            <w:shd w:val="clear" w:color="auto" w:fill="939598"/>
          </w:tcPr>
          <w:p>
            <w:pPr>
              <w:jc w:val="right"/>
              <w:ind w:right="133"/>
              <w:spacing w:after="0"/>
              <w:rPr>
                <w:sz w:val="20"/>
                <w:szCs w:val="20"/>
                <w:color w:val="auto"/>
              </w:rPr>
            </w:pPr>
            <w:r>
              <w:rPr>
                <w:rFonts w:ascii="Arial" w:cs="Arial" w:eastAsia="Arial" w:hAnsi="Arial"/>
                <w:sz w:val="14"/>
                <w:szCs w:val="14"/>
                <w:b w:val="1"/>
                <w:bCs w:val="1"/>
                <w:color w:val="FFFFFF"/>
              </w:rPr>
              <w:t>2004</w:t>
            </w:r>
          </w:p>
        </w:tc>
        <w:tc>
          <w:tcPr>
            <w:tcW w:w="60" w:type="dxa"/>
            <w:vAlign w:val="bottom"/>
            <w:shd w:val="clear" w:color="auto" w:fill="939598"/>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200"/>
              <w:spacing w:after="0" w:line="202" w:lineRule="exact"/>
              <w:rPr>
                <w:sz w:val="20"/>
                <w:szCs w:val="20"/>
                <w:color w:val="auto"/>
              </w:rPr>
            </w:pPr>
            <w:r>
              <w:rPr>
                <w:rFonts w:ascii="Arial" w:cs="Arial" w:eastAsia="Arial" w:hAnsi="Arial"/>
                <w:sz w:val="18"/>
                <w:szCs w:val="18"/>
                <w:color w:val="auto"/>
              </w:rPr>
              <w:t>Net revenue</w:t>
            </w:r>
          </w:p>
        </w:tc>
        <w:tc>
          <w:tcPr>
            <w:tcW w:w="240" w:type="dxa"/>
            <w:vAlign w:val="bottom"/>
            <w:gridSpan w:val="3"/>
          </w:tcPr>
          <w:p>
            <w:pPr>
              <w:jc w:val="right"/>
              <w:ind w:right="11"/>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14,255</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12,335</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11,552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120" w:type="dxa"/>
            <w:vAlign w:val="bottom"/>
            <w:shd w:val="clear" w:color="auto" w:fill="E6E7E7"/>
          </w:tcPr>
          <w:p>
            <w:pPr>
              <w:spacing w:after="0"/>
              <w:rPr>
                <w:sz w:val="17"/>
                <w:szCs w:val="17"/>
                <w:color w:val="auto"/>
              </w:rPr>
            </w:pPr>
          </w:p>
        </w:tc>
        <w:tc>
          <w:tcPr>
            <w:tcW w:w="660" w:type="dxa"/>
            <w:vAlign w:val="bottom"/>
            <w:shd w:val="clear" w:color="auto" w:fill="E6E7E7"/>
          </w:tcPr>
          <w:p>
            <w:pPr>
              <w:spacing w:after="0"/>
              <w:rPr>
                <w:sz w:val="17"/>
                <w:szCs w:val="17"/>
                <w:color w:val="auto"/>
              </w:rPr>
            </w:pPr>
          </w:p>
        </w:tc>
        <w:tc>
          <w:tcPr>
            <w:tcW w:w="240" w:type="dxa"/>
            <w:vAlign w:val="bottom"/>
            <w:shd w:val="clear" w:color="auto" w:fill="E6E7E7"/>
          </w:tcPr>
          <w:p>
            <w:pPr>
              <w:spacing w:after="0"/>
              <w:rPr>
                <w:sz w:val="17"/>
                <w:szCs w:val="17"/>
                <w:color w:val="auto"/>
              </w:rPr>
            </w:pPr>
          </w:p>
        </w:tc>
        <w:tc>
          <w:tcPr>
            <w:tcW w:w="640" w:type="dxa"/>
            <w:vAlign w:val="bottom"/>
            <w:shd w:val="clear" w:color="auto" w:fill="E6E7E7"/>
          </w:tcPr>
          <w:p>
            <w:pPr>
              <w:spacing w:after="0"/>
              <w:rPr>
                <w:sz w:val="17"/>
                <w:szCs w:val="17"/>
                <w:color w:val="auto"/>
              </w:rPr>
            </w:pPr>
          </w:p>
        </w:tc>
        <w:tc>
          <w:tcPr>
            <w:tcW w:w="200" w:type="dxa"/>
            <w:vAlign w:val="bottom"/>
            <w:shd w:val="clear" w:color="auto" w:fill="E6E7E7"/>
          </w:tcPr>
          <w:p>
            <w:pPr>
              <w:spacing w:after="0"/>
              <w:rPr>
                <w:sz w:val="17"/>
                <w:szCs w:val="17"/>
                <w:color w:val="auto"/>
              </w:rPr>
            </w:pPr>
          </w:p>
        </w:tc>
        <w:tc>
          <w:tcPr>
            <w:tcW w:w="58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6,996</w:t>
            </w:r>
          </w:p>
        </w:tc>
        <w:tc>
          <w:tcPr>
            <w:tcW w:w="2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6,319</w:t>
            </w: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6,295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Research and development (R&amp;D)</w:t>
            </w:r>
          </w:p>
        </w:tc>
        <w:tc>
          <w:tcPr>
            <w:tcW w:w="10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120" w:type="dxa"/>
            <w:vAlign w:val="bottom"/>
            <w:shd w:val="clear" w:color="auto" w:fill="E6E7E7"/>
          </w:tcPr>
          <w:p>
            <w:pPr>
              <w:spacing w:after="0"/>
              <w:rPr>
                <w:sz w:val="17"/>
                <w:szCs w:val="17"/>
                <w:color w:val="auto"/>
              </w:rPr>
            </w:pPr>
          </w:p>
        </w:tc>
        <w:tc>
          <w:tcPr>
            <w:tcW w:w="6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2,195</w:t>
            </w:r>
          </w:p>
        </w:tc>
        <w:tc>
          <w:tcPr>
            <w:tcW w:w="240" w:type="dxa"/>
            <w:vAlign w:val="bottom"/>
            <w:shd w:val="clear" w:color="auto" w:fill="E6E7E7"/>
          </w:tcPr>
          <w:p>
            <w:pPr>
              <w:spacing w:after="0"/>
              <w:rPr>
                <w:sz w:val="17"/>
                <w:szCs w:val="17"/>
                <w:color w:val="auto"/>
              </w:rPr>
            </w:pPr>
          </w:p>
        </w:tc>
        <w:tc>
          <w:tcPr>
            <w:tcW w:w="6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1,986</w:t>
            </w:r>
          </w:p>
        </w:tc>
        <w:tc>
          <w:tcPr>
            <w:tcW w:w="200" w:type="dxa"/>
            <w:vAlign w:val="bottom"/>
            <w:shd w:val="clear" w:color="auto" w:fill="E6E7E7"/>
          </w:tcPr>
          <w:p>
            <w:pPr>
              <w:spacing w:after="0"/>
              <w:rPr>
                <w:sz w:val="17"/>
                <w:szCs w:val="17"/>
                <w:color w:val="auto"/>
              </w:rPr>
            </w:pPr>
          </w:p>
        </w:tc>
        <w:tc>
          <w:tcPr>
            <w:tcW w:w="5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1,946</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Selling, general and administrative (SG&amp;A)</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1,697</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1,471</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120" w:type="dxa"/>
            <w:vAlign w:val="bottom"/>
            <w:tcBorders>
              <w:bottom w:val="single" w:sz="8" w:color="auto"/>
            </w:tcBorders>
            <w:shd w:val="clear" w:color="auto" w:fill="E6E7E7"/>
          </w:tcPr>
          <w:p>
            <w:pPr>
              <w:spacing w:after="0"/>
              <w:rPr>
                <w:sz w:val="17"/>
                <w:szCs w:val="17"/>
                <w:color w:val="auto"/>
              </w:rPr>
            </w:pPr>
          </w:p>
        </w:tc>
        <w:tc>
          <w:tcPr>
            <w:tcW w:w="66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10,888</w:t>
            </w:r>
          </w:p>
        </w:tc>
        <w:tc>
          <w:tcPr>
            <w:tcW w:w="240" w:type="dxa"/>
            <w:vAlign w:val="bottom"/>
            <w:tcBorders>
              <w:bottom w:val="single" w:sz="8" w:color="auto"/>
            </w:tcBorders>
            <w:shd w:val="clear" w:color="auto" w:fill="E6E7E7"/>
          </w:tcPr>
          <w:p>
            <w:pPr>
              <w:spacing w:after="0"/>
              <w:rPr>
                <w:sz w:val="17"/>
                <w:szCs w:val="17"/>
                <w:color w:val="auto"/>
              </w:rPr>
            </w:pPr>
          </w:p>
        </w:tc>
        <w:tc>
          <w:tcPr>
            <w:tcW w:w="64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9,776</w:t>
            </w:r>
          </w:p>
        </w:tc>
        <w:tc>
          <w:tcPr>
            <w:tcW w:w="200" w:type="dxa"/>
            <w:vAlign w:val="bottom"/>
            <w:tcBorders>
              <w:bottom w:val="single" w:sz="8" w:color="auto"/>
            </w:tcBorders>
            <w:shd w:val="clear" w:color="auto" w:fill="E6E7E7"/>
          </w:tcPr>
          <w:p>
            <w:pPr>
              <w:spacing w:after="0"/>
              <w:rPr>
                <w:sz w:val="17"/>
                <w:szCs w:val="17"/>
                <w:color w:val="auto"/>
              </w:rPr>
            </w:pPr>
          </w:p>
        </w:tc>
        <w:tc>
          <w:tcPr>
            <w:tcW w:w="58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9,592</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00" w:type="dxa"/>
            <w:vAlign w:val="bottom"/>
          </w:tcPr>
          <w:p>
            <w:pPr>
              <w:ind w:left="200"/>
              <w:spacing w:after="0"/>
              <w:rPr>
                <w:sz w:val="20"/>
                <w:szCs w:val="20"/>
                <w:color w:val="auto"/>
              </w:rPr>
            </w:pPr>
            <w:r>
              <w:rPr>
                <w:rFonts w:ascii="Arial" w:cs="Arial" w:eastAsia="Arial" w:hAnsi="Arial"/>
                <w:sz w:val="18"/>
                <w:szCs w:val="18"/>
                <w:color w:val="auto"/>
              </w:rPr>
              <w:t>Profit from operations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3,367</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2,559</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120" w:type="dxa"/>
            <w:vAlign w:val="bottom"/>
            <w:shd w:val="clear" w:color="auto" w:fill="E6E7E7"/>
          </w:tcPr>
          <w:p>
            <w:pPr>
              <w:spacing w:after="0"/>
              <w:rPr>
                <w:sz w:val="17"/>
                <w:szCs w:val="17"/>
                <w:color w:val="auto"/>
              </w:rPr>
            </w:pPr>
          </w:p>
        </w:tc>
        <w:tc>
          <w:tcPr>
            <w:tcW w:w="6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265</w:t>
            </w:r>
          </w:p>
        </w:tc>
        <w:tc>
          <w:tcPr>
            <w:tcW w:w="240" w:type="dxa"/>
            <w:vAlign w:val="bottom"/>
            <w:shd w:val="clear" w:color="auto" w:fill="E6E7E7"/>
          </w:tcPr>
          <w:p>
            <w:pPr>
              <w:spacing w:after="0"/>
              <w:rPr>
                <w:sz w:val="17"/>
                <w:szCs w:val="17"/>
                <w:color w:val="auto"/>
              </w:rPr>
            </w:pPr>
          </w:p>
        </w:tc>
        <w:tc>
          <w:tcPr>
            <w:tcW w:w="6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205</w:t>
            </w:r>
          </w:p>
        </w:tc>
        <w:tc>
          <w:tcPr>
            <w:tcW w:w="200" w:type="dxa"/>
            <w:vAlign w:val="bottom"/>
            <w:shd w:val="clear" w:color="auto" w:fill="E6E7E7"/>
          </w:tcPr>
          <w:p>
            <w:pPr>
              <w:spacing w:after="0"/>
              <w:rPr>
                <w:sz w:val="17"/>
                <w:szCs w:val="17"/>
                <w:color w:val="auto"/>
              </w:rPr>
            </w:pPr>
          </w:p>
        </w:tc>
        <w:tc>
          <w:tcPr>
            <w:tcW w:w="5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233</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0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 on loans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7</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120" w:type="dxa"/>
            <w:vAlign w:val="bottom"/>
            <w:shd w:val="clear" w:color="auto" w:fill="E6E7E7"/>
          </w:tcPr>
          <w:p>
            <w:pPr>
              <w:spacing w:after="0"/>
              <w:rPr>
                <w:sz w:val="17"/>
                <w:szCs w:val="17"/>
                <w:color w:val="auto"/>
              </w:rPr>
            </w:pPr>
          </w:p>
        </w:tc>
        <w:tc>
          <w:tcPr>
            <w:tcW w:w="6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3,625</w:t>
            </w:r>
          </w:p>
        </w:tc>
        <w:tc>
          <w:tcPr>
            <w:tcW w:w="240" w:type="dxa"/>
            <w:vAlign w:val="bottom"/>
            <w:shd w:val="clear" w:color="auto" w:fill="E6E7E7"/>
          </w:tcPr>
          <w:p>
            <w:pPr>
              <w:spacing w:after="0"/>
              <w:rPr>
                <w:sz w:val="17"/>
                <w:szCs w:val="17"/>
                <w:color w:val="auto"/>
              </w:rPr>
            </w:pPr>
          </w:p>
        </w:tc>
        <w:tc>
          <w:tcPr>
            <w:tcW w:w="6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2,755</w:t>
            </w:r>
          </w:p>
        </w:tc>
        <w:tc>
          <w:tcPr>
            <w:tcW w:w="200" w:type="dxa"/>
            <w:vAlign w:val="bottom"/>
            <w:shd w:val="clear" w:color="auto" w:fill="E6E7E7"/>
          </w:tcPr>
          <w:p>
            <w:pPr>
              <w:spacing w:after="0"/>
              <w:rPr>
                <w:sz w:val="17"/>
                <w:szCs w:val="17"/>
                <w:color w:val="auto"/>
              </w:rPr>
            </w:pPr>
          </w:p>
        </w:tc>
        <w:tc>
          <w:tcPr>
            <w:tcW w:w="5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2,172</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00" w:type="dxa"/>
            <w:vAlign w:val="bottom"/>
          </w:tcPr>
          <w:p>
            <w:pPr>
              <w:ind w:left="200"/>
              <w:spacing w:after="0" w:line="202" w:lineRule="exact"/>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987</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582</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120" w:type="dxa"/>
            <w:vAlign w:val="bottom"/>
            <w:shd w:val="clear" w:color="auto" w:fill="E6E7E7"/>
          </w:tcPr>
          <w:p>
            <w:pPr>
              <w:spacing w:after="0"/>
              <w:rPr>
                <w:sz w:val="17"/>
                <w:szCs w:val="17"/>
                <w:color w:val="auto"/>
              </w:rPr>
            </w:pPr>
          </w:p>
        </w:tc>
        <w:tc>
          <w:tcPr>
            <w:tcW w:w="6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2,638</w:t>
            </w:r>
          </w:p>
        </w:tc>
        <w:tc>
          <w:tcPr>
            <w:tcW w:w="240" w:type="dxa"/>
            <w:vAlign w:val="bottom"/>
            <w:shd w:val="clear" w:color="auto" w:fill="E6E7E7"/>
          </w:tcPr>
          <w:p>
            <w:pPr>
              <w:spacing w:after="0"/>
              <w:rPr>
                <w:sz w:val="17"/>
                <w:szCs w:val="17"/>
                <w:color w:val="auto"/>
              </w:rPr>
            </w:pPr>
          </w:p>
        </w:tc>
        <w:tc>
          <w:tcPr>
            <w:tcW w:w="6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2,173</w:t>
            </w:r>
          </w:p>
        </w:tc>
        <w:tc>
          <w:tcPr>
            <w:tcW w:w="200" w:type="dxa"/>
            <w:vAlign w:val="bottom"/>
            <w:shd w:val="clear" w:color="auto" w:fill="E6E7E7"/>
          </w:tcPr>
          <w:p>
            <w:pPr>
              <w:spacing w:after="0"/>
              <w:rPr>
                <w:sz w:val="17"/>
                <w:szCs w:val="17"/>
                <w:color w:val="auto"/>
              </w:rPr>
            </w:pPr>
          </w:p>
        </w:tc>
        <w:tc>
          <w:tcPr>
            <w:tcW w:w="5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1,691</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00" w:type="dxa"/>
            <w:vAlign w:val="bottom"/>
          </w:tcPr>
          <w:p>
            <w:pPr>
              <w:ind w:left="200"/>
              <w:spacing w:after="0" w:line="202" w:lineRule="exact"/>
              <w:rPr>
                <w:sz w:val="20"/>
                <w:szCs w:val="20"/>
                <w:color w:val="auto"/>
              </w:rPr>
            </w:pPr>
            <w:r>
              <w:rPr>
                <w:rFonts w:ascii="Arial" w:cs="Arial" w:eastAsia="Arial" w:hAnsi="Arial"/>
                <w:sz w:val="18"/>
                <w:szCs w:val="18"/>
                <w:color w:val="auto"/>
              </w:rPr>
              <w:t>Income from discontinued operations, net of income taxes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1,703</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120" w:type="dxa"/>
            <w:vAlign w:val="bottom"/>
            <w:tcBorders>
              <w:bottom w:val="single" w:sz="8" w:color="auto"/>
            </w:tcBorders>
            <w:shd w:val="clear" w:color="auto" w:fill="E6E7E7"/>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4,341</w:t>
            </w:r>
          </w:p>
        </w:tc>
        <w:tc>
          <w:tcPr>
            <w:tcW w:w="24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2,324</w:t>
            </w:r>
          </w:p>
        </w:tc>
        <w:tc>
          <w:tcPr>
            <w:tcW w:w="20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1,861</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00" w:type="dxa"/>
            <w:vAlign w:val="bottom"/>
            <w:vMerge w:val="restart"/>
          </w:tcPr>
          <w:p>
            <w:pPr>
              <w:ind w:left="200"/>
              <w:spacing w:after="0"/>
              <w:rPr>
                <w:sz w:val="20"/>
                <w:szCs w:val="20"/>
                <w:color w:val="auto"/>
              </w:rPr>
            </w:pPr>
            <w:r>
              <w:rPr>
                <w:rFonts w:ascii="Arial" w:cs="Arial" w:eastAsia="Arial" w:hAnsi="Arial"/>
                <w:sz w:val="18"/>
                <w:szCs w:val="18"/>
                <w:color w:val="auto"/>
              </w:rPr>
              <w:t>Basic earnings per common share:</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Income from continuing operations</w:t>
            </w:r>
          </w:p>
        </w:tc>
        <w:tc>
          <w:tcPr>
            <w:tcW w:w="240" w:type="dxa"/>
            <w:vAlign w:val="bottom"/>
            <w:gridSpan w:val="3"/>
            <w:shd w:val="clear" w:color="auto" w:fill="E6E7E7"/>
          </w:tcPr>
          <w:p>
            <w:pPr>
              <w:jc w:val="right"/>
              <w:ind w:right="11"/>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1.73</w:t>
            </w:r>
          </w:p>
        </w:tc>
        <w:tc>
          <w:tcPr>
            <w:tcW w:w="2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1.33</w:t>
            </w:r>
          </w:p>
        </w:tc>
        <w:tc>
          <w:tcPr>
            <w:tcW w:w="2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0.98</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tcPr>
          <w:p>
            <w:pPr>
              <w:ind w:left="420"/>
              <w:spacing w:after="0" w:line="196" w:lineRule="exact"/>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2.84</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w:t>
            </w: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shd w:val="clear" w:color="auto" w:fill="E6E7E7"/>
          </w:tcPr>
          <w:p>
            <w:pPr>
              <w:ind w:left="200"/>
              <w:spacing w:after="0" w:line="196" w:lineRule="exact"/>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120" w:type="dxa"/>
            <w:vAlign w:val="bottom"/>
            <w:shd w:val="clear" w:color="auto" w:fill="E6E7E7"/>
          </w:tcPr>
          <w:p>
            <w:pPr>
              <w:spacing w:after="0"/>
              <w:rPr>
                <w:sz w:val="17"/>
                <w:szCs w:val="17"/>
                <w:color w:val="auto"/>
              </w:rPr>
            </w:pPr>
          </w:p>
        </w:tc>
        <w:tc>
          <w:tcPr>
            <w:tcW w:w="660" w:type="dxa"/>
            <w:vAlign w:val="bottom"/>
            <w:shd w:val="clear" w:color="auto" w:fill="E6E7E7"/>
          </w:tcPr>
          <w:p>
            <w:pPr>
              <w:spacing w:after="0"/>
              <w:rPr>
                <w:sz w:val="17"/>
                <w:szCs w:val="17"/>
                <w:color w:val="auto"/>
              </w:rPr>
            </w:pPr>
          </w:p>
        </w:tc>
        <w:tc>
          <w:tcPr>
            <w:tcW w:w="240" w:type="dxa"/>
            <w:vAlign w:val="bottom"/>
            <w:shd w:val="clear" w:color="auto" w:fill="E6E7E7"/>
          </w:tcPr>
          <w:p>
            <w:pPr>
              <w:spacing w:after="0"/>
              <w:rPr>
                <w:sz w:val="17"/>
                <w:szCs w:val="17"/>
                <w:color w:val="auto"/>
              </w:rPr>
            </w:pPr>
          </w:p>
        </w:tc>
        <w:tc>
          <w:tcPr>
            <w:tcW w:w="640" w:type="dxa"/>
            <w:vAlign w:val="bottom"/>
            <w:shd w:val="clear" w:color="auto" w:fill="E6E7E7"/>
          </w:tcPr>
          <w:p>
            <w:pPr>
              <w:spacing w:after="0"/>
              <w:rPr>
                <w:sz w:val="17"/>
                <w:szCs w:val="17"/>
                <w:color w:val="auto"/>
              </w:rPr>
            </w:pPr>
          </w:p>
        </w:tc>
        <w:tc>
          <w:tcPr>
            <w:tcW w:w="200" w:type="dxa"/>
            <w:vAlign w:val="bottom"/>
            <w:shd w:val="clear" w:color="auto" w:fill="E6E7E7"/>
          </w:tcPr>
          <w:p>
            <w:pPr>
              <w:spacing w:after="0"/>
              <w:rPr>
                <w:sz w:val="17"/>
                <w:szCs w:val="17"/>
                <w:color w:val="auto"/>
              </w:rPr>
            </w:pPr>
          </w:p>
        </w:tc>
        <w:tc>
          <w:tcPr>
            <w:tcW w:w="58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Income from continuing operations</w:t>
            </w:r>
          </w:p>
        </w:tc>
        <w:tc>
          <w:tcPr>
            <w:tcW w:w="240" w:type="dxa"/>
            <w:vAlign w:val="bottom"/>
            <w:gridSpan w:val="3"/>
          </w:tcPr>
          <w:p>
            <w:pPr>
              <w:jc w:val="right"/>
              <w:ind w:right="11"/>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1.69</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0.96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gridSpan w:val="2"/>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shd w:val="clear" w:color="auto" w:fill="E6E7E7"/>
          </w:tcPr>
          <w:p>
            <w:pPr>
              <w:ind w:left="420"/>
              <w:spacing w:after="0" w:line="196" w:lineRule="exact"/>
              <w:rPr>
                <w:sz w:val="20"/>
                <w:szCs w:val="20"/>
                <w:color w:val="auto"/>
              </w:rPr>
            </w:pPr>
            <w:r>
              <w:rPr>
                <w:rFonts w:ascii="Arial" w:cs="Arial" w:eastAsia="Arial" w:hAnsi="Arial"/>
                <w:sz w:val="18"/>
                <w:szCs w:val="18"/>
                <w:color w:val="auto"/>
              </w:rPr>
              <w:t>Net income</w:t>
            </w:r>
          </w:p>
        </w:tc>
        <w:tc>
          <w:tcPr>
            <w:tcW w:w="10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120" w:type="dxa"/>
            <w:vAlign w:val="bottom"/>
            <w:tcBorders>
              <w:top w:val="single" w:sz="8" w:color="auto"/>
              <w:bottom w:val="single" w:sz="8" w:color="auto"/>
            </w:tcBorders>
            <w:shd w:val="clear" w:color="auto" w:fill="E6E7E7"/>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E6E7E7"/>
          </w:tcPr>
          <w:p>
            <w:pPr>
              <w:jc w:val="right"/>
              <w:spacing w:after="0" w:line="196" w:lineRule="exact"/>
              <w:rPr>
                <w:sz w:val="20"/>
                <w:szCs w:val="20"/>
                <w:color w:val="auto"/>
              </w:rPr>
            </w:pPr>
            <w:r>
              <w:rPr>
                <w:rFonts w:ascii="Arial" w:cs="Arial" w:eastAsia="Arial" w:hAnsi="Arial"/>
                <w:sz w:val="18"/>
                <w:szCs w:val="18"/>
                <w:b w:val="1"/>
                <w:bCs w:val="1"/>
                <w:color w:val="auto"/>
              </w:rPr>
              <w:t>2.78</w:t>
            </w:r>
          </w:p>
        </w:tc>
        <w:tc>
          <w:tcPr>
            <w:tcW w:w="240" w:type="dxa"/>
            <w:vAlign w:val="bottom"/>
            <w:tcBorders>
              <w:top w:val="single" w:sz="8" w:color="auto"/>
              <w:bottom w:val="single" w:sz="8" w:color="auto"/>
            </w:tcBorders>
            <w:shd w:val="clear" w:color="auto" w:fill="E6E7E7"/>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E6E7E7"/>
          </w:tcPr>
          <w:p>
            <w:pPr>
              <w:jc w:val="right"/>
              <w:spacing w:after="0" w:line="196" w:lineRule="exact"/>
              <w:rPr>
                <w:sz w:val="20"/>
                <w:szCs w:val="20"/>
                <w:color w:val="auto"/>
              </w:rPr>
            </w:pPr>
            <w:r>
              <w:rPr>
                <w:rFonts w:ascii="Arial" w:cs="Arial" w:eastAsia="Arial" w:hAnsi="Arial"/>
                <w:sz w:val="18"/>
                <w:szCs w:val="18"/>
                <w:color w:val="auto"/>
              </w:rPr>
              <w:t>1.39</w:t>
            </w:r>
          </w:p>
        </w:tc>
        <w:tc>
          <w:tcPr>
            <w:tcW w:w="200" w:type="dxa"/>
            <w:vAlign w:val="bottom"/>
            <w:tcBorders>
              <w:top w:val="single" w:sz="8" w:color="auto"/>
              <w:bottom w:val="single" w:sz="8" w:color="auto"/>
            </w:tcBorders>
            <w:shd w:val="clear" w:color="auto" w:fill="E6E7E7"/>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E6E7E7"/>
          </w:tcPr>
          <w:p>
            <w:pPr>
              <w:jc w:val="right"/>
              <w:spacing w:after="0" w:line="196" w:lineRule="exact"/>
              <w:rPr>
                <w:sz w:val="20"/>
                <w:szCs w:val="20"/>
                <w:color w:val="auto"/>
              </w:rPr>
            </w:pPr>
            <w:r>
              <w:rPr>
                <w:rFonts w:ascii="Arial" w:cs="Arial" w:eastAsia="Arial" w:hAnsi="Arial"/>
                <w:sz w:val="18"/>
                <w:szCs w:val="18"/>
                <w:color w:val="auto"/>
              </w:rPr>
              <w:t>1.05</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00" w:type="dxa"/>
            <w:vAlign w:val="bottom"/>
            <w:vMerge w:val="restart"/>
          </w:tcPr>
          <w:p>
            <w:pPr>
              <w:ind w:left="200"/>
              <w:spacing w:after="0"/>
              <w:rPr>
                <w:sz w:val="20"/>
                <w:szCs w:val="20"/>
                <w:color w:val="auto"/>
              </w:rPr>
            </w:pPr>
            <w:r>
              <w:rPr>
                <w:rFonts w:ascii="Arial" w:cs="Arial" w:eastAsia="Arial" w:hAnsi="Arial"/>
                <w:sz w:val="18"/>
                <w:szCs w:val="18"/>
                <w:color w:val="auto"/>
              </w:rPr>
              <w:t>Average shares outstanding (millions):</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Basic</w:t>
            </w:r>
          </w:p>
        </w:tc>
        <w:tc>
          <w:tcPr>
            <w:tcW w:w="10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120" w:type="dxa"/>
            <w:vAlign w:val="bottom"/>
            <w:tcBorders>
              <w:bottom w:val="single" w:sz="8" w:color="auto"/>
            </w:tcBorders>
            <w:shd w:val="clear" w:color="auto" w:fill="E6E7E7"/>
          </w:tcPr>
          <w:p>
            <w:pPr>
              <w:spacing w:after="0"/>
              <w:rPr>
                <w:sz w:val="17"/>
                <w:szCs w:val="17"/>
                <w:color w:val="auto"/>
              </w:rPr>
            </w:pPr>
          </w:p>
        </w:tc>
        <w:tc>
          <w:tcPr>
            <w:tcW w:w="66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1,528</w:t>
            </w:r>
          </w:p>
        </w:tc>
        <w:tc>
          <w:tcPr>
            <w:tcW w:w="240" w:type="dxa"/>
            <w:vAlign w:val="bottom"/>
            <w:tcBorders>
              <w:bottom w:val="single" w:sz="8" w:color="auto"/>
            </w:tcBorders>
            <w:shd w:val="clear" w:color="auto" w:fill="E6E7E7"/>
          </w:tcPr>
          <w:p>
            <w:pPr>
              <w:spacing w:after="0"/>
              <w:rPr>
                <w:sz w:val="17"/>
                <w:szCs w:val="17"/>
                <w:color w:val="auto"/>
              </w:rPr>
            </w:pPr>
          </w:p>
        </w:tc>
        <w:tc>
          <w:tcPr>
            <w:tcW w:w="64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1,640</w:t>
            </w:r>
          </w:p>
        </w:tc>
        <w:tc>
          <w:tcPr>
            <w:tcW w:w="200" w:type="dxa"/>
            <w:vAlign w:val="bottom"/>
            <w:tcBorders>
              <w:bottom w:val="single" w:sz="8" w:color="auto"/>
            </w:tcBorders>
            <w:shd w:val="clear" w:color="auto" w:fill="E6E7E7"/>
          </w:tcPr>
          <w:p>
            <w:pPr>
              <w:spacing w:after="0"/>
              <w:rPr>
                <w:sz w:val="17"/>
                <w:szCs w:val="17"/>
                <w:color w:val="auto"/>
              </w:rPr>
            </w:pPr>
          </w:p>
        </w:tc>
        <w:tc>
          <w:tcPr>
            <w:tcW w:w="58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1,730</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tcPr>
          <w:p>
            <w:pPr>
              <w:ind w:left="420"/>
              <w:spacing w:after="0" w:line="196" w:lineRule="exact"/>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1,560</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1,671</w:t>
            </w: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shd w:val="clear" w:color="auto" w:fill="E6E7E7"/>
          </w:tcPr>
          <w:p>
            <w:pPr>
              <w:ind w:left="200"/>
              <w:spacing w:after="0" w:line="196" w:lineRule="exact"/>
              <w:rPr>
                <w:sz w:val="20"/>
                <w:szCs w:val="20"/>
                <w:color w:val="auto"/>
              </w:rPr>
            </w:pPr>
            <w:r>
              <w:rPr>
                <w:rFonts w:ascii="Arial" w:cs="Arial" w:eastAsia="Arial" w:hAnsi="Arial"/>
                <w:sz w:val="18"/>
                <w:szCs w:val="18"/>
                <w:color w:val="auto"/>
              </w:rPr>
              <w:t>Cash dividends declared per share of common stock</w:t>
            </w:r>
          </w:p>
        </w:tc>
        <w:tc>
          <w:tcPr>
            <w:tcW w:w="10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120" w:type="dxa"/>
            <w:vAlign w:val="bottom"/>
            <w:tcBorders>
              <w:top w:val="single" w:sz="8" w:color="auto"/>
              <w:bottom w:val="single" w:sz="8" w:color="auto"/>
            </w:tcBorders>
            <w:shd w:val="clear" w:color="auto" w:fill="E6E7E7"/>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E6E7E7"/>
          </w:tcPr>
          <w:p>
            <w:pPr>
              <w:jc w:val="right"/>
              <w:spacing w:after="0" w:line="196" w:lineRule="exact"/>
              <w:rPr>
                <w:sz w:val="20"/>
                <w:szCs w:val="20"/>
                <w:color w:val="auto"/>
              </w:rPr>
            </w:pPr>
            <w:r>
              <w:rPr>
                <w:rFonts w:ascii="Arial" w:cs="Arial" w:eastAsia="Arial" w:hAnsi="Arial"/>
                <w:sz w:val="18"/>
                <w:szCs w:val="18"/>
                <w:b w:val="1"/>
                <w:bCs w:val="1"/>
                <w:color w:val="auto"/>
              </w:rPr>
              <w:t>0.130</w:t>
            </w:r>
          </w:p>
        </w:tc>
        <w:tc>
          <w:tcPr>
            <w:tcW w:w="240" w:type="dxa"/>
            <w:vAlign w:val="bottom"/>
            <w:tcBorders>
              <w:top w:val="single" w:sz="8" w:color="auto"/>
              <w:bottom w:val="single" w:sz="8" w:color="auto"/>
            </w:tcBorders>
            <w:shd w:val="clear" w:color="auto" w:fill="E6E7E7"/>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E6E7E7"/>
          </w:tcPr>
          <w:p>
            <w:pPr>
              <w:jc w:val="right"/>
              <w:spacing w:after="0" w:line="196" w:lineRule="exact"/>
              <w:rPr>
                <w:sz w:val="20"/>
                <w:szCs w:val="20"/>
                <w:color w:val="auto"/>
              </w:rPr>
            </w:pPr>
            <w:r>
              <w:rPr>
                <w:rFonts w:ascii="Arial" w:cs="Arial" w:eastAsia="Arial" w:hAnsi="Arial"/>
                <w:sz w:val="18"/>
                <w:szCs w:val="18"/>
                <w:color w:val="auto"/>
              </w:rPr>
              <w:t>0.105</w:t>
            </w:r>
          </w:p>
        </w:tc>
        <w:tc>
          <w:tcPr>
            <w:tcW w:w="200" w:type="dxa"/>
            <w:vAlign w:val="bottom"/>
            <w:tcBorders>
              <w:top w:val="single" w:sz="8" w:color="auto"/>
              <w:bottom w:val="single" w:sz="8" w:color="auto"/>
            </w:tcBorders>
            <w:shd w:val="clear" w:color="auto" w:fill="E6E7E7"/>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E6E7E7"/>
          </w:tcPr>
          <w:p>
            <w:pPr>
              <w:jc w:val="right"/>
              <w:spacing w:after="0" w:line="196" w:lineRule="exact"/>
              <w:rPr>
                <w:sz w:val="20"/>
                <w:szCs w:val="20"/>
                <w:color w:val="auto"/>
              </w:rPr>
            </w:pPr>
            <w:r>
              <w:rPr>
                <w:rFonts w:ascii="Arial" w:cs="Arial" w:eastAsia="Arial" w:hAnsi="Arial"/>
                <w:sz w:val="18"/>
                <w:szCs w:val="18"/>
                <w:color w:val="auto"/>
              </w:rPr>
              <w:t>0.089</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00" w:type="dxa"/>
            <w:vAlign w:val="bottom"/>
            <w:vMerge w:val="restart"/>
          </w:tcPr>
          <w:p>
            <w:pPr>
              <w:ind w:left="200"/>
              <w:spacing w:after="0"/>
              <w:rPr>
                <w:sz w:val="20"/>
                <w:szCs w:val="20"/>
                <w:color w:val="auto"/>
              </w:rPr>
            </w:pPr>
            <w:r>
              <w:rPr>
                <w:rFonts w:ascii="Arial" w:cs="Arial" w:eastAsia="Arial" w:hAnsi="Arial"/>
                <w:sz w:val="14"/>
                <w:szCs w:val="14"/>
                <w:color w:val="auto"/>
              </w:rPr>
              <w:t>See accompanying notes.</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72"/>
          </w:cols>
          <w:pgMar w:left="248" w:top="287" w:right="579" w:bottom="1440" w:gutter="0" w:footer="0" w:header="0"/>
        </w:sectPr>
      </w:pPr>
    </w:p>
    <w:bookmarkStart w:id="56" w:name="page57"/>
    <w:bookmarkEnd w:id="56"/>
    <w:p>
      <w:pPr>
        <w:jc w:val="right"/>
        <w:spacing w:after="0"/>
        <w:tabs>
          <w:tab w:leader="none" w:pos="6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2006 ANNUAL REPORT</w:t>
        <w:tab/>
        <w:t>7</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COMPREHENSIVE INCOME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w:t>
      </w:r>
    </w:p>
    <w:p>
      <w:pPr>
        <w:jc w:val="center"/>
        <w:ind w:left="8320"/>
        <w:spacing w:after="0" w:line="221" w:lineRule="auto"/>
        <w:rPr>
          <w:sz w:val="20"/>
          <w:szCs w:val="20"/>
          <w:color w:val="auto"/>
        </w:rPr>
      </w:pPr>
      <w:r>
        <w:rPr>
          <w:rFonts w:ascii="Arial" w:cs="Arial" w:eastAsia="Arial" w:hAnsi="Arial"/>
          <w:sz w:val="14"/>
          <w:szCs w:val="14"/>
          <w:b w:val="1"/>
          <w:bCs w:val="1"/>
          <w:color w:val="939598"/>
        </w:rPr>
        <w:t>FOR THE YEARS ENDED</w:t>
      </w:r>
    </w:p>
    <w:p>
      <w:pPr>
        <w:jc w:val="center"/>
        <w:ind w:left="8320"/>
        <w:spacing w:after="0"/>
        <w:rPr>
          <w:sz w:val="20"/>
          <w:szCs w:val="20"/>
          <w:color w:val="auto"/>
        </w:rPr>
      </w:pPr>
      <w:r>
        <w:rPr>
          <w:rFonts w:ascii="Arial" w:cs="Arial" w:eastAsia="Arial" w:hAnsi="Arial"/>
          <w:sz w:val="14"/>
          <w:szCs w:val="14"/>
          <w:b w:val="1"/>
          <w:bCs w:val="1"/>
          <w:color w:val="939598"/>
        </w:rPr>
        <w:t>DECEMBER 31,</w:t>
      </w:r>
    </w:p>
    <w:p>
      <w:pPr>
        <w:spacing w:after="0" w:line="29" w:lineRule="exact"/>
        <w:rPr>
          <w:sz w:val="20"/>
          <w:szCs w:val="20"/>
          <w:color w:val="auto"/>
        </w:rPr>
      </w:pPr>
    </w:p>
    <w:tbl>
      <w:tblPr>
        <w:tblLayout w:type="fixed"/>
        <w:tblInd w:w="360" w:type="dxa"/>
        <w:tblCellMar>
          <w:top w:w="0" w:type="dxa"/>
          <w:left w:w="0" w:type="dxa"/>
          <w:bottom w:w="0" w:type="dxa"/>
          <w:right w:w="0" w:type="dxa"/>
        </w:tblCellMar>
      </w:tblPr>
      <w:tr>
        <w:trPr>
          <w:trHeight w:val="257"/>
        </w:trPr>
        <w:tc>
          <w:tcPr>
            <w:tcW w:w="8300" w:type="dxa"/>
            <w:vAlign w:val="bottom"/>
            <w:shd w:val="clear" w:color="auto" w:fill="939598"/>
          </w:tcPr>
          <w:p>
            <w:pPr>
              <w:spacing w:after="0"/>
              <w:rPr>
                <w:sz w:val="22"/>
                <w:szCs w:val="22"/>
                <w:color w:val="auto"/>
              </w:rPr>
            </w:pPr>
          </w:p>
        </w:tc>
        <w:tc>
          <w:tcPr>
            <w:tcW w:w="80" w:type="dxa"/>
            <w:vAlign w:val="bottom"/>
            <w:shd w:val="clear" w:color="auto" w:fill="939598"/>
          </w:tcPr>
          <w:p>
            <w:pPr>
              <w:spacing w:after="0"/>
              <w:rPr>
                <w:sz w:val="22"/>
                <w:szCs w:val="22"/>
                <w:color w:val="auto"/>
              </w:rPr>
            </w:pPr>
          </w:p>
        </w:tc>
        <w:tc>
          <w:tcPr>
            <w:tcW w:w="20" w:type="dxa"/>
            <w:vAlign w:val="bottom"/>
            <w:shd w:val="clear" w:color="auto" w:fill="939598"/>
          </w:tcPr>
          <w:p>
            <w:pPr>
              <w:spacing w:after="0"/>
              <w:rPr>
                <w:sz w:val="22"/>
                <w:szCs w:val="22"/>
                <w:color w:val="auto"/>
              </w:rPr>
            </w:pPr>
          </w:p>
        </w:tc>
        <w:tc>
          <w:tcPr>
            <w:tcW w:w="120" w:type="dxa"/>
            <w:vAlign w:val="bottom"/>
            <w:shd w:val="clear" w:color="auto" w:fill="939598"/>
          </w:tcPr>
          <w:p>
            <w:pPr>
              <w:spacing w:after="0"/>
              <w:rPr>
                <w:sz w:val="22"/>
                <w:szCs w:val="22"/>
                <w:color w:val="auto"/>
              </w:rPr>
            </w:pPr>
          </w:p>
        </w:tc>
        <w:tc>
          <w:tcPr>
            <w:tcW w:w="620" w:type="dxa"/>
            <w:vAlign w:val="bottom"/>
            <w:shd w:val="clear" w:color="auto" w:fill="939598"/>
          </w:tcPr>
          <w:p>
            <w:pPr>
              <w:jc w:val="right"/>
              <w:ind w:right="194"/>
              <w:spacing w:after="0"/>
              <w:rPr>
                <w:sz w:val="20"/>
                <w:szCs w:val="20"/>
                <w:color w:val="auto"/>
              </w:rPr>
            </w:pPr>
            <w:r>
              <w:rPr>
                <w:rFonts w:ascii="Arial" w:cs="Arial" w:eastAsia="Arial" w:hAnsi="Arial"/>
                <w:sz w:val="14"/>
                <w:szCs w:val="14"/>
                <w:b w:val="1"/>
                <w:bCs w:val="1"/>
                <w:color w:val="FFFFFF"/>
              </w:rPr>
              <w:t>2006</w:t>
            </w:r>
          </w:p>
        </w:tc>
        <w:tc>
          <w:tcPr>
            <w:tcW w:w="180" w:type="dxa"/>
            <w:vAlign w:val="bottom"/>
            <w:shd w:val="clear" w:color="auto" w:fill="939598"/>
          </w:tcPr>
          <w:p>
            <w:pPr>
              <w:spacing w:after="0"/>
              <w:rPr>
                <w:sz w:val="22"/>
                <w:szCs w:val="22"/>
                <w:color w:val="auto"/>
              </w:rPr>
            </w:pPr>
          </w:p>
        </w:tc>
        <w:tc>
          <w:tcPr>
            <w:tcW w:w="620" w:type="dxa"/>
            <w:vAlign w:val="bottom"/>
            <w:shd w:val="clear" w:color="auto" w:fill="939598"/>
          </w:tcPr>
          <w:p>
            <w:pPr>
              <w:jc w:val="right"/>
              <w:ind w:right="194"/>
              <w:spacing w:after="0"/>
              <w:rPr>
                <w:sz w:val="20"/>
                <w:szCs w:val="20"/>
                <w:color w:val="auto"/>
              </w:rPr>
            </w:pPr>
            <w:r>
              <w:rPr>
                <w:rFonts w:ascii="Arial" w:cs="Arial" w:eastAsia="Arial" w:hAnsi="Arial"/>
                <w:sz w:val="14"/>
                <w:szCs w:val="14"/>
                <w:b w:val="1"/>
                <w:bCs w:val="1"/>
                <w:color w:val="FFFFFF"/>
              </w:rPr>
              <w:t>2005</w:t>
            </w:r>
          </w:p>
        </w:tc>
        <w:tc>
          <w:tcPr>
            <w:tcW w:w="200" w:type="dxa"/>
            <w:vAlign w:val="bottom"/>
            <w:shd w:val="clear" w:color="auto" w:fill="939598"/>
          </w:tcPr>
          <w:p>
            <w:pPr>
              <w:spacing w:after="0"/>
              <w:rPr>
                <w:sz w:val="22"/>
                <w:szCs w:val="22"/>
                <w:color w:val="auto"/>
              </w:rPr>
            </w:pPr>
          </w:p>
        </w:tc>
        <w:tc>
          <w:tcPr>
            <w:tcW w:w="520" w:type="dxa"/>
            <w:vAlign w:val="bottom"/>
            <w:shd w:val="clear" w:color="auto" w:fill="939598"/>
          </w:tcPr>
          <w:p>
            <w:pPr>
              <w:jc w:val="right"/>
              <w:ind w:right="94"/>
              <w:spacing w:after="0"/>
              <w:rPr>
                <w:sz w:val="20"/>
                <w:szCs w:val="20"/>
                <w:color w:val="auto"/>
              </w:rPr>
            </w:pPr>
            <w:r>
              <w:rPr>
                <w:rFonts w:ascii="Arial" w:cs="Arial" w:eastAsia="Arial" w:hAnsi="Arial"/>
                <w:sz w:val="14"/>
                <w:szCs w:val="14"/>
                <w:b w:val="1"/>
                <w:bCs w:val="1"/>
                <w:color w:val="FFFFFF"/>
              </w:rPr>
              <w:t>2004</w:t>
            </w:r>
          </w:p>
        </w:tc>
        <w:tc>
          <w:tcPr>
            <w:tcW w:w="60" w:type="dxa"/>
            <w:vAlign w:val="bottom"/>
            <w:shd w:val="clear" w:color="auto" w:fill="939598"/>
          </w:tcPr>
          <w:p>
            <w:pPr>
              <w:spacing w:after="0"/>
              <w:rPr>
                <w:sz w:val="22"/>
                <w:szCs w:val="22"/>
                <w:color w:val="auto"/>
              </w:rPr>
            </w:pPr>
          </w:p>
        </w:tc>
      </w:tr>
      <w:tr>
        <w:trPr>
          <w:trHeight w:val="270"/>
        </w:trPr>
        <w:tc>
          <w:tcPr>
            <w:tcW w:w="8300" w:type="dxa"/>
            <w:vAlign w:val="bottom"/>
          </w:tcPr>
          <w:p>
            <w:pPr>
              <w:ind w:left="20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34"/>
              <w:spacing w:after="0"/>
              <w:rPr>
                <w:sz w:val="20"/>
                <w:szCs w:val="20"/>
                <w:color w:val="auto"/>
              </w:rPr>
            </w:pPr>
            <w:r>
              <w:rPr>
                <w:rFonts w:ascii="Arial" w:cs="Arial" w:eastAsia="Arial" w:hAnsi="Arial"/>
                <w:sz w:val="18"/>
                <w:szCs w:val="18"/>
                <w:b w:val="1"/>
                <w:bCs w:val="1"/>
                <w:color w:val="auto"/>
              </w:rPr>
              <w:t>2,638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2,173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1,691</w:t>
            </w:r>
          </w:p>
        </w:tc>
        <w:tc>
          <w:tcPr>
            <w:tcW w:w="60" w:type="dxa"/>
            <w:vAlign w:val="bottom"/>
          </w:tcPr>
          <w:p>
            <w:pPr>
              <w:spacing w:after="0"/>
              <w:rPr>
                <w:sz w:val="23"/>
                <w:szCs w:val="23"/>
                <w:color w:val="auto"/>
              </w:rPr>
            </w:pPr>
          </w:p>
        </w:tc>
      </w:tr>
      <w:tr>
        <w:trPr>
          <w:trHeight w:val="203"/>
        </w:trPr>
        <w:tc>
          <w:tcPr>
            <w:tcW w:w="830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Other comprehensive income (loss):</w:t>
            </w:r>
          </w:p>
        </w:tc>
        <w:tc>
          <w:tcPr>
            <w:tcW w:w="8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120" w:type="dxa"/>
            <w:vAlign w:val="bottom"/>
            <w:shd w:val="clear" w:color="auto" w:fill="E6E7E7"/>
          </w:tcPr>
          <w:p>
            <w:pPr>
              <w:spacing w:after="0"/>
              <w:rPr>
                <w:sz w:val="17"/>
                <w:szCs w:val="17"/>
                <w:color w:val="auto"/>
              </w:rPr>
            </w:pPr>
          </w:p>
        </w:tc>
        <w:tc>
          <w:tcPr>
            <w:tcW w:w="620" w:type="dxa"/>
            <w:vAlign w:val="bottom"/>
            <w:shd w:val="clear" w:color="auto" w:fill="E6E7E7"/>
          </w:tcPr>
          <w:p>
            <w:pPr>
              <w:spacing w:after="0"/>
              <w:rPr>
                <w:sz w:val="17"/>
                <w:szCs w:val="17"/>
                <w:color w:val="auto"/>
              </w:rPr>
            </w:pPr>
          </w:p>
        </w:tc>
        <w:tc>
          <w:tcPr>
            <w:tcW w:w="180" w:type="dxa"/>
            <w:vAlign w:val="bottom"/>
            <w:shd w:val="clear" w:color="auto" w:fill="E6E7E7"/>
          </w:tcPr>
          <w:p>
            <w:pPr>
              <w:spacing w:after="0"/>
              <w:rPr>
                <w:sz w:val="17"/>
                <w:szCs w:val="17"/>
                <w:color w:val="auto"/>
              </w:rPr>
            </w:pPr>
          </w:p>
        </w:tc>
        <w:tc>
          <w:tcPr>
            <w:tcW w:w="620" w:type="dxa"/>
            <w:vAlign w:val="bottom"/>
            <w:shd w:val="clear" w:color="auto" w:fill="E6E7E7"/>
          </w:tcPr>
          <w:p>
            <w:pPr>
              <w:spacing w:after="0"/>
              <w:rPr>
                <w:sz w:val="17"/>
                <w:szCs w:val="17"/>
                <w:color w:val="auto"/>
              </w:rPr>
            </w:pPr>
          </w:p>
        </w:tc>
        <w:tc>
          <w:tcPr>
            <w:tcW w:w="200" w:type="dxa"/>
            <w:vAlign w:val="bottom"/>
            <w:shd w:val="clear" w:color="auto" w:fill="E6E7E7"/>
          </w:tcPr>
          <w:p>
            <w:pPr>
              <w:spacing w:after="0"/>
              <w:rPr>
                <w:sz w:val="17"/>
                <w:szCs w:val="17"/>
                <w:color w:val="auto"/>
              </w:rPr>
            </w:pPr>
          </w:p>
        </w:tc>
        <w:tc>
          <w:tcPr>
            <w:tcW w:w="52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r>
      <w:tr>
        <w:trPr>
          <w:trHeight w:val="203"/>
        </w:trPr>
        <w:tc>
          <w:tcPr>
            <w:tcW w:w="8300" w:type="dxa"/>
            <w:vAlign w:val="bottom"/>
          </w:tcPr>
          <w:p>
            <w:pPr>
              <w:ind w:left="420"/>
              <w:spacing w:after="0" w:line="202" w:lineRule="exact"/>
              <w:rPr>
                <w:sz w:val="20"/>
                <w:szCs w:val="20"/>
                <w:color w:val="auto"/>
              </w:rPr>
            </w:pPr>
            <w:r>
              <w:rPr>
                <w:rFonts w:ascii="Arial" w:cs="Arial" w:eastAsia="Arial" w:hAnsi="Arial"/>
                <w:sz w:val="18"/>
                <w:szCs w:val="18"/>
                <w:color w:val="auto"/>
              </w:rPr>
              <w:t>Change in minimum pension liability adjustment: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300" w:type="dxa"/>
            <w:vAlign w:val="bottom"/>
            <w:shd w:val="clear" w:color="auto" w:fill="E6E7E7"/>
          </w:tcPr>
          <w:p>
            <w:pPr>
              <w:ind w:left="640"/>
              <w:spacing w:after="0" w:line="202" w:lineRule="exact"/>
              <w:rPr>
                <w:sz w:val="20"/>
                <w:szCs w:val="20"/>
                <w:color w:val="auto"/>
              </w:rPr>
            </w:pPr>
            <w:r>
              <w:rPr>
                <w:rFonts w:ascii="Arial" w:cs="Arial" w:eastAsia="Arial" w:hAnsi="Arial"/>
                <w:sz w:val="18"/>
                <w:szCs w:val="18"/>
                <w:color w:val="auto"/>
              </w:rPr>
              <w:t>Annual adjustment, net of tax benefit (expense) of ($33), ($79) and $7</w:t>
            </w:r>
          </w:p>
        </w:tc>
        <w:tc>
          <w:tcPr>
            <w:tcW w:w="8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120" w:type="dxa"/>
            <w:vAlign w:val="bottom"/>
            <w:shd w:val="clear" w:color="auto" w:fill="E6E7E7"/>
          </w:tcPr>
          <w:p>
            <w:pPr>
              <w:spacing w:after="0"/>
              <w:rPr>
                <w:sz w:val="17"/>
                <w:szCs w:val="17"/>
                <w:color w:val="auto"/>
              </w:rPr>
            </w:pPr>
          </w:p>
        </w:tc>
        <w:tc>
          <w:tcPr>
            <w:tcW w:w="620" w:type="dxa"/>
            <w:vAlign w:val="bottom"/>
            <w:shd w:val="clear" w:color="auto" w:fill="E6E7E7"/>
          </w:tcPr>
          <w:p>
            <w:pPr>
              <w:jc w:val="right"/>
              <w:ind w:right="34"/>
              <w:spacing w:after="0" w:line="202" w:lineRule="exact"/>
              <w:rPr>
                <w:sz w:val="20"/>
                <w:szCs w:val="20"/>
                <w:color w:val="auto"/>
              </w:rPr>
            </w:pPr>
            <w:r>
              <w:rPr>
                <w:rFonts w:ascii="Arial" w:cs="Arial" w:eastAsia="Arial" w:hAnsi="Arial"/>
                <w:sz w:val="18"/>
                <w:szCs w:val="18"/>
                <w:b w:val="1"/>
                <w:bCs w:val="1"/>
                <w:color w:val="auto"/>
              </w:rPr>
              <w:t>48</w:t>
            </w:r>
          </w:p>
        </w:tc>
        <w:tc>
          <w:tcPr>
            <w:tcW w:w="180" w:type="dxa"/>
            <w:vAlign w:val="bottom"/>
            <w:shd w:val="clear" w:color="auto" w:fill="E6E7E7"/>
          </w:tcPr>
          <w:p>
            <w:pPr>
              <w:spacing w:after="0"/>
              <w:rPr>
                <w:sz w:val="17"/>
                <w:szCs w:val="17"/>
                <w:color w:val="auto"/>
              </w:rPr>
            </w:pPr>
          </w:p>
        </w:tc>
        <w:tc>
          <w:tcPr>
            <w:tcW w:w="620" w:type="dxa"/>
            <w:vAlign w:val="bottom"/>
            <w:shd w:val="clear" w:color="auto" w:fill="E6E7E7"/>
          </w:tcPr>
          <w:p>
            <w:pPr>
              <w:jc w:val="right"/>
              <w:ind w:right="14"/>
              <w:spacing w:after="0" w:line="202" w:lineRule="exact"/>
              <w:rPr>
                <w:sz w:val="20"/>
                <w:szCs w:val="20"/>
                <w:color w:val="auto"/>
              </w:rPr>
            </w:pPr>
            <w:r>
              <w:rPr>
                <w:rFonts w:ascii="Arial" w:cs="Arial" w:eastAsia="Arial" w:hAnsi="Arial"/>
                <w:sz w:val="18"/>
                <w:szCs w:val="18"/>
                <w:color w:val="auto"/>
              </w:rPr>
              <w:t>103</w:t>
            </w:r>
          </w:p>
        </w:tc>
        <w:tc>
          <w:tcPr>
            <w:tcW w:w="200" w:type="dxa"/>
            <w:vAlign w:val="bottom"/>
            <w:shd w:val="clear" w:color="auto" w:fill="E6E7E7"/>
          </w:tcPr>
          <w:p>
            <w:pPr>
              <w:spacing w:after="0"/>
              <w:rPr>
                <w:sz w:val="17"/>
                <w:szCs w:val="17"/>
                <w:color w:val="auto"/>
              </w:rPr>
            </w:pPr>
          </w:p>
        </w:tc>
        <w:tc>
          <w:tcPr>
            <w:tcW w:w="580" w:type="dxa"/>
            <w:vAlign w:val="bottom"/>
            <w:gridSpan w:val="2"/>
            <w:shd w:val="clear" w:color="auto" w:fill="E6E7E7"/>
          </w:tcPr>
          <w:p>
            <w:pPr>
              <w:jc w:val="right"/>
              <w:ind w:right="20"/>
              <w:spacing w:after="0" w:line="202" w:lineRule="exact"/>
              <w:rPr>
                <w:sz w:val="20"/>
                <w:szCs w:val="20"/>
                <w:color w:val="auto"/>
              </w:rPr>
            </w:pPr>
            <w:r>
              <w:rPr>
                <w:rFonts w:ascii="Arial" w:cs="Arial" w:eastAsia="Arial" w:hAnsi="Arial"/>
                <w:sz w:val="18"/>
                <w:szCs w:val="18"/>
                <w:color w:val="auto"/>
              </w:rPr>
              <w:t>(8)</w:t>
            </w:r>
          </w:p>
        </w:tc>
      </w:tr>
      <w:tr>
        <w:trPr>
          <w:trHeight w:val="203"/>
        </w:trPr>
        <w:tc>
          <w:tcPr>
            <w:tcW w:w="8300" w:type="dxa"/>
            <w:vAlign w:val="bottom"/>
          </w:tcPr>
          <w:p>
            <w:pPr>
              <w:ind w:left="420"/>
              <w:spacing w:after="0" w:line="202" w:lineRule="exact"/>
              <w:rPr>
                <w:sz w:val="20"/>
                <w:szCs w:val="20"/>
                <w:color w:val="auto"/>
              </w:rPr>
            </w:pPr>
            <w:r>
              <w:rPr>
                <w:rFonts w:ascii="Arial" w:cs="Arial" w:eastAsia="Arial" w:hAnsi="Arial"/>
                <w:sz w:val="18"/>
                <w:szCs w:val="18"/>
                <w:color w:val="auto"/>
              </w:rPr>
              <w:t>Changes in available-for-sale investments: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300" w:type="dxa"/>
            <w:vAlign w:val="bottom"/>
            <w:shd w:val="clear" w:color="auto" w:fill="E6E7E7"/>
          </w:tcPr>
          <w:p>
            <w:pPr>
              <w:ind w:left="640"/>
              <w:spacing w:after="0" w:line="202" w:lineRule="exact"/>
              <w:rPr>
                <w:sz w:val="20"/>
                <w:szCs w:val="20"/>
                <w:color w:val="auto"/>
              </w:rPr>
            </w:pPr>
            <w:r>
              <w:rPr>
                <w:rFonts w:ascii="Arial" w:cs="Arial" w:eastAsia="Arial" w:hAnsi="Arial"/>
                <w:sz w:val="18"/>
                <w:szCs w:val="18"/>
                <w:color w:val="auto"/>
              </w:rPr>
              <w:t>Annual adjustment, net of tax benefit (expense) of ($2), $2 and $11</w:t>
            </w:r>
          </w:p>
        </w:tc>
        <w:tc>
          <w:tcPr>
            <w:tcW w:w="8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120" w:type="dxa"/>
            <w:vAlign w:val="bottom"/>
            <w:shd w:val="clear" w:color="auto" w:fill="E6E7E7"/>
          </w:tcPr>
          <w:p>
            <w:pPr>
              <w:spacing w:after="0"/>
              <w:rPr>
                <w:sz w:val="17"/>
                <w:szCs w:val="17"/>
                <w:color w:val="auto"/>
              </w:rPr>
            </w:pPr>
          </w:p>
        </w:tc>
        <w:tc>
          <w:tcPr>
            <w:tcW w:w="620" w:type="dxa"/>
            <w:vAlign w:val="bottom"/>
            <w:shd w:val="clear" w:color="auto" w:fill="E6E7E7"/>
          </w:tcPr>
          <w:p>
            <w:pPr>
              <w:jc w:val="right"/>
              <w:ind w:right="34"/>
              <w:spacing w:after="0" w:line="202" w:lineRule="exact"/>
              <w:rPr>
                <w:sz w:val="20"/>
                <w:szCs w:val="20"/>
                <w:color w:val="auto"/>
              </w:rPr>
            </w:pPr>
            <w:r>
              <w:rPr>
                <w:rFonts w:ascii="Arial" w:cs="Arial" w:eastAsia="Arial" w:hAnsi="Arial"/>
                <w:sz w:val="18"/>
                <w:szCs w:val="18"/>
                <w:b w:val="1"/>
                <w:bCs w:val="1"/>
                <w:color w:val="auto"/>
              </w:rPr>
              <w:t>5</w:t>
            </w:r>
          </w:p>
        </w:tc>
        <w:tc>
          <w:tcPr>
            <w:tcW w:w="180" w:type="dxa"/>
            <w:vAlign w:val="bottom"/>
            <w:shd w:val="clear" w:color="auto" w:fill="E6E7E7"/>
          </w:tcPr>
          <w:p>
            <w:pPr>
              <w:spacing w:after="0"/>
              <w:rPr>
                <w:sz w:val="17"/>
                <w:szCs w:val="17"/>
                <w:color w:val="auto"/>
              </w:rPr>
            </w:pPr>
          </w:p>
        </w:tc>
        <w:tc>
          <w:tcPr>
            <w:tcW w:w="6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(3)</w:t>
            </w:r>
          </w:p>
        </w:tc>
        <w:tc>
          <w:tcPr>
            <w:tcW w:w="200" w:type="dxa"/>
            <w:vAlign w:val="bottom"/>
            <w:shd w:val="clear" w:color="auto" w:fill="E6E7E7"/>
          </w:tcPr>
          <w:p>
            <w:pPr>
              <w:spacing w:after="0"/>
              <w:rPr>
                <w:sz w:val="17"/>
                <w:szCs w:val="17"/>
                <w:color w:val="auto"/>
              </w:rPr>
            </w:pPr>
          </w:p>
        </w:tc>
        <w:tc>
          <w:tcPr>
            <w:tcW w:w="580" w:type="dxa"/>
            <w:vAlign w:val="bottom"/>
            <w:gridSpan w:val="2"/>
            <w:shd w:val="clear" w:color="auto" w:fill="E6E7E7"/>
          </w:tcPr>
          <w:p>
            <w:pPr>
              <w:jc w:val="right"/>
              <w:ind w:right="20"/>
              <w:spacing w:after="0" w:line="202" w:lineRule="exact"/>
              <w:rPr>
                <w:sz w:val="20"/>
                <w:szCs w:val="20"/>
                <w:color w:val="auto"/>
              </w:rPr>
            </w:pPr>
            <w:r>
              <w:rPr>
                <w:rFonts w:ascii="Arial" w:cs="Arial" w:eastAsia="Arial" w:hAnsi="Arial"/>
                <w:sz w:val="18"/>
                <w:szCs w:val="18"/>
                <w:color w:val="auto"/>
              </w:rPr>
              <w:t>(21)</w:t>
            </w:r>
          </w:p>
        </w:tc>
      </w:tr>
      <w:tr>
        <w:trPr>
          <w:trHeight w:val="210"/>
        </w:trPr>
        <w:tc>
          <w:tcPr>
            <w:tcW w:w="8300" w:type="dxa"/>
            <w:vAlign w:val="bottom"/>
          </w:tcPr>
          <w:p>
            <w:pPr>
              <w:ind w:left="640"/>
              <w:spacing w:after="0" w:line="202" w:lineRule="exact"/>
              <w:rPr>
                <w:sz w:val="20"/>
                <w:szCs w:val="20"/>
                <w:color w:val="auto"/>
              </w:rPr>
            </w:pPr>
            <w:r>
              <w:rPr>
                <w:rFonts w:ascii="Arial" w:cs="Arial" w:eastAsia="Arial" w:hAnsi="Arial"/>
                <w:sz w:val="18"/>
                <w:szCs w:val="18"/>
                <w:color w:val="auto"/>
              </w:rPr>
              <w:t>Reclassification of recognized transactions, net of tax benefit (expense) of $0, ($1) and ($3)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60" w:type="dxa"/>
            <w:vAlign w:val="bottom"/>
            <w:tcBorders>
              <w:bottom w:val="single" w:sz="8" w:color="auto"/>
            </w:tcBorders>
          </w:tcPr>
          <w:p>
            <w:pPr>
              <w:spacing w:after="0"/>
              <w:rPr>
                <w:sz w:val="18"/>
                <w:szCs w:val="18"/>
                <w:color w:val="auto"/>
              </w:rPr>
            </w:pPr>
          </w:p>
        </w:tc>
      </w:tr>
      <w:tr>
        <w:trPr>
          <w:trHeight w:val="203"/>
        </w:trPr>
        <w:tc>
          <w:tcPr>
            <w:tcW w:w="830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Total</w:t>
            </w:r>
          </w:p>
        </w:tc>
        <w:tc>
          <w:tcPr>
            <w:tcW w:w="8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120" w:type="dxa"/>
            <w:vAlign w:val="bottom"/>
            <w:shd w:val="clear" w:color="auto" w:fill="E6E7E7"/>
          </w:tcPr>
          <w:p>
            <w:pPr>
              <w:spacing w:after="0"/>
              <w:rPr>
                <w:sz w:val="17"/>
                <w:szCs w:val="17"/>
                <w:color w:val="auto"/>
              </w:rPr>
            </w:pPr>
          </w:p>
        </w:tc>
        <w:tc>
          <w:tcPr>
            <w:tcW w:w="620" w:type="dxa"/>
            <w:vAlign w:val="bottom"/>
            <w:shd w:val="clear" w:color="auto" w:fill="E6E7E7"/>
          </w:tcPr>
          <w:p>
            <w:pPr>
              <w:jc w:val="right"/>
              <w:ind w:right="34"/>
              <w:spacing w:after="0" w:line="202" w:lineRule="exact"/>
              <w:rPr>
                <w:sz w:val="20"/>
                <w:szCs w:val="20"/>
                <w:color w:val="auto"/>
              </w:rPr>
            </w:pPr>
            <w:r>
              <w:rPr>
                <w:rFonts w:ascii="Arial" w:cs="Arial" w:eastAsia="Arial" w:hAnsi="Arial"/>
                <w:sz w:val="18"/>
                <w:szCs w:val="18"/>
                <w:b w:val="1"/>
                <w:bCs w:val="1"/>
                <w:color w:val="auto"/>
              </w:rPr>
              <w:t>52</w:t>
            </w:r>
          </w:p>
        </w:tc>
        <w:tc>
          <w:tcPr>
            <w:tcW w:w="180" w:type="dxa"/>
            <w:vAlign w:val="bottom"/>
            <w:shd w:val="clear" w:color="auto" w:fill="E6E7E7"/>
          </w:tcPr>
          <w:p>
            <w:pPr>
              <w:spacing w:after="0"/>
              <w:rPr>
                <w:sz w:val="17"/>
                <w:szCs w:val="17"/>
                <w:color w:val="auto"/>
              </w:rPr>
            </w:pPr>
          </w:p>
        </w:tc>
        <w:tc>
          <w:tcPr>
            <w:tcW w:w="620" w:type="dxa"/>
            <w:vAlign w:val="bottom"/>
            <w:shd w:val="clear" w:color="auto" w:fill="E6E7E7"/>
          </w:tcPr>
          <w:p>
            <w:pPr>
              <w:jc w:val="right"/>
              <w:ind w:right="14"/>
              <w:spacing w:after="0" w:line="202" w:lineRule="exact"/>
              <w:rPr>
                <w:sz w:val="20"/>
                <w:szCs w:val="20"/>
                <w:color w:val="auto"/>
              </w:rPr>
            </w:pPr>
            <w:r>
              <w:rPr>
                <w:rFonts w:ascii="Arial" w:cs="Arial" w:eastAsia="Arial" w:hAnsi="Arial"/>
                <w:sz w:val="18"/>
                <w:szCs w:val="18"/>
                <w:color w:val="auto"/>
              </w:rPr>
              <w:t>102</w:t>
            </w:r>
          </w:p>
        </w:tc>
        <w:tc>
          <w:tcPr>
            <w:tcW w:w="200" w:type="dxa"/>
            <w:vAlign w:val="bottom"/>
            <w:shd w:val="clear" w:color="auto" w:fill="E6E7E7"/>
          </w:tcPr>
          <w:p>
            <w:pPr>
              <w:spacing w:after="0"/>
              <w:rPr>
                <w:sz w:val="17"/>
                <w:szCs w:val="17"/>
                <w:color w:val="auto"/>
              </w:rPr>
            </w:pPr>
          </w:p>
        </w:tc>
        <w:tc>
          <w:tcPr>
            <w:tcW w:w="580" w:type="dxa"/>
            <w:vAlign w:val="bottom"/>
            <w:gridSpan w:val="2"/>
            <w:shd w:val="clear" w:color="auto" w:fill="E6E7E7"/>
          </w:tcPr>
          <w:p>
            <w:pPr>
              <w:jc w:val="right"/>
              <w:ind w:right="20"/>
              <w:spacing w:after="0" w:line="202" w:lineRule="exact"/>
              <w:rPr>
                <w:sz w:val="20"/>
                <w:szCs w:val="20"/>
                <w:color w:val="auto"/>
              </w:rPr>
            </w:pPr>
            <w:r>
              <w:rPr>
                <w:rFonts w:ascii="Arial" w:cs="Arial" w:eastAsia="Arial" w:hAnsi="Arial"/>
                <w:sz w:val="18"/>
                <w:szCs w:val="18"/>
                <w:color w:val="auto"/>
              </w:rPr>
              <w:t>(24)</w:t>
            </w:r>
          </w:p>
        </w:tc>
      </w:tr>
      <w:tr>
        <w:trPr>
          <w:trHeight w:val="210"/>
        </w:trPr>
        <w:tc>
          <w:tcPr>
            <w:tcW w:w="8300" w:type="dxa"/>
            <w:vAlign w:val="bottom"/>
          </w:tcPr>
          <w:p>
            <w:pPr>
              <w:ind w:left="200"/>
              <w:spacing w:after="0"/>
              <w:rPr>
                <w:sz w:val="20"/>
                <w:szCs w:val="20"/>
                <w:color w:val="auto"/>
              </w:rPr>
            </w:pPr>
            <w:r>
              <w:rPr>
                <w:rFonts w:ascii="Arial" w:cs="Arial" w:eastAsia="Arial" w:hAnsi="Arial"/>
                <w:sz w:val="18"/>
                <w:szCs w:val="18"/>
                <w:color w:val="auto"/>
              </w:rPr>
              <w:t>Total comprehensive income from continuing operations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2,690</w:t>
            </w: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2,275</w:t>
            </w:r>
          </w:p>
        </w:tc>
        <w:tc>
          <w:tcPr>
            <w:tcW w:w="2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w:t>
            </w:r>
          </w:p>
        </w:tc>
        <w:tc>
          <w:tcPr>
            <w:tcW w:w="6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8300" w:type="dxa"/>
            <w:vAlign w:val="bottom"/>
            <w:shd w:val="clear" w:color="auto" w:fill="E6E7E7"/>
          </w:tcPr>
          <w:p>
            <w:pPr>
              <w:ind w:left="200"/>
              <w:spacing w:after="0"/>
              <w:rPr>
                <w:sz w:val="20"/>
                <w:szCs w:val="20"/>
                <w:color w:val="auto"/>
              </w:rPr>
            </w:pPr>
            <w:r>
              <w:rPr>
                <w:rFonts w:ascii="Arial" w:cs="Arial" w:eastAsia="Arial" w:hAnsi="Arial"/>
                <w:sz w:val="18"/>
                <w:szCs w:val="18"/>
                <w:color w:val="auto"/>
              </w:rPr>
              <w:t>Income from discontinued operations, net of income taxes</w:t>
            </w:r>
          </w:p>
        </w:tc>
        <w:tc>
          <w:tcPr>
            <w:tcW w:w="80" w:type="dxa"/>
            <w:vAlign w:val="bottom"/>
            <w:shd w:val="clear" w:color="auto" w:fill="E6E7E7"/>
          </w:tcPr>
          <w:p>
            <w:pPr>
              <w:spacing w:after="0"/>
              <w:rPr>
                <w:sz w:val="22"/>
                <w:szCs w:val="22"/>
                <w:color w:val="auto"/>
              </w:rPr>
            </w:pPr>
          </w:p>
        </w:tc>
        <w:tc>
          <w:tcPr>
            <w:tcW w:w="20" w:type="dxa"/>
            <w:vAlign w:val="bottom"/>
            <w:shd w:val="clear" w:color="auto" w:fill="E6E7E7"/>
          </w:tcPr>
          <w:p>
            <w:pPr>
              <w:spacing w:after="0"/>
              <w:rPr>
                <w:sz w:val="22"/>
                <w:szCs w:val="22"/>
                <w:color w:val="auto"/>
              </w:rPr>
            </w:pPr>
          </w:p>
        </w:tc>
        <w:tc>
          <w:tcPr>
            <w:tcW w:w="120" w:type="dxa"/>
            <w:vAlign w:val="bottom"/>
            <w:tcBorders>
              <w:bottom w:val="single" w:sz="8" w:color="auto"/>
            </w:tcBorders>
            <w:shd w:val="clear" w:color="auto" w:fill="E6E7E7"/>
          </w:tcPr>
          <w:p>
            <w:pPr>
              <w:spacing w:after="0"/>
              <w:rPr>
                <w:sz w:val="22"/>
                <w:szCs w:val="22"/>
                <w:color w:val="auto"/>
              </w:rPr>
            </w:pPr>
          </w:p>
        </w:tc>
        <w:tc>
          <w:tcPr>
            <w:tcW w:w="620" w:type="dxa"/>
            <w:vAlign w:val="bottom"/>
            <w:tcBorders>
              <w:bottom w:val="single" w:sz="8" w:color="auto"/>
            </w:tcBorders>
            <w:shd w:val="clear" w:color="auto" w:fill="E6E7E7"/>
          </w:tcPr>
          <w:p>
            <w:pPr>
              <w:jc w:val="right"/>
              <w:ind w:right="34"/>
              <w:spacing w:after="0"/>
              <w:rPr>
                <w:sz w:val="20"/>
                <w:szCs w:val="20"/>
                <w:color w:val="auto"/>
              </w:rPr>
            </w:pPr>
            <w:r>
              <w:rPr>
                <w:rFonts w:ascii="Arial" w:cs="Arial" w:eastAsia="Arial" w:hAnsi="Arial"/>
                <w:sz w:val="18"/>
                <w:szCs w:val="18"/>
                <w:b w:val="1"/>
                <w:bCs w:val="1"/>
                <w:color w:val="auto"/>
              </w:rPr>
              <w:t>1,703</w:t>
            </w:r>
          </w:p>
        </w:tc>
        <w:tc>
          <w:tcPr>
            <w:tcW w:w="180" w:type="dxa"/>
            <w:vAlign w:val="bottom"/>
            <w:tcBorders>
              <w:bottom w:val="single" w:sz="8" w:color="auto"/>
            </w:tcBorders>
            <w:shd w:val="clear" w:color="auto" w:fill="E6E7E7"/>
          </w:tcPr>
          <w:p>
            <w:pPr>
              <w:spacing w:after="0"/>
              <w:rPr>
                <w:sz w:val="22"/>
                <w:szCs w:val="22"/>
                <w:color w:val="auto"/>
              </w:rPr>
            </w:pPr>
          </w:p>
        </w:tc>
        <w:tc>
          <w:tcPr>
            <w:tcW w:w="620" w:type="dxa"/>
            <w:vAlign w:val="bottom"/>
            <w:tcBorders>
              <w:bottom w:val="single" w:sz="8" w:color="auto"/>
            </w:tcBorders>
            <w:shd w:val="clear" w:color="auto" w:fill="E6E7E7"/>
          </w:tcPr>
          <w:p>
            <w:pPr>
              <w:jc w:val="right"/>
              <w:ind w:right="14"/>
              <w:spacing w:after="0"/>
              <w:rPr>
                <w:sz w:val="20"/>
                <w:szCs w:val="20"/>
                <w:color w:val="auto"/>
              </w:rPr>
            </w:pPr>
            <w:r>
              <w:rPr>
                <w:rFonts w:ascii="Arial" w:cs="Arial" w:eastAsia="Arial" w:hAnsi="Arial"/>
                <w:sz w:val="18"/>
                <w:szCs w:val="18"/>
                <w:color w:val="auto"/>
              </w:rPr>
              <w:t>151</w:t>
            </w:r>
          </w:p>
        </w:tc>
        <w:tc>
          <w:tcPr>
            <w:tcW w:w="200" w:type="dxa"/>
            <w:vAlign w:val="bottom"/>
            <w:tcBorders>
              <w:bottom w:val="single" w:sz="8" w:color="auto"/>
            </w:tcBorders>
            <w:shd w:val="clear" w:color="auto" w:fill="E6E7E7"/>
          </w:tcPr>
          <w:p>
            <w:pPr>
              <w:spacing w:after="0"/>
              <w:rPr>
                <w:sz w:val="22"/>
                <w:szCs w:val="22"/>
                <w:color w:val="auto"/>
              </w:rPr>
            </w:pPr>
          </w:p>
        </w:tc>
        <w:tc>
          <w:tcPr>
            <w:tcW w:w="520" w:type="dxa"/>
            <w:vAlign w:val="bottom"/>
            <w:tcBorders>
              <w:bottom w:val="single" w:sz="8" w:color="auto"/>
            </w:tcBorders>
            <w:shd w:val="clear" w:color="auto" w:fill="E6E7E7"/>
          </w:tcPr>
          <w:p>
            <w:pPr>
              <w:jc w:val="right"/>
              <w:spacing w:after="0"/>
              <w:rPr>
                <w:sz w:val="20"/>
                <w:szCs w:val="20"/>
                <w:color w:val="auto"/>
              </w:rPr>
            </w:pPr>
            <w:r>
              <w:rPr>
                <w:rFonts w:ascii="Arial" w:cs="Arial" w:eastAsia="Arial" w:hAnsi="Arial"/>
                <w:sz w:val="18"/>
                <w:szCs w:val="18"/>
                <w:color w:val="auto"/>
              </w:rPr>
              <w:t>170</w:t>
            </w:r>
          </w:p>
        </w:tc>
        <w:tc>
          <w:tcPr>
            <w:tcW w:w="60" w:type="dxa"/>
            <w:vAlign w:val="bottom"/>
            <w:shd w:val="clear" w:color="auto" w:fill="E6E7E7"/>
          </w:tcPr>
          <w:p>
            <w:pPr>
              <w:spacing w:after="0"/>
              <w:rPr>
                <w:sz w:val="22"/>
                <w:szCs w:val="22"/>
                <w:color w:val="auto"/>
              </w:rPr>
            </w:pPr>
          </w:p>
        </w:tc>
      </w:tr>
      <w:tr>
        <w:trPr>
          <w:trHeight w:val="210"/>
        </w:trPr>
        <w:tc>
          <w:tcPr>
            <w:tcW w:w="8300" w:type="dxa"/>
            <w:vAlign w:val="bottom"/>
          </w:tcPr>
          <w:p>
            <w:pPr>
              <w:ind w:left="200"/>
              <w:spacing w:after="0"/>
              <w:rPr>
                <w:sz w:val="20"/>
                <w:szCs w:val="20"/>
                <w:color w:val="auto"/>
              </w:rPr>
            </w:pPr>
            <w:r>
              <w:rPr>
                <w:rFonts w:ascii="Arial" w:cs="Arial" w:eastAsia="Arial" w:hAnsi="Arial"/>
                <w:sz w:val="18"/>
                <w:szCs w:val="18"/>
                <w:color w:val="auto"/>
              </w:rPr>
              <w:t>Total comprehensive income</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4,393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2,426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w:t>
            </w:r>
          </w:p>
        </w:tc>
        <w:tc>
          <w:tcPr>
            <w:tcW w:w="6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See accompanying notes.</w:t>
      </w:r>
    </w:p>
    <w:p>
      <w:pPr>
        <w:sectPr>
          <w:pgSz w:w="11900" w:h="16838" w:orient="portrait"/>
          <w:cols w:equalWidth="0" w:num="1">
            <w:col w:w="11420"/>
          </w:cols>
          <w:pgMar w:left="240" w:top="287" w:right="239" w:bottom="1440" w:gutter="0" w:footer="0" w:header="0"/>
        </w:sectPr>
      </w:pPr>
    </w:p>
    <w:bookmarkStart w:id="57" w:name="page58"/>
    <w:bookmarkEnd w:id="57"/>
    <w:p>
      <w:pPr>
        <w:spacing w:after="0"/>
        <w:tabs>
          <w:tab w:leader="none" w:pos="28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w:t>
        <w:tab/>
        <w:t>TEXAS INSTRUMENTS 2006 ANNUAL REPORT</w:t>
      </w:r>
    </w:p>
    <w:p>
      <w:pPr>
        <w:spacing w:after="0" w:line="104"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CONSOLIDATED BALANCE SHEETS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178" w:lineRule="exact"/>
        <w:rPr>
          <w:sz w:val="20"/>
          <w:szCs w:val="20"/>
          <w:color w:val="auto"/>
        </w:rPr>
      </w:pPr>
    </w:p>
    <w:tbl>
      <w:tblPr>
        <w:tblLayout w:type="fixed"/>
        <w:tblInd w:w="360" w:type="dxa"/>
        <w:tblCellMar>
          <w:top w:w="0" w:type="dxa"/>
          <w:left w:w="0" w:type="dxa"/>
          <w:bottom w:w="0" w:type="dxa"/>
          <w:right w:w="0" w:type="dxa"/>
        </w:tblCellMar>
      </w:tblPr>
      <w:tr>
        <w:trPr>
          <w:trHeight w:val="178"/>
        </w:trPr>
        <w:tc>
          <w:tcPr>
            <w:tcW w:w="8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939598"/>
              </w:rPr>
              <w:t>DECEMBER 31,</w:t>
            </w:r>
          </w:p>
        </w:tc>
        <w:tc>
          <w:tcPr>
            <w:tcW w:w="0" w:type="dxa"/>
            <w:vAlign w:val="bottom"/>
          </w:tcPr>
          <w:p>
            <w:pPr>
              <w:spacing w:after="0"/>
              <w:rPr>
                <w:sz w:val="1"/>
                <w:szCs w:val="1"/>
                <w:color w:val="auto"/>
              </w:rPr>
            </w:pPr>
          </w:p>
        </w:tc>
      </w:tr>
      <w:tr>
        <w:trPr>
          <w:trHeight w:val="28"/>
        </w:trPr>
        <w:tc>
          <w:tcPr>
            <w:tcW w:w="8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920" w:type="dxa"/>
            <w:vAlign w:val="bottom"/>
            <w:shd w:val="clear" w:color="auto" w:fill="939598"/>
          </w:tcPr>
          <w:p>
            <w:pPr>
              <w:spacing w:after="0"/>
              <w:rPr>
                <w:sz w:val="22"/>
                <w:szCs w:val="22"/>
                <w:color w:val="auto"/>
              </w:rPr>
            </w:pPr>
          </w:p>
        </w:tc>
        <w:tc>
          <w:tcPr>
            <w:tcW w:w="80" w:type="dxa"/>
            <w:vAlign w:val="bottom"/>
            <w:shd w:val="clear" w:color="auto" w:fill="939598"/>
          </w:tcPr>
          <w:p>
            <w:pPr>
              <w:spacing w:after="0"/>
              <w:rPr>
                <w:sz w:val="22"/>
                <w:szCs w:val="22"/>
                <w:color w:val="auto"/>
              </w:rPr>
            </w:pPr>
          </w:p>
        </w:tc>
        <w:tc>
          <w:tcPr>
            <w:tcW w:w="160" w:type="dxa"/>
            <w:vAlign w:val="bottom"/>
            <w:shd w:val="clear" w:color="auto" w:fill="939598"/>
          </w:tcPr>
          <w:p>
            <w:pPr>
              <w:spacing w:after="0"/>
              <w:rPr>
                <w:sz w:val="22"/>
                <w:szCs w:val="22"/>
                <w:color w:val="auto"/>
              </w:rPr>
            </w:pPr>
          </w:p>
        </w:tc>
        <w:tc>
          <w:tcPr>
            <w:tcW w:w="580" w:type="dxa"/>
            <w:vAlign w:val="bottom"/>
            <w:shd w:val="clear" w:color="auto" w:fill="939598"/>
          </w:tcPr>
          <w:p>
            <w:pPr>
              <w:jc w:val="right"/>
              <w:ind w:right="133"/>
              <w:spacing w:after="0"/>
              <w:rPr>
                <w:sz w:val="20"/>
                <w:szCs w:val="20"/>
                <w:color w:val="auto"/>
              </w:rPr>
            </w:pPr>
            <w:r>
              <w:rPr>
                <w:rFonts w:ascii="Arial" w:cs="Arial" w:eastAsia="Arial" w:hAnsi="Arial"/>
                <w:sz w:val="14"/>
                <w:szCs w:val="14"/>
                <w:b w:val="1"/>
                <w:bCs w:val="1"/>
                <w:color w:val="FFFFFF"/>
              </w:rPr>
              <w:t>2006</w:t>
            </w:r>
          </w:p>
        </w:tc>
        <w:tc>
          <w:tcPr>
            <w:tcW w:w="120" w:type="dxa"/>
            <w:vAlign w:val="bottom"/>
            <w:shd w:val="clear" w:color="auto" w:fill="939598"/>
          </w:tcPr>
          <w:p>
            <w:pPr>
              <w:spacing w:after="0"/>
              <w:rPr>
                <w:sz w:val="22"/>
                <w:szCs w:val="22"/>
                <w:color w:val="auto"/>
              </w:rPr>
            </w:pPr>
          </w:p>
        </w:tc>
        <w:tc>
          <w:tcPr>
            <w:tcW w:w="60" w:type="dxa"/>
            <w:vAlign w:val="bottom"/>
            <w:shd w:val="clear" w:color="auto" w:fill="939598"/>
          </w:tcPr>
          <w:p>
            <w:pPr>
              <w:spacing w:after="0"/>
              <w:rPr>
                <w:sz w:val="22"/>
                <w:szCs w:val="22"/>
                <w:color w:val="auto"/>
              </w:rPr>
            </w:pPr>
          </w:p>
        </w:tc>
        <w:tc>
          <w:tcPr>
            <w:tcW w:w="140" w:type="dxa"/>
            <w:vAlign w:val="bottom"/>
            <w:shd w:val="clear" w:color="auto" w:fill="939598"/>
          </w:tcPr>
          <w:p>
            <w:pPr>
              <w:spacing w:after="0"/>
              <w:rPr>
                <w:sz w:val="22"/>
                <w:szCs w:val="22"/>
                <w:color w:val="auto"/>
              </w:rPr>
            </w:pPr>
          </w:p>
        </w:tc>
        <w:tc>
          <w:tcPr>
            <w:tcW w:w="600" w:type="dxa"/>
            <w:vAlign w:val="bottom"/>
            <w:shd w:val="clear" w:color="auto" w:fill="939598"/>
          </w:tcPr>
          <w:p>
            <w:pPr>
              <w:jc w:val="right"/>
              <w:ind w:right="153"/>
              <w:spacing w:after="0"/>
              <w:rPr>
                <w:sz w:val="20"/>
                <w:szCs w:val="20"/>
                <w:color w:val="auto"/>
              </w:rPr>
            </w:pPr>
            <w:r>
              <w:rPr>
                <w:rFonts w:ascii="Arial" w:cs="Arial" w:eastAsia="Arial" w:hAnsi="Arial"/>
                <w:sz w:val="14"/>
                <w:szCs w:val="14"/>
                <w:b w:val="1"/>
                <w:bCs w:val="1"/>
                <w:color w:val="FFFFFF"/>
              </w:rPr>
              <w:t>2005</w:t>
            </w:r>
          </w:p>
        </w:tc>
        <w:tc>
          <w:tcPr>
            <w:tcW w:w="60" w:type="dxa"/>
            <w:vAlign w:val="bottom"/>
            <w:shd w:val="clear" w:color="auto" w:fill="939598"/>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920" w:type="dxa"/>
            <w:vAlign w:val="bottom"/>
          </w:tcPr>
          <w:p>
            <w:pPr>
              <w:ind w:left="200"/>
              <w:spacing w:after="0"/>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Current assets:</w:t>
            </w:r>
          </w:p>
        </w:tc>
        <w:tc>
          <w:tcPr>
            <w:tcW w:w="80" w:type="dxa"/>
            <w:vAlign w:val="bottom"/>
            <w:shd w:val="clear" w:color="auto" w:fill="E6E7E7"/>
          </w:tcPr>
          <w:p>
            <w:pPr>
              <w:spacing w:after="0"/>
              <w:rPr>
                <w:sz w:val="17"/>
                <w:szCs w:val="17"/>
                <w:color w:val="auto"/>
              </w:rPr>
            </w:pPr>
          </w:p>
        </w:tc>
        <w:tc>
          <w:tcPr>
            <w:tcW w:w="160" w:type="dxa"/>
            <w:vAlign w:val="bottom"/>
            <w:shd w:val="clear" w:color="auto" w:fill="E6E7E7"/>
          </w:tcPr>
          <w:p>
            <w:pPr>
              <w:spacing w:after="0"/>
              <w:rPr>
                <w:sz w:val="17"/>
                <w:szCs w:val="17"/>
                <w:color w:val="auto"/>
              </w:rPr>
            </w:pPr>
          </w:p>
        </w:tc>
        <w:tc>
          <w:tcPr>
            <w:tcW w:w="580" w:type="dxa"/>
            <w:vAlign w:val="bottom"/>
            <w:shd w:val="clear" w:color="auto" w:fill="E6E7E7"/>
          </w:tcPr>
          <w:p>
            <w:pPr>
              <w:spacing w:after="0"/>
              <w:rPr>
                <w:sz w:val="17"/>
                <w:szCs w:val="17"/>
                <w:color w:val="auto"/>
              </w:rPr>
            </w:pPr>
          </w:p>
        </w:tc>
        <w:tc>
          <w:tcPr>
            <w:tcW w:w="12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c>
          <w:tcPr>
            <w:tcW w:w="140" w:type="dxa"/>
            <w:vAlign w:val="bottom"/>
            <w:shd w:val="clear" w:color="auto" w:fill="E6E7E7"/>
          </w:tcPr>
          <w:p>
            <w:pPr>
              <w:spacing w:after="0"/>
              <w:rPr>
                <w:sz w:val="17"/>
                <w:szCs w:val="17"/>
                <w:color w:val="auto"/>
              </w:rPr>
            </w:pPr>
          </w:p>
        </w:tc>
        <w:tc>
          <w:tcPr>
            <w:tcW w:w="60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tcPr>
          <w:p>
            <w:pPr>
              <w:ind w:left="42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1,183</w:t>
            </w:r>
          </w:p>
        </w:tc>
        <w:tc>
          <w:tcPr>
            <w:tcW w:w="120" w:type="dxa"/>
            <w:vAlign w:val="bottom"/>
          </w:tcPr>
          <w:p>
            <w:pPr>
              <w:spacing w:after="0"/>
              <w:rPr>
                <w:sz w:val="17"/>
                <w:szCs w:val="17"/>
                <w:color w:val="auto"/>
              </w:rPr>
            </w:pPr>
          </w:p>
        </w:tc>
        <w:tc>
          <w:tcPr>
            <w:tcW w:w="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Short-term investments</w:t>
            </w:r>
          </w:p>
        </w:tc>
        <w:tc>
          <w:tcPr>
            <w:tcW w:w="80" w:type="dxa"/>
            <w:vAlign w:val="bottom"/>
            <w:shd w:val="clear" w:color="auto" w:fill="E6E7E7"/>
          </w:tcPr>
          <w:p>
            <w:pPr>
              <w:spacing w:after="0"/>
              <w:rPr>
                <w:sz w:val="17"/>
                <w:szCs w:val="17"/>
                <w:color w:val="auto"/>
              </w:rPr>
            </w:pPr>
          </w:p>
        </w:tc>
        <w:tc>
          <w:tcPr>
            <w:tcW w:w="160" w:type="dxa"/>
            <w:vAlign w:val="bottom"/>
            <w:shd w:val="clear" w:color="auto" w:fill="E6E7E7"/>
          </w:tcPr>
          <w:p>
            <w:pPr>
              <w:spacing w:after="0"/>
              <w:rPr>
                <w:sz w:val="17"/>
                <w:szCs w:val="17"/>
                <w:color w:val="auto"/>
              </w:rPr>
            </w:pPr>
          </w:p>
        </w:tc>
        <w:tc>
          <w:tcPr>
            <w:tcW w:w="5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2,534</w:t>
            </w:r>
          </w:p>
        </w:tc>
        <w:tc>
          <w:tcPr>
            <w:tcW w:w="12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c>
          <w:tcPr>
            <w:tcW w:w="140" w:type="dxa"/>
            <w:vAlign w:val="bottom"/>
            <w:shd w:val="clear" w:color="auto" w:fill="E6E7E7"/>
          </w:tcPr>
          <w:p>
            <w:pPr>
              <w:spacing w:after="0"/>
              <w:rPr>
                <w:sz w:val="17"/>
                <w:szCs w:val="17"/>
                <w:color w:val="auto"/>
              </w:rPr>
            </w:pPr>
          </w:p>
        </w:tc>
        <w:tc>
          <w:tcPr>
            <w:tcW w:w="6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4,116</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tcPr>
          <w:p>
            <w:pPr>
              <w:ind w:left="420"/>
              <w:spacing w:after="0" w:line="202" w:lineRule="exact"/>
              <w:rPr>
                <w:sz w:val="20"/>
                <w:szCs w:val="20"/>
                <w:color w:val="auto"/>
              </w:rPr>
            </w:pPr>
            <w:r>
              <w:rPr>
                <w:rFonts w:ascii="Arial" w:cs="Arial" w:eastAsia="Arial" w:hAnsi="Arial"/>
                <w:sz w:val="18"/>
                <w:szCs w:val="18"/>
                <w:color w:val="auto"/>
              </w:rPr>
              <w:t>Accounts receivable, net of allowances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1,774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1,648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Inventories</w:t>
            </w:r>
          </w:p>
        </w:tc>
        <w:tc>
          <w:tcPr>
            <w:tcW w:w="80" w:type="dxa"/>
            <w:vAlign w:val="bottom"/>
            <w:shd w:val="clear" w:color="auto" w:fill="E6E7E7"/>
          </w:tcPr>
          <w:p>
            <w:pPr>
              <w:spacing w:after="0"/>
              <w:rPr>
                <w:sz w:val="17"/>
                <w:szCs w:val="17"/>
                <w:color w:val="auto"/>
              </w:rPr>
            </w:pPr>
          </w:p>
        </w:tc>
        <w:tc>
          <w:tcPr>
            <w:tcW w:w="160" w:type="dxa"/>
            <w:vAlign w:val="bottom"/>
            <w:shd w:val="clear" w:color="auto" w:fill="E6E7E7"/>
          </w:tcPr>
          <w:p>
            <w:pPr>
              <w:spacing w:after="0"/>
              <w:rPr>
                <w:sz w:val="17"/>
                <w:szCs w:val="17"/>
                <w:color w:val="auto"/>
              </w:rPr>
            </w:pPr>
          </w:p>
        </w:tc>
        <w:tc>
          <w:tcPr>
            <w:tcW w:w="5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1,437</w:t>
            </w:r>
          </w:p>
        </w:tc>
        <w:tc>
          <w:tcPr>
            <w:tcW w:w="12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c>
          <w:tcPr>
            <w:tcW w:w="140" w:type="dxa"/>
            <w:vAlign w:val="bottom"/>
            <w:shd w:val="clear" w:color="auto" w:fill="E6E7E7"/>
          </w:tcPr>
          <w:p>
            <w:pPr>
              <w:spacing w:after="0"/>
              <w:rPr>
                <w:sz w:val="17"/>
                <w:szCs w:val="17"/>
                <w:color w:val="auto"/>
              </w:rPr>
            </w:pPr>
          </w:p>
        </w:tc>
        <w:tc>
          <w:tcPr>
            <w:tcW w:w="6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1,185</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tcPr>
          <w:p>
            <w:pPr>
              <w:ind w:left="420"/>
              <w:spacing w:after="0" w:line="202" w:lineRule="exact"/>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741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E6E7E7"/>
          </w:tcPr>
          <w:p>
            <w:pPr>
              <w:spacing w:after="0"/>
              <w:rPr>
                <w:sz w:val="17"/>
                <w:szCs w:val="17"/>
                <w:color w:val="auto"/>
              </w:rPr>
            </w:pPr>
          </w:p>
        </w:tc>
        <w:tc>
          <w:tcPr>
            <w:tcW w:w="160" w:type="dxa"/>
            <w:vAlign w:val="bottom"/>
            <w:shd w:val="clear" w:color="auto" w:fill="E6E7E7"/>
          </w:tcPr>
          <w:p>
            <w:pPr>
              <w:spacing w:after="0"/>
              <w:rPr>
                <w:sz w:val="17"/>
                <w:szCs w:val="17"/>
                <w:color w:val="auto"/>
              </w:rPr>
            </w:pPr>
          </w:p>
        </w:tc>
        <w:tc>
          <w:tcPr>
            <w:tcW w:w="5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181</w:t>
            </w:r>
          </w:p>
        </w:tc>
        <w:tc>
          <w:tcPr>
            <w:tcW w:w="12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c>
          <w:tcPr>
            <w:tcW w:w="140" w:type="dxa"/>
            <w:vAlign w:val="bottom"/>
            <w:shd w:val="clear" w:color="auto" w:fill="E6E7E7"/>
          </w:tcPr>
          <w:p>
            <w:pPr>
              <w:spacing w:after="0"/>
              <w:rPr>
                <w:sz w:val="17"/>
                <w:szCs w:val="17"/>
                <w:color w:val="auto"/>
              </w:rPr>
            </w:pPr>
          </w:p>
        </w:tc>
        <w:tc>
          <w:tcPr>
            <w:tcW w:w="6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135</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920" w:type="dxa"/>
            <w:vAlign w:val="bottom"/>
          </w:tcPr>
          <w:p>
            <w:pPr>
              <w:ind w:left="420"/>
              <w:spacing w:after="0" w:line="202" w:lineRule="exact"/>
              <w:rPr>
                <w:sz w:val="20"/>
                <w:szCs w:val="20"/>
                <w:color w:val="auto"/>
              </w:rPr>
            </w:pPr>
            <w:r>
              <w:rPr>
                <w:rFonts w:ascii="Arial" w:cs="Arial" w:eastAsia="Arial" w:hAnsi="Arial"/>
                <w:sz w:val="18"/>
                <w:szCs w:val="18"/>
                <w:color w:val="auto"/>
              </w:rPr>
              <w:t>Assets of discontinued operations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Total current assets</w:t>
            </w:r>
          </w:p>
        </w:tc>
        <w:tc>
          <w:tcPr>
            <w:tcW w:w="80" w:type="dxa"/>
            <w:vAlign w:val="bottom"/>
            <w:shd w:val="clear" w:color="auto" w:fill="E6E7E7"/>
          </w:tcPr>
          <w:p>
            <w:pPr>
              <w:spacing w:after="0"/>
              <w:rPr>
                <w:sz w:val="17"/>
                <w:szCs w:val="17"/>
                <w:color w:val="auto"/>
              </w:rPr>
            </w:pPr>
          </w:p>
        </w:tc>
        <w:tc>
          <w:tcPr>
            <w:tcW w:w="160" w:type="dxa"/>
            <w:vAlign w:val="bottom"/>
            <w:tcBorders>
              <w:bottom w:val="single" w:sz="8" w:color="auto"/>
            </w:tcBorders>
            <w:shd w:val="clear" w:color="auto" w:fill="E6E7E7"/>
          </w:tcPr>
          <w:p>
            <w:pPr>
              <w:spacing w:after="0"/>
              <w:rPr>
                <w:sz w:val="17"/>
                <w:szCs w:val="17"/>
                <w:color w:val="auto"/>
              </w:rPr>
            </w:pPr>
          </w:p>
        </w:tc>
        <w:tc>
          <w:tcPr>
            <w:tcW w:w="58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7,854</w:t>
            </w:r>
          </w:p>
        </w:tc>
        <w:tc>
          <w:tcPr>
            <w:tcW w:w="120" w:type="dxa"/>
            <w:vAlign w:val="bottom"/>
            <w:tcBorders>
              <w:bottom w:val="single" w:sz="8" w:color="auto"/>
            </w:tcBorders>
            <w:shd w:val="clear" w:color="auto" w:fill="E6E7E7"/>
          </w:tcPr>
          <w:p>
            <w:pPr>
              <w:spacing w:after="0"/>
              <w:rPr>
                <w:sz w:val="17"/>
                <w:szCs w:val="17"/>
                <w:color w:val="auto"/>
              </w:rPr>
            </w:pPr>
          </w:p>
        </w:tc>
        <w:tc>
          <w:tcPr>
            <w:tcW w:w="60" w:type="dxa"/>
            <w:vAlign w:val="bottom"/>
            <w:tcBorders>
              <w:bottom w:val="single" w:sz="8" w:color="auto"/>
            </w:tcBorders>
            <w:shd w:val="clear" w:color="auto" w:fill="E6E7E7"/>
          </w:tcPr>
          <w:p>
            <w:pPr>
              <w:spacing w:after="0"/>
              <w:rPr>
                <w:sz w:val="17"/>
                <w:szCs w:val="17"/>
                <w:color w:val="auto"/>
              </w:rPr>
            </w:pPr>
          </w:p>
        </w:tc>
        <w:tc>
          <w:tcPr>
            <w:tcW w:w="140" w:type="dxa"/>
            <w:vAlign w:val="bottom"/>
            <w:tcBorders>
              <w:bottom w:val="single" w:sz="8" w:color="auto"/>
            </w:tcBorders>
            <w:shd w:val="clear" w:color="auto" w:fill="E6E7E7"/>
          </w:tcPr>
          <w:p>
            <w:pPr>
              <w:spacing w:after="0"/>
              <w:rPr>
                <w:sz w:val="17"/>
                <w:szCs w:val="17"/>
                <w:color w:val="auto"/>
              </w:rPr>
            </w:pPr>
          </w:p>
        </w:tc>
        <w:tc>
          <w:tcPr>
            <w:tcW w:w="60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9,412</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920" w:type="dxa"/>
            <w:vAlign w:val="bottom"/>
          </w:tcPr>
          <w:p>
            <w:pPr>
              <w:ind w:left="200"/>
              <w:spacing w:after="0"/>
              <w:rPr>
                <w:sz w:val="20"/>
                <w:szCs w:val="20"/>
                <w:color w:val="auto"/>
              </w:rPr>
            </w:pPr>
            <w:r>
              <w:rPr>
                <w:rFonts w:ascii="Arial" w:cs="Arial" w:eastAsia="Arial" w:hAnsi="Arial"/>
                <w:sz w:val="18"/>
                <w:szCs w:val="18"/>
                <w:color w:val="auto"/>
              </w:rPr>
              <w:t>Property, plant and equipment at cost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7,751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Less accumulated depreciation</w:t>
            </w:r>
          </w:p>
        </w:tc>
        <w:tc>
          <w:tcPr>
            <w:tcW w:w="80" w:type="dxa"/>
            <w:vAlign w:val="bottom"/>
            <w:shd w:val="clear" w:color="auto" w:fill="E6E7E7"/>
          </w:tcPr>
          <w:p>
            <w:pPr>
              <w:spacing w:after="0"/>
              <w:rPr>
                <w:sz w:val="17"/>
                <w:szCs w:val="17"/>
                <w:color w:val="auto"/>
              </w:rPr>
            </w:pPr>
          </w:p>
        </w:tc>
        <w:tc>
          <w:tcPr>
            <w:tcW w:w="160" w:type="dxa"/>
            <w:vAlign w:val="bottom"/>
            <w:shd w:val="clear" w:color="auto" w:fill="E6E7E7"/>
          </w:tcPr>
          <w:p>
            <w:pPr>
              <w:spacing w:after="0"/>
              <w:rPr>
                <w:sz w:val="17"/>
                <w:szCs w:val="17"/>
                <w:color w:val="auto"/>
              </w:rPr>
            </w:pPr>
          </w:p>
        </w:tc>
        <w:tc>
          <w:tcPr>
            <w:tcW w:w="700" w:type="dxa"/>
            <w:vAlign w:val="bottom"/>
            <w:gridSpan w:val="2"/>
            <w:shd w:val="clear" w:color="auto" w:fill="E6E7E7"/>
          </w:tcPr>
          <w:p>
            <w:pPr>
              <w:jc w:val="right"/>
              <w:ind w:right="60"/>
              <w:spacing w:after="0" w:line="202" w:lineRule="exact"/>
              <w:rPr>
                <w:sz w:val="20"/>
                <w:szCs w:val="20"/>
                <w:color w:val="auto"/>
              </w:rPr>
            </w:pPr>
            <w:r>
              <w:rPr>
                <w:rFonts w:ascii="Arial" w:cs="Arial" w:eastAsia="Arial" w:hAnsi="Arial"/>
                <w:sz w:val="18"/>
                <w:szCs w:val="18"/>
                <w:b w:val="1"/>
                <w:bCs w:val="1"/>
                <w:color w:val="auto"/>
              </w:rPr>
              <w:t>(3,801)</w:t>
            </w:r>
          </w:p>
        </w:tc>
        <w:tc>
          <w:tcPr>
            <w:tcW w:w="60" w:type="dxa"/>
            <w:vAlign w:val="bottom"/>
            <w:shd w:val="clear" w:color="auto" w:fill="E6E7E7"/>
          </w:tcPr>
          <w:p>
            <w:pPr>
              <w:spacing w:after="0"/>
              <w:rPr>
                <w:sz w:val="17"/>
                <w:szCs w:val="17"/>
                <w:color w:val="auto"/>
              </w:rPr>
            </w:pPr>
          </w:p>
        </w:tc>
        <w:tc>
          <w:tcPr>
            <w:tcW w:w="140" w:type="dxa"/>
            <w:vAlign w:val="bottom"/>
            <w:shd w:val="clear" w:color="auto" w:fill="E6E7E7"/>
          </w:tcPr>
          <w:p>
            <w:pPr>
              <w:spacing w:after="0"/>
              <w:rPr>
                <w:sz w:val="17"/>
                <w:szCs w:val="17"/>
                <w:color w:val="auto"/>
              </w:rPr>
            </w:pPr>
          </w:p>
        </w:tc>
        <w:tc>
          <w:tcPr>
            <w:tcW w:w="660" w:type="dxa"/>
            <w:vAlign w:val="bottom"/>
            <w:gridSpan w:val="2"/>
            <w:shd w:val="clear" w:color="auto" w:fill="E6E7E7"/>
          </w:tcPr>
          <w:p>
            <w:pPr>
              <w:jc w:val="right"/>
              <w:ind w:right="20"/>
              <w:spacing w:after="0" w:line="202" w:lineRule="exact"/>
              <w:rPr>
                <w:sz w:val="20"/>
                <w:szCs w:val="20"/>
                <w:color w:val="auto"/>
              </w:rPr>
            </w:pPr>
            <w:r>
              <w:rPr>
                <w:rFonts w:ascii="Arial" w:cs="Arial" w:eastAsia="Arial" w:hAnsi="Arial"/>
                <w:sz w:val="18"/>
                <w:szCs w:val="18"/>
                <w:color w:val="auto"/>
              </w:rPr>
              <w:t>(4,644)</w:t>
            </w:r>
          </w:p>
        </w:tc>
        <w:tc>
          <w:tcPr>
            <w:tcW w:w="0" w:type="dxa"/>
            <w:vAlign w:val="bottom"/>
          </w:tcPr>
          <w:p>
            <w:pPr>
              <w:spacing w:after="0"/>
              <w:rPr>
                <w:sz w:val="1"/>
                <w:szCs w:val="1"/>
                <w:color w:val="auto"/>
              </w:rPr>
            </w:pPr>
          </w:p>
        </w:tc>
      </w:tr>
      <w:tr>
        <w:trPr>
          <w:trHeight w:val="217"/>
        </w:trPr>
        <w:tc>
          <w:tcPr>
            <w:tcW w:w="8920" w:type="dxa"/>
            <w:vAlign w:val="bottom"/>
          </w:tcPr>
          <w:p>
            <w:pPr>
              <w:ind w:left="420"/>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3,950</w:t>
            </w:r>
          </w:p>
        </w:tc>
        <w:tc>
          <w:tcPr>
            <w:tcW w:w="1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Equity and other long-term investments</w:t>
            </w:r>
          </w:p>
        </w:tc>
        <w:tc>
          <w:tcPr>
            <w:tcW w:w="80" w:type="dxa"/>
            <w:vAlign w:val="bottom"/>
            <w:shd w:val="clear" w:color="auto" w:fill="E6E7E7"/>
          </w:tcPr>
          <w:p>
            <w:pPr>
              <w:spacing w:after="0"/>
              <w:rPr>
                <w:sz w:val="17"/>
                <w:szCs w:val="17"/>
                <w:color w:val="auto"/>
              </w:rPr>
            </w:pPr>
          </w:p>
        </w:tc>
        <w:tc>
          <w:tcPr>
            <w:tcW w:w="160" w:type="dxa"/>
            <w:vAlign w:val="bottom"/>
            <w:shd w:val="clear" w:color="auto" w:fill="E6E7E7"/>
          </w:tcPr>
          <w:p>
            <w:pPr>
              <w:spacing w:after="0"/>
              <w:rPr>
                <w:sz w:val="17"/>
                <w:szCs w:val="17"/>
                <w:color w:val="auto"/>
              </w:rPr>
            </w:pPr>
          </w:p>
        </w:tc>
        <w:tc>
          <w:tcPr>
            <w:tcW w:w="5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287</w:t>
            </w:r>
          </w:p>
        </w:tc>
        <w:tc>
          <w:tcPr>
            <w:tcW w:w="12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c>
          <w:tcPr>
            <w:tcW w:w="140" w:type="dxa"/>
            <w:vAlign w:val="bottom"/>
            <w:shd w:val="clear" w:color="auto" w:fill="E6E7E7"/>
          </w:tcPr>
          <w:p>
            <w:pPr>
              <w:spacing w:after="0"/>
              <w:rPr>
                <w:sz w:val="17"/>
                <w:szCs w:val="17"/>
                <w:color w:val="auto"/>
              </w:rPr>
            </w:pPr>
          </w:p>
        </w:tc>
        <w:tc>
          <w:tcPr>
            <w:tcW w:w="6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236</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tcPr>
          <w:p>
            <w:pPr>
              <w:ind w:left="200"/>
              <w:spacing w:after="0" w:line="202" w:lineRule="exact"/>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792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Acquisition-related intangibles</w:t>
            </w:r>
          </w:p>
        </w:tc>
        <w:tc>
          <w:tcPr>
            <w:tcW w:w="80" w:type="dxa"/>
            <w:vAlign w:val="bottom"/>
            <w:shd w:val="clear" w:color="auto" w:fill="E6E7E7"/>
          </w:tcPr>
          <w:p>
            <w:pPr>
              <w:spacing w:after="0"/>
              <w:rPr>
                <w:sz w:val="17"/>
                <w:szCs w:val="17"/>
                <w:color w:val="auto"/>
              </w:rPr>
            </w:pPr>
          </w:p>
        </w:tc>
        <w:tc>
          <w:tcPr>
            <w:tcW w:w="160" w:type="dxa"/>
            <w:vAlign w:val="bottom"/>
            <w:shd w:val="clear" w:color="auto" w:fill="E6E7E7"/>
          </w:tcPr>
          <w:p>
            <w:pPr>
              <w:spacing w:after="0"/>
              <w:rPr>
                <w:sz w:val="17"/>
                <w:szCs w:val="17"/>
                <w:color w:val="auto"/>
              </w:rPr>
            </w:pPr>
          </w:p>
        </w:tc>
        <w:tc>
          <w:tcPr>
            <w:tcW w:w="5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118</w:t>
            </w:r>
          </w:p>
        </w:tc>
        <w:tc>
          <w:tcPr>
            <w:tcW w:w="12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c>
          <w:tcPr>
            <w:tcW w:w="140" w:type="dxa"/>
            <w:vAlign w:val="bottom"/>
            <w:shd w:val="clear" w:color="auto" w:fill="E6E7E7"/>
          </w:tcPr>
          <w:p>
            <w:pPr>
              <w:spacing w:after="0"/>
              <w:rPr>
                <w:sz w:val="17"/>
                <w:szCs w:val="17"/>
                <w:color w:val="auto"/>
              </w:rPr>
            </w:pPr>
          </w:p>
        </w:tc>
        <w:tc>
          <w:tcPr>
            <w:tcW w:w="6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60</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601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Capitalized software licenses, net</w:t>
            </w:r>
          </w:p>
        </w:tc>
        <w:tc>
          <w:tcPr>
            <w:tcW w:w="80" w:type="dxa"/>
            <w:vAlign w:val="bottom"/>
            <w:shd w:val="clear" w:color="auto" w:fill="E6E7E7"/>
          </w:tcPr>
          <w:p>
            <w:pPr>
              <w:spacing w:after="0"/>
              <w:rPr>
                <w:sz w:val="17"/>
                <w:szCs w:val="17"/>
                <w:color w:val="auto"/>
              </w:rPr>
            </w:pPr>
          </w:p>
        </w:tc>
        <w:tc>
          <w:tcPr>
            <w:tcW w:w="160" w:type="dxa"/>
            <w:vAlign w:val="bottom"/>
            <w:shd w:val="clear" w:color="auto" w:fill="E6E7E7"/>
          </w:tcPr>
          <w:p>
            <w:pPr>
              <w:spacing w:after="0"/>
              <w:rPr>
                <w:sz w:val="17"/>
                <w:szCs w:val="17"/>
                <w:color w:val="auto"/>
              </w:rPr>
            </w:pPr>
          </w:p>
        </w:tc>
        <w:tc>
          <w:tcPr>
            <w:tcW w:w="5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188</w:t>
            </w:r>
          </w:p>
        </w:tc>
        <w:tc>
          <w:tcPr>
            <w:tcW w:w="12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c>
          <w:tcPr>
            <w:tcW w:w="140" w:type="dxa"/>
            <w:vAlign w:val="bottom"/>
            <w:shd w:val="clear" w:color="auto" w:fill="E6E7E7"/>
          </w:tcPr>
          <w:p>
            <w:pPr>
              <w:spacing w:after="0"/>
              <w:rPr>
                <w:sz w:val="17"/>
                <w:szCs w:val="17"/>
                <w:color w:val="auto"/>
              </w:rPr>
            </w:pPr>
          </w:p>
        </w:tc>
        <w:tc>
          <w:tcPr>
            <w:tcW w:w="6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243</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tcPr>
          <w:p>
            <w:pPr>
              <w:ind w:left="200"/>
              <w:spacing w:after="0" w:line="202" w:lineRule="exact"/>
              <w:rPr>
                <w:sz w:val="20"/>
                <w:szCs w:val="20"/>
                <w:color w:val="auto"/>
              </w:rPr>
            </w:pPr>
            <w:r>
              <w:rPr>
                <w:rFonts w:ascii="Arial" w:cs="Arial" w:eastAsia="Arial" w:hAnsi="Arial"/>
                <w:sz w:val="18"/>
                <w:szCs w:val="18"/>
                <w:color w:val="auto"/>
              </w:rPr>
              <w:t>Overfunded retirement plans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92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Prepaid retirement costs</w:t>
            </w:r>
          </w:p>
        </w:tc>
        <w:tc>
          <w:tcPr>
            <w:tcW w:w="80" w:type="dxa"/>
            <w:vAlign w:val="bottom"/>
            <w:shd w:val="clear" w:color="auto" w:fill="E6E7E7"/>
          </w:tcPr>
          <w:p>
            <w:pPr>
              <w:spacing w:after="0"/>
              <w:rPr>
                <w:sz w:val="17"/>
                <w:szCs w:val="17"/>
                <w:color w:val="auto"/>
              </w:rPr>
            </w:pPr>
          </w:p>
        </w:tc>
        <w:tc>
          <w:tcPr>
            <w:tcW w:w="160" w:type="dxa"/>
            <w:vAlign w:val="bottom"/>
            <w:shd w:val="clear" w:color="auto" w:fill="E6E7E7"/>
          </w:tcPr>
          <w:p>
            <w:pPr>
              <w:spacing w:after="0"/>
              <w:rPr>
                <w:sz w:val="17"/>
                <w:szCs w:val="17"/>
                <w:color w:val="auto"/>
              </w:rPr>
            </w:pPr>
          </w:p>
        </w:tc>
        <w:tc>
          <w:tcPr>
            <w:tcW w:w="700" w:type="dxa"/>
            <w:vAlign w:val="bottom"/>
            <w:gridSpan w:val="2"/>
            <w:shd w:val="clear" w:color="auto" w:fill="E6E7E7"/>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shd w:val="clear" w:color="auto" w:fill="E6E7E7"/>
          </w:tcPr>
          <w:p>
            <w:pPr>
              <w:spacing w:after="0"/>
              <w:rPr>
                <w:sz w:val="17"/>
                <w:szCs w:val="17"/>
                <w:color w:val="auto"/>
              </w:rPr>
            </w:pPr>
          </w:p>
        </w:tc>
        <w:tc>
          <w:tcPr>
            <w:tcW w:w="140" w:type="dxa"/>
            <w:vAlign w:val="bottom"/>
            <w:shd w:val="clear" w:color="auto" w:fill="E6E7E7"/>
          </w:tcPr>
          <w:p>
            <w:pPr>
              <w:spacing w:after="0"/>
              <w:rPr>
                <w:sz w:val="17"/>
                <w:szCs w:val="17"/>
                <w:color w:val="auto"/>
              </w:rPr>
            </w:pPr>
          </w:p>
        </w:tc>
        <w:tc>
          <w:tcPr>
            <w:tcW w:w="6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199</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920" w:type="dxa"/>
            <w:vAlign w:val="bottom"/>
          </w:tcPr>
          <w:p>
            <w:pPr>
              <w:ind w:left="200"/>
              <w:spacing w:after="0" w:line="202" w:lineRule="exact"/>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82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Total assets</w:t>
            </w:r>
          </w:p>
        </w:tc>
        <w:tc>
          <w:tcPr>
            <w:tcW w:w="80" w:type="dxa"/>
            <w:vAlign w:val="bottom"/>
            <w:shd w:val="clear" w:color="auto" w:fill="E6E7E7"/>
          </w:tcPr>
          <w:p>
            <w:pPr>
              <w:spacing w:after="0"/>
              <w:rPr>
                <w:sz w:val="17"/>
                <w:szCs w:val="17"/>
                <w:color w:val="auto"/>
              </w:rPr>
            </w:pPr>
          </w:p>
        </w:tc>
        <w:tc>
          <w:tcPr>
            <w:tcW w:w="16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13,930</w:t>
            </w:r>
          </w:p>
        </w:tc>
        <w:tc>
          <w:tcPr>
            <w:tcW w:w="120" w:type="dxa"/>
            <w:vAlign w:val="bottom"/>
            <w:tcBorders>
              <w:bottom w:val="single" w:sz="8" w:color="auto"/>
            </w:tcBorders>
            <w:shd w:val="clear" w:color="auto" w:fill="E6E7E7"/>
          </w:tcPr>
          <w:p>
            <w:pPr>
              <w:spacing w:after="0"/>
              <w:rPr>
                <w:sz w:val="17"/>
                <w:szCs w:val="17"/>
                <w:color w:val="auto"/>
              </w:rPr>
            </w:pPr>
          </w:p>
        </w:tc>
        <w:tc>
          <w:tcPr>
            <w:tcW w:w="200" w:type="dxa"/>
            <w:vAlign w:val="bottom"/>
            <w:tcBorders>
              <w:bottom w:val="single" w:sz="8" w:color="auto"/>
            </w:tcBorders>
            <w:gridSpan w:val="2"/>
            <w:shd w:val="clear" w:color="auto" w:fill="E6E7E7"/>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15,063</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2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9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Current liabilities:</w:t>
            </w:r>
          </w:p>
        </w:tc>
        <w:tc>
          <w:tcPr>
            <w:tcW w:w="80" w:type="dxa"/>
            <w:vAlign w:val="bottom"/>
            <w:shd w:val="clear" w:color="auto" w:fill="E6E7E7"/>
          </w:tcPr>
          <w:p>
            <w:pPr>
              <w:spacing w:after="0"/>
              <w:rPr>
                <w:sz w:val="17"/>
                <w:szCs w:val="17"/>
                <w:color w:val="auto"/>
              </w:rPr>
            </w:pPr>
          </w:p>
        </w:tc>
        <w:tc>
          <w:tcPr>
            <w:tcW w:w="160" w:type="dxa"/>
            <w:vAlign w:val="bottom"/>
            <w:shd w:val="clear" w:color="auto" w:fill="E6E7E7"/>
          </w:tcPr>
          <w:p>
            <w:pPr>
              <w:spacing w:after="0"/>
              <w:rPr>
                <w:sz w:val="17"/>
                <w:szCs w:val="17"/>
                <w:color w:val="auto"/>
              </w:rPr>
            </w:pPr>
          </w:p>
        </w:tc>
        <w:tc>
          <w:tcPr>
            <w:tcW w:w="580" w:type="dxa"/>
            <w:vAlign w:val="bottom"/>
            <w:shd w:val="clear" w:color="auto" w:fill="E6E7E7"/>
          </w:tcPr>
          <w:p>
            <w:pPr>
              <w:spacing w:after="0"/>
              <w:rPr>
                <w:sz w:val="17"/>
                <w:szCs w:val="17"/>
                <w:color w:val="auto"/>
              </w:rPr>
            </w:pPr>
          </w:p>
        </w:tc>
        <w:tc>
          <w:tcPr>
            <w:tcW w:w="12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c>
          <w:tcPr>
            <w:tcW w:w="140" w:type="dxa"/>
            <w:vAlign w:val="bottom"/>
            <w:shd w:val="clear" w:color="auto" w:fill="E6E7E7"/>
          </w:tcPr>
          <w:p>
            <w:pPr>
              <w:spacing w:after="0"/>
              <w:rPr>
                <w:sz w:val="17"/>
                <w:szCs w:val="17"/>
                <w:color w:val="auto"/>
              </w:rPr>
            </w:pPr>
          </w:p>
        </w:tc>
        <w:tc>
          <w:tcPr>
            <w:tcW w:w="60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tcPr>
          <w:p>
            <w:pPr>
              <w:ind w:left="420"/>
              <w:spacing w:after="0" w:line="202" w:lineRule="exact"/>
              <w:rPr>
                <w:sz w:val="20"/>
                <w:szCs w:val="20"/>
                <w:color w:val="auto"/>
              </w:rPr>
            </w:pPr>
            <w:r>
              <w:rPr>
                <w:rFonts w:ascii="Arial" w:cs="Arial" w:eastAsia="Arial" w:hAnsi="Arial"/>
                <w:sz w:val="18"/>
                <w:szCs w:val="18"/>
                <w:color w:val="auto"/>
              </w:rPr>
              <w:t>Loans payable and current portion of long-term debt</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43</w:t>
            </w:r>
          </w:p>
        </w:tc>
        <w:tc>
          <w:tcPr>
            <w:tcW w:w="120" w:type="dxa"/>
            <w:vAlign w:val="bottom"/>
          </w:tcPr>
          <w:p>
            <w:pPr>
              <w:spacing w:after="0"/>
              <w:rPr>
                <w:sz w:val="17"/>
                <w:szCs w:val="17"/>
                <w:color w:val="auto"/>
              </w:rPr>
            </w:pPr>
          </w:p>
        </w:tc>
        <w:tc>
          <w:tcPr>
            <w:tcW w:w="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Accounts payable</w:t>
            </w:r>
          </w:p>
        </w:tc>
        <w:tc>
          <w:tcPr>
            <w:tcW w:w="80" w:type="dxa"/>
            <w:vAlign w:val="bottom"/>
            <w:shd w:val="clear" w:color="auto" w:fill="E6E7E7"/>
          </w:tcPr>
          <w:p>
            <w:pPr>
              <w:spacing w:after="0"/>
              <w:rPr>
                <w:sz w:val="17"/>
                <w:szCs w:val="17"/>
                <w:color w:val="auto"/>
              </w:rPr>
            </w:pPr>
          </w:p>
        </w:tc>
        <w:tc>
          <w:tcPr>
            <w:tcW w:w="160" w:type="dxa"/>
            <w:vAlign w:val="bottom"/>
            <w:shd w:val="clear" w:color="auto" w:fill="E6E7E7"/>
          </w:tcPr>
          <w:p>
            <w:pPr>
              <w:spacing w:after="0"/>
              <w:rPr>
                <w:sz w:val="17"/>
                <w:szCs w:val="17"/>
                <w:color w:val="auto"/>
              </w:rPr>
            </w:pPr>
          </w:p>
        </w:tc>
        <w:tc>
          <w:tcPr>
            <w:tcW w:w="5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560</w:t>
            </w:r>
          </w:p>
        </w:tc>
        <w:tc>
          <w:tcPr>
            <w:tcW w:w="12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c>
          <w:tcPr>
            <w:tcW w:w="140" w:type="dxa"/>
            <w:vAlign w:val="bottom"/>
            <w:shd w:val="clear" w:color="auto" w:fill="E6E7E7"/>
          </w:tcPr>
          <w:p>
            <w:pPr>
              <w:spacing w:after="0"/>
              <w:rPr>
                <w:sz w:val="17"/>
                <w:szCs w:val="17"/>
                <w:color w:val="auto"/>
              </w:rPr>
            </w:pPr>
          </w:p>
        </w:tc>
        <w:tc>
          <w:tcPr>
            <w:tcW w:w="6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702</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tcPr>
          <w:p>
            <w:pPr>
              <w:ind w:left="420"/>
              <w:spacing w:after="0" w:line="202" w:lineRule="exact"/>
              <w:rPr>
                <w:sz w:val="20"/>
                <w:szCs w:val="20"/>
                <w:color w:val="auto"/>
              </w:rPr>
            </w:pPr>
            <w:r>
              <w:rPr>
                <w:rFonts w:ascii="Arial" w:cs="Arial" w:eastAsia="Arial" w:hAnsi="Arial"/>
                <w:sz w:val="18"/>
                <w:szCs w:val="18"/>
                <w:color w:val="auto"/>
              </w:rPr>
              <w:t>Accrued expenses and other liabilities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1,029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948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Income taxes payable</w:t>
            </w:r>
          </w:p>
        </w:tc>
        <w:tc>
          <w:tcPr>
            <w:tcW w:w="80" w:type="dxa"/>
            <w:vAlign w:val="bottom"/>
            <w:shd w:val="clear" w:color="auto" w:fill="E6E7E7"/>
          </w:tcPr>
          <w:p>
            <w:pPr>
              <w:spacing w:after="0"/>
              <w:rPr>
                <w:sz w:val="17"/>
                <w:szCs w:val="17"/>
                <w:color w:val="auto"/>
              </w:rPr>
            </w:pPr>
          </w:p>
        </w:tc>
        <w:tc>
          <w:tcPr>
            <w:tcW w:w="160" w:type="dxa"/>
            <w:vAlign w:val="bottom"/>
            <w:shd w:val="clear" w:color="auto" w:fill="E6E7E7"/>
          </w:tcPr>
          <w:p>
            <w:pPr>
              <w:spacing w:after="0"/>
              <w:rPr>
                <w:sz w:val="17"/>
                <w:szCs w:val="17"/>
                <w:color w:val="auto"/>
              </w:rPr>
            </w:pPr>
          </w:p>
        </w:tc>
        <w:tc>
          <w:tcPr>
            <w:tcW w:w="5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284</w:t>
            </w:r>
          </w:p>
        </w:tc>
        <w:tc>
          <w:tcPr>
            <w:tcW w:w="12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c>
          <w:tcPr>
            <w:tcW w:w="140" w:type="dxa"/>
            <w:vAlign w:val="bottom"/>
            <w:shd w:val="clear" w:color="auto" w:fill="E6E7E7"/>
          </w:tcPr>
          <w:p>
            <w:pPr>
              <w:spacing w:after="0"/>
              <w:rPr>
                <w:sz w:val="17"/>
                <w:szCs w:val="17"/>
                <w:color w:val="auto"/>
              </w:rPr>
            </w:pPr>
          </w:p>
        </w:tc>
        <w:tc>
          <w:tcPr>
            <w:tcW w:w="6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154</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tcPr>
          <w:p>
            <w:pPr>
              <w:ind w:left="420"/>
              <w:spacing w:after="0" w:line="202" w:lineRule="exact"/>
              <w:rPr>
                <w:sz w:val="20"/>
                <w:szCs w:val="20"/>
                <w:color w:val="auto"/>
              </w:rPr>
            </w:pPr>
            <w:r>
              <w:rPr>
                <w:rFonts w:ascii="Arial" w:cs="Arial" w:eastAsia="Arial" w:hAnsi="Arial"/>
                <w:sz w:val="18"/>
                <w:szCs w:val="18"/>
                <w:color w:val="auto"/>
              </w:rPr>
              <w:t>Accrued profit sharing and retirement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Liabilities of discontinued operations</w:t>
            </w:r>
          </w:p>
        </w:tc>
        <w:tc>
          <w:tcPr>
            <w:tcW w:w="80" w:type="dxa"/>
            <w:vAlign w:val="bottom"/>
            <w:shd w:val="clear" w:color="auto" w:fill="E6E7E7"/>
          </w:tcPr>
          <w:p>
            <w:pPr>
              <w:spacing w:after="0"/>
              <w:rPr>
                <w:sz w:val="17"/>
                <w:szCs w:val="17"/>
                <w:color w:val="auto"/>
              </w:rPr>
            </w:pPr>
          </w:p>
        </w:tc>
        <w:tc>
          <w:tcPr>
            <w:tcW w:w="160" w:type="dxa"/>
            <w:vAlign w:val="bottom"/>
            <w:tcBorders>
              <w:bottom w:val="single" w:sz="8" w:color="auto"/>
            </w:tcBorders>
            <w:shd w:val="clear" w:color="auto" w:fill="E6E7E7"/>
          </w:tcPr>
          <w:p>
            <w:pPr>
              <w:spacing w:after="0"/>
              <w:rPr>
                <w:sz w:val="17"/>
                <w:szCs w:val="17"/>
                <w:color w:val="auto"/>
              </w:rPr>
            </w:pPr>
          </w:p>
        </w:tc>
        <w:tc>
          <w:tcPr>
            <w:tcW w:w="700" w:type="dxa"/>
            <w:vAlign w:val="bottom"/>
            <w:tcBorders>
              <w:bottom w:val="single" w:sz="8" w:color="auto"/>
            </w:tcBorders>
            <w:gridSpan w:val="2"/>
            <w:shd w:val="clear" w:color="auto" w:fill="E6E7E7"/>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auto"/>
            </w:tcBorders>
            <w:shd w:val="clear" w:color="auto" w:fill="E6E7E7"/>
          </w:tcPr>
          <w:p>
            <w:pPr>
              <w:spacing w:after="0"/>
              <w:rPr>
                <w:sz w:val="17"/>
                <w:szCs w:val="17"/>
                <w:color w:val="auto"/>
              </w:rPr>
            </w:pPr>
          </w:p>
        </w:tc>
        <w:tc>
          <w:tcPr>
            <w:tcW w:w="140" w:type="dxa"/>
            <w:vAlign w:val="bottom"/>
            <w:tcBorders>
              <w:bottom w:val="single" w:sz="8" w:color="auto"/>
            </w:tcBorders>
            <w:shd w:val="clear" w:color="auto" w:fill="E6E7E7"/>
          </w:tcPr>
          <w:p>
            <w:pPr>
              <w:spacing w:after="0"/>
              <w:rPr>
                <w:sz w:val="17"/>
                <w:szCs w:val="17"/>
                <w:color w:val="auto"/>
              </w:rPr>
            </w:pPr>
          </w:p>
        </w:tc>
        <w:tc>
          <w:tcPr>
            <w:tcW w:w="60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151</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92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2,078</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Long-term debt</w:t>
            </w:r>
          </w:p>
        </w:tc>
        <w:tc>
          <w:tcPr>
            <w:tcW w:w="80" w:type="dxa"/>
            <w:vAlign w:val="bottom"/>
            <w:shd w:val="clear" w:color="auto" w:fill="E6E7E7"/>
          </w:tcPr>
          <w:p>
            <w:pPr>
              <w:spacing w:after="0"/>
              <w:rPr>
                <w:sz w:val="17"/>
                <w:szCs w:val="17"/>
                <w:color w:val="auto"/>
              </w:rPr>
            </w:pPr>
          </w:p>
        </w:tc>
        <w:tc>
          <w:tcPr>
            <w:tcW w:w="160" w:type="dxa"/>
            <w:vAlign w:val="bottom"/>
            <w:shd w:val="clear" w:color="auto" w:fill="E6E7E7"/>
          </w:tcPr>
          <w:p>
            <w:pPr>
              <w:spacing w:after="0"/>
              <w:rPr>
                <w:sz w:val="17"/>
                <w:szCs w:val="17"/>
                <w:color w:val="auto"/>
              </w:rPr>
            </w:pPr>
          </w:p>
        </w:tc>
        <w:tc>
          <w:tcPr>
            <w:tcW w:w="700" w:type="dxa"/>
            <w:vAlign w:val="bottom"/>
            <w:gridSpan w:val="2"/>
            <w:shd w:val="clear" w:color="auto" w:fill="E6E7E7"/>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shd w:val="clear" w:color="auto" w:fill="E6E7E7"/>
          </w:tcPr>
          <w:p>
            <w:pPr>
              <w:spacing w:after="0"/>
              <w:rPr>
                <w:sz w:val="17"/>
                <w:szCs w:val="17"/>
                <w:color w:val="auto"/>
              </w:rPr>
            </w:pPr>
          </w:p>
        </w:tc>
        <w:tc>
          <w:tcPr>
            <w:tcW w:w="140" w:type="dxa"/>
            <w:vAlign w:val="bottom"/>
            <w:shd w:val="clear" w:color="auto" w:fill="E6E7E7"/>
          </w:tcPr>
          <w:p>
            <w:pPr>
              <w:spacing w:after="0"/>
              <w:rPr>
                <w:sz w:val="17"/>
                <w:szCs w:val="17"/>
                <w:color w:val="auto"/>
              </w:rPr>
            </w:pPr>
          </w:p>
        </w:tc>
        <w:tc>
          <w:tcPr>
            <w:tcW w:w="6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329</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tcPr>
          <w:p>
            <w:pPr>
              <w:ind w:left="200"/>
              <w:spacing w:after="0" w:line="202" w:lineRule="exact"/>
              <w:rPr>
                <w:sz w:val="20"/>
                <w:szCs w:val="20"/>
                <w:color w:val="auto"/>
              </w:rPr>
            </w:pPr>
            <w:r>
              <w:rPr>
                <w:rFonts w:ascii="Arial" w:cs="Arial" w:eastAsia="Arial" w:hAnsi="Arial"/>
                <w:sz w:val="18"/>
                <w:szCs w:val="18"/>
                <w:color w:val="auto"/>
              </w:rPr>
              <w:t>Underfunded retirement plans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92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Accrued retirement costs</w:t>
            </w:r>
          </w:p>
        </w:tc>
        <w:tc>
          <w:tcPr>
            <w:tcW w:w="80" w:type="dxa"/>
            <w:vAlign w:val="bottom"/>
            <w:shd w:val="clear" w:color="auto" w:fill="E6E7E7"/>
          </w:tcPr>
          <w:p>
            <w:pPr>
              <w:spacing w:after="0"/>
              <w:rPr>
                <w:sz w:val="17"/>
                <w:szCs w:val="17"/>
                <w:color w:val="auto"/>
              </w:rPr>
            </w:pPr>
          </w:p>
        </w:tc>
        <w:tc>
          <w:tcPr>
            <w:tcW w:w="160" w:type="dxa"/>
            <w:vAlign w:val="bottom"/>
            <w:shd w:val="clear" w:color="auto" w:fill="E6E7E7"/>
          </w:tcPr>
          <w:p>
            <w:pPr>
              <w:spacing w:after="0"/>
              <w:rPr>
                <w:sz w:val="17"/>
                <w:szCs w:val="17"/>
                <w:color w:val="auto"/>
              </w:rPr>
            </w:pPr>
          </w:p>
        </w:tc>
        <w:tc>
          <w:tcPr>
            <w:tcW w:w="700" w:type="dxa"/>
            <w:vAlign w:val="bottom"/>
            <w:gridSpan w:val="2"/>
            <w:shd w:val="clear" w:color="auto" w:fill="E6E7E7"/>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shd w:val="clear" w:color="auto" w:fill="E6E7E7"/>
          </w:tcPr>
          <w:p>
            <w:pPr>
              <w:spacing w:after="0"/>
              <w:rPr>
                <w:sz w:val="17"/>
                <w:szCs w:val="17"/>
                <w:color w:val="auto"/>
              </w:rPr>
            </w:pPr>
          </w:p>
        </w:tc>
        <w:tc>
          <w:tcPr>
            <w:tcW w:w="140" w:type="dxa"/>
            <w:vAlign w:val="bottom"/>
            <w:shd w:val="clear" w:color="auto" w:fill="E6E7E7"/>
          </w:tcPr>
          <w:p>
            <w:pPr>
              <w:spacing w:after="0"/>
              <w:rPr>
                <w:sz w:val="17"/>
                <w:szCs w:val="17"/>
                <w:color w:val="auto"/>
              </w:rPr>
            </w:pPr>
          </w:p>
        </w:tc>
        <w:tc>
          <w:tcPr>
            <w:tcW w:w="6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136</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Deferred credits and other liabilities</w:t>
            </w:r>
          </w:p>
        </w:tc>
        <w:tc>
          <w:tcPr>
            <w:tcW w:w="80" w:type="dxa"/>
            <w:vAlign w:val="bottom"/>
            <w:shd w:val="clear" w:color="auto" w:fill="E6E7E7"/>
          </w:tcPr>
          <w:p>
            <w:pPr>
              <w:spacing w:after="0"/>
              <w:rPr>
                <w:sz w:val="17"/>
                <w:szCs w:val="17"/>
                <w:color w:val="auto"/>
              </w:rPr>
            </w:pPr>
          </w:p>
        </w:tc>
        <w:tc>
          <w:tcPr>
            <w:tcW w:w="160" w:type="dxa"/>
            <w:vAlign w:val="bottom"/>
            <w:tcBorders>
              <w:bottom w:val="single" w:sz="8" w:color="auto"/>
            </w:tcBorders>
            <w:shd w:val="clear" w:color="auto" w:fill="E6E7E7"/>
          </w:tcPr>
          <w:p>
            <w:pPr>
              <w:spacing w:after="0"/>
              <w:rPr>
                <w:sz w:val="17"/>
                <w:szCs w:val="17"/>
                <w:color w:val="auto"/>
              </w:rPr>
            </w:pPr>
          </w:p>
        </w:tc>
        <w:tc>
          <w:tcPr>
            <w:tcW w:w="58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261</w:t>
            </w:r>
          </w:p>
        </w:tc>
        <w:tc>
          <w:tcPr>
            <w:tcW w:w="120" w:type="dxa"/>
            <w:vAlign w:val="bottom"/>
            <w:tcBorders>
              <w:bottom w:val="single" w:sz="8" w:color="auto"/>
            </w:tcBorders>
            <w:shd w:val="clear" w:color="auto" w:fill="E6E7E7"/>
          </w:tcPr>
          <w:p>
            <w:pPr>
              <w:spacing w:after="0"/>
              <w:rPr>
                <w:sz w:val="17"/>
                <w:szCs w:val="17"/>
                <w:color w:val="auto"/>
              </w:rPr>
            </w:pPr>
          </w:p>
        </w:tc>
        <w:tc>
          <w:tcPr>
            <w:tcW w:w="60" w:type="dxa"/>
            <w:vAlign w:val="bottom"/>
            <w:tcBorders>
              <w:bottom w:val="single" w:sz="8" w:color="auto"/>
            </w:tcBorders>
            <w:shd w:val="clear" w:color="auto" w:fill="E6E7E7"/>
          </w:tcPr>
          <w:p>
            <w:pPr>
              <w:spacing w:after="0"/>
              <w:rPr>
                <w:sz w:val="17"/>
                <w:szCs w:val="17"/>
                <w:color w:val="auto"/>
              </w:rPr>
            </w:pPr>
          </w:p>
        </w:tc>
        <w:tc>
          <w:tcPr>
            <w:tcW w:w="140" w:type="dxa"/>
            <w:vAlign w:val="bottom"/>
            <w:tcBorders>
              <w:bottom w:val="single" w:sz="8" w:color="auto"/>
            </w:tcBorders>
            <w:shd w:val="clear" w:color="auto" w:fill="E6E7E7"/>
          </w:tcPr>
          <w:p>
            <w:pPr>
              <w:spacing w:after="0"/>
              <w:rPr>
                <w:sz w:val="17"/>
                <w:szCs w:val="17"/>
                <w:color w:val="auto"/>
              </w:rPr>
            </w:pPr>
          </w:p>
        </w:tc>
        <w:tc>
          <w:tcPr>
            <w:tcW w:w="60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261</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92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2,570</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Stockholders’ equity:</w:t>
            </w:r>
          </w:p>
        </w:tc>
        <w:tc>
          <w:tcPr>
            <w:tcW w:w="80" w:type="dxa"/>
            <w:vAlign w:val="bottom"/>
            <w:shd w:val="clear" w:color="auto" w:fill="E6E7E7"/>
          </w:tcPr>
          <w:p>
            <w:pPr>
              <w:spacing w:after="0"/>
              <w:rPr>
                <w:sz w:val="17"/>
                <w:szCs w:val="17"/>
                <w:color w:val="auto"/>
              </w:rPr>
            </w:pPr>
          </w:p>
        </w:tc>
        <w:tc>
          <w:tcPr>
            <w:tcW w:w="160" w:type="dxa"/>
            <w:vAlign w:val="bottom"/>
            <w:shd w:val="clear" w:color="auto" w:fill="E6E7E7"/>
          </w:tcPr>
          <w:p>
            <w:pPr>
              <w:spacing w:after="0"/>
              <w:rPr>
                <w:sz w:val="17"/>
                <w:szCs w:val="17"/>
                <w:color w:val="auto"/>
              </w:rPr>
            </w:pPr>
          </w:p>
        </w:tc>
        <w:tc>
          <w:tcPr>
            <w:tcW w:w="580" w:type="dxa"/>
            <w:vAlign w:val="bottom"/>
            <w:shd w:val="clear" w:color="auto" w:fill="E6E7E7"/>
          </w:tcPr>
          <w:p>
            <w:pPr>
              <w:spacing w:after="0"/>
              <w:rPr>
                <w:sz w:val="17"/>
                <w:szCs w:val="17"/>
                <w:color w:val="auto"/>
              </w:rPr>
            </w:pPr>
          </w:p>
        </w:tc>
        <w:tc>
          <w:tcPr>
            <w:tcW w:w="12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c>
          <w:tcPr>
            <w:tcW w:w="140" w:type="dxa"/>
            <w:vAlign w:val="bottom"/>
            <w:shd w:val="clear" w:color="auto" w:fill="E6E7E7"/>
          </w:tcPr>
          <w:p>
            <w:pPr>
              <w:spacing w:after="0"/>
              <w:rPr>
                <w:sz w:val="17"/>
                <w:szCs w:val="17"/>
                <w:color w:val="auto"/>
              </w:rPr>
            </w:pPr>
          </w:p>
        </w:tc>
        <w:tc>
          <w:tcPr>
            <w:tcW w:w="60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920" w:type="dxa"/>
            <w:vAlign w:val="bottom"/>
          </w:tcPr>
          <w:p>
            <w:pPr>
              <w:ind w:left="420"/>
              <w:spacing w:after="0" w:line="206" w:lineRule="exact"/>
              <w:rPr>
                <w:sz w:val="20"/>
                <w:szCs w:val="20"/>
                <w:color w:val="auto"/>
              </w:rPr>
            </w:pPr>
            <w:r>
              <w:rPr>
                <w:rFonts w:ascii="Arial" w:cs="Arial" w:eastAsia="Arial" w:hAnsi="Arial"/>
                <w:sz w:val="18"/>
                <w:szCs w:val="18"/>
                <w:color w:val="auto"/>
              </w:rPr>
              <w:t>Preferred stock, $25 par value. Authorized – 10,000,000 shares.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920" w:type="dxa"/>
            <w:vAlign w:val="bottom"/>
          </w:tcPr>
          <w:p>
            <w:pPr>
              <w:ind w:left="640"/>
              <w:spacing w:after="0" w:line="200" w:lineRule="exact"/>
              <w:rPr>
                <w:sz w:val="20"/>
                <w:szCs w:val="20"/>
                <w:color w:val="auto"/>
              </w:rPr>
            </w:pPr>
            <w:r>
              <w:rPr>
                <w:rFonts w:ascii="Arial" w:cs="Arial" w:eastAsia="Arial" w:hAnsi="Arial"/>
                <w:sz w:val="18"/>
                <w:szCs w:val="18"/>
                <w:color w:val="auto"/>
              </w:rPr>
              <w:t>Participating cumulative preferred. None issued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92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Common stock, $1 par value. Authorized – 2,400,000,000 shares.</w:t>
            </w:r>
          </w:p>
        </w:tc>
        <w:tc>
          <w:tcPr>
            <w:tcW w:w="80" w:type="dxa"/>
            <w:vAlign w:val="bottom"/>
            <w:shd w:val="clear" w:color="auto" w:fill="E6E7E7"/>
          </w:tcPr>
          <w:p>
            <w:pPr>
              <w:spacing w:after="0"/>
              <w:rPr>
                <w:sz w:val="17"/>
                <w:szCs w:val="17"/>
                <w:color w:val="auto"/>
              </w:rPr>
            </w:pPr>
          </w:p>
        </w:tc>
        <w:tc>
          <w:tcPr>
            <w:tcW w:w="160" w:type="dxa"/>
            <w:vAlign w:val="bottom"/>
            <w:shd w:val="clear" w:color="auto" w:fill="E6E7E7"/>
          </w:tcPr>
          <w:p>
            <w:pPr>
              <w:spacing w:after="0"/>
              <w:rPr>
                <w:sz w:val="17"/>
                <w:szCs w:val="17"/>
                <w:color w:val="auto"/>
              </w:rPr>
            </w:pPr>
          </w:p>
        </w:tc>
        <w:tc>
          <w:tcPr>
            <w:tcW w:w="580" w:type="dxa"/>
            <w:vAlign w:val="bottom"/>
            <w:shd w:val="clear" w:color="auto" w:fill="E6E7E7"/>
          </w:tcPr>
          <w:p>
            <w:pPr>
              <w:spacing w:after="0"/>
              <w:rPr>
                <w:sz w:val="17"/>
                <w:szCs w:val="17"/>
                <w:color w:val="auto"/>
              </w:rPr>
            </w:pPr>
          </w:p>
        </w:tc>
        <w:tc>
          <w:tcPr>
            <w:tcW w:w="12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c>
          <w:tcPr>
            <w:tcW w:w="140" w:type="dxa"/>
            <w:vAlign w:val="bottom"/>
            <w:shd w:val="clear" w:color="auto" w:fill="E6E7E7"/>
          </w:tcPr>
          <w:p>
            <w:pPr>
              <w:spacing w:after="0"/>
              <w:rPr>
                <w:sz w:val="17"/>
                <w:szCs w:val="17"/>
                <w:color w:val="auto"/>
              </w:rPr>
            </w:pPr>
          </w:p>
        </w:tc>
        <w:tc>
          <w:tcPr>
            <w:tcW w:w="60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tcPr>
          <w:p>
            <w:pPr>
              <w:ind w:left="640"/>
              <w:spacing w:after="0" w:line="202" w:lineRule="exact"/>
              <w:rPr>
                <w:sz w:val="20"/>
                <w:szCs w:val="20"/>
                <w:color w:val="auto"/>
              </w:rPr>
            </w:pPr>
            <w:r>
              <w:rPr>
                <w:rFonts w:ascii="Arial" w:cs="Arial" w:eastAsia="Arial" w:hAnsi="Arial"/>
                <w:sz w:val="18"/>
                <w:szCs w:val="18"/>
                <w:color w:val="auto"/>
              </w:rPr>
              <w:t>Shares issued: 2006 – 1,739,108,694; 2005 – 1,738,780,512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1,739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1,739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Paid-in capital</w:t>
            </w:r>
          </w:p>
        </w:tc>
        <w:tc>
          <w:tcPr>
            <w:tcW w:w="80" w:type="dxa"/>
            <w:vAlign w:val="bottom"/>
            <w:shd w:val="clear" w:color="auto" w:fill="E6E7E7"/>
          </w:tcPr>
          <w:p>
            <w:pPr>
              <w:spacing w:after="0"/>
              <w:rPr>
                <w:sz w:val="17"/>
                <w:szCs w:val="17"/>
                <w:color w:val="auto"/>
              </w:rPr>
            </w:pPr>
          </w:p>
        </w:tc>
        <w:tc>
          <w:tcPr>
            <w:tcW w:w="160" w:type="dxa"/>
            <w:vAlign w:val="bottom"/>
            <w:shd w:val="clear" w:color="auto" w:fill="E6E7E7"/>
          </w:tcPr>
          <w:p>
            <w:pPr>
              <w:spacing w:after="0"/>
              <w:rPr>
                <w:sz w:val="17"/>
                <w:szCs w:val="17"/>
                <w:color w:val="auto"/>
              </w:rPr>
            </w:pPr>
          </w:p>
        </w:tc>
        <w:tc>
          <w:tcPr>
            <w:tcW w:w="5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885</w:t>
            </w:r>
          </w:p>
        </w:tc>
        <w:tc>
          <w:tcPr>
            <w:tcW w:w="12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c>
          <w:tcPr>
            <w:tcW w:w="140" w:type="dxa"/>
            <w:vAlign w:val="bottom"/>
            <w:shd w:val="clear" w:color="auto" w:fill="E6E7E7"/>
          </w:tcPr>
          <w:p>
            <w:pPr>
              <w:spacing w:after="0"/>
              <w:rPr>
                <w:sz w:val="17"/>
                <w:szCs w:val="17"/>
                <w:color w:val="auto"/>
              </w:rPr>
            </w:pPr>
          </w:p>
        </w:tc>
        <w:tc>
          <w:tcPr>
            <w:tcW w:w="6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742</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tcPr>
          <w:p>
            <w:pPr>
              <w:ind w:left="420"/>
              <w:spacing w:after="0" w:line="202" w:lineRule="exact"/>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17,529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13,394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920" w:type="dxa"/>
            <w:vAlign w:val="bottom"/>
            <w:shd w:val="clear" w:color="auto" w:fill="E6E7E7"/>
          </w:tcPr>
          <w:p>
            <w:pPr>
              <w:ind w:left="420"/>
              <w:spacing w:after="0" w:line="206" w:lineRule="exact"/>
              <w:rPr>
                <w:sz w:val="20"/>
                <w:szCs w:val="20"/>
                <w:color w:val="auto"/>
              </w:rPr>
            </w:pPr>
            <w:r>
              <w:rPr>
                <w:rFonts w:ascii="Arial" w:cs="Arial" w:eastAsia="Arial" w:hAnsi="Arial"/>
                <w:sz w:val="18"/>
                <w:szCs w:val="18"/>
                <w:color w:val="auto"/>
              </w:rPr>
              <w:t>Less treasury common stock at cost.</w:t>
            </w:r>
          </w:p>
        </w:tc>
        <w:tc>
          <w:tcPr>
            <w:tcW w:w="80" w:type="dxa"/>
            <w:vAlign w:val="bottom"/>
            <w:shd w:val="clear" w:color="auto" w:fill="E6E7E7"/>
          </w:tcPr>
          <w:p>
            <w:pPr>
              <w:spacing w:after="0"/>
              <w:rPr>
                <w:sz w:val="17"/>
                <w:szCs w:val="17"/>
                <w:color w:val="auto"/>
              </w:rPr>
            </w:pPr>
          </w:p>
        </w:tc>
        <w:tc>
          <w:tcPr>
            <w:tcW w:w="160" w:type="dxa"/>
            <w:vAlign w:val="bottom"/>
            <w:shd w:val="clear" w:color="auto" w:fill="E6E7E7"/>
          </w:tcPr>
          <w:p>
            <w:pPr>
              <w:spacing w:after="0"/>
              <w:rPr>
                <w:sz w:val="17"/>
                <w:szCs w:val="17"/>
                <w:color w:val="auto"/>
              </w:rPr>
            </w:pPr>
          </w:p>
        </w:tc>
        <w:tc>
          <w:tcPr>
            <w:tcW w:w="700" w:type="dxa"/>
            <w:vAlign w:val="bottom"/>
            <w:gridSpan w:val="2"/>
            <w:vMerge w:val="restart"/>
            <w:shd w:val="clear" w:color="auto" w:fill="E6E7E7"/>
          </w:tcPr>
          <w:p>
            <w:pPr>
              <w:jc w:val="right"/>
              <w:ind w:right="60"/>
              <w:spacing w:after="0"/>
              <w:rPr>
                <w:sz w:val="20"/>
                <w:szCs w:val="20"/>
                <w:color w:val="auto"/>
              </w:rPr>
            </w:pPr>
            <w:r>
              <w:rPr>
                <w:rFonts w:ascii="Arial" w:cs="Arial" w:eastAsia="Arial" w:hAnsi="Arial"/>
                <w:sz w:val="18"/>
                <w:szCs w:val="18"/>
                <w:b w:val="1"/>
                <w:bCs w:val="1"/>
                <w:color w:val="auto"/>
              </w:rPr>
              <w:t>(8,430)</w:t>
            </w:r>
          </w:p>
        </w:tc>
        <w:tc>
          <w:tcPr>
            <w:tcW w:w="60" w:type="dxa"/>
            <w:vAlign w:val="bottom"/>
            <w:shd w:val="clear" w:color="auto" w:fill="E6E7E7"/>
          </w:tcPr>
          <w:p>
            <w:pPr>
              <w:spacing w:after="0"/>
              <w:rPr>
                <w:sz w:val="17"/>
                <w:szCs w:val="17"/>
                <w:color w:val="auto"/>
              </w:rPr>
            </w:pPr>
          </w:p>
        </w:tc>
        <w:tc>
          <w:tcPr>
            <w:tcW w:w="140" w:type="dxa"/>
            <w:vAlign w:val="bottom"/>
            <w:shd w:val="clear" w:color="auto" w:fill="E6E7E7"/>
          </w:tcPr>
          <w:p>
            <w:pPr>
              <w:spacing w:after="0"/>
              <w:rPr>
                <w:sz w:val="17"/>
                <w:szCs w:val="17"/>
                <w:color w:val="auto"/>
              </w:rPr>
            </w:pPr>
          </w:p>
        </w:tc>
        <w:tc>
          <w:tcPr>
            <w:tcW w:w="60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920" w:type="dxa"/>
            <w:vAlign w:val="bottom"/>
            <w:shd w:val="clear" w:color="auto" w:fill="E6E7E7"/>
          </w:tcPr>
          <w:p>
            <w:pPr>
              <w:ind w:left="640"/>
              <w:spacing w:after="0" w:line="200" w:lineRule="exact"/>
              <w:rPr>
                <w:sz w:val="20"/>
                <w:szCs w:val="20"/>
                <w:color w:val="auto"/>
              </w:rPr>
            </w:pPr>
            <w:r>
              <w:rPr>
                <w:rFonts w:ascii="Arial" w:cs="Arial" w:eastAsia="Arial" w:hAnsi="Arial"/>
                <w:sz w:val="18"/>
                <w:szCs w:val="18"/>
                <w:color w:val="auto"/>
              </w:rPr>
              <w:t>Shares: 2006 – 289,078,450; 2005 – 142,190,707</w:t>
            </w:r>
          </w:p>
        </w:tc>
        <w:tc>
          <w:tcPr>
            <w:tcW w:w="80" w:type="dxa"/>
            <w:vAlign w:val="bottom"/>
            <w:shd w:val="clear" w:color="auto" w:fill="E6E7E7"/>
          </w:tcPr>
          <w:p>
            <w:pPr>
              <w:spacing w:after="0"/>
              <w:rPr>
                <w:sz w:val="17"/>
                <w:szCs w:val="17"/>
                <w:color w:val="auto"/>
              </w:rPr>
            </w:pPr>
          </w:p>
        </w:tc>
        <w:tc>
          <w:tcPr>
            <w:tcW w:w="160" w:type="dxa"/>
            <w:vAlign w:val="bottom"/>
            <w:shd w:val="clear" w:color="auto" w:fill="E6E7E7"/>
          </w:tcPr>
          <w:p>
            <w:pPr>
              <w:spacing w:after="0"/>
              <w:rPr>
                <w:sz w:val="17"/>
                <w:szCs w:val="17"/>
                <w:color w:val="auto"/>
              </w:rPr>
            </w:pPr>
          </w:p>
        </w:tc>
        <w:tc>
          <w:tcPr>
            <w:tcW w:w="700" w:type="dxa"/>
            <w:vAlign w:val="bottom"/>
            <w:gridSpan w:val="2"/>
            <w:vMerge w:val="continue"/>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c>
          <w:tcPr>
            <w:tcW w:w="140" w:type="dxa"/>
            <w:vAlign w:val="bottom"/>
            <w:shd w:val="clear" w:color="auto" w:fill="E6E7E7"/>
          </w:tcPr>
          <w:p>
            <w:pPr>
              <w:spacing w:after="0"/>
              <w:rPr>
                <w:sz w:val="17"/>
                <w:szCs w:val="17"/>
                <w:color w:val="auto"/>
              </w:rPr>
            </w:pPr>
          </w:p>
        </w:tc>
        <w:tc>
          <w:tcPr>
            <w:tcW w:w="660" w:type="dxa"/>
            <w:vAlign w:val="bottom"/>
            <w:gridSpan w:val="2"/>
            <w:shd w:val="clear" w:color="auto" w:fill="E6E7E7"/>
          </w:tcPr>
          <w:p>
            <w:pPr>
              <w:jc w:val="right"/>
              <w:ind w:right="20"/>
              <w:spacing w:after="0" w:line="200" w:lineRule="exact"/>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203"/>
        </w:trPr>
        <w:tc>
          <w:tcPr>
            <w:tcW w:w="8920" w:type="dxa"/>
            <w:vAlign w:val="bottom"/>
          </w:tcPr>
          <w:p>
            <w:pPr>
              <w:ind w:left="420"/>
              <w:spacing w:after="0" w:line="202" w:lineRule="exact"/>
              <w:rPr>
                <w:sz w:val="20"/>
                <w:szCs w:val="20"/>
                <w:color w:val="auto"/>
              </w:rPr>
            </w:pPr>
            <w:r>
              <w:rPr>
                <w:rFonts w:ascii="Arial" w:cs="Arial" w:eastAsia="Arial" w:hAnsi="Arial"/>
                <w:sz w:val="18"/>
                <w:szCs w:val="18"/>
                <w:color w:val="auto"/>
              </w:rPr>
              <w:t>Accumulated other comprehensive income (loss), net of tax:</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E6E7E7"/>
          </w:tcPr>
          <w:p>
            <w:pPr>
              <w:ind w:left="640"/>
              <w:spacing w:after="0" w:line="202" w:lineRule="exact"/>
              <w:rPr>
                <w:sz w:val="20"/>
                <w:szCs w:val="20"/>
                <w:color w:val="auto"/>
              </w:rPr>
            </w:pPr>
            <w:r>
              <w:rPr>
                <w:rFonts w:ascii="Arial" w:cs="Arial" w:eastAsia="Arial" w:hAnsi="Arial"/>
                <w:sz w:val="18"/>
                <w:szCs w:val="18"/>
                <w:color w:val="auto"/>
              </w:rPr>
              <w:t>Postretirement benefit plans</w:t>
            </w:r>
          </w:p>
        </w:tc>
        <w:tc>
          <w:tcPr>
            <w:tcW w:w="80" w:type="dxa"/>
            <w:vAlign w:val="bottom"/>
            <w:shd w:val="clear" w:color="auto" w:fill="E6E7E7"/>
          </w:tcPr>
          <w:p>
            <w:pPr>
              <w:spacing w:after="0"/>
              <w:rPr>
                <w:sz w:val="17"/>
                <w:szCs w:val="17"/>
                <w:color w:val="auto"/>
              </w:rPr>
            </w:pPr>
          </w:p>
        </w:tc>
        <w:tc>
          <w:tcPr>
            <w:tcW w:w="160" w:type="dxa"/>
            <w:vAlign w:val="bottom"/>
            <w:shd w:val="clear" w:color="auto" w:fill="E6E7E7"/>
          </w:tcPr>
          <w:p>
            <w:pPr>
              <w:spacing w:after="0"/>
              <w:rPr>
                <w:sz w:val="17"/>
                <w:szCs w:val="17"/>
                <w:color w:val="auto"/>
              </w:rPr>
            </w:pPr>
          </w:p>
        </w:tc>
        <w:tc>
          <w:tcPr>
            <w:tcW w:w="700" w:type="dxa"/>
            <w:vAlign w:val="bottom"/>
            <w:gridSpan w:val="2"/>
            <w:shd w:val="clear" w:color="auto" w:fill="E6E7E7"/>
          </w:tcPr>
          <w:p>
            <w:pPr>
              <w:jc w:val="right"/>
              <w:ind w:right="60"/>
              <w:spacing w:after="0" w:line="202" w:lineRule="exact"/>
              <w:rPr>
                <w:sz w:val="20"/>
                <w:szCs w:val="20"/>
                <w:color w:val="auto"/>
              </w:rPr>
            </w:pPr>
            <w:r>
              <w:rPr>
                <w:rFonts w:ascii="Arial" w:cs="Arial" w:eastAsia="Arial" w:hAnsi="Arial"/>
                <w:sz w:val="18"/>
                <w:szCs w:val="18"/>
                <w:b w:val="1"/>
                <w:bCs w:val="1"/>
                <w:color w:val="auto"/>
              </w:rPr>
              <w:t>(351)</w:t>
            </w:r>
          </w:p>
        </w:tc>
        <w:tc>
          <w:tcPr>
            <w:tcW w:w="60" w:type="dxa"/>
            <w:vAlign w:val="bottom"/>
            <w:shd w:val="clear" w:color="auto" w:fill="E6E7E7"/>
          </w:tcPr>
          <w:p>
            <w:pPr>
              <w:spacing w:after="0"/>
              <w:rPr>
                <w:sz w:val="17"/>
                <w:szCs w:val="17"/>
                <w:color w:val="auto"/>
              </w:rPr>
            </w:pPr>
          </w:p>
        </w:tc>
        <w:tc>
          <w:tcPr>
            <w:tcW w:w="140" w:type="dxa"/>
            <w:vAlign w:val="bottom"/>
            <w:shd w:val="clear" w:color="auto" w:fill="E6E7E7"/>
          </w:tcPr>
          <w:p>
            <w:pPr>
              <w:spacing w:after="0"/>
              <w:rPr>
                <w:sz w:val="17"/>
                <w:szCs w:val="17"/>
                <w:color w:val="auto"/>
              </w:rPr>
            </w:pPr>
          </w:p>
        </w:tc>
        <w:tc>
          <w:tcPr>
            <w:tcW w:w="660" w:type="dxa"/>
            <w:vAlign w:val="bottom"/>
            <w:gridSpan w:val="2"/>
            <w:shd w:val="clear" w:color="auto" w:fill="E6E7E7"/>
          </w:tcPr>
          <w:p>
            <w:pPr>
              <w:jc w:val="right"/>
              <w:ind w:right="20"/>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3"/>
        </w:trPr>
        <w:tc>
          <w:tcPr>
            <w:tcW w:w="8920" w:type="dxa"/>
            <w:vAlign w:val="bottom"/>
          </w:tcPr>
          <w:p>
            <w:pPr>
              <w:ind w:left="640"/>
              <w:spacing w:after="0" w:line="202" w:lineRule="exact"/>
              <w:rPr>
                <w:sz w:val="20"/>
                <w:szCs w:val="20"/>
                <w:color w:val="auto"/>
              </w:rPr>
            </w:pPr>
            <w:r>
              <w:rPr>
                <w:rFonts w:ascii="Arial" w:cs="Arial" w:eastAsia="Arial" w:hAnsi="Arial"/>
                <w:sz w:val="18"/>
                <w:szCs w:val="18"/>
                <w:color w:val="auto"/>
              </w:rPr>
              <w:t>Unrealized gain (loss) on available-for-sale investments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892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Unearned compensation</w:t>
            </w:r>
          </w:p>
        </w:tc>
        <w:tc>
          <w:tcPr>
            <w:tcW w:w="80" w:type="dxa"/>
            <w:vAlign w:val="bottom"/>
            <w:shd w:val="clear" w:color="auto" w:fill="E6E7E7"/>
          </w:tcPr>
          <w:p>
            <w:pPr>
              <w:spacing w:after="0"/>
              <w:rPr>
                <w:sz w:val="17"/>
                <w:szCs w:val="17"/>
                <w:color w:val="auto"/>
              </w:rPr>
            </w:pPr>
          </w:p>
        </w:tc>
        <w:tc>
          <w:tcPr>
            <w:tcW w:w="160" w:type="dxa"/>
            <w:vAlign w:val="bottom"/>
            <w:shd w:val="clear" w:color="auto" w:fill="E6E7E7"/>
          </w:tcPr>
          <w:p>
            <w:pPr>
              <w:spacing w:after="0"/>
              <w:rPr>
                <w:sz w:val="17"/>
                <w:szCs w:val="17"/>
                <w:color w:val="auto"/>
              </w:rPr>
            </w:pPr>
          </w:p>
        </w:tc>
        <w:tc>
          <w:tcPr>
            <w:tcW w:w="700" w:type="dxa"/>
            <w:vAlign w:val="bottom"/>
            <w:gridSpan w:val="2"/>
            <w:shd w:val="clear" w:color="auto" w:fill="E6E7E7"/>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shd w:val="clear" w:color="auto" w:fill="E6E7E7"/>
          </w:tcPr>
          <w:p>
            <w:pPr>
              <w:spacing w:after="0"/>
              <w:rPr>
                <w:sz w:val="17"/>
                <w:szCs w:val="17"/>
                <w:color w:val="auto"/>
              </w:rPr>
            </w:pPr>
          </w:p>
        </w:tc>
        <w:tc>
          <w:tcPr>
            <w:tcW w:w="140" w:type="dxa"/>
            <w:vAlign w:val="bottom"/>
            <w:shd w:val="clear" w:color="auto" w:fill="E6E7E7"/>
          </w:tcPr>
          <w:p>
            <w:pPr>
              <w:spacing w:after="0"/>
              <w:rPr>
                <w:sz w:val="17"/>
                <w:szCs w:val="17"/>
                <w:color w:val="auto"/>
              </w:rPr>
            </w:pPr>
          </w:p>
        </w:tc>
        <w:tc>
          <w:tcPr>
            <w:tcW w:w="660" w:type="dxa"/>
            <w:vAlign w:val="bottom"/>
            <w:gridSpan w:val="2"/>
            <w:shd w:val="clear" w:color="auto" w:fill="E6E7E7"/>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892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11,360</w:t>
            </w:r>
          </w:p>
        </w:tc>
        <w:tc>
          <w:tcPr>
            <w:tcW w:w="1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E6E7E7"/>
          </w:tcPr>
          <w:p>
            <w:pPr>
              <w:spacing w:after="0"/>
              <w:rPr>
                <w:sz w:val="17"/>
                <w:szCs w:val="17"/>
                <w:color w:val="auto"/>
              </w:rPr>
            </w:pPr>
          </w:p>
        </w:tc>
        <w:tc>
          <w:tcPr>
            <w:tcW w:w="16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13,930</w:t>
            </w:r>
          </w:p>
        </w:tc>
        <w:tc>
          <w:tcPr>
            <w:tcW w:w="120" w:type="dxa"/>
            <w:vAlign w:val="bottom"/>
            <w:tcBorders>
              <w:bottom w:val="single" w:sz="8" w:color="auto"/>
            </w:tcBorders>
            <w:shd w:val="clear" w:color="auto" w:fill="E6E7E7"/>
          </w:tcPr>
          <w:p>
            <w:pPr>
              <w:spacing w:after="0"/>
              <w:rPr>
                <w:sz w:val="17"/>
                <w:szCs w:val="17"/>
                <w:color w:val="auto"/>
              </w:rPr>
            </w:pPr>
          </w:p>
        </w:tc>
        <w:tc>
          <w:tcPr>
            <w:tcW w:w="200" w:type="dxa"/>
            <w:vAlign w:val="bottom"/>
            <w:tcBorders>
              <w:bottom w:val="single" w:sz="8" w:color="auto"/>
            </w:tcBorders>
            <w:gridSpan w:val="2"/>
            <w:shd w:val="clear" w:color="auto" w:fill="E6E7E7"/>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15,063</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See accompanying notes.</w:t>
      </w:r>
    </w:p>
    <w:p>
      <w:pPr>
        <w:sectPr>
          <w:pgSz w:w="11900" w:h="16838" w:orient="portrait"/>
          <w:cols w:equalWidth="0" w:num="1">
            <w:col w:w="11080"/>
          </w:cols>
          <w:pgMar w:left="240" w:top="287" w:right="579" w:bottom="1440" w:gutter="0" w:footer="0" w:header="0"/>
        </w:sectPr>
      </w:pPr>
    </w:p>
    <w:bookmarkStart w:id="58" w:name="page59"/>
    <w:bookmarkEnd w:id="58"/>
    <w:p>
      <w:pPr>
        <w:jc w:val="right"/>
        <w:spacing w:after="0"/>
        <w:tabs>
          <w:tab w:leader="none" w:pos="6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2006 ANNUAL REPORT</w:t>
        <w:tab/>
        <w:t>9</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w:t>
      </w:r>
    </w:p>
    <w:p>
      <w:pPr>
        <w:jc w:val="center"/>
        <w:ind w:left="8040"/>
        <w:spacing w:after="0" w:line="221" w:lineRule="auto"/>
        <w:rPr>
          <w:sz w:val="20"/>
          <w:szCs w:val="20"/>
          <w:color w:val="auto"/>
        </w:rPr>
      </w:pPr>
      <w:r>
        <w:rPr>
          <w:rFonts w:ascii="Arial" w:cs="Arial" w:eastAsia="Arial" w:hAnsi="Arial"/>
          <w:sz w:val="14"/>
          <w:szCs w:val="14"/>
          <w:b w:val="1"/>
          <w:bCs w:val="1"/>
          <w:color w:val="939598"/>
        </w:rPr>
        <w:t>FOR THE YEARS ENDED</w:t>
      </w:r>
    </w:p>
    <w:p>
      <w:pPr>
        <w:jc w:val="center"/>
        <w:ind w:left="8040"/>
        <w:spacing w:after="0"/>
        <w:rPr>
          <w:sz w:val="20"/>
          <w:szCs w:val="20"/>
          <w:color w:val="auto"/>
        </w:rPr>
      </w:pPr>
      <w:r>
        <w:rPr>
          <w:rFonts w:ascii="Arial" w:cs="Arial" w:eastAsia="Arial" w:hAnsi="Arial"/>
          <w:sz w:val="14"/>
          <w:szCs w:val="14"/>
          <w:b w:val="1"/>
          <w:bCs w:val="1"/>
          <w:color w:val="939598"/>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18415</wp:posOffset>
            </wp:positionV>
            <wp:extent cx="6809105"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09105" cy="163195"/>
                    </a:xfrm>
                    <a:prstGeom prst="rect">
                      <a:avLst/>
                    </a:prstGeom>
                    <a:noFill/>
                  </pic:spPr>
                </pic:pic>
              </a:graphicData>
            </a:graphic>
          </wp:anchor>
        </w:drawing>
      </w:r>
    </w:p>
    <w:p>
      <w:pPr>
        <w:sectPr>
          <w:pgSz w:w="11900" w:h="16838" w:orient="portrait"/>
          <w:cols w:equalWidth="0" w:num="1">
            <w:col w:w="10960"/>
          </w:cols>
          <w:pgMar w:left="700" w:top="287" w:right="239" w:bottom="1440" w:gutter="0" w:footer="0" w:header="0"/>
        </w:sectPr>
      </w:pPr>
    </w:p>
    <w:p>
      <w:pPr>
        <w:spacing w:after="0" w:line="3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-1270</wp:posOffset>
            </wp:positionV>
            <wp:extent cx="680910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ind w:left="320"/>
        <w:spacing w:after="0" w:line="234" w:lineRule="auto"/>
        <w:rPr>
          <w:sz w:val="20"/>
          <w:szCs w:val="20"/>
          <w:color w:val="auto"/>
        </w:rPr>
      </w:pPr>
      <w:r>
        <w:rPr>
          <w:rFonts w:ascii="Arial" w:cs="Arial" w:eastAsia="Arial" w:hAnsi="Arial"/>
          <w:sz w:val="18"/>
          <w:szCs w:val="18"/>
          <w:color w:val="auto"/>
        </w:rPr>
        <w:t>Net income</w:t>
      </w:r>
    </w:p>
    <w:p>
      <w:pPr>
        <w:spacing w:after="0" w:line="1" w:lineRule="exact"/>
        <w:rPr>
          <w:sz w:val="20"/>
          <w:szCs w:val="20"/>
          <w:color w:val="auto"/>
        </w:rPr>
      </w:pPr>
    </w:p>
    <w:p>
      <w:pPr>
        <w:ind w:left="540" w:hanging="215"/>
        <w:spacing w:after="0" w:line="234" w:lineRule="auto"/>
        <w:rPr>
          <w:sz w:val="20"/>
          <w:szCs w:val="20"/>
          <w:color w:val="auto"/>
        </w:rPr>
      </w:pPr>
      <w:r>
        <w:rPr>
          <w:rFonts w:ascii="Arial" w:cs="Arial" w:eastAsia="Arial" w:hAnsi="Arial"/>
          <w:sz w:val="18"/>
          <w:szCs w:val="18"/>
          <w:color w:val="auto"/>
        </w:rPr>
        <w:t>Adjustments to reconcile net income to cash provided by operating activities of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-635</wp:posOffset>
            </wp:positionV>
            <wp:extent cx="680910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ind w:left="540"/>
        <w:spacing w:after="0" w:line="236" w:lineRule="auto"/>
        <w:rPr>
          <w:sz w:val="20"/>
          <w:szCs w:val="20"/>
          <w:color w:val="auto"/>
        </w:rPr>
      </w:pPr>
      <w:r>
        <w:rPr>
          <w:rFonts w:ascii="Arial" w:cs="Arial" w:eastAsia="Arial" w:hAnsi="Arial"/>
          <w:sz w:val="18"/>
          <w:szCs w:val="18"/>
          <w:color w:val="auto"/>
        </w:rPr>
        <w:t>Income from discontinued operations</w:t>
      </w:r>
    </w:p>
    <w:p>
      <w:pPr>
        <w:ind w:left="540"/>
        <w:spacing w:after="0" w:line="235" w:lineRule="auto"/>
        <w:rPr>
          <w:sz w:val="20"/>
          <w:szCs w:val="20"/>
          <w:color w:val="auto"/>
        </w:rPr>
      </w:pPr>
      <w:r>
        <w:rPr>
          <w:rFonts w:ascii="Arial" w:cs="Arial" w:eastAsia="Arial" w:hAnsi="Arial"/>
          <w:sz w:val="18"/>
          <w:szCs w:val="18"/>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-1270</wp:posOffset>
            </wp:positionV>
            <wp:extent cx="68091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Stock-based compensation</w:t>
      </w:r>
    </w:p>
    <w:p>
      <w:pPr>
        <w:ind w:left="540"/>
        <w:spacing w:after="0" w:line="235" w:lineRule="auto"/>
        <w:rPr>
          <w:sz w:val="20"/>
          <w:szCs w:val="20"/>
          <w:color w:val="auto"/>
        </w:rPr>
      </w:pPr>
      <w:r>
        <w:rPr>
          <w:rFonts w:ascii="Arial" w:cs="Arial" w:eastAsia="Arial" w:hAnsi="Arial"/>
          <w:sz w:val="18"/>
          <w:szCs w:val="18"/>
          <w:color w:val="auto"/>
        </w:rPr>
        <w:t>Amortization of capitalized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-1270</wp:posOffset>
            </wp:positionV>
            <wp:extent cx="68091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Amortization of acquisition-related intangibles</w:t>
      </w:r>
    </w:p>
    <w:p>
      <w:pPr>
        <w:ind w:left="540"/>
        <w:spacing w:after="0" w:line="235" w:lineRule="auto"/>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-1270</wp:posOffset>
            </wp:positionV>
            <wp:extent cx="6809105"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ind w:left="320"/>
        <w:spacing w:after="0" w:line="235" w:lineRule="auto"/>
        <w:rPr>
          <w:sz w:val="20"/>
          <w:szCs w:val="20"/>
          <w:color w:val="auto"/>
        </w:rPr>
      </w:pPr>
      <w:r>
        <w:rPr>
          <w:rFonts w:ascii="Arial" w:cs="Arial" w:eastAsia="Arial" w:hAnsi="Arial"/>
          <w:sz w:val="18"/>
          <w:szCs w:val="18"/>
          <w:color w:val="auto"/>
        </w:rPr>
        <w:t>Increase (decrease) from changes in:</w:t>
      </w:r>
    </w:p>
    <w:p>
      <w:pPr>
        <w:ind w:left="540"/>
        <w:spacing w:after="0" w:line="234" w:lineRule="auto"/>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-635</wp:posOffset>
            </wp:positionV>
            <wp:extent cx="680910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Inventories</w:t>
      </w:r>
    </w:p>
    <w:p>
      <w:pPr>
        <w:ind w:left="540"/>
        <w:spacing w:after="0" w:line="235" w:lineRule="auto"/>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-1270</wp:posOffset>
            </wp:positionV>
            <wp:extent cx="680910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Accounts payable and accrued expenses</w:t>
      </w:r>
    </w:p>
    <w:p>
      <w:pPr>
        <w:ind w:left="540"/>
        <w:spacing w:after="0" w:line="235" w:lineRule="auto"/>
        <w:rPr>
          <w:sz w:val="20"/>
          <w:szCs w:val="20"/>
          <w:color w:val="auto"/>
        </w:rPr>
      </w:pPr>
      <w:r>
        <w:rPr>
          <w:rFonts w:ascii="Arial" w:cs="Arial" w:eastAsia="Arial" w:hAnsi="Arial"/>
          <w:sz w:val="18"/>
          <w:szCs w:val="18"/>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-1270</wp:posOffset>
            </wp:positionV>
            <wp:extent cx="680910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Accrued profit sharing and retirement</w:t>
      </w:r>
    </w:p>
    <w:p>
      <w:pPr>
        <w:ind w:left="320" w:right="2480"/>
        <w:spacing w:after="0" w:line="239" w:lineRule="auto"/>
        <w:rPr>
          <w:sz w:val="20"/>
          <w:szCs w:val="20"/>
          <w:color w:val="auto"/>
        </w:rPr>
      </w:pPr>
      <w:r>
        <w:rPr>
          <w:rFonts w:ascii="Arial" w:cs="Arial" w:eastAsia="Arial" w:hAnsi="Arial"/>
          <w:sz w:val="18"/>
          <w:szCs w:val="18"/>
          <w:color w:val="auto"/>
        </w:rPr>
        <w:t>Funding of retirement plans and accrued retirement costs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-134620</wp:posOffset>
            </wp:positionV>
            <wp:extent cx="680910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Net cash provided by operating activities of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12065</wp:posOffset>
            </wp:positionV>
            <wp:extent cx="6809105"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Cash flows from investing activities:</w:t>
      </w:r>
    </w:p>
    <w:p>
      <w:pPr>
        <w:ind w:left="320"/>
        <w:spacing w:after="0" w:line="234" w:lineRule="auto"/>
        <w:rPr>
          <w:sz w:val="20"/>
          <w:szCs w:val="20"/>
          <w:color w:val="auto"/>
        </w:rPr>
      </w:pPr>
      <w:r>
        <w:rPr>
          <w:rFonts w:ascii="Arial" w:cs="Arial" w:eastAsia="Arial" w:hAnsi="Arial"/>
          <w:sz w:val="18"/>
          <w:szCs w:val="18"/>
          <w:color w:val="auto"/>
        </w:rPr>
        <w:t>Additions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-635</wp:posOffset>
            </wp:positionV>
            <wp:extent cx="6809105"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ind w:left="320"/>
        <w:spacing w:after="0" w:line="235" w:lineRule="auto"/>
        <w:rPr>
          <w:sz w:val="20"/>
          <w:szCs w:val="20"/>
          <w:color w:val="auto"/>
        </w:rPr>
      </w:pPr>
      <w:r>
        <w:rPr>
          <w:rFonts w:ascii="Arial" w:cs="Arial" w:eastAsia="Arial" w:hAnsi="Arial"/>
          <w:sz w:val="18"/>
          <w:szCs w:val="18"/>
          <w:color w:val="auto"/>
        </w:rPr>
        <w:t>Proceeds from sales of assets</w:t>
      </w:r>
    </w:p>
    <w:p>
      <w:pPr>
        <w:ind w:left="320"/>
        <w:spacing w:after="0" w:line="235" w:lineRule="auto"/>
        <w:rPr>
          <w:sz w:val="20"/>
          <w:szCs w:val="20"/>
          <w:color w:val="auto"/>
        </w:rPr>
      </w:pPr>
      <w:r>
        <w:rPr>
          <w:rFonts w:ascii="Arial" w:cs="Arial" w:eastAsia="Arial" w:hAnsi="Arial"/>
          <w:sz w:val="18"/>
          <w:szCs w:val="18"/>
          <w:color w:val="auto"/>
        </w:rPr>
        <w:t>Purchases of cash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-1270</wp:posOffset>
            </wp:positionV>
            <wp:extent cx="680910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ind w:left="320"/>
        <w:spacing w:after="0" w:line="235" w:lineRule="auto"/>
        <w:rPr>
          <w:sz w:val="20"/>
          <w:szCs w:val="20"/>
          <w:color w:val="auto"/>
        </w:rPr>
      </w:pPr>
      <w:r>
        <w:rPr>
          <w:rFonts w:ascii="Arial" w:cs="Arial" w:eastAsia="Arial" w:hAnsi="Arial"/>
          <w:sz w:val="18"/>
          <w:szCs w:val="18"/>
          <w:color w:val="auto"/>
        </w:rPr>
        <w:t>Sales and maturities of cash investments</w:t>
      </w:r>
    </w:p>
    <w:p>
      <w:pPr>
        <w:ind w:left="320"/>
        <w:spacing w:after="0" w:line="235" w:lineRule="auto"/>
        <w:rPr>
          <w:sz w:val="20"/>
          <w:szCs w:val="20"/>
          <w:color w:val="auto"/>
        </w:rPr>
      </w:pPr>
      <w:r>
        <w:rPr>
          <w:rFonts w:ascii="Arial" w:cs="Arial" w:eastAsia="Arial" w:hAnsi="Arial"/>
          <w:sz w:val="18"/>
          <w:szCs w:val="18"/>
          <w:color w:val="auto"/>
        </w:rPr>
        <w:t>Purchases of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-1270</wp:posOffset>
            </wp:positionV>
            <wp:extent cx="6809105"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ind w:left="320"/>
        <w:spacing w:after="0" w:line="235" w:lineRule="auto"/>
        <w:rPr>
          <w:sz w:val="20"/>
          <w:szCs w:val="20"/>
          <w:color w:val="auto"/>
        </w:rPr>
      </w:pPr>
      <w:r>
        <w:rPr>
          <w:rFonts w:ascii="Arial" w:cs="Arial" w:eastAsia="Arial" w:hAnsi="Arial"/>
          <w:sz w:val="18"/>
          <w:szCs w:val="18"/>
          <w:color w:val="auto"/>
        </w:rPr>
        <w:t>Sales of equity and other long-term investments</w:t>
      </w:r>
    </w:p>
    <w:p>
      <w:pPr>
        <w:ind w:left="320"/>
        <w:spacing w:after="0"/>
        <w:rPr>
          <w:sz w:val="20"/>
          <w:szCs w:val="20"/>
          <w:color w:val="auto"/>
        </w:rPr>
      </w:pPr>
      <w:r>
        <w:rPr>
          <w:rFonts w:ascii="Arial" w:cs="Arial" w:eastAsia="Arial" w:hAnsi="Arial"/>
          <w:sz w:val="18"/>
          <w:szCs w:val="18"/>
          <w:color w:val="auto"/>
        </w:rPr>
        <w:t>Acquisition of businesses,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12065</wp:posOffset>
            </wp:positionV>
            <wp:extent cx="6809105"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cash provided by (used in) investing activities of continuing operations</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-1270</wp:posOffset>
            </wp:positionV>
            <wp:extent cx="680910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ind w:left="320"/>
        <w:spacing w:after="0" w:line="234" w:lineRule="auto"/>
        <w:rPr>
          <w:sz w:val="20"/>
          <w:szCs w:val="20"/>
          <w:color w:val="auto"/>
        </w:rPr>
      </w:pPr>
      <w:r>
        <w:rPr>
          <w:rFonts w:ascii="Arial" w:cs="Arial" w:eastAsia="Arial" w:hAnsi="Arial"/>
          <w:sz w:val="18"/>
          <w:szCs w:val="18"/>
          <w:color w:val="auto"/>
        </w:rPr>
        <w:t>Proceeds from loans and long-term debt</w:t>
      </w:r>
    </w:p>
    <w:p>
      <w:pPr>
        <w:ind w:left="320"/>
        <w:spacing w:after="0" w:line="235" w:lineRule="auto"/>
        <w:rPr>
          <w:sz w:val="20"/>
          <w:szCs w:val="20"/>
          <w:color w:val="auto"/>
        </w:rPr>
      </w:pPr>
      <w:r>
        <w:rPr>
          <w:rFonts w:ascii="Arial" w:cs="Arial" w:eastAsia="Arial" w:hAnsi="Arial"/>
          <w:sz w:val="18"/>
          <w:szCs w:val="18"/>
          <w:color w:val="auto"/>
        </w:rPr>
        <w:t>Payments on loans and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-635</wp:posOffset>
            </wp:positionV>
            <wp:extent cx="6809105"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ind w:left="320"/>
        <w:spacing w:after="0" w:line="235" w:lineRule="auto"/>
        <w:rPr>
          <w:sz w:val="20"/>
          <w:szCs w:val="20"/>
          <w:color w:val="auto"/>
        </w:rPr>
      </w:pPr>
      <w:r>
        <w:rPr>
          <w:rFonts w:ascii="Arial" w:cs="Arial" w:eastAsia="Arial" w:hAnsi="Arial"/>
          <w:sz w:val="18"/>
          <w:szCs w:val="18"/>
          <w:color w:val="auto"/>
        </w:rPr>
        <w:t>Dividends paid on common stock</w:t>
      </w:r>
    </w:p>
    <w:p>
      <w:pPr>
        <w:ind w:left="320"/>
        <w:spacing w:after="0" w:line="235" w:lineRule="auto"/>
        <w:rPr>
          <w:sz w:val="20"/>
          <w:szCs w:val="20"/>
          <w:color w:val="auto"/>
        </w:rPr>
      </w:pPr>
      <w:r>
        <w:rPr>
          <w:rFonts w:ascii="Arial" w:cs="Arial" w:eastAsia="Arial" w:hAnsi="Arial"/>
          <w:sz w:val="18"/>
          <w:szCs w:val="18"/>
          <w:color w:val="auto"/>
        </w:rPr>
        <w:t>Sales and other common stock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-1270</wp:posOffset>
            </wp:positionV>
            <wp:extent cx="6809105"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ind w:left="320"/>
        <w:spacing w:after="0" w:line="235" w:lineRule="auto"/>
        <w:rPr>
          <w:sz w:val="20"/>
          <w:szCs w:val="20"/>
          <w:color w:val="auto"/>
        </w:rPr>
      </w:pPr>
      <w:r>
        <w:rPr>
          <w:rFonts w:ascii="Arial" w:cs="Arial" w:eastAsia="Arial" w:hAnsi="Arial"/>
          <w:sz w:val="18"/>
          <w:szCs w:val="18"/>
          <w:color w:val="auto"/>
        </w:rPr>
        <w:t>Excess tax benefit from stock option exercises</w:t>
      </w:r>
    </w:p>
    <w:p>
      <w:pPr>
        <w:ind w:left="320"/>
        <w:spacing w:after="0"/>
        <w:rPr>
          <w:sz w:val="20"/>
          <w:szCs w:val="20"/>
          <w:color w:val="auto"/>
        </w:rPr>
      </w:pPr>
      <w:r>
        <w:rPr>
          <w:rFonts w:ascii="Arial" w:cs="Arial" w:eastAsia="Arial" w:hAnsi="Arial"/>
          <w:sz w:val="18"/>
          <w:szCs w:val="18"/>
          <w:color w:val="auto"/>
        </w:rPr>
        <w:t>Stock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12065</wp:posOffset>
            </wp:positionV>
            <wp:extent cx="508571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085715" cy="171450"/>
                    </a:xfrm>
                    <a:prstGeom prst="rect">
                      <a:avLst/>
                    </a:prstGeom>
                    <a:noFill/>
                  </pic:spPr>
                </pic:pic>
              </a:graphicData>
            </a:graphic>
          </wp:anchor>
        </w:drawing>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cash used in financing activities of continuing operations</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Cash flows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-1270</wp:posOffset>
            </wp:positionV>
            <wp:extent cx="6809105"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ind w:left="320"/>
        <w:spacing w:after="0" w:line="234" w:lineRule="auto"/>
        <w:rPr>
          <w:sz w:val="20"/>
          <w:szCs w:val="20"/>
          <w:color w:val="auto"/>
        </w:rPr>
      </w:pPr>
      <w:r>
        <w:rPr>
          <w:rFonts w:ascii="Arial" w:cs="Arial" w:eastAsia="Arial" w:hAnsi="Arial"/>
          <w:sz w:val="18"/>
          <w:szCs w:val="18"/>
          <w:color w:val="auto"/>
        </w:rPr>
        <w:t>Operating activities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12065</wp:posOffset>
            </wp:positionV>
            <wp:extent cx="6809105"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cash (used in) provided by discontinued operations</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12065</wp:posOffset>
            </wp:positionV>
            <wp:extent cx="508571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085715" cy="171450"/>
                    </a:xfrm>
                    <a:prstGeom prst="rect">
                      <a:avLst/>
                    </a:prstGeom>
                    <a:noFill/>
                  </pic:spPr>
                </pic:pic>
              </a:graphicData>
            </a:graphic>
          </wp:anchor>
        </w:drawing>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(decrease) increase in cash and cash equivalents</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Cash and cash equivalents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12065</wp:posOffset>
            </wp:positionV>
            <wp:extent cx="5085715"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085715" cy="171450"/>
                    </a:xfrm>
                    <a:prstGeom prst="rect">
                      <a:avLst/>
                    </a:prstGeom>
                    <a:noFill/>
                  </pic:spPr>
                </pic:pic>
              </a:graphicData>
            </a:graphic>
          </wp:anchor>
        </w:drawing>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Cash and cash equivalents at end of year</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See accompanying notes.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left="320"/>
        <w:spacing w:after="0"/>
        <w:tabs>
          <w:tab w:leader="none" w:pos="1200" w:val="left"/>
          <w:tab w:leader="none" w:pos="2100" w:val="left"/>
        </w:tabs>
        <w:rPr>
          <w:sz w:val="20"/>
          <w:szCs w:val="20"/>
          <w:color w:val="auto"/>
        </w:rPr>
      </w:pPr>
      <w:r>
        <w:rPr>
          <w:rFonts w:ascii="Arial" w:cs="Arial" w:eastAsia="Arial" w:hAnsi="Arial"/>
          <w:sz w:val="14"/>
          <w:szCs w:val="14"/>
          <w:b w:val="1"/>
          <w:bCs w:val="1"/>
          <w:color w:val="FFFFFF"/>
        </w:rPr>
        <w:t>2006</w:t>
      </w:r>
      <w:r>
        <w:rPr>
          <w:sz w:val="20"/>
          <w:szCs w:val="20"/>
          <w:color w:val="auto"/>
        </w:rPr>
        <w:tab/>
      </w:r>
      <w:r>
        <w:rPr>
          <w:rFonts w:ascii="Arial" w:cs="Arial" w:eastAsia="Arial" w:hAnsi="Arial"/>
          <w:sz w:val="14"/>
          <w:szCs w:val="14"/>
          <w:b w:val="1"/>
          <w:bCs w:val="1"/>
          <w:color w:val="FFFFFF"/>
        </w:rPr>
        <w:t>2005</w:t>
      </w:r>
      <w:r>
        <w:rPr>
          <w:sz w:val="20"/>
          <w:szCs w:val="20"/>
          <w:color w:val="auto"/>
        </w:rPr>
        <w:tab/>
      </w:r>
      <w:r>
        <w:rPr>
          <w:rFonts w:ascii="Arial" w:cs="Arial" w:eastAsia="Arial" w:hAnsi="Arial"/>
          <w:sz w:val="12"/>
          <w:szCs w:val="12"/>
          <w:b w:val="1"/>
          <w:bCs w:val="1"/>
          <w:color w:val="FFFFFF"/>
        </w:rPr>
        <w:t>2004</w:t>
      </w:r>
    </w:p>
    <w:p>
      <w:pPr>
        <w:spacing w:after="0" w:line="256" w:lineRule="exact"/>
        <w:rPr>
          <w:sz w:val="20"/>
          <w:szCs w:val="20"/>
          <w:color w:val="auto"/>
        </w:rPr>
      </w:pPr>
    </w:p>
    <w:p>
      <w:pPr>
        <w:ind w:left="400" w:hanging="304"/>
        <w:spacing w:after="0"/>
        <w:tabs>
          <w:tab w:leader="none" w:pos="4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4,341  </w:t>
      </w:r>
      <w:r>
        <w:rPr>
          <w:rFonts w:ascii="Arial" w:cs="Arial" w:eastAsia="Arial" w:hAnsi="Arial"/>
          <w:sz w:val="18"/>
          <w:szCs w:val="18"/>
          <w:color w:val="auto"/>
        </w:rPr>
        <w:t>$  2,324  $  1,861</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(1,703)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r>
      <w:tr>
        <w:trPr>
          <w:trHeight w:val="203"/>
        </w:trPr>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1,052</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1,346</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1,449</w:t>
            </w:r>
          </w:p>
        </w:tc>
        <w:tc>
          <w:tcPr>
            <w:tcW w:w="60" w:type="dxa"/>
            <w:vAlign w:val="bottom"/>
          </w:tcPr>
          <w:p>
            <w:pPr>
              <w:spacing w:after="0"/>
              <w:rPr>
                <w:sz w:val="17"/>
                <w:szCs w:val="17"/>
                <w:color w:val="auto"/>
              </w:rPr>
            </w:pPr>
          </w:p>
        </w:tc>
      </w:tr>
      <w:tr>
        <w:trPr>
          <w:trHeight w:val="203"/>
        </w:trPr>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332</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175</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60" w:type="dxa"/>
            <w:vAlign w:val="bottom"/>
          </w:tcPr>
          <w:p>
            <w:pPr>
              <w:spacing w:after="0"/>
              <w:rPr>
                <w:sz w:val="17"/>
                <w:szCs w:val="17"/>
                <w:color w:val="auto"/>
              </w:rPr>
            </w:pPr>
          </w:p>
        </w:tc>
      </w:tr>
      <w:tr>
        <w:trPr>
          <w:trHeight w:val="203"/>
        </w:trPr>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110</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119</w:t>
            </w:r>
          </w:p>
        </w:tc>
        <w:tc>
          <w:tcPr>
            <w:tcW w:w="60" w:type="dxa"/>
            <w:vAlign w:val="bottom"/>
          </w:tcPr>
          <w:p>
            <w:pPr>
              <w:spacing w:after="0"/>
              <w:rPr>
                <w:sz w:val="17"/>
                <w:szCs w:val="17"/>
                <w:color w:val="auto"/>
              </w:rPr>
            </w:pPr>
          </w:p>
        </w:tc>
      </w:tr>
      <w:tr>
        <w:trPr>
          <w:trHeight w:val="203"/>
        </w:trPr>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59</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c>
          <w:tcPr>
            <w:tcW w:w="60" w:type="dxa"/>
            <w:vAlign w:val="bottom"/>
          </w:tcPr>
          <w:p>
            <w:pPr>
              <w:spacing w:after="0"/>
              <w:rPr>
                <w:sz w:val="17"/>
                <w:szCs w:val="17"/>
                <w:color w:val="auto"/>
              </w:rPr>
            </w:pPr>
          </w:p>
        </w:tc>
      </w:tr>
      <w:tr>
        <w:trPr>
          <w:trHeight w:val="233"/>
        </w:trPr>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(194)</w:t>
            </w:r>
          </w:p>
        </w:tc>
        <w:tc>
          <w:tcPr>
            <w:tcW w:w="74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20"/>
                <w:szCs w:val="20"/>
                <w:color w:val="auto"/>
              </w:rPr>
            </w:pPr>
          </w:p>
        </w:tc>
      </w:tr>
      <w:tr>
        <w:trPr>
          <w:trHeight w:val="375"/>
        </w:trPr>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(116)</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r>
      <w:tr>
        <w:trPr>
          <w:trHeight w:val="203"/>
        </w:trPr>
        <w:tc>
          <w:tcPr>
            <w:tcW w:w="1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(248)</w:t>
            </w: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w:t>
            </w: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(257)</w:t>
            </w:r>
          </w:p>
        </w:tc>
      </w:tr>
      <w:tr>
        <w:trPr>
          <w:trHeight w:val="203"/>
        </w:trPr>
        <w:tc>
          <w:tcPr>
            <w:tcW w:w="1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(96)</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155</w:t>
            </w:r>
          </w:p>
        </w:tc>
        <w:tc>
          <w:tcPr>
            <w:tcW w:w="60" w:type="dxa"/>
            <w:vAlign w:val="bottom"/>
          </w:tcPr>
          <w:p>
            <w:pPr>
              <w:spacing w:after="0"/>
              <w:rPr>
                <w:sz w:val="17"/>
                <w:szCs w:val="17"/>
                <w:color w:val="auto"/>
              </w:rPr>
            </w:pPr>
          </w:p>
        </w:tc>
      </w:tr>
      <w:tr>
        <w:trPr>
          <w:trHeight w:val="203"/>
        </w:trPr>
        <w:tc>
          <w:tcPr>
            <w:tcW w:w="1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(104)</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254</w:t>
            </w:r>
          </w:p>
        </w:tc>
        <w:tc>
          <w:tcPr>
            <w:tcW w:w="18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(68)</w:t>
            </w:r>
          </w:p>
        </w:tc>
      </w:tr>
      <w:tr>
        <w:trPr>
          <w:trHeight w:val="203"/>
        </w:trPr>
        <w:tc>
          <w:tcPr>
            <w:tcW w:w="1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(716)</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60" w:type="dxa"/>
            <w:vAlign w:val="bottom"/>
          </w:tcPr>
          <w:p>
            <w:pPr>
              <w:spacing w:after="0"/>
              <w:rPr>
                <w:sz w:val="17"/>
                <w:szCs w:val="17"/>
                <w:color w:val="auto"/>
              </w:rPr>
            </w:pPr>
          </w:p>
        </w:tc>
      </w:tr>
      <w:tr>
        <w:trPr>
          <w:trHeight w:val="203"/>
        </w:trPr>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w:t>
            </w:r>
          </w:p>
        </w:tc>
        <w:tc>
          <w:tcPr>
            <w:tcW w:w="16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(140)</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227</w:t>
            </w:r>
          </w:p>
        </w:tc>
        <w:tc>
          <w:tcPr>
            <w:tcW w:w="60" w:type="dxa"/>
            <w:vAlign w:val="bottom"/>
          </w:tcPr>
          <w:p>
            <w:pPr>
              <w:spacing w:after="0"/>
              <w:rPr>
                <w:sz w:val="17"/>
                <w:szCs w:val="17"/>
                <w:color w:val="auto"/>
              </w:rPr>
            </w:pPr>
          </w:p>
        </w:tc>
      </w:tr>
      <w:tr>
        <w:trPr>
          <w:trHeight w:val="203"/>
        </w:trPr>
        <w:tc>
          <w:tcPr>
            <w:tcW w:w="1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(210)</w:t>
            </w: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(154)</w:t>
            </w: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(202)</w:t>
            </w:r>
          </w:p>
        </w:tc>
      </w:tr>
      <w:tr>
        <w:trPr>
          <w:trHeight w:val="221"/>
        </w:trPr>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r>
      <w:tr>
        <w:trPr>
          <w:trHeight w:val="210"/>
        </w:trPr>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2,453</w:t>
            </w: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3,608</w:t>
            </w: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2,973</w:t>
            </w:r>
          </w:p>
        </w:tc>
        <w:tc>
          <w:tcPr>
            <w:tcW w:w="60" w:type="dxa"/>
            <w:vAlign w:val="bottom"/>
          </w:tcPr>
          <w:p>
            <w:pPr>
              <w:spacing w:after="0"/>
              <w:rPr>
                <w:sz w:val="18"/>
                <w:szCs w:val="18"/>
                <w:color w:val="auto"/>
              </w:rPr>
            </w:pPr>
          </w:p>
        </w:tc>
      </w:tr>
      <w:tr>
        <w:trPr>
          <w:trHeight w:val="393"/>
        </w:trPr>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(1,272)</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(1,288)</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(1,260)</w:t>
            </w:r>
          </w:p>
        </w:tc>
      </w:tr>
      <w:tr>
        <w:trPr>
          <w:trHeight w:val="203"/>
        </w:trPr>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3,000</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18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1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(6,821)</w:t>
            </w: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(5,851)</w:t>
            </w: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(3,674)</w:t>
            </w:r>
          </w:p>
        </w:tc>
      </w:tr>
      <w:tr>
        <w:trPr>
          <w:trHeight w:val="203"/>
        </w:trPr>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8,418</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5,430</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3,809</w:t>
            </w:r>
          </w:p>
        </w:tc>
        <w:tc>
          <w:tcPr>
            <w:tcW w:w="60" w:type="dxa"/>
            <w:vAlign w:val="bottom"/>
          </w:tcPr>
          <w:p>
            <w:pPr>
              <w:spacing w:after="0"/>
              <w:rPr>
                <w:sz w:val="17"/>
                <w:szCs w:val="17"/>
                <w:color w:val="auto"/>
              </w:rPr>
            </w:pPr>
          </w:p>
        </w:tc>
      </w:tr>
      <w:tr>
        <w:trPr>
          <w:trHeight w:val="203"/>
        </w:trPr>
        <w:tc>
          <w:tcPr>
            <w:tcW w:w="1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(40)</w:t>
            </w: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w:t>
            </w: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w:t>
            </w:r>
          </w:p>
        </w:tc>
      </w:tr>
      <w:tr>
        <w:trPr>
          <w:trHeight w:val="203"/>
        </w:trPr>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60" w:type="dxa"/>
            <w:vAlign w:val="bottom"/>
          </w:tcPr>
          <w:p>
            <w:pPr>
              <w:spacing w:after="0"/>
              <w:rPr>
                <w:sz w:val="17"/>
                <w:szCs w:val="17"/>
                <w:color w:val="auto"/>
              </w:rPr>
            </w:pPr>
          </w:p>
        </w:tc>
      </w:tr>
      <w:tr>
        <w:trPr>
          <w:trHeight w:val="221"/>
        </w:trPr>
        <w:tc>
          <w:tcPr>
            <w:tcW w:w="10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(205)</w:t>
            </w:r>
          </w:p>
        </w:tc>
        <w:tc>
          <w:tcPr>
            <w:tcW w:w="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0"/>
        </w:trPr>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3,091</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(1,631)</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(1,115)</w:t>
            </w:r>
          </w:p>
        </w:tc>
      </w:tr>
      <w:tr>
        <w:trPr>
          <w:trHeight w:val="461"/>
        </w:trPr>
        <w:tc>
          <w:tcPr>
            <w:tcW w:w="100" w:type="dxa"/>
            <w:vAlign w:val="bottom"/>
          </w:tcPr>
          <w:p>
            <w:pPr>
              <w:spacing w:after="0"/>
              <w:rPr>
                <w:sz w:val="24"/>
                <w:szCs w:val="24"/>
                <w:color w:val="auto"/>
              </w:rPr>
            </w:pPr>
          </w:p>
        </w:tc>
        <w:tc>
          <w:tcPr>
            <w:tcW w:w="90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03"/>
        </w:trPr>
        <w:tc>
          <w:tcPr>
            <w:tcW w:w="1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(586)</w:t>
            </w: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w:t>
            </w: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(435)</w:t>
            </w:r>
          </w:p>
        </w:tc>
      </w:tr>
      <w:tr>
        <w:trPr>
          <w:trHeight w:val="203"/>
        </w:trPr>
        <w:tc>
          <w:tcPr>
            <w:tcW w:w="1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(199)</w:t>
            </w: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(173)</w:t>
            </w: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(154)</w:t>
            </w:r>
          </w:p>
        </w:tc>
      </w:tr>
      <w:tr>
        <w:trPr>
          <w:trHeight w:val="203"/>
        </w:trPr>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419</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461</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192</w:t>
            </w:r>
          </w:p>
        </w:tc>
        <w:tc>
          <w:tcPr>
            <w:tcW w:w="60" w:type="dxa"/>
            <w:vAlign w:val="bottom"/>
          </w:tcPr>
          <w:p>
            <w:pPr>
              <w:spacing w:after="0"/>
              <w:rPr>
                <w:sz w:val="17"/>
                <w:szCs w:val="17"/>
                <w:color w:val="auto"/>
              </w:rPr>
            </w:pPr>
          </w:p>
        </w:tc>
      </w:tr>
      <w:tr>
        <w:trPr>
          <w:trHeight w:val="203"/>
        </w:trPr>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100</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c>
          <w:tcPr>
            <w:tcW w:w="18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21"/>
        </w:trPr>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(5,302)</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(4,151)</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(753)</w:t>
            </w:r>
          </w:p>
        </w:tc>
      </w:tr>
      <w:tr>
        <w:trPr>
          <w:trHeight w:val="20"/>
        </w:trPr>
        <w:tc>
          <w:tcPr>
            <w:tcW w:w="10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100" w:type="dxa"/>
            <w:vAlign w:val="bottom"/>
            <w:shd w:val="clear" w:color="auto" w:fill="E6E7E7"/>
          </w:tcPr>
          <w:p>
            <w:pPr>
              <w:spacing w:after="0"/>
              <w:rPr>
                <w:sz w:val="22"/>
                <w:szCs w:val="22"/>
                <w:color w:val="auto"/>
              </w:rPr>
            </w:pPr>
          </w:p>
        </w:tc>
        <w:tc>
          <w:tcPr>
            <w:tcW w:w="900" w:type="dxa"/>
            <w:vAlign w:val="bottom"/>
            <w:gridSpan w:val="2"/>
            <w:shd w:val="clear" w:color="auto" w:fill="E6E7E7"/>
          </w:tcPr>
          <w:p>
            <w:pPr>
              <w:jc w:val="right"/>
              <w:ind w:right="100"/>
              <w:spacing w:after="0"/>
              <w:rPr>
                <w:sz w:val="20"/>
                <w:szCs w:val="20"/>
                <w:color w:val="auto"/>
              </w:rPr>
            </w:pPr>
            <w:r>
              <w:rPr>
                <w:rFonts w:ascii="Arial" w:cs="Arial" w:eastAsia="Arial" w:hAnsi="Arial"/>
                <w:sz w:val="18"/>
                <w:szCs w:val="18"/>
                <w:b w:val="1"/>
                <w:bCs w:val="1"/>
                <w:color w:val="auto"/>
              </w:rPr>
              <w:t>(5,568)</w:t>
            </w:r>
          </w:p>
        </w:tc>
        <w:tc>
          <w:tcPr>
            <w:tcW w:w="920" w:type="dxa"/>
            <w:vAlign w:val="bottom"/>
            <w:gridSpan w:val="2"/>
            <w:shd w:val="clear" w:color="auto" w:fill="E6E7E7"/>
          </w:tcPr>
          <w:p>
            <w:pPr>
              <w:jc w:val="right"/>
              <w:ind w:right="120"/>
              <w:spacing w:after="0"/>
              <w:rPr>
                <w:sz w:val="20"/>
                <w:szCs w:val="20"/>
                <w:color w:val="auto"/>
              </w:rPr>
            </w:pPr>
            <w:r>
              <w:rPr>
                <w:rFonts w:ascii="Arial" w:cs="Arial" w:eastAsia="Arial" w:hAnsi="Arial"/>
                <w:sz w:val="18"/>
                <w:szCs w:val="18"/>
                <w:color w:val="auto"/>
              </w:rPr>
              <w:t>(3,540)</w:t>
            </w:r>
          </w:p>
        </w:tc>
        <w:tc>
          <w:tcPr>
            <w:tcW w:w="800" w:type="dxa"/>
            <w:vAlign w:val="bottom"/>
            <w:gridSpan w:val="2"/>
            <w:shd w:val="clear" w:color="auto" w:fill="E6E7E7"/>
          </w:tcPr>
          <w:p>
            <w:pPr>
              <w:jc w:val="right"/>
              <w:ind w:right="20"/>
              <w:spacing w:after="0"/>
              <w:rPr>
                <w:sz w:val="20"/>
                <w:szCs w:val="20"/>
                <w:color w:val="auto"/>
              </w:rPr>
            </w:pPr>
            <w:r>
              <w:rPr>
                <w:rFonts w:ascii="Arial" w:cs="Arial" w:eastAsia="Arial" w:hAnsi="Arial"/>
                <w:sz w:val="18"/>
                <w:szCs w:val="18"/>
                <w:color w:val="auto"/>
              </w:rPr>
              <w:t>(1,150)</w:t>
            </w:r>
          </w:p>
        </w:tc>
      </w:tr>
      <w:tr>
        <w:trPr>
          <w:trHeight w:val="461"/>
        </w:trPr>
        <w:tc>
          <w:tcPr>
            <w:tcW w:w="10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60" w:type="dxa"/>
            <w:vAlign w:val="bottom"/>
          </w:tcPr>
          <w:p>
            <w:pPr>
              <w:spacing w:after="0"/>
              <w:rPr>
                <w:sz w:val="24"/>
                <w:szCs w:val="24"/>
                <w:color w:val="auto"/>
              </w:rPr>
            </w:pPr>
          </w:p>
        </w:tc>
      </w:tr>
      <w:tr>
        <w:trPr>
          <w:trHeight w:val="221"/>
        </w:trPr>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r>
        <w:trPr>
          <w:trHeight w:val="210"/>
        </w:trPr>
        <w:tc>
          <w:tcPr>
            <w:tcW w:w="100" w:type="dxa"/>
            <w:vAlign w:val="bottom"/>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(9)</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8"/>
                <w:szCs w:val="18"/>
                <w:color w:val="auto"/>
              </w:rPr>
            </w:pPr>
          </w:p>
        </w:tc>
      </w:tr>
      <w:tr>
        <w:trPr>
          <w:trHeight w:val="277"/>
        </w:trPr>
        <w:tc>
          <w:tcPr>
            <w:tcW w:w="1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100" w:type="dxa"/>
            <w:vAlign w:val="bottom"/>
            <w:shd w:val="clear" w:color="auto" w:fill="E6E7E7"/>
          </w:tcPr>
          <w:p>
            <w:pPr>
              <w:spacing w:after="0"/>
              <w:rPr>
                <w:sz w:val="22"/>
                <w:szCs w:val="22"/>
                <w:color w:val="auto"/>
              </w:rPr>
            </w:pPr>
          </w:p>
        </w:tc>
        <w:tc>
          <w:tcPr>
            <w:tcW w:w="900" w:type="dxa"/>
            <w:vAlign w:val="bottom"/>
            <w:gridSpan w:val="2"/>
            <w:shd w:val="clear" w:color="auto" w:fill="E6E7E7"/>
          </w:tcPr>
          <w:p>
            <w:pPr>
              <w:jc w:val="right"/>
              <w:ind w:right="100"/>
              <w:spacing w:after="0"/>
              <w:rPr>
                <w:sz w:val="20"/>
                <w:szCs w:val="20"/>
                <w:color w:val="auto"/>
              </w:rPr>
            </w:pPr>
            <w:r>
              <w:rPr>
                <w:rFonts w:ascii="Arial" w:cs="Arial" w:eastAsia="Arial" w:hAnsi="Arial"/>
                <w:sz w:val="18"/>
                <w:szCs w:val="18"/>
                <w:b w:val="1"/>
                <w:bCs w:val="1"/>
                <w:color w:val="auto"/>
              </w:rPr>
              <w:t>(31)</w:t>
            </w:r>
          </w:p>
        </w:tc>
        <w:tc>
          <w:tcPr>
            <w:tcW w:w="920" w:type="dxa"/>
            <w:vAlign w:val="bottom"/>
            <w:gridSpan w:val="2"/>
            <w:shd w:val="clear" w:color="auto" w:fill="E6E7E7"/>
          </w:tcPr>
          <w:p>
            <w:pPr>
              <w:jc w:val="right"/>
              <w:ind w:right="120"/>
              <w:spacing w:after="0"/>
              <w:rPr>
                <w:sz w:val="20"/>
                <w:szCs w:val="20"/>
                <w:color w:val="auto"/>
              </w:rPr>
            </w:pPr>
            <w:r>
              <w:rPr>
                <w:rFonts w:ascii="Arial" w:cs="Arial" w:eastAsia="Arial" w:hAnsi="Arial"/>
                <w:sz w:val="18"/>
                <w:szCs w:val="18"/>
                <w:color w:val="auto"/>
              </w:rPr>
              <w:t>(1,449)</w:t>
            </w:r>
          </w:p>
        </w:tc>
        <w:tc>
          <w:tcPr>
            <w:tcW w:w="740" w:type="dxa"/>
            <w:vAlign w:val="bottom"/>
            <w:shd w:val="clear" w:color="auto" w:fill="E6E7E7"/>
          </w:tcPr>
          <w:p>
            <w:pPr>
              <w:jc w:val="right"/>
              <w:spacing w:after="0"/>
              <w:rPr>
                <w:sz w:val="20"/>
                <w:szCs w:val="20"/>
                <w:color w:val="auto"/>
              </w:rPr>
            </w:pPr>
            <w:r>
              <w:rPr>
                <w:rFonts w:ascii="Arial" w:cs="Arial" w:eastAsia="Arial" w:hAnsi="Arial"/>
                <w:sz w:val="18"/>
                <w:szCs w:val="18"/>
                <w:color w:val="auto"/>
              </w:rPr>
              <w:t>850</w:t>
            </w:r>
          </w:p>
        </w:tc>
        <w:tc>
          <w:tcPr>
            <w:tcW w:w="60" w:type="dxa"/>
            <w:vAlign w:val="bottom"/>
            <w:shd w:val="clear" w:color="auto" w:fill="E6E7E7"/>
          </w:tcPr>
          <w:p>
            <w:pPr>
              <w:spacing w:after="0"/>
              <w:rPr>
                <w:sz w:val="22"/>
                <w:szCs w:val="22"/>
                <w:color w:val="auto"/>
              </w:rPr>
            </w:pPr>
          </w:p>
        </w:tc>
      </w:tr>
      <w:tr>
        <w:trPr>
          <w:trHeight w:val="277"/>
        </w:trPr>
        <w:tc>
          <w:tcPr>
            <w:tcW w:w="1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1,214</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60" w:type="dxa"/>
            <w:vAlign w:val="bottom"/>
          </w:tcPr>
          <w:p>
            <w:pPr>
              <w:spacing w:after="0"/>
              <w:rPr>
                <w:sz w:val="24"/>
                <w:szCs w:val="24"/>
                <w:color w:val="auto"/>
              </w:rPr>
            </w:pPr>
          </w:p>
        </w:tc>
      </w:tr>
      <w:tr>
        <w:trPr>
          <w:trHeight w:val="68"/>
        </w:trPr>
        <w:tc>
          <w:tcPr>
            <w:tcW w:w="100" w:type="dxa"/>
            <w:vAlign w:val="bottom"/>
            <w:shd w:val="clear" w:color="auto" w:fill="E6E7E7"/>
          </w:tcPr>
          <w:p>
            <w:pPr>
              <w:spacing w:after="0"/>
              <w:rPr>
                <w:sz w:val="5"/>
                <w:szCs w:val="5"/>
                <w:color w:val="auto"/>
              </w:rPr>
            </w:pPr>
          </w:p>
        </w:tc>
        <w:tc>
          <w:tcPr>
            <w:tcW w:w="740" w:type="dxa"/>
            <w:vAlign w:val="bottom"/>
            <w:shd w:val="clear" w:color="auto" w:fill="E6E7E7"/>
          </w:tcPr>
          <w:p>
            <w:pPr>
              <w:spacing w:after="0"/>
              <w:rPr>
                <w:sz w:val="5"/>
                <w:szCs w:val="5"/>
                <w:color w:val="auto"/>
              </w:rPr>
            </w:pPr>
          </w:p>
        </w:tc>
        <w:tc>
          <w:tcPr>
            <w:tcW w:w="160" w:type="dxa"/>
            <w:vAlign w:val="bottom"/>
            <w:shd w:val="clear" w:color="auto" w:fill="E6E7E7"/>
          </w:tcPr>
          <w:p>
            <w:pPr>
              <w:spacing w:after="0"/>
              <w:rPr>
                <w:sz w:val="5"/>
                <w:szCs w:val="5"/>
                <w:color w:val="auto"/>
              </w:rPr>
            </w:pPr>
          </w:p>
        </w:tc>
        <w:tc>
          <w:tcPr>
            <w:tcW w:w="740" w:type="dxa"/>
            <w:vAlign w:val="bottom"/>
            <w:shd w:val="clear" w:color="auto" w:fill="E6E7E7"/>
          </w:tcPr>
          <w:p>
            <w:pPr>
              <w:spacing w:after="0"/>
              <w:rPr>
                <w:sz w:val="5"/>
                <w:szCs w:val="5"/>
                <w:color w:val="auto"/>
              </w:rPr>
            </w:pPr>
          </w:p>
        </w:tc>
        <w:tc>
          <w:tcPr>
            <w:tcW w:w="180" w:type="dxa"/>
            <w:vAlign w:val="bottom"/>
            <w:shd w:val="clear" w:color="auto" w:fill="E6E7E7"/>
          </w:tcPr>
          <w:p>
            <w:pPr>
              <w:spacing w:after="0"/>
              <w:rPr>
                <w:sz w:val="5"/>
                <w:szCs w:val="5"/>
                <w:color w:val="auto"/>
              </w:rPr>
            </w:pPr>
          </w:p>
        </w:tc>
        <w:tc>
          <w:tcPr>
            <w:tcW w:w="740" w:type="dxa"/>
            <w:vAlign w:val="bottom"/>
            <w:shd w:val="clear" w:color="auto" w:fill="E6E7E7"/>
          </w:tcPr>
          <w:p>
            <w:pPr>
              <w:spacing w:after="0"/>
              <w:rPr>
                <w:sz w:val="5"/>
                <w:szCs w:val="5"/>
                <w:color w:val="auto"/>
              </w:rPr>
            </w:pPr>
          </w:p>
        </w:tc>
        <w:tc>
          <w:tcPr>
            <w:tcW w:w="60" w:type="dxa"/>
            <w:vAlign w:val="bottom"/>
            <w:shd w:val="clear" w:color="auto" w:fill="E6E7E7"/>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724025"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24025" cy="128905"/>
                    </a:xfrm>
                    <a:prstGeom prst="rect">
                      <a:avLst/>
                    </a:prstGeom>
                    <a:noFill/>
                  </pic:spPr>
                </pic:pic>
              </a:graphicData>
            </a:graphic>
          </wp:anchor>
        </w:drawing>
      </w:r>
    </w:p>
    <w:p>
      <w:pPr>
        <w:ind w:left="100"/>
        <w:spacing w:after="0"/>
        <w:tabs>
          <w:tab w:leader="none" w:pos="380" w:val="left"/>
          <w:tab w:leader="none" w:pos="980" w:val="left"/>
          <w:tab w:leader="none" w:pos="1280" w:val="left"/>
          <w:tab w:leader="none" w:pos="1880" w:val="left"/>
          <w:tab w:leader="none" w:pos="2180" w:val="left"/>
        </w:tabs>
        <w:rPr>
          <w:sz w:val="20"/>
          <w:szCs w:val="20"/>
          <w:color w:val="auto"/>
        </w:rPr>
      </w:pPr>
      <w:r>
        <w:rPr>
          <w:rFonts w:ascii="Arial" w:cs="Arial" w:eastAsia="Arial" w:hAnsi="Arial"/>
          <w:sz w:val="18"/>
          <w:szCs w:val="18"/>
          <w:b w:val="1"/>
          <w:bCs w:val="1"/>
          <w:u w:val="single" w:color="auto"/>
          <w:color w:val="auto"/>
        </w:rPr>
        <w:t>$</w:t>
        <w:tab/>
        <w:t>1,183</w:t>
      </w:r>
      <w:r>
        <w:rPr>
          <w:sz w:val="20"/>
          <w:szCs w:val="20"/>
          <w:color w:val="auto"/>
        </w:rPr>
        <w:tab/>
      </w:r>
      <w:r>
        <w:rPr>
          <w:rFonts w:ascii="Arial" w:cs="Arial" w:eastAsia="Arial" w:hAnsi="Arial"/>
          <w:sz w:val="18"/>
          <w:szCs w:val="18"/>
          <w:u w:val="single" w:color="auto"/>
          <w:color w:val="auto"/>
        </w:rPr>
        <w:t>$</w:t>
        <w:tab/>
        <w:t>1,214</w:t>
        <w:tab/>
        <w:t>$</w:t>
      </w:r>
      <w:r>
        <w:rPr>
          <w:sz w:val="20"/>
          <w:szCs w:val="20"/>
          <w:color w:val="auto"/>
        </w:rPr>
        <w:tab/>
      </w:r>
      <w:r>
        <w:rPr>
          <w:rFonts w:ascii="Arial" w:cs="Arial" w:eastAsia="Arial" w:hAnsi="Arial"/>
          <w:sz w:val="16"/>
          <w:szCs w:val="16"/>
          <w:u w:val="single" w:color="auto"/>
          <w:color w:val="auto"/>
        </w:rPr>
        <w:t>2,663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16205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ectPr>
          <w:pgSz w:w="11900" w:h="16838" w:orient="portrait"/>
          <w:cols w:equalWidth="0" w:num="2">
            <w:col w:w="7260" w:space="640"/>
            <w:col w:w="3060"/>
          </w:cols>
          <w:pgMar w:left="700" w:top="287" w:right="239" w:bottom="1440" w:gutter="0" w:footer="0" w:header="0"/>
          <w:type w:val="continuous"/>
        </w:sectPr>
      </w:pPr>
    </w:p>
    <w:bookmarkStart w:id="59" w:name="page60"/>
    <w:bookmarkEnd w:id="59"/>
    <w:p>
      <w:pPr>
        <w:spacing w:after="0"/>
        <w:tabs>
          <w:tab w:leader="none" w:pos="36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w:t>
        <w:tab/>
        <w:t>TEXAS INSTRUMENTS 2006 ANNUAL REPORT</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CONSOLIDATED STATEMENTS OF STOCKHOLDERS’ EQUITY</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(Millions of dollars, except per-share amounts)</w:t>
      </w:r>
    </w:p>
    <w:p>
      <w:pPr>
        <w:spacing w:after="0" w:line="166"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340" w:type="dxa"/>
            <w:vAlign w:val="bottom"/>
            <w:shd w:val="clear" w:color="auto" w:fill="939598"/>
          </w:tcPr>
          <w:p>
            <w:pPr>
              <w:spacing w:after="0"/>
              <w:rPr>
                <w:sz w:val="14"/>
                <w:szCs w:val="14"/>
                <w:color w:val="auto"/>
              </w:rPr>
            </w:pPr>
          </w:p>
        </w:tc>
        <w:tc>
          <w:tcPr>
            <w:tcW w:w="140" w:type="dxa"/>
            <w:vAlign w:val="bottom"/>
            <w:shd w:val="clear" w:color="auto" w:fill="939598"/>
          </w:tcPr>
          <w:p>
            <w:pPr>
              <w:spacing w:after="0"/>
              <w:rPr>
                <w:sz w:val="14"/>
                <w:szCs w:val="14"/>
                <w:color w:val="auto"/>
              </w:rPr>
            </w:pPr>
          </w:p>
        </w:tc>
        <w:tc>
          <w:tcPr>
            <w:tcW w:w="700" w:type="dxa"/>
            <w:vAlign w:val="bottom"/>
            <w:shd w:val="clear" w:color="auto" w:fill="939598"/>
          </w:tcPr>
          <w:p>
            <w:pPr>
              <w:spacing w:after="0"/>
              <w:rPr>
                <w:sz w:val="14"/>
                <w:szCs w:val="14"/>
                <w:color w:val="auto"/>
              </w:rPr>
            </w:pPr>
          </w:p>
        </w:tc>
        <w:tc>
          <w:tcPr>
            <w:tcW w:w="740" w:type="dxa"/>
            <w:vAlign w:val="bottom"/>
            <w:shd w:val="clear" w:color="auto" w:fill="939598"/>
          </w:tcPr>
          <w:p>
            <w:pPr>
              <w:spacing w:after="0"/>
              <w:rPr>
                <w:sz w:val="14"/>
                <w:szCs w:val="14"/>
                <w:color w:val="auto"/>
              </w:rPr>
            </w:pPr>
          </w:p>
        </w:tc>
        <w:tc>
          <w:tcPr>
            <w:tcW w:w="220" w:type="dxa"/>
            <w:vAlign w:val="bottom"/>
            <w:shd w:val="clear" w:color="auto" w:fill="939598"/>
          </w:tcPr>
          <w:p>
            <w:pPr>
              <w:spacing w:after="0"/>
              <w:rPr>
                <w:sz w:val="14"/>
                <w:szCs w:val="14"/>
                <w:color w:val="auto"/>
              </w:rPr>
            </w:pPr>
          </w:p>
        </w:tc>
        <w:tc>
          <w:tcPr>
            <w:tcW w:w="700" w:type="dxa"/>
            <w:vAlign w:val="bottom"/>
            <w:shd w:val="clear" w:color="auto" w:fill="939598"/>
          </w:tcPr>
          <w:p>
            <w:pPr>
              <w:spacing w:after="0"/>
              <w:rPr>
                <w:sz w:val="14"/>
                <w:szCs w:val="14"/>
                <w:color w:val="auto"/>
              </w:rPr>
            </w:pPr>
          </w:p>
        </w:tc>
        <w:tc>
          <w:tcPr>
            <w:tcW w:w="220" w:type="dxa"/>
            <w:vAlign w:val="bottom"/>
            <w:shd w:val="clear" w:color="auto" w:fill="939598"/>
          </w:tcPr>
          <w:p>
            <w:pPr>
              <w:spacing w:after="0"/>
              <w:rPr>
                <w:sz w:val="14"/>
                <w:szCs w:val="14"/>
                <w:color w:val="auto"/>
              </w:rPr>
            </w:pPr>
          </w:p>
        </w:tc>
        <w:tc>
          <w:tcPr>
            <w:tcW w:w="660" w:type="dxa"/>
            <w:vAlign w:val="bottom"/>
            <w:shd w:val="clear" w:color="auto" w:fill="939598"/>
          </w:tcPr>
          <w:p>
            <w:pPr>
              <w:spacing w:after="0"/>
              <w:rPr>
                <w:sz w:val="14"/>
                <w:szCs w:val="14"/>
                <w:color w:val="auto"/>
              </w:rPr>
            </w:pPr>
          </w:p>
        </w:tc>
        <w:tc>
          <w:tcPr>
            <w:tcW w:w="1300" w:type="dxa"/>
            <w:vAlign w:val="bottom"/>
            <w:gridSpan w:val="2"/>
            <w:shd w:val="clear" w:color="auto" w:fill="939598"/>
          </w:tcPr>
          <w:p>
            <w:pPr>
              <w:jc w:val="center"/>
              <w:spacing w:after="0"/>
              <w:rPr>
                <w:sz w:val="20"/>
                <w:szCs w:val="20"/>
                <w:color w:val="auto"/>
              </w:rPr>
            </w:pPr>
            <w:r>
              <w:rPr>
                <w:rFonts w:ascii="Arial" w:cs="Arial" w:eastAsia="Arial" w:hAnsi="Arial"/>
                <w:sz w:val="14"/>
                <w:szCs w:val="14"/>
                <w:b w:val="1"/>
                <w:bCs w:val="1"/>
                <w:color w:val="FFFFFF"/>
                <w:w w:val="95"/>
              </w:rPr>
              <w:t>Accumulated</w:t>
            </w:r>
          </w:p>
        </w:tc>
        <w:tc>
          <w:tcPr>
            <w:tcW w:w="240" w:type="dxa"/>
            <w:vAlign w:val="bottom"/>
            <w:shd w:val="clear" w:color="auto" w:fill="939598"/>
          </w:tcPr>
          <w:p>
            <w:pPr>
              <w:spacing w:after="0"/>
              <w:rPr>
                <w:sz w:val="14"/>
                <w:szCs w:val="14"/>
                <w:color w:val="auto"/>
              </w:rPr>
            </w:pPr>
          </w:p>
        </w:tc>
        <w:tc>
          <w:tcPr>
            <w:tcW w:w="820" w:type="dxa"/>
            <w:vAlign w:val="bottom"/>
            <w:shd w:val="clear" w:color="auto" w:fill="939598"/>
          </w:tcPr>
          <w:p>
            <w:pPr>
              <w:spacing w:after="0"/>
              <w:rPr>
                <w:sz w:val="14"/>
                <w:szCs w:val="14"/>
                <w:color w:val="auto"/>
              </w:rPr>
            </w:pPr>
          </w:p>
        </w:tc>
        <w:tc>
          <w:tcPr>
            <w:tcW w:w="640" w:type="dxa"/>
            <w:vAlign w:val="bottom"/>
            <w:shd w:val="clear" w:color="auto" w:fill="939598"/>
          </w:tcPr>
          <w:p>
            <w:pPr>
              <w:spacing w:after="0"/>
              <w:rPr>
                <w:sz w:val="14"/>
                <w:szCs w:val="14"/>
                <w:color w:val="auto"/>
              </w:rPr>
            </w:pPr>
          </w:p>
        </w:tc>
      </w:tr>
      <w:tr>
        <w:trPr>
          <w:trHeight w:val="149"/>
        </w:trPr>
        <w:tc>
          <w:tcPr>
            <w:tcW w:w="4340" w:type="dxa"/>
            <w:vAlign w:val="bottom"/>
            <w:shd w:val="clear" w:color="auto" w:fill="939598"/>
          </w:tcPr>
          <w:p>
            <w:pPr>
              <w:spacing w:after="0"/>
              <w:rPr>
                <w:sz w:val="12"/>
                <w:szCs w:val="12"/>
                <w:color w:val="auto"/>
              </w:rPr>
            </w:pPr>
          </w:p>
        </w:tc>
        <w:tc>
          <w:tcPr>
            <w:tcW w:w="140" w:type="dxa"/>
            <w:vAlign w:val="bottom"/>
            <w:shd w:val="clear" w:color="auto" w:fill="939598"/>
          </w:tcPr>
          <w:p>
            <w:pPr>
              <w:spacing w:after="0"/>
              <w:rPr>
                <w:sz w:val="12"/>
                <w:szCs w:val="12"/>
                <w:color w:val="auto"/>
              </w:rPr>
            </w:pPr>
          </w:p>
        </w:tc>
        <w:tc>
          <w:tcPr>
            <w:tcW w:w="700" w:type="dxa"/>
            <w:vAlign w:val="bottom"/>
            <w:shd w:val="clear" w:color="auto" w:fill="939598"/>
          </w:tcPr>
          <w:p>
            <w:pPr>
              <w:spacing w:after="0"/>
              <w:rPr>
                <w:sz w:val="12"/>
                <w:szCs w:val="12"/>
                <w:color w:val="auto"/>
              </w:rPr>
            </w:pPr>
          </w:p>
        </w:tc>
        <w:tc>
          <w:tcPr>
            <w:tcW w:w="740" w:type="dxa"/>
            <w:vAlign w:val="bottom"/>
            <w:shd w:val="clear" w:color="auto" w:fill="939598"/>
          </w:tcPr>
          <w:p>
            <w:pPr>
              <w:spacing w:after="0"/>
              <w:rPr>
                <w:sz w:val="12"/>
                <w:szCs w:val="12"/>
                <w:color w:val="auto"/>
              </w:rPr>
            </w:pPr>
          </w:p>
        </w:tc>
        <w:tc>
          <w:tcPr>
            <w:tcW w:w="220" w:type="dxa"/>
            <w:vAlign w:val="bottom"/>
            <w:shd w:val="clear" w:color="auto" w:fill="939598"/>
          </w:tcPr>
          <w:p>
            <w:pPr>
              <w:spacing w:after="0"/>
              <w:rPr>
                <w:sz w:val="12"/>
                <w:szCs w:val="12"/>
                <w:color w:val="auto"/>
              </w:rPr>
            </w:pPr>
          </w:p>
        </w:tc>
        <w:tc>
          <w:tcPr>
            <w:tcW w:w="700" w:type="dxa"/>
            <w:vAlign w:val="bottom"/>
            <w:shd w:val="clear" w:color="auto" w:fill="939598"/>
          </w:tcPr>
          <w:p>
            <w:pPr>
              <w:spacing w:after="0"/>
              <w:rPr>
                <w:sz w:val="12"/>
                <w:szCs w:val="12"/>
                <w:color w:val="auto"/>
              </w:rPr>
            </w:pPr>
          </w:p>
        </w:tc>
        <w:tc>
          <w:tcPr>
            <w:tcW w:w="880" w:type="dxa"/>
            <w:vAlign w:val="bottom"/>
            <w:gridSpan w:val="2"/>
            <w:shd w:val="clear" w:color="auto" w:fill="939598"/>
          </w:tcPr>
          <w:p>
            <w:pPr>
              <w:ind w:left="140"/>
              <w:spacing w:after="0" w:line="149" w:lineRule="exact"/>
              <w:rPr>
                <w:sz w:val="20"/>
                <w:szCs w:val="20"/>
                <w:color w:val="auto"/>
              </w:rPr>
            </w:pPr>
            <w:r>
              <w:rPr>
                <w:rFonts w:ascii="Arial" w:cs="Arial" w:eastAsia="Arial" w:hAnsi="Arial"/>
                <w:sz w:val="14"/>
                <w:szCs w:val="14"/>
                <w:b w:val="1"/>
                <w:bCs w:val="1"/>
                <w:color w:val="FFFFFF"/>
              </w:rPr>
              <w:t>Treasury</w:t>
            </w:r>
          </w:p>
        </w:tc>
        <w:tc>
          <w:tcPr>
            <w:tcW w:w="320" w:type="dxa"/>
            <w:vAlign w:val="bottom"/>
            <w:shd w:val="clear" w:color="auto" w:fill="939598"/>
          </w:tcPr>
          <w:p>
            <w:pPr>
              <w:spacing w:after="0"/>
              <w:rPr>
                <w:sz w:val="12"/>
                <w:szCs w:val="12"/>
                <w:color w:val="auto"/>
              </w:rPr>
            </w:pPr>
          </w:p>
        </w:tc>
        <w:tc>
          <w:tcPr>
            <w:tcW w:w="980" w:type="dxa"/>
            <w:vAlign w:val="bottom"/>
            <w:shd w:val="clear" w:color="auto" w:fill="939598"/>
          </w:tcPr>
          <w:p>
            <w:pPr>
              <w:jc w:val="center"/>
              <w:ind w:right="293"/>
              <w:spacing w:after="0" w:line="149" w:lineRule="exact"/>
              <w:rPr>
                <w:sz w:val="20"/>
                <w:szCs w:val="20"/>
                <w:color w:val="auto"/>
              </w:rPr>
            </w:pPr>
            <w:r>
              <w:rPr>
                <w:rFonts w:ascii="Arial" w:cs="Arial" w:eastAsia="Arial" w:hAnsi="Arial"/>
                <w:sz w:val="14"/>
                <w:szCs w:val="14"/>
                <w:b w:val="1"/>
                <w:bCs w:val="1"/>
                <w:color w:val="FFFFFF"/>
                <w:w w:val="96"/>
              </w:rPr>
              <w:t>Other</w:t>
            </w:r>
          </w:p>
        </w:tc>
        <w:tc>
          <w:tcPr>
            <w:tcW w:w="240" w:type="dxa"/>
            <w:vAlign w:val="bottom"/>
            <w:shd w:val="clear" w:color="auto" w:fill="939598"/>
          </w:tcPr>
          <w:p>
            <w:pPr>
              <w:spacing w:after="0"/>
              <w:rPr>
                <w:sz w:val="12"/>
                <w:szCs w:val="12"/>
                <w:color w:val="auto"/>
              </w:rPr>
            </w:pPr>
          </w:p>
        </w:tc>
        <w:tc>
          <w:tcPr>
            <w:tcW w:w="820" w:type="dxa"/>
            <w:vAlign w:val="bottom"/>
            <w:shd w:val="clear" w:color="auto" w:fill="939598"/>
          </w:tcPr>
          <w:p>
            <w:pPr>
              <w:spacing w:after="0"/>
              <w:rPr>
                <w:sz w:val="12"/>
                <w:szCs w:val="12"/>
                <w:color w:val="auto"/>
              </w:rPr>
            </w:pPr>
          </w:p>
        </w:tc>
        <w:tc>
          <w:tcPr>
            <w:tcW w:w="640" w:type="dxa"/>
            <w:vAlign w:val="bottom"/>
            <w:shd w:val="clear" w:color="auto" w:fill="939598"/>
          </w:tcPr>
          <w:p>
            <w:pPr>
              <w:spacing w:after="0"/>
              <w:rPr>
                <w:sz w:val="12"/>
                <w:szCs w:val="12"/>
                <w:color w:val="auto"/>
              </w:rPr>
            </w:pPr>
          </w:p>
        </w:tc>
      </w:tr>
      <w:tr>
        <w:trPr>
          <w:trHeight w:val="149"/>
        </w:trPr>
        <w:tc>
          <w:tcPr>
            <w:tcW w:w="4340" w:type="dxa"/>
            <w:vAlign w:val="bottom"/>
            <w:shd w:val="clear" w:color="auto" w:fill="939598"/>
          </w:tcPr>
          <w:p>
            <w:pPr>
              <w:spacing w:after="0"/>
              <w:rPr>
                <w:sz w:val="12"/>
                <w:szCs w:val="12"/>
                <w:color w:val="auto"/>
              </w:rPr>
            </w:pPr>
          </w:p>
        </w:tc>
        <w:tc>
          <w:tcPr>
            <w:tcW w:w="840" w:type="dxa"/>
            <w:vAlign w:val="bottom"/>
            <w:gridSpan w:val="2"/>
            <w:shd w:val="clear" w:color="auto" w:fill="939598"/>
          </w:tcPr>
          <w:p>
            <w:pPr>
              <w:jc w:val="right"/>
              <w:ind w:right="33"/>
              <w:spacing w:after="0" w:line="149" w:lineRule="exact"/>
              <w:rPr>
                <w:sz w:val="20"/>
                <w:szCs w:val="20"/>
                <w:color w:val="auto"/>
              </w:rPr>
            </w:pPr>
            <w:r>
              <w:rPr>
                <w:rFonts w:ascii="Arial" w:cs="Arial" w:eastAsia="Arial" w:hAnsi="Arial"/>
                <w:sz w:val="14"/>
                <w:szCs w:val="14"/>
                <w:b w:val="1"/>
                <w:bCs w:val="1"/>
                <w:color w:val="FFFFFF"/>
              </w:rPr>
              <w:t>Common</w:t>
            </w:r>
          </w:p>
        </w:tc>
        <w:tc>
          <w:tcPr>
            <w:tcW w:w="740" w:type="dxa"/>
            <w:vAlign w:val="bottom"/>
            <w:shd w:val="clear" w:color="auto" w:fill="939598"/>
          </w:tcPr>
          <w:p>
            <w:pPr>
              <w:jc w:val="right"/>
              <w:ind w:right="93"/>
              <w:spacing w:after="0" w:line="149" w:lineRule="exact"/>
              <w:rPr>
                <w:sz w:val="20"/>
                <w:szCs w:val="20"/>
                <w:color w:val="auto"/>
              </w:rPr>
            </w:pPr>
            <w:r>
              <w:rPr>
                <w:rFonts w:ascii="Arial" w:cs="Arial" w:eastAsia="Arial" w:hAnsi="Arial"/>
                <w:sz w:val="14"/>
                <w:szCs w:val="14"/>
                <w:b w:val="1"/>
                <w:bCs w:val="1"/>
                <w:color w:val="FFFFFF"/>
              </w:rPr>
              <w:t>Paid-in</w:t>
            </w:r>
          </w:p>
        </w:tc>
        <w:tc>
          <w:tcPr>
            <w:tcW w:w="920" w:type="dxa"/>
            <w:vAlign w:val="bottom"/>
            <w:gridSpan w:val="2"/>
            <w:shd w:val="clear" w:color="auto" w:fill="939598"/>
          </w:tcPr>
          <w:p>
            <w:pPr>
              <w:jc w:val="right"/>
              <w:ind w:right="112"/>
              <w:spacing w:after="0" w:line="149" w:lineRule="exact"/>
              <w:rPr>
                <w:sz w:val="20"/>
                <w:szCs w:val="20"/>
                <w:color w:val="auto"/>
              </w:rPr>
            </w:pPr>
            <w:r>
              <w:rPr>
                <w:rFonts w:ascii="Arial" w:cs="Arial" w:eastAsia="Arial" w:hAnsi="Arial"/>
                <w:sz w:val="14"/>
                <w:szCs w:val="14"/>
                <w:b w:val="1"/>
                <w:bCs w:val="1"/>
                <w:color w:val="FFFFFF"/>
              </w:rPr>
              <w:t>Retained</w:t>
            </w:r>
          </w:p>
        </w:tc>
        <w:tc>
          <w:tcPr>
            <w:tcW w:w="880" w:type="dxa"/>
            <w:vAlign w:val="bottom"/>
            <w:gridSpan w:val="2"/>
            <w:shd w:val="clear" w:color="auto" w:fill="939598"/>
          </w:tcPr>
          <w:p>
            <w:pPr>
              <w:ind w:left="120"/>
              <w:spacing w:after="0" w:line="149" w:lineRule="exact"/>
              <w:rPr>
                <w:sz w:val="20"/>
                <w:szCs w:val="20"/>
                <w:color w:val="auto"/>
              </w:rPr>
            </w:pPr>
            <w:r>
              <w:rPr>
                <w:rFonts w:ascii="Arial" w:cs="Arial" w:eastAsia="Arial" w:hAnsi="Arial"/>
                <w:sz w:val="14"/>
                <w:szCs w:val="14"/>
                <w:b w:val="1"/>
                <w:bCs w:val="1"/>
                <w:color w:val="FFFFFF"/>
              </w:rPr>
              <w:t>Common</w:t>
            </w:r>
          </w:p>
        </w:tc>
        <w:tc>
          <w:tcPr>
            <w:tcW w:w="1300" w:type="dxa"/>
            <w:vAlign w:val="bottom"/>
            <w:gridSpan w:val="2"/>
            <w:shd w:val="clear" w:color="auto" w:fill="939598"/>
          </w:tcPr>
          <w:p>
            <w:pPr>
              <w:jc w:val="center"/>
              <w:spacing w:after="0" w:line="149" w:lineRule="exact"/>
              <w:rPr>
                <w:sz w:val="20"/>
                <w:szCs w:val="20"/>
                <w:color w:val="auto"/>
              </w:rPr>
            </w:pPr>
            <w:r>
              <w:rPr>
                <w:rFonts w:ascii="Arial" w:cs="Arial" w:eastAsia="Arial" w:hAnsi="Arial"/>
                <w:sz w:val="14"/>
                <w:szCs w:val="14"/>
                <w:b w:val="1"/>
                <w:bCs w:val="1"/>
                <w:color w:val="FFFFFF"/>
                <w:w w:val="95"/>
              </w:rPr>
              <w:t>Comprehensive</w:t>
            </w:r>
          </w:p>
        </w:tc>
        <w:tc>
          <w:tcPr>
            <w:tcW w:w="240" w:type="dxa"/>
            <w:vAlign w:val="bottom"/>
            <w:shd w:val="clear" w:color="auto" w:fill="939598"/>
          </w:tcPr>
          <w:p>
            <w:pPr>
              <w:spacing w:after="0"/>
              <w:rPr>
                <w:sz w:val="12"/>
                <w:szCs w:val="12"/>
                <w:color w:val="auto"/>
              </w:rPr>
            </w:pPr>
          </w:p>
        </w:tc>
        <w:tc>
          <w:tcPr>
            <w:tcW w:w="1460" w:type="dxa"/>
            <w:vAlign w:val="bottom"/>
            <w:gridSpan w:val="2"/>
            <w:shd w:val="clear" w:color="auto" w:fill="939598"/>
          </w:tcPr>
          <w:p>
            <w:pPr>
              <w:jc w:val="right"/>
              <w:ind w:right="820"/>
              <w:spacing w:after="0" w:line="149" w:lineRule="exact"/>
              <w:rPr>
                <w:sz w:val="20"/>
                <w:szCs w:val="20"/>
                <w:color w:val="auto"/>
              </w:rPr>
            </w:pPr>
            <w:r>
              <w:rPr>
                <w:rFonts w:ascii="Arial" w:cs="Arial" w:eastAsia="Arial" w:hAnsi="Arial"/>
                <w:sz w:val="14"/>
                <w:szCs w:val="14"/>
                <w:b w:val="1"/>
                <w:bCs w:val="1"/>
                <w:color w:val="FFFFFF"/>
                <w:w w:val="95"/>
              </w:rPr>
              <w:t>Unearned</w:t>
            </w:r>
          </w:p>
        </w:tc>
      </w:tr>
      <w:tr>
        <w:trPr>
          <w:trHeight w:val="165"/>
        </w:trPr>
        <w:tc>
          <w:tcPr>
            <w:tcW w:w="4340" w:type="dxa"/>
            <w:vAlign w:val="bottom"/>
            <w:shd w:val="clear" w:color="auto" w:fill="939598"/>
          </w:tcPr>
          <w:p>
            <w:pPr>
              <w:spacing w:after="0"/>
              <w:rPr>
                <w:sz w:val="14"/>
                <w:szCs w:val="14"/>
                <w:color w:val="auto"/>
              </w:rPr>
            </w:pPr>
          </w:p>
        </w:tc>
        <w:tc>
          <w:tcPr>
            <w:tcW w:w="140" w:type="dxa"/>
            <w:vAlign w:val="bottom"/>
            <w:shd w:val="clear" w:color="auto" w:fill="939598"/>
          </w:tcPr>
          <w:p>
            <w:pPr>
              <w:spacing w:after="0"/>
              <w:rPr>
                <w:sz w:val="14"/>
                <w:szCs w:val="14"/>
                <w:color w:val="auto"/>
              </w:rPr>
            </w:pPr>
          </w:p>
        </w:tc>
        <w:tc>
          <w:tcPr>
            <w:tcW w:w="700" w:type="dxa"/>
            <w:vAlign w:val="bottom"/>
            <w:shd w:val="clear" w:color="auto" w:fill="939598"/>
          </w:tcPr>
          <w:p>
            <w:pPr>
              <w:jc w:val="right"/>
              <w:ind w:right="133"/>
              <w:spacing w:after="0"/>
              <w:rPr>
                <w:sz w:val="20"/>
                <w:szCs w:val="20"/>
                <w:color w:val="auto"/>
              </w:rPr>
            </w:pPr>
            <w:r>
              <w:rPr>
                <w:rFonts w:ascii="Arial" w:cs="Arial" w:eastAsia="Arial" w:hAnsi="Arial"/>
                <w:sz w:val="14"/>
                <w:szCs w:val="14"/>
                <w:b w:val="1"/>
                <w:bCs w:val="1"/>
                <w:color w:val="FFFFFF"/>
              </w:rPr>
              <w:t>Stock</w:t>
            </w:r>
          </w:p>
        </w:tc>
        <w:tc>
          <w:tcPr>
            <w:tcW w:w="740" w:type="dxa"/>
            <w:vAlign w:val="bottom"/>
            <w:shd w:val="clear" w:color="auto" w:fill="939598"/>
          </w:tcPr>
          <w:p>
            <w:pPr>
              <w:jc w:val="right"/>
              <w:ind w:right="93"/>
              <w:spacing w:after="0"/>
              <w:rPr>
                <w:sz w:val="20"/>
                <w:szCs w:val="20"/>
                <w:color w:val="auto"/>
              </w:rPr>
            </w:pPr>
            <w:r>
              <w:rPr>
                <w:rFonts w:ascii="Arial" w:cs="Arial" w:eastAsia="Arial" w:hAnsi="Arial"/>
                <w:sz w:val="14"/>
                <w:szCs w:val="14"/>
                <w:b w:val="1"/>
                <w:bCs w:val="1"/>
                <w:color w:val="FFFFFF"/>
              </w:rPr>
              <w:t>Capital</w:t>
            </w:r>
          </w:p>
        </w:tc>
        <w:tc>
          <w:tcPr>
            <w:tcW w:w="920" w:type="dxa"/>
            <w:vAlign w:val="bottom"/>
            <w:gridSpan w:val="2"/>
            <w:shd w:val="clear" w:color="auto" w:fill="939598"/>
          </w:tcPr>
          <w:p>
            <w:pPr>
              <w:jc w:val="right"/>
              <w:ind w:right="112"/>
              <w:spacing w:after="0"/>
              <w:rPr>
                <w:sz w:val="20"/>
                <w:szCs w:val="20"/>
                <w:color w:val="auto"/>
              </w:rPr>
            </w:pPr>
            <w:r>
              <w:rPr>
                <w:rFonts w:ascii="Arial" w:cs="Arial" w:eastAsia="Arial" w:hAnsi="Arial"/>
                <w:sz w:val="14"/>
                <w:szCs w:val="14"/>
                <w:b w:val="1"/>
                <w:bCs w:val="1"/>
                <w:color w:val="FFFFFF"/>
              </w:rPr>
              <w:t>Earnings</w:t>
            </w:r>
          </w:p>
        </w:tc>
        <w:tc>
          <w:tcPr>
            <w:tcW w:w="220" w:type="dxa"/>
            <w:vAlign w:val="bottom"/>
            <w:shd w:val="clear" w:color="auto" w:fill="939598"/>
          </w:tcPr>
          <w:p>
            <w:pPr>
              <w:spacing w:after="0"/>
              <w:rPr>
                <w:sz w:val="14"/>
                <w:szCs w:val="14"/>
                <w:color w:val="auto"/>
              </w:rPr>
            </w:pPr>
          </w:p>
        </w:tc>
        <w:tc>
          <w:tcPr>
            <w:tcW w:w="660" w:type="dxa"/>
            <w:vAlign w:val="bottom"/>
            <w:shd w:val="clear" w:color="auto" w:fill="939598"/>
          </w:tcPr>
          <w:p>
            <w:pPr>
              <w:jc w:val="right"/>
              <w:ind w:right="193"/>
              <w:spacing w:after="0"/>
              <w:rPr>
                <w:sz w:val="20"/>
                <w:szCs w:val="20"/>
                <w:color w:val="auto"/>
              </w:rPr>
            </w:pPr>
            <w:r>
              <w:rPr>
                <w:rFonts w:ascii="Arial" w:cs="Arial" w:eastAsia="Arial" w:hAnsi="Arial"/>
                <w:sz w:val="14"/>
                <w:szCs w:val="14"/>
                <w:b w:val="1"/>
                <w:bCs w:val="1"/>
                <w:color w:val="FFFFFF"/>
                <w:w w:val="94"/>
              </w:rPr>
              <w:t>Stock</w:t>
            </w:r>
          </w:p>
        </w:tc>
        <w:tc>
          <w:tcPr>
            <w:tcW w:w="1300" w:type="dxa"/>
            <w:vAlign w:val="bottom"/>
            <w:gridSpan w:val="2"/>
            <w:shd w:val="clear" w:color="auto" w:fill="939598"/>
          </w:tcPr>
          <w:p>
            <w:pPr>
              <w:jc w:val="center"/>
              <w:spacing w:after="0"/>
              <w:rPr>
                <w:sz w:val="20"/>
                <w:szCs w:val="20"/>
                <w:color w:val="auto"/>
              </w:rPr>
            </w:pPr>
            <w:r>
              <w:rPr>
                <w:rFonts w:ascii="Arial" w:cs="Arial" w:eastAsia="Arial" w:hAnsi="Arial"/>
                <w:sz w:val="14"/>
                <w:szCs w:val="14"/>
                <w:b w:val="1"/>
                <w:bCs w:val="1"/>
                <w:color w:val="FFFFFF"/>
                <w:w w:val="96"/>
              </w:rPr>
              <w:t>Income (Loss)</w:t>
            </w:r>
          </w:p>
        </w:tc>
        <w:tc>
          <w:tcPr>
            <w:tcW w:w="1700" w:type="dxa"/>
            <w:vAlign w:val="bottom"/>
            <w:gridSpan w:val="3"/>
            <w:shd w:val="clear" w:color="auto" w:fill="939598"/>
          </w:tcPr>
          <w:p>
            <w:pPr>
              <w:ind w:left="100"/>
              <w:spacing w:after="0"/>
              <w:rPr>
                <w:sz w:val="20"/>
                <w:szCs w:val="20"/>
                <w:color w:val="auto"/>
              </w:rPr>
            </w:pPr>
            <w:r>
              <w:rPr>
                <w:rFonts w:ascii="Arial" w:cs="Arial" w:eastAsia="Arial" w:hAnsi="Arial"/>
                <w:sz w:val="14"/>
                <w:szCs w:val="14"/>
                <w:b w:val="1"/>
                <w:bCs w:val="1"/>
                <w:color w:val="FFFFFF"/>
              </w:rPr>
              <w:t>Compensation</w:t>
            </w:r>
          </w:p>
        </w:tc>
      </w:tr>
      <w:tr>
        <w:trPr>
          <w:trHeight w:val="277"/>
        </w:trPr>
        <w:tc>
          <w:tcPr>
            <w:tcW w:w="4340" w:type="dxa"/>
            <w:vAlign w:val="bottom"/>
          </w:tcPr>
          <w:p>
            <w:pPr>
              <w:ind w:left="200"/>
              <w:spacing w:after="0"/>
              <w:rPr>
                <w:sz w:val="20"/>
                <w:szCs w:val="20"/>
                <w:color w:val="auto"/>
              </w:rPr>
            </w:pPr>
            <w:r>
              <w:rPr>
                <w:rFonts w:ascii="Arial" w:cs="Arial" w:eastAsia="Arial" w:hAnsi="Arial"/>
                <w:sz w:val="18"/>
                <w:szCs w:val="18"/>
                <w:color w:val="auto"/>
              </w:rPr>
              <w:t>Balance, December 31, 2003</w:t>
            </w:r>
          </w:p>
        </w:tc>
        <w:tc>
          <w:tcPr>
            <w:tcW w:w="840" w:type="dxa"/>
            <w:vAlign w:val="bottom"/>
            <w:gridSpan w:val="2"/>
          </w:tcPr>
          <w:p>
            <w:pPr>
              <w:jc w:val="right"/>
              <w:ind w:right="13"/>
              <w:spacing w:after="0"/>
              <w:rPr>
                <w:sz w:val="20"/>
                <w:szCs w:val="20"/>
                <w:color w:val="auto"/>
              </w:rPr>
            </w:pPr>
            <w:r>
              <w:rPr>
                <w:rFonts w:ascii="Arial" w:cs="Arial" w:eastAsia="Arial" w:hAnsi="Arial"/>
                <w:sz w:val="18"/>
                <w:szCs w:val="18"/>
                <w:color w:val="auto"/>
              </w:rPr>
              <w:t>$ 1,738</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$ 901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9,535</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(135)</w:t>
            </w:r>
          </w:p>
        </w:tc>
        <w:tc>
          <w:tcPr>
            <w:tcW w:w="320" w:type="dxa"/>
            <w:vAlign w:val="bottom"/>
          </w:tcPr>
          <w:p>
            <w:pPr>
              <w:jc w:val="right"/>
              <w:ind w:right="44"/>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(159)</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(16)</w:t>
            </w:r>
          </w:p>
        </w:tc>
      </w:tr>
      <w:tr>
        <w:trPr>
          <w:trHeight w:val="203"/>
        </w:trPr>
        <w:tc>
          <w:tcPr>
            <w:tcW w:w="434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Net income</w:t>
            </w:r>
          </w:p>
        </w:tc>
        <w:tc>
          <w:tcPr>
            <w:tcW w:w="140" w:type="dxa"/>
            <w:vAlign w:val="bottom"/>
            <w:shd w:val="clear" w:color="auto" w:fill="E6E7E7"/>
          </w:tcPr>
          <w:p>
            <w:pPr>
              <w:spacing w:after="0"/>
              <w:rPr>
                <w:sz w:val="17"/>
                <w:szCs w:val="17"/>
                <w:color w:val="auto"/>
              </w:rPr>
            </w:pPr>
          </w:p>
        </w:tc>
        <w:tc>
          <w:tcPr>
            <w:tcW w:w="700" w:type="dxa"/>
            <w:vAlign w:val="bottom"/>
            <w:tcBorders>
              <w:top w:val="single" w:sz="8" w:color="auto"/>
            </w:tcBorders>
            <w:shd w:val="clear" w:color="auto" w:fill="E6E7E7"/>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6E7E7"/>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E6E7E7"/>
          </w:tcPr>
          <w:p>
            <w:pPr>
              <w:spacing w:after="0"/>
              <w:rPr>
                <w:sz w:val="17"/>
                <w:szCs w:val="17"/>
                <w:color w:val="auto"/>
              </w:rPr>
            </w:pPr>
          </w:p>
        </w:tc>
        <w:tc>
          <w:tcPr>
            <w:tcW w:w="700" w:type="dxa"/>
            <w:vAlign w:val="bottom"/>
            <w:tcBorders>
              <w:top w:val="single" w:sz="8" w:color="auto"/>
            </w:tcBorders>
            <w:shd w:val="clear" w:color="auto" w:fill="E6E7E7"/>
          </w:tcPr>
          <w:p>
            <w:pPr>
              <w:jc w:val="right"/>
              <w:ind w:right="72"/>
              <w:spacing w:after="0" w:line="202" w:lineRule="exact"/>
              <w:rPr>
                <w:sz w:val="20"/>
                <w:szCs w:val="20"/>
                <w:color w:val="auto"/>
              </w:rPr>
            </w:pPr>
            <w:r>
              <w:rPr>
                <w:rFonts w:ascii="Arial" w:cs="Arial" w:eastAsia="Arial" w:hAnsi="Arial"/>
                <w:sz w:val="18"/>
                <w:szCs w:val="18"/>
                <w:color w:val="auto"/>
              </w:rPr>
              <w:t>1,861</w:t>
            </w:r>
          </w:p>
        </w:tc>
        <w:tc>
          <w:tcPr>
            <w:tcW w:w="220" w:type="dxa"/>
            <w:vAlign w:val="bottom"/>
            <w:tcBorders>
              <w:top w:val="single" w:sz="8" w:color="auto"/>
            </w:tcBorders>
            <w:shd w:val="clear" w:color="auto" w:fill="E6E7E7"/>
          </w:tcPr>
          <w:p>
            <w:pPr>
              <w:spacing w:after="0"/>
              <w:rPr>
                <w:sz w:val="17"/>
                <w:szCs w:val="17"/>
                <w:color w:val="auto"/>
              </w:rPr>
            </w:pPr>
          </w:p>
        </w:tc>
        <w:tc>
          <w:tcPr>
            <w:tcW w:w="660" w:type="dxa"/>
            <w:vAlign w:val="bottom"/>
            <w:tcBorders>
              <w:top w:val="single" w:sz="8" w:color="auto"/>
            </w:tcBorders>
            <w:shd w:val="clear" w:color="auto" w:fill="E6E7E7"/>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E6E7E7"/>
          </w:tcPr>
          <w:p>
            <w:pPr>
              <w:spacing w:after="0"/>
              <w:rPr>
                <w:sz w:val="17"/>
                <w:szCs w:val="17"/>
                <w:color w:val="auto"/>
              </w:rPr>
            </w:pPr>
          </w:p>
        </w:tc>
        <w:tc>
          <w:tcPr>
            <w:tcW w:w="980" w:type="dxa"/>
            <w:vAlign w:val="bottom"/>
            <w:tcBorders>
              <w:top w:val="single" w:sz="8" w:color="auto"/>
            </w:tcBorders>
            <w:shd w:val="clear" w:color="auto" w:fill="E6E7E7"/>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E6E7E7"/>
          </w:tcPr>
          <w:p>
            <w:pPr>
              <w:spacing w:after="0"/>
              <w:rPr>
                <w:sz w:val="17"/>
                <w:szCs w:val="17"/>
                <w:color w:val="auto"/>
              </w:rPr>
            </w:pPr>
          </w:p>
        </w:tc>
        <w:tc>
          <w:tcPr>
            <w:tcW w:w="1460" w:type="dxa"/>
            <w:vAlign w:val="bottom"/>
            <w:tcBorders>
              <w:top w:val="single" w:sz="8" w:color="auto"/>
            </w:tcBorders>
            <w:gridSpan w:val="2"/>
            <w:shd w:val="clear" w:color="auto" w:fill="E6E7E7"/>
          </w:tcPr>
          <w:p>
            <w:pPr>
              <w:jc w:val="right"/>
              <w:ind w:right="660"/>
              <w:spacing w:after="0" w:line="202" w:lineRule="exact"/>
              <w:rPr>
                <w:sz w:val="20"/>
                <w:szCs w:val="20"/>
                <w:color w:val="auto"/>
              </w:rPr>
            </w:pPr>
            <w:r>
              <w:rPr>
                <w:rFonts w:ascii="Arial" w:cs="Arial" w:eastAsia="Arial" w:hAnsi="Arial"/>
                <w:sz w:val="18"/>
                <w:szCs w:val="18"/>
                <w:color w:val="auto"/>
              </w:rPr>
              <w:t>—</w:t>
            </w:r>
          </w:p>
        </w:tc>
      </w:tr>
      <w:tr>
        <w:trPr>
          <w:trHeight w:val="206"/>
        </w:trPr>
        <w:tc>
          <w:tcPr>
            <w:tcW w:w="4340" w:type="dxa"/>
            <w:vAlign w:val="bottom"/>
          </w:tcPr>
          <w:p>
            <w:pPr>
              <w:ind w:left="420"/>
              <w:spacing w:after="0" w:line="206" w:lineRule="exact"/>
              <w:rPr>
                <w:sz w:val="20"/>
                <w:szCs w:val="20"/>
                <w:color w:val="auto"/>
              </w:rPr>
            </w:pPr>
            <w:r>
              <w:rPr>
                <w:rFonts w:ascii="Arial" w:cs="Arial" w:eastAsia="Arial" w:hAnsi="Arial"/>
                <w:sz w:val="18"/>
                <w:szCs w:val="18"/>
                <w:color w:val="auto"/>
              </w:rPr>
              <w:t>Dividends declared on common stock ($.089 per</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9"/>
        </w:trPr>
        <w:tc>
          <w:tcPr>
            <w:tcW w:w="4340" w:type="dxa"/>
            <w:vAlign w:val="bottom"/>
          </w:tcPr>
          <w:p>
            <w:pPr>
              <w:ind w:left="640"/>
              <w:spacing w:after="0" w:line="200" w:lineRule="exact"/>
              <w:rPr>
                <w:sz w:val="20"/>
                <w:szCs w:val="20"/>
                <w:color w:val="auto"/>
              </w:rPr>
            </w:pPr>
            <w:r>
              <w:rPr>
                <w:rFonts w:ascii="Arial" w:cs="Arial" w:eastAsia="Arial" w:hAnsi="Arial"/>
                <w:sz w:val="18"/>
                <w:szCs w:val="18"/>
                <w:color w:val="auto"/>
              </w:rPr>
              <w:t>share)</w:t>
            </w:r>
          </w:p>
        </w:tc>
        <w:tc>
          <w:tcPr>
            <w:tcW w:w="140" w:type="dxa"/>
            <w:vAlign w:val="bottom"/>
          </w:tcPr>
          <w:p>
            <w:pPr>
              <w:spacing w:after="0"/>
              <w:rPr>
                <w:sz w:val="17"/>
                <w:szCs w:val="17"/>
                <w:color w:val="auto"/>
              </w:rPr>
            </w:pPr>
          </w:p>
        </w:tc>
        <w:tc>
          <w:tcPr>
            <w:tcW w:w="70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3"/>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00" w:type="dxa"/>
            <w:vAlign w:val="bottom"/>
          </w:tcPr>
          <w:p>
            <w:pPr>
              <w:jc w:val="right"/>
              <w:ind w:right="12"/>
              <w:spacing w:after="0" w:line="200" w:lineRule="exact"/>
              <w:rPr>
                <w:sz w:val="20"/>
                <w:szCs w:val="20"/>
                <w:color w:val="auto"/>
              </w:rPr>
            </w:pPr>
            <w:r>
              <w:rPr>
                <w:rFonts w:ascii="Arial" w:cs="Arial" w:eastAsia="Arial" w:hAnsi="Arial"/>
                <w:sz w:val="18"/>
                <w:szCs w:val="18"/>
                <w:color w:val="auto"/>
              </w:rPr>
              <w:t>(154)</w:t>
            </w:r>
          </w:p>
        </w:tc>
        <w:tc>
          <w:tcPr>
            <w:tcW w:w="220" w:type="dxa"/>
            <w:vAlign w:val="bottom"/>
          </w:tcPr>
          <w:p>
            <w:pPr>
              <w:spacing w:after="0"/>
              <w:rPr>
                <w:sz w:val="17"/>
                <w:szCs w:val="17"/>
                <w:color w:val="auto"/>
              </w:rPr>
            </w:pPr>
          </w:p>
        </w:tc>
        <w:tc>
          <w:tcPr>
            <w:tcW w:w="660" w:type="dxa"/>
            <w:vAlign w:val="bottom"/>
          </w:tcPr>
          <w:p>
            <w:pPr>
              <w:jc w:val="right"/>
              <w:ind w:right="73"/>
              <w:spacing w:after="0" w:line="200"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980" w:type="dxa"/>
            <w:vAlign w:val="bottom"/>
          </w:tcPr>
          <w:p>
            <w:pPr>
              <w:jc w:val="right"/>
              <w:ind w:right="73"/>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460" w:type="dxa"/>
            <w:vAlign w:val="bottom"/>
            <w:gridSpan w:val="2"/>
          </w:tcPr>
          <w:p>
            <w:pPr>
              <w:jc w:val="right"/>
              <w:ind w:right="660"/>
              <w:spacing w:after="0" w:line="200" w:lineRule="exact"/>
              <w:rPr>
                <w:sz w:val="20"/>
                <w:szCs w:val="20"/>
                <w:color w:val="auto"/>
              </w:rPr>
            </w:pPr>
            <w:r>
              <w:rPr>
                <w:rFonts w:ascii="Arial" w:cs="Arial" w:eastAsia="Arial" w:hAnsi="Arial"/>
                <w:sz w:val="18"/>
                <w:szCs w:val="18"/>
                <w:color w:val="auto"/>
              </w:rPr>
              <w:t>—</w:t>
            </w:r>
          </w:p>
        </w:tc>
      </w:tr>
      <w:tr>
        <w:trPr>
          <w:trHeight w:val="206"/>
        </w:trPr>
        <w:tc>
          <w:tcPr>
            <w:tcW w:w="4340" w:type="dxa"/>
            <w:vAlign w:val="bottom"/>
            <w:shd w:val="clear" w:color="auto" w:fill="E6E7E7"/>
          </w:tcPr>
          <w:p>
            <w:pPr>
              <w:ind w:left="420"/>
              <w:spacing w:after="0" w:line="206" w:lineRule="exact"/>
              <w:rPr>
                <w:sz w:val="20"/>
                <w:szCs w:val="20"/>
                <w:color w:val="auto"/>
              </w:rPr>
            </w:pPr>
            <w:r>
              <w:rPr>
                <w:rFonts w:ascii="Arial" w:cs="Arial" w:eastAsia="Arial" w:hAnsi="Arial"/>
                <w:sz w:val="18"/>
                <w:szCs w:val="18"/>
                <w:color w:val="auto"/>
              </w:rPr>
              <w:t>Common stock issued on exercise of stock</w:t>
            </w:r>
          </w:p>
        </w:tc>
        <w:tc>
          <w:tcPr>
            <w:tcW w:w="140" w:type="dxa"/>
            <w:vAlign w:val="bottom"/>
            <w:shd w:val="clear" w:color="auto" w:fill="E6E7E7"/>
          </w:tcPr>
          <w:p>
            <w:pPr>
              <w:spacing w:after="0"/>
              <w:rPr>
                <w:sz w:val="17"/>
                <w:szCs w:val="17"/>
                <w:color w:val="auto"/>
              </w:rPr>
            </w:pPr>
          </w:p>
        </w:tc>
        <w:tc>
          <w:tcPr>
            <w:tcW w:w="700" w:type="dxa"/>
            <w:vAlign w:val="bottom"/>
            <w:shd w:val="clear" w:color="auto" w:fill="E6E7E7"/>
          </w:tcPr>
          <w:p>
            <w:pPr>
              <w:spacing w:after="0"/>
              <w:rPr>
                <w:sz w:val="17"/>
                <w:szCs w:val="17"/>
                <w:color w:val="auto"/>
              </w:rPr>
            </w:pPr>
          </w:p>
        </w:tc>
        <w:tc>
          <w:tcPr>
            <w:tcW w:w="740" w:type="dxa"/>
            <w:vAlign w:val="bottom"/>
            <w:shd w:val="clear" w:color="auto" w:fill="E6E7E7"/>
          </w:tcPr>
          <w:p>
            <w:pPr>
              <w:spacing w:after="0"/>
              <w:rPr>
                <w:sz w:val="17"/>
                <w:szCs w:val="17"/>
                <w:color w:val="auto"/>
              </w:rPr>
            </w:pPr>
          </w:p>
        </w:tc>
        <w:tc>
          <w:tcPr>
            <w:tcW w:w="220" w:type="dxa"/>
            <w:vAlign w:val="bottom"/>
            <w:shd w:val="clear" w:color="auto" w:fill="E6E7E7"/>
          </w:tcPr>
          <w:p>
            <w:pPr>
              <w:spacing w:after="0"/>
              <w:rPr>
                <w:sz w:val="17"/>
                <w:szCs w:val="17"/>
                <w:color w:val="auto"/>
              </w:rPr>
            </w:pPr>
          </w:p>
        </w:tc>
        <w:tc>
          <w:tcPr>
            <w:tcW w:w="700" w:type="dxa"/>
            <w:vAlign w:val="bottom"/>
            <w:shd w:val="clear" w:color="auto" w:fill="E6E7E7"/>
          </w:tcPr>
          <w:p>
            <w:pPr>
              <w:spacing w:after="0"/>
              <w:rPr>
                <w:sz w:val="17"/>
                <w:szCs w:val="17"/>
                <w:color w:val="auto"/>
              </w:rPr>
            </w:pPr>
          </w:p>
        </w:tc>
        <w:tc>
          <w:tcPr>
            <w:tcW w:w="220" w:type="dxa"/>
            <w:vAlign w:val="bottom"/>
            <w:shd w:val="clear" w:color="auto" w:fill="E6E7E7"/>
          </w:tcPr>
          <w:p>
            <w:pPr>
              <w:spacing w:after="0"/>
              <w:rPr>
                <w:sz w:val="17"/>
                <w:szCs w:val="17"/>
                <w:color w:val="auto"/>
              </w:rPr>
            </w:pPr>
          </w:p>
        </w:tc>
        <w:tc>
          <w:tcPr>
            <w:tcW w:w="660" w:type="dxa"/>
            <w:vAlign w:val="bottom"/>
            <w:shd w:val="clear" w:color="auto" w:fill="E6E7E7"/>
          </w:tcPr>
          <w:p>
            <w:pPr>
              <w:spacing w:after="0"/>
              <w:rPr>
                <w:sz w:val="17"/>
                <w:szCs w:val="17"/>
                <w:color w:val="auto"/>
              </w:rPr>
            </w:pPr>
          </w:p>
        </w:tc>
        <w:tc>
          <w:tcPr>
            <w:tcW w:w="320" w:type="dxa"/>
            <w:vAlign w:val="bottom"/>
            <w:shd w:val="clear" w:color="auto" w:fill="E6E7E7"/>
          </w:tcPr>
          <w:p>
            <w:pPr>
              <w:spacing w:after="0"/>
              <w:rPr>
                <w:sz w:val="17"/>
                <w:szCs w:val="17"/>
                <w:color w:val="auto"/>
              </w:rPr>
            </w:pPr>
          </w:p>
        </w:tc>
        <w:tc>
          <w:tcPr>
            <w:tcW w:w="980" w:type="dxa"/>
            <w:vAlign w:val="bottom"/>
            <w:shd w:val="clear" w:color="auto" w:fill="E6E7E7"/>
          </w:tcPr>
          <w:p>
            <w:pPr>
              <w:spacing w:after="0"/>
              <w:rPr>
                <w:sz w:val="17"/>
                <w:szCs w:val="17"/>
                <w:color w:val="auto"/>
              </w:rPr>
            </w:pPr>
          </w:p>
        </w:tc>
        <w:tc>
          <w:tcPr>
            <w:tcW w:w="240" w:type="dxa"/>
            <w:vAlign w:val="bottom"/>
            <w:shd w:val="clear" w:color="auto" w:fill="E6E7E7"/>
          </w:tcPr>
          <w:p>
            <w:pPr>
              <w:spacing w:after="0"/>
              <w:rPr>
                <w:sz w:val="17"/>
                <w:szCs w:val="17"/>
                <w:color w:val="auto"/>
              </w:rPr>
            </w:pPr>
          </w:p>
        </w:tc>
        <w:tc>
          <w:tcPr>
            <w:tcW w:w="820" w:type="dxa"/>
            <w:vAlign w:val="bottom"/>
            <w:shd w:val="clear" w:color="auto" w:fill="E6E7E7"/>
          </w:tcPr>
          <w:p>
            <w:pPr>
              <w:spacing w:after="0"/>
              <w:rPr>
                <w:sz w:val="17"/>
                <w:szCs w:val="17"/>
                <w:color w:val="auto"/>
              </w:rPr>
            </w:pPr>
          </w:p>
        </w:tc>
        <w:tc>
          <w:tcPr>
            <w:tcW w:w="640" w:type="dxa"/>
            <w:vAlign w:val="bottom"/>
            <w:shd w:val="clear" w:color="auto" w:fill="E6E7E7"/>
          </w:tcPr>
          <w:p>
            <w:pPr>
              <w:spacing w:after="0"/>
              <w:rPr>
                <w:sz w:val="17"/>
                <w:szCs w:val="17"/>
                <w:color w:val="auto"/>
              </w:rPr>
            </w:pPr>
          </w:p>
        </w:tc>
      </w:tr>
      <w:tr>
        <w:trPr>
          <w:trHeight w:val="199"/>
        </w:trPr>
        <w:tc>
          <w:tcPr>
            <w:tcW w:w="4340" w:type="dxa"/>
            <w:vAlign w:val="bottom"/>
            <w:shd w:val="clear" w:color="auto" w:fill="E6E7E7"/>
          </w:tcPr>
          <w:p>
            <w:pPr>
              <w:ind w:left="640"/>
              <w:spacing w:after="0" w:line="200" w:lineRule="exact"/>
              <w:rPr>
                <w:sz w:val="20"/>
                <w:szCs w:val="20"/>
                <w:color w:val="auto"/>
              </w:rPr>
            </w:pPr>
            <w:r>
              <w:rPr>
                <w:rFonts w:ascii="Arial" w:cs="Arial" w:eastAsia="Arial" w:hAnsi="Arial"/>
                <w:sz w:val="18"/>
                <w:szCs w:val="18"/>
                <w:color w:val="auto"/>
              </w:rPr>
              <w:t>options</w:t>
            </w:r>
          </w:p>
        </w:tc>
        <w:tc>
          <w:tcPr>
            <w:tcW w:w="140" w:type="dxa"/>
            <w:vAlign w:val="bottom"/>
            <w:shd w:val="clear" w:color="auto" w:fill="E6E7E7"/>
          </w:tcPr>
          <w:p>
            <w:pPr>
              <w:spacing w:after="0"/>
              <w:rPr>
                <w:sz w:val="17"/>
                <w:szCs w:val="17"/>
                <w:color w:val="auto"/>
              </w:rPr>
            </w:pPr>
          </w:p>
        </w:tc>
        <w:tc>
          <w:tcPr>
            <w:tcW w:w="700" w:type="dxa"/>
            <w:vAlign w:val="bottom"/>
            <w:shd w:val="clear" w:color="auto" w:fill="E6E7E7"/>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740" w:type="dxa"/>
            <w:vAlign w:val="bottom"/>
            <w:shd w:val="clear" w:color="auto" w:fill="E6E7E7"/>
          </w:tcPr>
          <w:p>
            <w:pPr>
              <w:jc w:val="right"/>
              <w:ind w:right="13"/>
              <w:spacing w:after="0" w:line="200" w:lineRule="exact"/>
              <w:rPr>
                <w:sz w:val="20"/>
                <w:szCs w:val="20"/>
                <w:color w:val="auto"/>
              </w:rPr>
            </w:pPr>
            <w:r>
              <w:rPr>
                <w:rFonts w:ascii="Arial" w:cs="Arial" w:eastAsia="Arial" w:hAnsi="Arial"/>
                <w:sz w:val="18"/>
                <w:szCs w:val="18"/>
                <w:color w:val="auto"/>
              </w:rPr>
              <w:t>(209)</w:t>
            </w:r>
          </w:p>
        </w:tc>
        <w:tc>
          <w:tcPr>
            <w:tcW w:w="220" w:type="dxa"/>
            <w:vAlign w:val="bottom"/>
            <w:shd w:val="clear" w:color="auto" w:fill="E6E7E7"/>
          </w:tcPr>
          <w:p>
            <w:pPr>
              <w:spacing w:after="0"/>
              <w:rPr>
                <w:sz w:val="17"/>
                <w:szCs w:val="17"/>
                <w:color w:val="auto"/>
              </w:rPr>
            </w:pPr>
          </w:p>
        </w:tc>
        <w:tc>
          <w:tcPr>
            <w:tcW w:w="700" w:type="dxa"/>
            <w:vAlign w:val="bottom"/>
            <w:shd w:val="clear" w:color="auto" w:fill="E6E7E7"/>
          </w:tcPr>
          <w:p>
            <w:pPr>
              <w:jc w:val="right"/>
              <w:ind w:right="72"/>
              <w:spacing w:after="0" w:line="200" w:lineRule="exact"/>
              <w:rPr>
                <w:sz w:val="20"/>
                <w:szCs w:val="20"/>
                <w:color w:val="auto"/>
              </w:rPr>
            </w:pPr>
            <w:r>
              <w:rPr>
                <w:rFonts w:ascii="Arial" w:cs="Arial" w:eastAsia="Arial" w:hAnsi="Arial"/>
                <w:sz w:val="18"/>
                <w:szCs w:val="18"/>
                <w:color w:val="auto"/>
              </w:rPr>
              <w:t>—</w:t>
            </w:r>
          </w:p>
        </w:tc>
        <w:tc>
          <w:tcPr>
            <w:tcW w:w="220" w:type="dxa"/>
            <w:vAlign w:val="bottom"/>
            <w:shd w:val="clear" w:color="auto" w:fill="E6E7E7"/>
          </w:tcPr>
          <w:p>
            <w:pPr>
              <w:spacing w:after="0"/>
              <w:rPr>
                <w:sz w:val="17"/>
                <w:szCs w:val="17"/>
                <w:color w:val="auto"/>
              </w:rPr>
            </w:pPr>
          </w:p>
        </w:tc>
        <w:tc>
          <w:tcPr>
            <w:tcW w:w="660" w:type="dxa"/>
            <w:vAlign w:val="bottom"/>
            <w:shd w:val="clear" w:color="auto" w:fill="E6E7E7"/>
          </w:tcPr>
          <w:p>
            <w:pPr>
              <w:jc w:val="right"/>
              <w:ind w:right="73"/>
              <w:spacing w:after="0" w:line="200" w:lineRule="exact"/>
              <w:rPr>
                <w:sz w:val="20"/>
                <w:szCs w:val="20"/>
                <w:color w:val="auto"/>
              </w:rPr>
            </w:pPr>
            <w:r>
              <w:rPr>
                <w:rFonts w:ascii="Arial" w:cs="Arial" w:eastAsia="Arial" w:hAnsi="Arial"/>
                <w:sz w:val="18"/>
                <w:szCs w:val="18"/>
                <w:color w:val="auto"/>
              </w:rPr>
              <w:t>403</w:t>
            </w:r>
          </w:p>
        </w:tc>
        <w:tc>
          <w:tcPr>
            <w:tcW w:w="320" w:type="dxa"/>
            <w:vAlign w:val="bottom"/>
            <w:shd w:val="clear" w:color="auto" w:fill="E6E7E7"/>
          </w:tcPr>
          <w:p>
            <w:pPr>
              <w:spacing w:after="0"/>
              <w:rPr>
                <w:sz w:val="17"/>
                <w:szCs w:val="17"/>
                <w:color w:val="auto"/>
              </w:rPr>
            </w:pPr>
          </w:p>
        </w:tc>
        <w:tc>
          <w:tcPr>
            <w:tcW w:w="980" w:type="dxa"/>
            <w:vAlign w:val="bottom"/>
            <w:shd w:val="clear" w:color="auto" w:fill="E6E7E7"/>
          </w:tcPr>
          <w:p>
            <w:pPr>
              <w:jc w:val="right"/>
              <w:ind w:right="73"/>
              <w:spacing w:after="0" w:line="200" w:lineRule="exact"/>
              <w:rPr>
                <w:sz w:val="20"/>
                <w:szCs w:val="20"/>
                <w:color w:val="auto"/>
              </w:rPr>
            </w:pPr>
            <w:r>
              <w:rPr>
                <w:rFonts w:ascii="Arial" w:cs="Arial" w:eastAsia="Arial" w:hAnsi="Arial"/>
                <w:sz w:val="18"/>
                <w:szCs w:val="18"/>
                <w:color w:val="auto"/>
              </w:rPr>
              <w:t>—</w:t>
            </w:r>
          </w:p>
        </w:tc>
        <w:tc>
          <w:tcPr>
            <w:tcW w:w="240" w:type="dxa"/>
            <w:vAlign w:val="bottom"/>
            <w:shd w:val="clear" w:color="auto" w:fill="E6E7E7"/>
          </w:tcPr>
          <w:p>
            <w:pPr>
              <w:spacing w:after="0"/>
              <w:rPr>
                <w:sz w:val="17"/>
                <w:szCs w:val="17"/>
                <w:color w:val="auto"/>
              </w:rPr>
            </w:pPr>
          </w:p>
        </w:tc>
        <w:tc>
          <w:tcPr>
            <w:tcW w:w="1460" w:type="dxa"/>
            <w:vAlign w:val="bottom"/>
            <w:gridSpan w:val="2"/>
            <w:shd w:val="clear" w:color="auto" w:fill="E6E7E7"/>
          </w:tcPr>
          <w:p>
            <w:pPr>
              <w:jc w:val="right"/>
              <w:ind w:right="660"/>
              <w:spacing w:after="0" w:line="200" w:lineRule="exact"/>
              <w:rPr>
                <w:sz w:val="20"/>
                <w:szCs w:val="20"/>
                <w:color w:val="auto"/>
              </w:rPr>
            </w:pPr>
            <w:r>
              <w:rPr>
                <w:rFonts w:ascii="Arial" w:cs="Arial" w:eastAsia="Arial" w:hAnsi="Arial"/>
                <w:sz w:val="18"/>
                <w:szCs w:val="18"/>
                <w:color w:val="auto"/>
              </w:rPr>
              <w:t>—</w:t>
            </w:r>
          </w:p>
        </w:tc>
      </w:tr>
      <w:tr>
        <w:trPr>
          <w:trHeight w:val="203"/>
        </w:trPr>
        <w:tc>
          <w:tcPr>
            <w:tcW w:w="4340" w:type="dxa"/>
            <w:vAlign w:val="bottom"/>
          </w:tcPr>
          <w:p>
            <w:pPr>
              <w:ind w:left="420"/>
              <w:spacing w:after="0" w:line="202" w:lineRule="exact"/>
              <w:rPr>
                <w:sz w:val="20"/>
                <w:szCs w:val="20"/>
                <w:color w:val="auto"/>
              </w:rPr>
            </w:pPr>
            <w:r>
              <w:rPr>
                <w:rFonts w:ascii="Arial" w:cs="Arial" w:eastAsia="Arial" w:hAnsi="Arial"/>
                <w:sz w:val="18"/>
                <w:szCs w:val="18"/>
                <w:color w:val="auto"/>
              </w:rPr>
              <w:t>Stock repurchases</w:t>
            </w:r>
          </w:p>
        </w:tc>
        <w:tc>
          <w:tcPr>
            <w:tcW w:w="14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(748)</w:t>
            </w:r>
          </w:p>
        </w:tc>
        <w:tc>
          <w:tcPr>
            <w:tcW w:w="320" w:type="dxa"/>
            <w:vAlign w:val="bottom"/>
          </w:tcPr>
          <w:p>
            <w:pPr>
              <w:spacing w:after="0"/>
              <w:rPr>
                <w:sz w:val="17"/>
                <w:szCs w:val="17"/>
                <w:color w:val="auto"/>
              </w:rPr>
            </w:pPr>
          </w:p>
        </w:tc>
        <w:tc>
          <w:tcPr>
            <w:tcW w:w="9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46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434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Tax benefit from exercise of options</w:t>
            </w:r>
          </w:p>
        </w:tc>
        <w:tc>
          <w:tcPr>
            <w:tcW w:w="140" w:type="dxa"/>
            <w:vAlign w:val="bottom"/>
            <w:shd w:val="clear" w:color="auto" w:fill="E6E7E7"/>
          </w:tcPr>
          <w:p>
            <w:pPr>
              <w:spacing w:after="0"/>
              <w:rPr>
                <w:sz w:val="17"/>
                <w:szCs w:val="17"/>
                <w:color w:val="auto"/>
              </w:rPr>
            </w:pPr>
          </w:p>
        </w:tc>
        <w:tc>
          <w:tcPr>
            <w:tcW w:w="700" w:type="dxa"/>
            <w:vAlign w:val="bottom"/>
            <w:shd w:val="clear" w:color="auto" w:fill="E6E7E7"/>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E6E7E7"/>
          </w:tcPr>
          <w:p>
            <w:pPr>
              <w:jc w:val="right"/>
              <w:ind w:right="73"/>
              <w:spacing w:after="0" w:line="202" w:lineRule="exact"/>
              <w:rPr>
                <w:sz w:val="20"/>
                <w:szCs w:val="20"/>
                <w:color w:val="auto"/>
              </w:rPr>
            </w:pPr>
            <w:r>
              <w:rPr>
                <w:rFonts w:ascii="Arial" w:cs="Arial" w:eastAsia="Arial" w:hAnsi="Arial"/>
                <w:sz w:val="18"/>
                <w:szCs w:val="18"/>
                <w:color w:val="auto"/>
              </w:rPr>
              <w:t>58</w:t>
            </w:r>
          </w:p>
        </w:tc>
        <w:tc>
          <w:tcPr>
            <w:tcW w:w="220" w:type="dxa"/>
            <w:vAlign w:val="bottom"/>
            <w:shd w:val="clear" w:color="auto" w:fill="E6E7E7"/>
          </w:tcPr>
          <w:p>
            <w:pPr>
              <w:spacing w:after="0"/>
              <w:rPr>
                <w:sz w:val="17"/>
                <w:szCs w:val="17"/>
                <w:color w:val="auto"/>
              </w:rPr>
            </w:pPr>
          </w:p>
        </w:tc>
        <w:tc>
          <w:tcPr>
            <w:tcW w:w="700" w:type="dxa"/>
            <w:vAlign w:val="bottom"/>
            <w:shd w:val="clear" w:color="auto" w:fill="E6E7E7"/>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7E7"/>
          </w:tcPr>
          <w:p>
            <w:pPr>
              <w:spacing w:after="0"/>
              <w:rPr>
                <w:sz w:val="17"/>
                <w:szCs w:val="17"/>
                <w:color w:val="auto"/>
              </w:rPr>
            </w:pPr>
          </w:p>
        </w:tc>
        <w:tc>
          <w:tcPr>
            <w:tcW w:w="660" w:type="dxa"/>
            <w:vAlign w:val="bottom"/>
            <w:shd w:val="clear" w:color="auto" w:fill="E6E7E7"/>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6E7E7"/>
          </w:tcPr>
          <w:p>
            <w:pPr>
              <w:spacing w:after="0"/>
              <w:rPr>
                <w:sz w:val="17"/>
                <w:szCs w:val="17"/>
                <w:color w:val="auto"/>
              </w:rPr>
            </w:pPr>
          </w:p>
        </w:tc>
        <w:tc>
          <w:tcPr>
            <w:tcW w:w="980" w:type="dxa"/>
            <w:vAlign w:val="bottom"/>
            <w:shd w:val="clear" w:color="auto" w:fill="E6E7E7"/>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6E7E7"/>
          </w:tcPr>
          <w:p>
            <w:pPr>
              <w:spacing w:after="0"/>
              <w:rPr>
                <w:sz w:val="17"/>
                <w:szCs w:val="17"/>
                <w:color w:val="auto"/>
              </w:rPr>
            </w:pPr>
          </w:p>
        </w:tc>
        <w:tc>
          <w:tcPr>
            <w:tcW w:w="1460" w:type="dxa"/>
            <w:vAlign w:val="bottom"/>
            <w:gridSpan w:val="2"/>
            <w:shd w:val="clear" w:color="auto" w:fill="E6E7E7"/>
          </w:tcPr>
          <w:p>
            <w:pPr>
              <w:jc w:val="right"/>
              <w:ind w:righ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4340" w:type="dxa"/>
            <w:vAlign w:val="bottom"/>
          </w:tcPr>
          <w:p>
            <w:pPr>
              <w:ind w:left="420"/>
              <w:spacing w:after="0" w:line="202" w:lineRule="exact"/>
              <w:rPr>
                <w:sz w:val="20"/>
                <w:szCs w:val="20"/>
                <w:color w:val="auto"/>
              </w:rPr>
            </w:pPr>
            <w:r>
              <w:rPr>
                <w:rFonts w:ascii="Arial" w:cs="Arial" w:eastAsia="Arial" w:hAnsi="Arial"/>
                <w:sz w:val="18"/>
                <w:szCs w:val="18"/>
                <w:color w:val="auto"/>
              </w:rPr>
              <w:t>Other comprehensive loss, net of tax</w:t>
            </w:r>
          </w:p>
        </w:tc>
        <w:tc>
          <w:tcPr>
            <w:tcW w:w="14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9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(24)</w:t>
            </w:r>
          </w:p>
        </w:tc>
        <w:tc>
          <w:tcPr>
            <w:tcW w:w="240" w:type="dxa"/>
            <w:vAlign w:val="bottom"/>
          </w:tcPr>
          <w:p>
            <w:pPr>
              <w:spacing w:after="0"/>
              <w:rPr>
                <w:sz w:val="17"/>
                <w:szCs w:val="17"/>
                <w:color w:val="auto"/>
              </w:rPr>
            </w:pPr>
          </w:p>
        </w:tc>
        <w:tc>
          <w:tcPr>
            <w:tcW w:w="146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434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Unearned compensation amortization</w:t>
            </w:r>
          </w:p>
        </w:tc>
        <w:tc>
          <w:tcPr>
            <w:tcW w:w="140" w:type="dxa"/>
            <w:vAlign w:val="bottom"/>
            <w:shd w:val="clear" w:color="auto" w:fill="E6E7E7"/>
          </w:tcPr>
          <w:p>
            <w:pPr>
              <w:spacing w:after="0"/>
              <w:rPr>
                <w:sz w:val="17"/>
                <w:szCs w:val="17"/>
                <w:color w:val="auto"/>
              </w:rPr>
            </w:pPr>
          </w:p>
        </w:tc>
        <w:tc>
          <w:tcPr>
            <w:tcW w:w="700" w:type="dxa"/>
            <w:vAlign w:val="bottom"/>
            <w:tcBorders>
              <w:bottom w:val="single" w:sz="8" w:color="auto"/>
            </w:tcBorders>
            <w:shd w:val="clear" w:color="auto" w:fill="E6E7E7"/>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E6E7E7"/>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6E7E7"/>
          </w:tcPr>
          <w:p>
            <w:pPr>
              <w:spacing w:after="0"/>
              <w:rPr>
                <w:sz w:val="17"/>
                <w:szCs w:val="17"/>
                <w:color w:val="auto"/>
              </w:rPr>
            </w:pPr>
          </w:p>
        </w:tc>
        <w:tc>
          <w:tcPr>
            <w:tcW w:w="700" w:type="dxa"/>
            <w:vAlign w:val="bottom"/>
            <w:tcBorders>
              <w:bottom w:val="single" w:sz="8" w:color="auto"/>
            </w:tcBorders>
            <w:shd w:val="clear" w:color="auto" w:fill="E6E7E7"/>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6E7E7"/>
          </w:tcPr>
          <w:p>
            <w:pPr>
              <w:spacing w:after="0"/>
              <w:rPr>
                <w:sz w:val="17"/>
                <w:szCs w:val="17"/>
                <w:color w:val="auto"/>
              </w:rPr>
            </w:pPr>
          </w:p>
        </w:tc>
        <w:tc>
          <w:tcPr>
            <w:tcW w:w="660" w:type="dxa"/>
            <w:vAlign w:val="bottom"/>
            <w:tcBorders>
              <w:bottom w:val="single" w:sz="8" w:color="auto"/>
            </w:tcBorders>
            <w:shd w:val="clear" w:color="auto" w:fill="E6E7E7"/>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6E7E7"/>
          </w:tcPr>
          <w:p>
            <w:pPr>
              <w:spacing w:after="0"/>
              <w:rPr>
                <w:sz w:val="17"/>
                <w:szCs w:val="17"/>
                <w:color w:val="auto"/>
              </w:rPr>
            </w:pPr>
          </w:p>
        </w:tc>
        <w:tc>
          <w:tcPr>
            <w:tcW w:w="980" w:type="dxa"/>
            <w:vAlign w:val="bottom"/>
            <w:tcBorders>
              <w:bottom w:val="single" w:sz="8" w:color="auto"/>
            </w:tcBorders>
            <w:shd w:val="clear" w:color="auto" w:fill="E6E7E7"/>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6E7E7"/>
          </w:tcPr>
          <w:p>
            <w:pPr>
              <w:spacing w:after="0"/>
              <w:rPr>
                <w:sz w:val="17"/>
                <w:szCs w:val="17"/>
                <w:color w:val="auto"/>
              </w:rPr>
            </w:pPr>
          </w:p>
        </w:tc>
        <w:tc>
          <w:tcPr>
            <w:tcW w:w="82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12</w:t>
            </w:r>
          </w:p>
        </w:tc>
        <w:tc>
          <w:tcPr>
            <w:tcW w:w="640" w:type="dxa"/>
            <w:vAlign w:val="bottom"/>
            <w:shd w:val="clear" w:color="auto" w:fill="E6E7E7"/>
          </w:tcPr>
          <w:p>
            <w:pPr>
              <w:spacing w:after="0"/>
              <w:rPr>
                <w:sz w:val="17"/>
                <w:szCs w:val="17"/>
                <w:color w:val="auto"/>
              </w:rPr>
            </w:pPr>
          </w:p>
        </w:tc>
      </w:tr>
      <w:tr>
        <w:trPr>
          <w:trHeight w:val="217"/>
        </w:trPr>
        <w:tc>
          <w:tcPr>
            <w:tcW w:w="4340" w:type="dxa"/>
            <w:vAlign w:val="bottom"/>
          </w:tcPr>
          <w:p>
            <w:pPr>
              <w:ind w:left="200"/>
              <w:spacing w:after="0"/>
              <w:rPr>
                <w:sz w:val="20"/>
                <w:szCs w:val="20"/>
                <w:color w:val="auto"/>
              </w:rPr>
            </w:pPr>
            <w:r>
              <w:rPr>
                <w:rFonts w:ascii="Arial" w:cs="Arial" w:eastAsia="Arial" w:hAnsi="Arial"/>
                <w:sz w:val="18"/>
                <w:szCs w:val="18"/>
                <w:color w:val="auto"/>
              </w:rPr>
              <w:t>Balance, December 31, 2004</w:t>
            </w:r>
          </w:p>
        </w:tc>
        <w:tc>
          <w:tcPr>
            <w:tcW w:w="840" w:type="dxa"/>
            <w:vAlign w:val="bottom"/>
            <w:gridSpan w:val="2"/>
          </w:tcPr>
          <w:p>
            <w:pPr>
              <w:jc w:val="right"/>
              <w:ind w:right="13"/>
              <w:spacing w:after="0"/>
              <w:rPr>
                <w:sz w:val="20"/>
                <w:szCs w:val="20"/>
                <w:color w:val="auto"/>
              </w:rPr>
            </w:pPr>
            <w:r>
              <w:rPr>
                <w:rFonts w:ascii="Arial" w:cs="Arial" w:eastAsia="Arial" w:hAnsi="Arial"/>
                <w:sz w:val="18"/>
                <w:szCs w:val="18"/>
                <w:color w:val="auto"/>
              </w:rPr>
              <w:t>1,738</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18"/>
                <w:szCs w:val="18"/>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w w:val="94"/>
              </w:rPr>
              <w:t>11,242</w:t>
            </w:r>
          </w:p>
        </w:tc>
        <w:tc>
          <w:tcPr>
            <w:tcW w:w="22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(480)</w:t>
            </w:r>
          </w:p>
        </w:tc>
        <w:tc>
          <w:tcPr>
            <w:tcW w:w="320" w:type="dxa"/>
            <w:vAlign w:val="bottom"/>
          </w:tcPr>
          <w:p>
            <w:pPr>
              <w:spacing w:after="0"/>
              <w:rPr>
                <w:sz w:val="18"/>
                <w:szCs w:val="18"/>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(183)</w:t>
            </w:r>
          </w:p>
        </w:tc>
        <w:tc>
          <w:tcPr>
            <w:tcW w:w="24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(4)</w:t>
            </w:r>
          </w:p>
        </w:tc>
      </w:tr>
      <w:tr>
        <w:trPr>
          <w:trHeight w:val="203"/>
        </w:trPr>
        <w:tc>
          <w:tcPr>
            <w:tcW w:w="434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Net income</w:t>
            </w:r>
          </w:p>
        </w:tc>
        <w:tc>
          <w:tcPr>
            <w:tcW w:w="140" w:type="dxa"/>
            <w:vAlign w:val="bottom"/>
            <w:shd w:val="clear" w:color="auto" w:fill="E6E7E7"/>
          </w:tcPr>
          <w:p>
            <w:pPr>
              <w:spacing w:after="0"/>
              <w:rPr>
                <w:sz w:val="17"/>
                <w:szCs w:val="17"/>
                <w:color w:val="auto"/>
              </w:rPr>
            </w:pPr>
          </w:p>
        </w:tc>
        <w:tc>
          <w:tcPr>
            <w:tcW w:w="700" w:type="dxa"/>
            <w:vAlign w:val="bottom"/>
            <w:tcBorders>
              <w:top w:val="single" w:sz="8" w:color="auto"/>
            </w:tcBorders>
            <w:shd w:val="clear" w:color="auto" w:fill="E6E7E7"/>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6E7E7"/>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E6E7E7"/>
          </w:tcPr>
          <w:p>
            <w:pPr>
              <w:spacing w:after="0"/>
              <w:rPr>
                <w:sz w:val="17"/>
                <w:szCs w:val="17"/>
                <w:color w:val="auto"/>
              </w:rPr>
            </w:pPr>
          </w:p>
        </w:tc>
        <w:tc>
          <w:tcPr>
            <w:tcW w:w="700" w:type="dxa"/>
            <w:vAlign w:val="bottom"/>
            <w:tcBorders>
              <w:top w:val="single" w:sz="8" w:color="auto"/>
            </w:tcBorders>
            <w:shd w:val="clear" w:color="auto" w:fill="E6E7E7"/>
          </w:tcPr>
          <w:p>
            <w:pPr>
              <w:jc w:val="right"/>
              <w:ind w:right="72"/>
              <w:spacing w:after="0" w:line="202" w:lineRule="exact"/>
              <w:rPr>
                <w:sz w:val="20"/>
                <w:szCs w:val="20"/>
                <w:color w:val="auto"/>
              </w:rPr>
            </w:pPr>
            <w:r>
              <w:rPr>
                <w:rFonts w:ascii="Arial" w:cs="Arial" w:eastAsia="Arial" w:hAnsi="Arial"/>
                <w:sz w:val="18"/>
                <w:szCs w:val="18"/>
                <w:color w:val="auto"/>
              </w:rPr>
              <w:t>2,324</w:t>
            </w:r>
          </w:p>
        </w:tc>
        <w:tc>
          <w:tcPr>
            <w:tcW w:w="220" w:type="dxa"/>
            <w:vAlign w:val="bottom"/>
            <w:tcBorders>
              <w:top w:val="single" w:sz="8" w:color="auto"/>
            </w:tcBorders>
            <w:shd w:val="clear" w:color="auto" w:fill="E6E7E7"/>
          </w:tcPr>
          <w:p>
            <w:pPr>
              <w:spacing w:after="0"/>
              <w:rPr>
                <w:sz w:val="17"/>
                <w:szCs w:val="17"/>
                <w:color w:val="auto"/>
              </w:rPr>
            </w:pPr>
          </w:p>
        </w:tc>
        <w:tc>
          <w:tcPr>
            <w:tcW w:w="660" w:type="dxa"/>
            <w:vAlign w:val="bottom"/>
            <w:tcBorders>
              <w:top w:val="single" w:sz="8" w:color="auto"/>
            </w:tcBorders>
            <w:shd w:val="clear" w:color="auto" w:fill="E6E7E7"/>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E6E7E7"/>
          </w:tcPr>
          <w:p>
            <w:pPr>
              <w:spacing w:after="0"/>
              <w:rPr>
                <w:sz w:val="17"/>
                <w:szCs w:val="17"/>
                <w:color w:val="auto"/>
              </w:rPr>
            </w:pPr>
          </w:p>
        </w:tc>
        <w:tc>
          <w:tcPr>
            <w:tcW w:w="980" w:type="dxa"/>
            <w:vAlign w:val="bottom"/>
            <w:tcBorders>
              <w:top w:val="single" w:sz="8" w:color="auto"/>
            </w:tcBorders>
            <w:shd w:val="clear" w:color="auto" w:fill="E6E7E7"/>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E6E7E7"/>
          </w:tcPr>
          <w:p>
            <w:pPr>
              <w:spacing w:after="0"/>
              <w:rPr>
                <w:sz w:val="17"/>
                <w:szCs w:val="17"/>
                <w:color w:val="auto"/>
              </w:rPr>
            </w:pPr>
          </w:p>
        </w:tc>
        <w:tc>
          <w:tcPr>
            <w:tcW w:w="1460" w:type="dxa"/>
            <w:vAlign w:val="bottom"/>
            <w:tcBorders>
              <w:top w:val="single" w:sz="8" w:color="auto"/>
            </w:tcBorders>
            <w:gridSpan w:val="2"/>
            <w:shd w:val="clear" w:color="auto" w:fill="E6E7E7"/>
          </w:tcPr>
          <w:p>
            <w:pPr>
              <w:jc w:val="right"/>
              <w:ind w:right="660"/>
              <w:spacing w:after="0" w:line="202" w:lineRule="exact"/>
              <w:rPr>
                <w:sz w:val="20"/>
                <w:szCs w:val="20"/>
                <w:color w:val="auto"/>
              </w:rPr>
            </w:pPr>
            <w:r>
              <w:rPr>
                <w:rFonts w:ascii="Arial" w:cs="Arial" w:eastAsia="Arial" w:hAnsi="Arial"/>
                <w:sz w:val="18"/>
                <w:szCs w:val="18"/>
                <w:color w:val="auto"/>
              </w:rPr>
              <w:t>—</w:t>
            </w:r>
          </w:p>
        </w:tc>
      </w:tr>
      <w:tr>
        <w:trPr>
          <w:trHeight w:val="206"/>
        </w:trPr>
        <w:tc>
          <w:tcPr>
            <w:tcW w:w="4340" w:type="dxa"/>
            <w:vAlign w:val="bottom"/>
          </w:tcPr>
          <w:p>
            <w:pPr>
              <w:ind w:left="420"/>
              <w:spacing w:after="0" w:line="206" w:lineRule="exact"/>
              <w:rPr>
                <w:sz w:val="20"/>
                <w:szCs w:val="20"/>
                <w:color w:val="auto"/>
              </w:rPr>
            </w:pPr>
            <w:r>
              <w:rPr>
                <w:rFonts w:ascii="Arial" w:cs="Arial" w:eastAsia="Arial" w:hAnsi="Arial"/>
                <w:sz w:val="18"/>
                <w:szCs w:val="18"/>
                <w:color w:val="auto"/>
              </w:rPr>
              <w:t>Dividends declared on common stock ($.105 per</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9"/>
        </w:trPr>
        <w:tc>
          <w:tcPr>
            <w:tcW w:w="4340" w:type="dxa"/>
            <w:vAlign w:val="bottom"/>
          </w:tcPr>
          <w:p>
            <w:pPr>
              <w:ind w:left="640"/>
              <w:spacing w:after="0" w:line="200" w:lineRule="exact"/>
              <w:rPr>
                <w:sz w:val="20"/>
                <w:szCs w:val="20"/>
                <w:color w:val="auto"/>
              </w:rPr>
            </w:pPr>
            <w:r>
              <w:rPr>
                <w:rFonts w:ascii="Arial" w:cs="Arial" w:eastAsia="Arial" w:hAnsi="Arial"/>
                <w:sz w:val="18"/>
                <w:szCs w:val="18"/>
                <w:color w:val="auto"/>
              </w:rPr>
              <w:t>share)</w:t>
            </w:r>
          </w:p>
        </w:tc>
        <w:tc>
          <w:tcPr>
            <w:tcW w:w="140" w:type="dxa"/>
            <w:vAlign w:val="bottom"/>
          </w:tcPr>
          <w:p>
            <w:pPr>
              <w:spacing w:after="0"/>
              <w:rPr>
                <w:sz w:val="17"/>
                <w:szCs w:val="17"/>
                <w:color w:val="auto"/>
              </w:rPr>
            </w:pPr>
          </w:p>
        </w:tc>
        <w:tc>
          <w:tcPr>
            <w:tcW w:w="70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3"/>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00" w:type="dxa"/>
            <w:vAlign w:val="bottom"/>
          </w:tcPr>
          <w:p>
            <w:pPr>
              <w:jc w:val="right"/>
              <w:ind w:right="12"/>
              <w:spacing w:after="0" w:line="200" w:lineRule="exact"/>
              <w:rPr>
                <w:sz w:val="20"/>
                <w:szCs w:val="20"/>
                <w:color w:val="auto"/>
              </w:rPr>
            </w:pPr>
            <w:r>
              <w:rPr>
                <w:rFonts w:ascii="Arial" w:cs="Arial" w:eastAsia="Arial" w:hAnsi="Arial"/>
                <w:sz w:val="18"/>
                <w:szCs w:val="18"/>
                <w:color w:val="auto"/>
              </w:rPr>
              <w:t>(173)</w:t>
            </w:r>
          </w:p>
        </w:tc>
        <w:tc>
          <w:tcPr>
            <w:tcW w:w="220" w:type="dxa"/>
            <w:vAlign w:val="bottom"/>
          </w:tcPr>
          <w:p>
            <w:pPr>
              <w:spacing w:after="0"/>
              <w:rPr>
                <w:sz w:val="17"/>
                <w:szCs w:val="17"/>
                <w:color w:val="auto"/>
              </w:rPr>
            </w:pPr>
          </w:p>
        </w:tc>
        <w:tc>
          <w:tcPr>
            <w:tcW w:w="660" w:type="dxa"/>
            <w:vAlign w:val="bottom"/>
          </w:tcPr>
          <w:p>
            <w:pPr>
              <w:jc w:val="right"/>
              <w:ind w:right="73"/>
              <w:spacing w:after="0" w:line="200"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980" w:type="dxa"/>
            <w:vAlign w:val="bottom"/>
          </w:tcPr>
          <w:p>
            <w:pPr>
              <w:jc w:val="right"/>
              <w:ind w:right="73"/>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460" w:type="dxa"/>
            <w:vAlign w:val="bottom"/>
            <w:gridSpan w:val="2"/>
          </w:tcPr>
          <w:p>
            <w:pPr>
              <w:jc w:val="right"/>
              <w:ind w:right="660"/>
              <w:spacing w:after="0" w:line="200" w:lineRule="exact"/>
              <w:rPr>
                <w:sz w:val="20"/>
                <w:szCs w:val="20"/>
                <w:color w:val="auto"/>
              </w:rPr>
            </w:pPr>
            <w:r>
              <w:rPr>
                <w:rFonts w:ascii="Arial" w:cs="Arial" w:eastAsia="Arial" w:hAnsi="Arial"/>
                <w:sz w:val="18"/>
                <w:szCs w:val="18"/>
                <w:color w:val="auto"/>
              </w:rPr>
              <w:t>—</w:t>
            </w:r>
          </w:p>
        </w:tc>
      </w:tr>
      <w:tr>
        <w:trPr>
          <w:trHeight w:val="206"/>
        </w:trPr>
        <w:tc>
          <w:tcPr>
            <w:tcW w:w="4340" w:type="dxa"/>
            <w:vAlign w:val="bottom"/>
            <w:shd w:val="clear" w:color="auto" w:fill="E6E7E7"/>
          </w:tcPr>
          <w:p>
            <w:pPr>
              <w:ind w:left="420"/>
              <w:spacing w:after="0" w:line="206" w:lineRule="exact"/>
              <w:rPr>
                <w:sz w:val="20"/>
                <w:szCs w:val="20"/>
                <w:color w:val="auto"/>
              </w:rPr>
            </w:pPr>
            <w:r>
              <w:rPr>
                <w:rFonts w:ascii="Arial" w:cs="Arial" w:eastAsia="Arial" w:hAnsi="Arial"/>
                <w:sz w:val="18"/>
                <w:szCs w:val="18"/>
                <w:color w:val="auto"/>
              </w:rPr>
              <w:t>Common stock issued on exercise of stock</w:t>
            </w:r>
          </w:p>
        </w:tc>
        <w:tc>
          <w:tcPr>
            <w:tcW w:w="140" w:type="dxa"/>
            <w:vAlign w:val="bottom"/>
            <w:shd w:val="clear" w:color="auto" w:fill="E6E7E7"/>
          </w:tcPr>
          <w:p>
            <w:pPr>
              <w:spacing w:after="0"/>
              <w:rPr>
                <w:sz w:val="17"/>
                <w:szCs w:val="17"/>
                <w:color w:val="auto"/>
              </w:rPr>
            </w:pPr>
          </w:p>
        </w:tc>
        <w:tc>
          <w:tcPr>
            <w:tcW w:w="700" w:type="dxa"/>
            <w:vAlign w:val="bottom"/>
            <w:shd w:val="clear" w:color="auto" w:fill="E6E7E7"/>
          </w:tcPr>
          <w:p>
            <w:pPr>
              <w:spacing w:after="0"/>
              <w:rPr>
                <w:sz w:val="17"/>
                <w:szCs w:val="17"/>
                <w:color w:val="auto"/>
              </w:rPr>
            </w:pPr>
          </w:p>
        </w:tc>
        <w:tc>
          <w:tcPr>
            <w:tcW w:w="740" w:type="dxa"/>
            <w:vAlign w:val="bottom"/>
            <w:shd w:val="clear" w:color="auto" w:fill="E6E7E7"/>
          </w:tcPr>
          <w:p>
            <w:pPr>
              <w:spacing w:after="0"/>
              <w:rPr>
                <w:sz w:val="17"/>
                <w:szCs w:val="17"/>
                <w:color w:val="auto"/>
              </w:rPr>
            </w:pPr>
          </w:p>
        </w:tc>
        <w:tc>
          <w:tcPr>
            <w:tcW w:w="220" w:type="dxa"/>
            <w:vAlign w:val="bottom"/>
            <w:shd w:val="clear" w:color="auto" w:fill="E6E7E7"/>
          </w:tcPr>
          <w:p>
            <w:pPr>
              <w:spacing w:after="0"/>
              <w:rPr>
                <w:sz w:val="17"/>
                <w:szCs w:val="17"/>
                <w:color w:val="auto"/>
              </w:rPr>
            </w:pPr>
          </w:p>
        </w:tc>
        <w:tc>
          <w:tcPr>
            <w:tcW w:w="700" w:type="dxa"/>
            <w:vAlign w:val="bottom"/>
            <w:shd w:val="clear" w:color="auto" w:fill="E6E7E7"/>
          </w:tcPr>
          <w:p>
            <w:pPr>
              <w:spacing w:after="0"/>
              <w:rPr>
                <w:sz w:val="17"/>
                <w:szCs w:val="17"/>
                <w:color w:val="auto"/>
              </w:rPr>
            </w:pPr>
          </w:p>
        </w:tc>
        <w:tc>
          <w:tcPr>
            <w:tcW w:w="220" w:type="dxa"/>
            <w:vAlign w:val="bottom"/>
            <w:shd w:val="clear" w:color="auto" w:fill="E6E7E7"/>
          </w:tcPr>
          <w:p>
            <w:pPr>
              <w:spacing w:after="0"/>
              <w:rPr>
                <w:sz w:val="17"/>
                <w:szCs w:val="17"/>
                <w:color w:val="auto"/>
              </w:rPr>
            </w:pPr>
          </w:p>
        </w:tc>
        <w:tc>
          <w:tcPr>
            <w:tcW w:w="660" w:type="dxa"/>
            <w:vAlign w:val="bottom"/>
            <w:shd w:val="clear" w:color="auto" w:fill="E6E7E7"/>
          </w:tcPr>
          <w:p>
            <w:pPr>
              <w:spacing w:after="0"/>
              <w:rPr>
                <w:sz w:val="17"/>
                <w:szCs w:val="17"/>
                <w:color w:val="auto"/>
              </w:rPr>
            </w:pPr>
          </w:p>
        </w:tc>
        <w:tc>
          <w:tcPr>
            <w:tcW w:w="320" w:type="dxa"/>
            <w:vAlign w:val="bottom"/>
            <w:shd w:val="clear" w:color="auto" w:fill="E6E7E7"/>
          </w:tcPr>
          <w:p>
            <w:pPr>
              <w:spacing w:after="0"/>
              <w:rPr>
                <w:sz w:val="17"/>
                <w:szCs w:val="17"/>
                <w:color w:val="auto"/>
              </w:rPr>
            </w:pPr>
          </w:p>
        </w:tc>
        <w:tc>
          <w:tcPr>
            <w:tcW w:w="980" w:type="dxa"/>
            <w:vAlign w:val="bottom"/>
            <w:shd w:val="clear" w:color="auto" w:fill="E6E7E7"/>
          </w:tcPr>
          <w:p>
            <w:pPr>
              <w:spacing w:after="0"/>
              <w:rPr>
                <w:sz w:val="17"/>
                <w:szCs w:val="17"/>
                <w:color w:val="auto"/>
              </w:rPr>
            </w:pPr>
          </w:p>
        </w:tc>
        <w:tc>
          <w:tcPr>
            <w:tcW w:w="240" w:type="dxa"/>
            <w:vAlign w:val="bottom"/>
            <w:shd w:val="clear" w:color="auto" w:fill="E6E7E7"/>
          </w:tcPr>
          <w:p>
            <w:pPr>
              <w:spacing w:after="0"/>
              <w:rPr>
                <w:sz w:val="17"/>
                <w:szCs w:val="17"/>
                <w:color w:val="auto"/>
              </w:rPr>
            </w:pPr>
          </w:p>
        </w:tc>
        <w:tc>
          <w:tcPr>
            <w:tcW w:w="820" w:type="dxa"/>
            <w:vAlign w:val="bottom"/>
            <w:shd w:val="clear" w:color="auto" w:fill="E6E7E7"/>
          </w:tcPr>
          <w:p>
            <w:pPr>
              <w:spacing w:after="0"/>
              <w:rPr>
                <w:sz w:val="17"/>
                <w:szCs w:val="17"/>
                <w:color w:val="auto"/>
              </w:rPr>
            </w:pPr>
          </w:p>
        </w:tc>
        <w:tc>
          <w:tcPr>
            <w:tcW w:w="640" w:type="dxa"/>
            <w:vAlign w:val="bottom"/>
            <w:shd w:val="clear" w:color="auto" w:fill="E6E7E7"/>
          </w:tcPr>
          <w:p>
            <w:pPr>
              <w:spacing w:after="0"/>
              <w:rPr>
                <w:sz w:val="17"/>
                <w:szCs w:val="17"/>
                <w:color w:val="auto"/>
              </w:rPr>
            </w:pPr>
          </w:p>
        </w:tc>
      </w:tr>
      <w:tr>
        <w:trPr>
          <w:trHeight w:val="199"/>
        </w:trPr>
        <w:tc>
          <w:tcPr>
            <w:tcW w:w="4340" w:type="dxa"/>
            <w:vAlign w:val="bottom"/>
            <w:shd w:val="clear" w:color="auto" w:fill="E6E7E7"/>
          </w:tcPr>
          <w:p>
            <w:pPr>
              <w:ind w:left="640"/>
              <w:spacing w:after="0" w:line="200" w:lineRule="exact"/>
              <w:rPr>
                <w:sz w:val="20"/>
                <w:szCs w:val="20"/>
                <w:color w:val="auto"/>
              </w:rPr>
            </w:pPr>
            <w:r>
              <w:rPr>
                <w:rFonts w:ascii="Arial" w:cs="Arial" w:eastAsia="Arial" w:hAnsi="Arial"/>
                <w:sz w:val="18"/>
                <w:szCs w:val="18"/>
                <w:color w:val="auto"/>
              </w:rPr>
              <w:t>options</w:t>
            </w:r>
          </w:p>
        </w:tc>
        <w:tc>
          <w:tcPr>
            <w:tcW w:w="840" w:type="dxa"/>
            <w:vAlign w:val="bottom"/>
            <w:gridSpan w:val="2"/>
            <w:shd w:val="clear" w:color="auto" w:fill="E6E7E7"/>
          </w:tcPr>
          <w:p>
            <w:pPr>
              <w:jc w:val="right"/>
              <w:ind w:right="13"/>
              <w:spacing w:after="0" w:line="200" w:lineRule="exact"/>
              <w:rPr>
                <w:sz w:val="20"/>
                <w:szCs w:val="20"/>
                <w:color w:val="auto"/>
              </w:rPr>
            </w:pPr>
            <w:r>
              <w:rPr>
                <w:rFonts w:ascii="Arial" w:cs="Arial" w:eastAsia="Arial" w:hAnsi="Arial"/>
                <w:sz w:val="18"/>
                <w:szCs w:val="18"/>
                <w:color w:val="auto"/>
              </w:rPr>
              <w:t>1</w:t>
            </w:r>
          </w:p>
        </w:tc>
        <w:tc>
          <w:tcPr>
            <w:tcW w:w="740" w:type="dxa"/>
            <w:vAlign w:val="bottom"/>
            <w:shd w:val="clear" w:color="auto" w:fill="E6E7E7"/>
          </w:tcPr>
          <w:p>
            <w:pPr>
              <w:jc w:val="right"/>
              <w:ind w:right="13"/>
              <w:spacing w:after="0" w:line="200" w:lineRule="exact"/>
              <w:rPr>
                <w:sz w:val="20"/>
                <w:szCs w:val="20"/>
                <w:color w:val="auto"/>
              </w:rPr>
            </w:pPr>
            <w:r>
              <w:rPr>
                <w:rFonts w:ascii="Arial" w:cs="Arial" w:eastAsia="Arial" w:hAnsi="Arial"/>
                <w:sz w:val="18"/>
                <w:szCs w:val="18"/>
                <w:color w:val="auto"/>
              </w:rPr>
              <w:t>(338)</w:t>
            </w:r>
          </w:p>
        </w:tc>
        <w:tc>
          <w:tcPr>
            <w:tcW w:w="220" w:type="dxa"/>
            <w:vAlign w:val="bottom"/>
            <w:shd w:val="clear" w:color="auto" w:fill="E6E7E7"/>
          </w:tcPr>
          <w:p>
            <w:pPr>
              <w:spacing w:after="0"/>
              <w:rPr>
                <w:sz w:val="17"/>
                <w:szCs w:val="17"/>
                <w:color w:val="auto"/>
              </w:rPr>
            </w:pPr>
          </w:p>
        </w:tc>
        <w:tc>
          <w:tcPr>
            <w:tcW w:w="700" w:type="dxa"/>
            <w:vAlign w:val="bottom"/>
            <w:shd w:val="clear" w:color="auto" w:fill="E6E7E7"/>
          </w:tcPr>
          <w:p>
            <w:pPr>
              <w:jc w:val="right"/>
              <w:ind w:right="72"/>
              <w:spacing w:after="0" w:line="200" w:lineRule="exact"/>
              <w:rPr>
                <w:sz w:val="20"/>
                <w:szCs w:val="20"/>
                <w:color w:val="auto"/>
              </w:rPr>
            </w:pPr>
            <w:r>
              <w:rPr>
                <w:rFonts w:ascii="Arial" w:cs="Arial" w:eastAsia="Arial" w:hAnsi="Arial"/>
                <w:sz w:val="18"/>
                <w:szCs w:val="18"/>
                <w:color w:val="auto"/>
              </w:rPr>
              <w:t>—</w:t>
            </w:r>
          </w:p>
        </w:tc>
        <w:tc>
          <w:tcPr>
            <w:tcW w:w="220" w:type="dxa"/>
            <w:vAlign w:val="bottom"/>
            <w:shd w:val="clear" w:color="auto" w:fill="E6E7E7"/>
          </w:tcPr>
          <w:p>
            <w:pPr>
              <w:spacing w:after="0"/>
              <w:rPr>
                <w:sz w:val="17"/>
                <w:szCs w:val="17"/>
                <w:color w:val="auto"/>
              </w:rPr>
            </w:pPr>
          </w:p>
        </w:tc>
        <w:tc>
          <w:tcPr>
            <w:tcW w:w="660" w:type="dxa"/>
            <w:vAlign w:val="bottom"/>
            <w:shd w:val="clear" w:color="auto" w:fill="E6E7E7"/>
          </w:tcPr>
          <w:p>
            <w:pPr>
              <w:jc w:val="right"/>
              <w:ind w:right="73"/>
              <w:spacing w:after="0" w:line="200" w:lineRule="exact"/>
              <w:rPr>
                <w:sz w:val="20"/>
                <w:szCs w:val="20"/>
                <w:color w:val="auto"/>
              </w:rPr>
            </w:pPr>
            <w:r>
              <w:rPr>
                <w:rFonts w:ascii="Arial" w:cs="Arial" w:eastAsia="Arial" w:hAnsi="Arial"/>
                <w:sz w:val="18"/>
                <w:szCs w:val="18"/>
                <w:color w:val="auto"/>
              </w:rPr>
              <w:t>815</w:t>
            </w:r>
          </w:p>
        </w:tc>
        <w:tc>
          <w:tcPr>
            <w:tcW w:w="320" w:type="dxa"/>
            <w:vAlign w:val="bottom"/>
            <w:shd w:val="clear" w:color="auto" w:fill="E6E7E7"/>
          </w:tcPr>
          <w:p>
            <w:pPr>
              <w:spacing w:after="0"/>
              <w:rPr>
                <w:sz w:val="17"/>
                <w:szCs w:val="17"/>
                <w:color w:val="auto"/>
              </w:rPr>
            </w:pPr>
          </w:p>
        </w:tc>
        <w:tc>
          <w:tcPr>
            <w:tcW w:w="980" w:type="dxa"/>
            <w:vAlign w:val="bottom"/>
            <w:shd w:val="clear" w:color="auto" w:fill="E6E7E7"/>
          </w:tcPr>
          <w:p>
            <w:pPr>
              <w:jc w:val="right"/>
              <w:ind w:right="73"/>
              <w:spacing w:after="0" w:line="200" w:lineRule="exact"/>
              <w:rPr>
                <w:sz w:val="20"/>
                <w:szCs w:val="20"/>
                <w:color w:val="auto"/>
              </w:rPr>
            </w:pPr>
            <w:r>
              <w:rPr>
                <w:rFonts w:ascii="Arial" w:cs="Arial" w:eastAsia="Arial" w:hAnsi="Arial"/>
                <w:sz w:val="18"/>
                <w:szCs w:val="18"/>
                <w:color w:val="auto"/>
              </w:rPr>
              <w:t>—</w:t>
            </w:r>
          </w:p>
        </w:tc>
        <w:tc>
          <w:tcPr>
            <w:tcW w:w="240" w:type="dxa"/>
            <w:vAlign w:val="bottom"/>
            <w:shd w:val="clear" w:color="auto" w:fill="E6E7E7"/>
          </w:tcPr>
          <w:p>
            <w:pPr>
              <w:spacing w:after="0"/>
              <w:rPr>
                <w:sz w:val="17"/>
                <w:szCs w:val="17"/>
                <w:color w:val="auto"/>
              </w:rPr>
            </w:pPr>
          </w:p>
        </w:tc>
        <w:tc>
          <w:tcPr>
            <w:tcW w:w="1460" w:type="dxa"/>
            <w:vAlign w:val="bottom"/>
            <w:gridSpan w:val="2"/>
            <w:shd w:val="clear" w:color="auto" w:fill="E6E7E7"/>
          </w:tcPr>
          <w:p>
            <w:pPr>
              <w:jc w:val="right"/>
              <w:ind w:right="660"/>
              <w:spacing w:after="0" w:line="200" w:lineRule="exact"/>
              <w:rPr>
                <w:sz w:val="20"/>
                <w:szCs w:val="20"/>
                <w:color w:val="auto"/>
              </w:rPr>
            </w:pPr>
            <w:r>
              <w:rPr>
                <w:rFonts w:ascii="Arial" w:cs="Arial" w:eastAsia="Arial" w:hAnsi="Arial"/>
                <w:sz w:val="18"/>
                <w:szCs w:val="18"/>
                <w:color w:val="auto"/>
              </w:rPr>
              <w:t>—</w:t>
            </w:r>
          </w:p>
        </w:tc>
      </w:tr>
      <w:tr>
        <w:trPr>
          <w:trHeight w:val="203"/>
        </w:trPr>
        <w:tc>
          <w:tcPr>
            <w:tcW w:w="4340" w:type="dxa"/>
            <w:vAlign w:val="bottom"/>
          </w:tcPr>
          <w:p>
            <w:pPr>
              <w:ind w:left="420"/>
              <w:spacing w:after="0" w:line="202" w:lineRule="exact"/>
              <w:rPr>
                <w:sz w:val="20"/>
                <w:szCs w:val="20"/>
                <w:color w:val="auto"/>
              </w:rPr>
            </w:pPr>
            <w:r>
              <w:rPr>
                <w:rFonts w:ascii="Arial" w:cs="Arial" w:eastAsia="Arial" w:hAnsi="Arial"/>
                <w:sz w:val="18"/>
                <w:szCs w:val="18"/>
                <w:color w:val="auto"/>
              </w:rPr>
              <w:t>Stock repurchases</w:t>
            </w:r>
          </w:p>
        </w:tc>
        <w:tc>
          <w:tcPr>
            <w:tcW w:w="14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4"/>
              </w:rPr>
              <w:t>(4,191)</w:t>
            </w:r>
          </w:p>
        </w:tc>
        <w:tc>
          <w:tcPr>
            <w:tcW w:w="320" w:type="dxa"/>
            <w:vAlign w:val="bottom"/>
          </w:tcPr>
          <w:p>
            <w:pPr>
              <w:spacing w:after="0"/>
              <w:rPr>
                <w:sz w:val="17"/>
                <w:szCs w:val="17"/>
                <w:color w:val="auto"/>
              </w:rPr>
            </w:pPr>
          </w:p>
        </w:tc>
        <w:tc>
          <w:tcPr>
            <w:tcW w:w="9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46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434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Stock-based compensation transactions</w:t>
            </w:r>
          </w:p>
        </w:tc>
        <w:tc>
          <w:tcPr>
            <w:tcW w:w="140" w:type="dxa"/>
            <w:vAlign w:val="bottom"/>
            <w:shd w:val="clear" w:color="auto" w:fill="E6E7E7"/>
          </w:tcPr>
          <w:p>
            <w:pPr>
              <w:spacing w:after="0"/>
              <w:rPr>
                <w:sz w:val="17"/>
                <w:szCs w:val="17"/>
                <w:color w:val="auto"/>
              </w:rPr>
            </w:pPr>
          </w:p>
        </w:tc>
        <w:tc>
          <w:tcPr>
            <w:tcW w:w="700" w:type="dxa"/>
            <w:vAlign w:val="bottom"/>
            <w:shd w:val="clear" w:color="auto" w:fill="E6E7E7"/>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E6E7E7"/>
          </w:tcPr>
          <w:p>
            <w:pPr>
              <w:jc w:val="right"/>
              <w:ind w:right="73"/>
              <w:spacing w:after="0" w:line="202" w:lineRule="exact"/>
              <w:rPr>
                <w:sz w:val="20"/>
                <w:szCs w:val="20"/>
                <w:color w:val="auto"/>
              </w:rPr>
            </w:pPr>
            <w:r>
              <w:rPr>
                <w:rFonts w:ascii="Arial" w:cs="Arial" w:eastAsia="Arial" w:hAnsi="Arial"/>
                <w:sz w:val="18"/>
                <w:szCs w:val="18"/>
                <w:color w:val="auto"/>
              </w:rPr>
              <w:t>198</w:t>
            </w:r>
          </w:p>
        </w:tc>
        <w:tc>
          <w:tcPr>
            <w:tcW w:w="220" w:type="dxa"/>
            <w:vAlign w:val="bottom"/>
            <w:shd w:val="clear" w:color="auto" w:fill="E6E7E7"/>
          </w:tcPr>
          <w:p>
            <w:pPr>
              <w:spacing w:after="0"/>
              <w:rPr>
                <w:sz w:val="17"/>
                <w:szCs w:val="17"/>
                <w:color w:val="auto"/>
              </w:rPr>
            </w:pPr>
          </w:p>
        </w:tc>
        <w:tc>
          <w:tcPr>
            <w:tcW w:w="700" w:type="dxa"/>
            <w:vAlign w:val="bottom"/>
            <w:shd w:val="clear" w:color="auto" w:fill="E6E7E7"/>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7E7"/>
          </w:tcPr>
          <w:p>
            <w:pPr>
              <w:spacing w:after="0"/>
              <w:rPr>
                <w:sz w:val="17"/>
                <w:szCs w:val="17"/>
                <w:color w:val="auto"/>
              </w:rPr>
            </w:pPr>
          </w:p>
        </w:tc>
        <w:tc>
          <w:tcPr>
            <w:tcW w:w="660" w:type="dxa"/>
            <w:vAlign w:val="bottom"/>
            <w:shd w:val="clear" w:color="auto" w:fill="E6E7E7"/>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6E7E7"/>
          </w:tcPr>
          <w:p>
            <w:pPr>
              <w:spacing w:after="0"/>
              <w:rPr>
                <w:sz w:val="17"/>
                <w:szCs w:val="17"/>
                <w:color w:val="auto"/>
              </w:rPr>
            </w:pPr>
          </w:p>
        </w:tc>
        <w:tc>
          <w:tcPr>
            <w:tcW w:w="980" w:type="dxa"/>
            <w:vAlign w:val="bottom"/>
            <w:shd w:val="clear" w:color="auto" w:fill="E6E7E7"/>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6E7E7"/>
          </w:tcPr>
          <w:p>
            <w:pPr>
              <w:spacing w:after="0"/>
              <w:rPr>
                <w:sz w:val="17"/>
                <w:szCs w:val="17"/>
                <w:color w:val="auto"/>
              </w:rPr>
            </w:pPr>
          </w:p>
        </w:tc>
        <w:tc>
          <w:tcPr>
            <w:tcW w:w="1460" w:type="dxa"/>
            <w:vAlign w:val="bottom"/>
            <w:gridSpan w:val="2"/>
            <w:shd w:val="clear" w:color="auto" w:fill="E6E7E7"/>
          </w:tcPr>
          <w:p>
            <w:pPr>
              <w:jc w:val="right"/>
              <w:ind w:righ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4340" w:type="dxa"/>
            <w:vAlign w:val="bottom"/>
          </w:tcPr>
          <w:p>
            <w:pPr>
              <w:ind w:left="420"/>
              <w:spacing w:after="0" w:line="202" w:lineRule="exact"/>
              <w:rPr>
                <w:sz w:val="20"/>
                <w:szCs w:val="20"/>
                <w:color w:val="auto"/>
              </w:rPr>
            </w:pPr>
            <w:r>
              <w:rPr>
                <w:rFonts w:ascii="Arial" w:cs="Arial" w:eastAsia="Arial" w:hAnsi="Arial"/>
                <w:sz w:val="18"/>
                <w:szCs w:val="18"/>
                <w:color w:val="auto"/>
              </w:rPr>
              <w:t>Tax benefit from exercise of options</w:t>
            </w:r>
          </w:p>
        </w:tc>
        <w:tc>
          <w:tcPr>
            <w:tcW w:w="14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3"/>
              <w:spacing w:after="0" w:line="202" w:lineRule="exact"/>
              <w:rPr>
                <w:sz w:val="20"/>
                <w:szCs w:val="20"/>
                <w:color w:val="auto"/>
              </w:rPr>
            </w:pPr>
            <w:r>
              <w:rPr>
                <w:rFonts w:ascii="Arial" w:cs="Arial" w:eastAsia="Arial" w:hAnsi="Arial"/>
                <w:sz w:val="18"/>
                <w:szCs w:val="18"/>
                <w:color w:val="auto"/>
              </w:rPr>
              <w:t>132</w:t>
            </w:r>
          </w:p>
        </w:tc>
        <w:tc>
          <w:tcPr>
            <w:tcW w:w="220" w:type="dxa"/>
            <w:vAlign w:val="bottom"/>
          </w:tcPr>
          <w:p>
            <w:pPr>
              <w:spacing w:after="0"/>
              <w:rPr>
                <w:sz w:val="17"/>
                <w:szCs w:val="17"/>
                <w:color w:val="auto"/>
              </w:rPr>
            </w:pPr>
          </w:p>
        </w:tc>
        <w:tc>
          <w:tcPr>
            <w:tcW w:w="7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9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46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434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Other comprehensive income, net of tax</w:t>
            </w:r>
          </w:p>
        </w:tc>
        <w:tc>
          <w:tcPr>
            <w:tcW w:w="140" w:type="dxa"/>
            <w:vAlign w:val="bottom"/>
            <w:shd w:val="clear" w:color="auto" w:fill="E6E7E7"/>
          </w:tcPr>
          <w:p>
            <w:pPr>
              <w:spacing w:after="0"/>
              <w:rPr>
                <w:sz w:val="17"/>
                <w:szCs w:val="17"/>
                <w:color w:val="auto"/>
              </w:rPr>
            </w:pPr>
          </w:p>
        </w:tc>
        <w:tc>
          <w:tcPr>
            <w:tcW w:w="700" w:type="dxa"/>
            <w:vAlign w:val="bottom"/>
            <w:shd w:val="clear" w:color="auto" w:fill="E6E7E7"/>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E6E7E7"/>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7E7"/>
          </w:tcPr>
          <w:p>
            <w:pPr>
              <w:spacing w:after="0"/>
              <w:rPr>
                <w:sz w:val="17"/>
                <w:szCs w:val="17"/>
                <w:color w:val="auto"/>
              </w:rPr>
            </w:pPr>
          </w:p>
        </w:tc>
        <w:tc>
          <w:tcPr>
            <w:tcW w:w="700" w:type="dxa"/>
            <w:vAlign w:val="bottom"/>
            <w:shd w:val="clear" w:color="auto" w:fill="E6E7E7"/>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7E7"/>
          </w:tcPr>
          <w:p>
            <w:pPr>
              <w:spacing w:after="0"/>
              <w:rPr>
                <w:sz w:val="17"/>
                <w:szCs w:val="17"/>
                <w:color w:val="auto"/>
              </w:rPr>
            </w:pPr>
          </w:p>
        </w:tc>
        <w:tc>
          <w:tcPr>
            <w:tcW w:w="660" w:type="dxa"/>
            <w:vAlign w:val="bottom"/>
            <w:shd w:val="clear" w:color="auto" w:fill="E6E7E7"/>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6E7E7"/>
          </w:tcPr>
          <w:p>
            <w:pPr>
              <w:spacing w:after="0"/>
              <w:rPr>
                <w:sz w:val="17"/>
                <w:szCs w:val="17"/>
                <w:color w:val="auto"/>
              </w:rPr>
            </w:pPr>
          </w:p>
        </w:tc>
        <w:tc>
          <w:tcPr>
            <w:tcW w:w="980" w:type="dxa"/>
            <w:vAlign w:val="bottom"/>
            <w:shd w:val="clear" w:color="auto" w:fill="E6E7E7"/>
          </w:tcPr>
          <w:p>
            <w:pPr>
              <w:jc w:val="right"/>
              <w:ind w:right="73"/>
              <w:spacing w:after="0" w:line="202" w:lineRule="exact"/>
              <w:rPr>
                <w:sz w:val="20"/>
                <w:szCs w:val="20"/>
                <w:color w:val="auto"/>
              </w:rPr>
            </w:pPr>
            <w:r>
              <w:rPr>
                <w:rFonts w:ascii="Arial" w:cs="Arial" w:eastAsia="Arial" w:hAnsi="Arial"/>
                <w:sz w:val="18"/>
                <w:szCs w:val="18"/>
                <w:color w:val="auto"/>
              </w:rPr>
              <w:t>102</w:t>
            </w:r>
          </w:p>
        </w:tc>
        <w:tc>
          <w:tcPr>
            <w:tcW w:w="240" w:type="dxa"/>
            <w:vAlign w:val="bottom"/>
            <w:shd w:val="clear" w:color="auto" w:fill="E6E7E7"/>
          </w:tcPr>
          <w:p>
            <w:pPr>
              <w:spacing w:after="0"/>
              <w:rPr>
                <w:sz w:val="17"/>
                <w:szCs w:val="17"/>
                <w:color w:val="auto"/>
              </w:rPr>
            </w:pPr>
          </w:p>
        </w:tc>
        <w:tc>
          <w:tcPr>
            <w:tcW w:w="1460" w:type="dxa"/>
            <w:vAlign w:val="bottom"/>
            <w:gridSpan w:val="2"/>
            <w:shd w:val="clear" w:color="auto" w:fill="E6E7E7"/>
          </w:tcPr>
          <w:p>
            <w:pPr>
              <w:jc w:val="right"/>
              <w:ind w:righ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4340" w:type="dxa"/>
            <w:vAlign w:val="bottom"/>
          </w:tcPr>
          <w:p>
            <w:pPr>
              <w:ind w:left="420"/>
              <w:spacing w:after="0" w:line="202" w:lineRule="exact"/>
              <w:rPr>
                <w:sz w:val="20"/>
                <w:szCs w:val="20"/>
                <w:color w:val="auto"/>
              </w:rPr>
            </w:pPr>
            <w:r>
              <w:rPr>
                <w:rFonts w:ascii="Arial" w:cs="Arial" w:eastAsia="Arial" w:hAnsi="Arial"/>
                <w:sz w:val="18"/>
                <w:szCs w:val="18"/>
                <w:color w:val="auto"/>
              </w:rPr>
              <w:t>Unearned compensation amortization</w:t>
            </w:r>
          </w:p>
        </w:tc>
        <w:tc>
          <w:tcPr>
            <w:tcW w:w="14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9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640" w:type="dxa"/>
            <w:vAlign w:val="bottom"/>
          </w:tcPr>
          <w:p>
            <w:pPr>
              <w:spacing w:after="0"/>
              <w:rPr>
                <w:sz w:val="17"/>
                <w:szCs w:val="17"/>
                <w:color w:val="auto"/>
              </w:rPr>
            </w:pPr>
          </w:p>
        </w:tc>
      </w:tr>
      <w:tr>
        <w:trPr>
          <w:trHeight w:val="203"/>
        </w:trPr>
        <w:tc>
          <w:tcPr>
            <w:tcW w:w="434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Other</w:t>
            </w:r>
          </w:p>
        </w:tc>
        <w:tc>
          <w:tcPr>
            <w:tcW w:w="140" w:type="dxa"/>
            <w:vAlign w:val="bottom"/>
            <w:shd w:val="clear" w:color="auto" w:fill="E6E7E7"/>
          </w:tcPr>
          <w:p>
            <w:pPr>
              <w:spacing w:after="0"/>
              <w:rPr>
                <w:sz w:val="17"/>
                <w:szCs w:val="17"/>
                <w:color w:val="auto"/>
              </w:rPr>
            </w:pPr>
          </w:p>
        </w:tc>
        <w:tc>
          <w:tcPr>
            <w:tcW w:w="700" w:type="dxa"/>
            <w:vAlign w:val="bottom"/>
            <w:tcBorders>
              <w:bottom w:val="single" w:sz="8" w:color="auto"/>
            </w:tcBorders>
            <w:shd w:val="clear" w:color="auto" w:fill="E6E7E7"/>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E6E7E7"/>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6E7E7"/>
          </w:tcPr>
          <w:p>
            <w:pPr>
              <w:spacing w:after="0"/>
              <w:rPr>
                <w:sz w:val="17"/>
                <w:szCs w:val="17"/>
                <w:color w:val="auto"/>
              </w:rPr>
            </w:pPr>
          </w:p>
        </w:tc>
        <w:tc>
          <w:tcPr>
            <w:tcW w:w="700" w:type="dxa"/>
            <w:vAlign w:val="bottom"/>
            <w:tcBorders>
              <w:bottom w:val="single" w:sz="8" w:color="auto"/>
            </w:tcBorders>
            <w:shd w:val="clear" w:color="auto" w:fill="E6E7E7"/>
          </w:tcPr>
          <w:p>
            <w:pPr>
              <w:jc w:val="right"/>
              <w:ind w:right="72"/>
              <w:spacing w:after="0" w:line="202" w:lineRule="exact"/>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shd w:val="clear" w:color="auto" w:fill="E6E7E7"/>
          </w:tcPr>
          <w:p>
            <w:pPr>
              <w:spacing w:after="0"/>
              <w:rPr>
                <w:sz w:val="17"/>
                <w:szCs w:val="17"/>
                <w:color w:val="auto"/>
              </w:rPr>
            </w:pPr>
          </w:p>
        </w:tc>
        <w:tc>
          <w:tcPr>
            <w:tcW w:w="660" w:type="dxa"/>
            <w:vAlign w:val="bottom"/>
            <w:tcBorders>
              <w:bottom w:val="single" w:sz="8" w:color="auto"/>
            </w:tcBorders>
            <w:shd w:val="clear" w:color="auto" w:fill="E6E7E7"/>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6E7E7"/>
          </w:tcPr>
          <w:p>
            <w:pPr>
              <w:spacing w:after="0"/>
              <w:rPr>
                <w:sz w:val="17"/>
                <w:szCs w:val="17"/>
                <w:color w:val="auto"/>
              </w:rPr>
            </w:pPr>
          </w:p>
        </w:tc>
        <w:tc>
          <w:tcPr>
            <w:tcW w:w="980" w:type="dxa"/>
            <w:vAlign w:val="bottom"/>
            <w:tcBorders>
              <w:bottom w:val="single" w:sz="8" w:color="auto"/>
            </w:tcBorders>
            <w:shd w:val="clear" w:color="auto" w:fill="E6E7E7"/>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6E7E7"/>
          </w:tcPr>
          <w:p>
            <w:pPr>
              <w:spacing w:after="0"/>
              <w:rPr>
                <w:sz w:val="17"/>
                <w:szCs w:val="17"/>
                <w:color w:val="auto"/>
              </w:rPr>
            </w:pPr>
          </w:p>
        </w:tc>
        <w:tc>
          <w:tcPr>
            <w:tcW w:w="82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E6E7E7"/>
          </w:tcPr>
          <w:p>
            <w:pPr>
              <w:spacing w:after="0"/>
              <w:rPr>
                <w:sz w:val="17"/>
                <w:szCs w:val="17"/>
                <w:color w:val="auto"/>
              </w:rPr>
            </w:pPr>
          </w:p>
        </w:tc>
      </w:tr>
      <w:tr>
        <w:trPr>
          <w:trHeight w:val="217"/>
        </w:trPr>
        <w:tc>
          <w:tcPr>
            <w:tcW w:w="4340" w:type="dxa"/>
            <w:vAlign w:val="bottom"/>
          </w:tcPr>
          <w:p>
            <w:pPr>
              <w:ind w:left="200"/>
              <w:spacing w:after="0"/>
              <w:rPr>
                <w:sz w:val="20"/>
                <w:szCs w:val="20"/>
                <w:color w:val="auto"/>
              </w:rPr>
            </w:pPr>
            <w:r>
              <w:rPr>
                <w:rFonts w:ascii="Arial" w:cs="Arial" w:eastAsia="Arial" w:hAnsi="Arial"/>
                <w:sz w:val="18"/>
                <w:szCs w:val="18"/>
                <w:color w:val="auto"/>
              </w:rPr>
              <w:t>Balance, December 31, 2005</w:t>
            </w:r>
          </w:p>
        </w:tc>
        <w:tc>
          <w:tcPr>
            <w:tcW w:w="840" w:type="dxa"/>
            <w:vAlign w:val="bottom"/>
            <w:gridSpan w:val="2"/>
          </w:tcPr>
          <w:p>
            <w:pPr>
              <w:jc w:val="right"/>
              <w:ind w:right="13"/>
              <w:spacing w:after="0"/>
              <w:rPr>
                <w:sz w:val="20"/>
                <w:szCs w:val="20"/>
                <w:color w:val="auto"/>
              </w:rPr>
            </w:pPr>
            <w:r>
              <w:rPr>
                <w:rFonts w:ascii="Arial" w:cs="Arial" w:eastAsia="Arial" w:hAnsi="Arial"/>
                <w:sz w:val="18"/>
                <w:szCs w:val="18"/>
                <w:color w:val="auto"/>
              </w:rPr>
              <w:t>1,739</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742</w:t>
            </w:r>
          </w:p>
        </w:tc>
        <w:tc>
          <w:tcPr>
            <w:tcW w:w="220" w:type="dxa"/>
            <w:vAlign w:val="bottom"/>
          </w:tcPr>
          <w:p>
            <w:pPr>
              <w:spacing w:after="0"/>
              <w:rPr>
                <w:sz w:val="18"/>
                <w:szCs w:val="18"/>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w w:val="94"/>
              </w:rPr>
              <w:t>13,394</w:t>
            </w:r>
          </w:p>
        </w:tc>
        <w:tc>
          <w:tcPr>
            <w:tcW w:w="22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w w:val="94"/>
              </w:rPr>
              <w:t>(3,856)</w:t>
            </w:r>
          </w:p>
        </w:tc>
        <w:tc>
          <w:tcPr>
            <w:tcW w:w="320" w:type="dxa"/>
            <w:vAlign w:val="bottom"/>
          </w:tcPr>
          <w:p>
            <w:pPr>
              <w:spacing w:after="0"/>
              <w:rPr>
                <w:sz w:val="18"/>
                <w:szCs w:val="18"/>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(1)</w:t>
            </w:r>
          </w:p>
        </w:tc>
      </w:tr>
      <w:tr>
        <w:trPr>
          <w:trHeight w:val="203"/>
        </w:trPr>
        <w:tc>
          <w:tcPr>
            <w:tcW w:w="434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b w:val="1"/>
                <w:bCs w:val="1"/>
                <w:color w:val="auto"/>
              </w:rPr>
              <w:t>Net income</w:t>
            </w:r>
          </w:p>
        </w:tc>
        <w:tc>
          <w:tcPr>
            <w:tcW w:w="140" w:type="dxa"/>
            <w:vAlign w:val="bottom"/>
            <w:shd w:val="clear" w:color="auto" w:fill="E6E7E7"/>
          </w:tcPr>
          <w:p>
            <w:pPr>
              <w:spacing w:after="0"/>
              <w:rPr>
                <w:sz w:val="17"/>
                <w:szCs w:val="17"/>
                <w:color w:val="auto"/>
              </w:rPr>
            </w:pPr>
          </w:p>
        </w:tc>
        <w:tc>
          <w:tcPr>
            <w:tcW w:w="700" w:type="dxa"/>
            <w:vAlign w:val="bottom"/>
            <w:tcBorders>
              <w:top w:val="single" w:sz="8" w:color="auto"/>
            </w:tcBorders>
            <w:shd w:val="clear" w:color="auto" w:fill="E6E7E7"/>
          </w:tcPr>
          <w:p>
            <w:pPr>
              <w:jc w:val="right"/>
              <w:ind w:right="13"/>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shd w:val="clear" w:color="auto" w:fill="E6E7E7"/>
          </w:tcPr>
          <w:p>
            <w:pPr>
              <w:jc w:val="right"/>
              <w:ind w:right="73"/>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shd w:val="clear" w:color="auto" w:fill="E6E7E7"/>
          </w:tcPr>
          <w:p>
            <w:pPr>
              <w:spacing w:after="0"/>
              <w:rPr>
                <w:sz w:val="17"/>
                <w:szCs w:val="17"/>
                <w:color w:val="auto"/>
              </w:rPr>
            </w:pPr>
          </w:p>
        </w:tc>
        <w:tc>
          <w:tcPr>
            <w:tcW w:w="700" w:type="dxa"/>
            <w:vAlign w:val="bottom"/>
            <w:tcBorders>
              <w:top w:val="single" w:sz="8" w:color="auto"/>
            </w:tcBorders>
            <w:shd w:val="clear" w:color="auto" w:fill="E6E7E7"/>
          </w:tcPr>
          <w:p>
            <w:pPr>
              <w:jc w:val="right"/>
              <w:ind w:right="72"/>
              <w:spacing w:after="0" w:line="202" w:lineRule="exact"/>
              <w:rPr>
                <w:sz w:val="20"/>
                <w:szCs w:val="20"/>
                <w:color w:val="auto"/>
              </w:rPr>
            </w:pPr>
            <w:r>
              <w:rPr>
                <w:rFonts w:ascii="Arial" w:cs="Arial" w:eastAsia="Arial" w:hAnsi="Arial"/>
                <w:sz w:val="18"/>
                <w:szCs w:val="18"/>
                <w:b w:val="1"/>
                <w:bCs w:val="1"/>
                <w:color w:val="auto"/>
              </w:rPr>
              <w:t>4,341</w:t>
            </w:r>
          </w:p>
        </w:tc>
        <w:tc>
          <w:tcPr>
            <w:tcW w:w="220" w:type="dxa"/>
            <w:vAlign w:val="bottom"/>
            <w:tcBorders>
              <w:top w:val="single" w:sz="8" w:color="auto"/>
            </w:tcBorders>
            <w:shd w:val="clear" w:color="auto" w:fill="E6E7E7"/>
          </w:tcPr>
          <w:p>
            <w:pPr>
              <w:spacing w:after="0"/>
              <w:rPr>
                <w:sz w:val="17"/>
                <w:szCs w:val="17"/>
                <w:color w:val="auto"/>
              </w:rPr>
            </w:pPr>
          </w:p>
        </w:tc>
        <w:tc>
          <w:tcPr>
            <w:tcW w:w="660" w:type="dxa"/>
            <w:vAlign w:val="bottom"/>
            <w:tcBorders>
              <w:top w:val="single" w:sz="8" w:color="auto"/>
            </w:tcBorders>
            <w:shd w:val="clear" w:color="auto" w:fill="E6E7E7"/>
          </w:tcPr>
          <w:p>
            <w:pPr>
              <w:jc w:val="right"/>
              <w:ind w:right="73"/>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tcBorders>
            <w:shd w:val="clear" w:color="auto" w:fill="E6E7E7"/>
          </w:tcPr>
          <w:p>
            <w:pPr>
              <w:spacing w:after="0"/>
              <w:rPr>
                <w:sz w:val="17"/>
                <w:szCs w:val="17"/>
                <w:color w:val="auto"/>
              </w:rPr>
            </w:pPr>
          </w:p>
        </w:tc>
        <w:tc>
          <w:tcPr>
            <w:tcW w:w="980" w:type="dxa"/>
            <w:vAlign w:val="bottom"/>
            <w:tcBorders>
              <w:top w:val="single" w:sz="8" w:color="auto"/>
            </w:tcBorders>
            <w:shd w:val="clear" w:color="auto" w:fill="E6E7E7"/>
          </w:tcPr>
          <w:p>
            <w:pPr>
              <w:jc w:val="right"/>
              <w:ind w:right="73"/>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auto"/>
            </w:tcBorders>
            <w:shd w:val="clear" w:color="auto" w:fill="E6E7E7"/>
          </w:tcPr>
          <w:p>
            <w:pPr>
              <w:spacing w:after="0"/>
              <w:rPr>
                <w:sz w:val="17"/>
                <w:szCs w:val="17"/>
                <w:color w:val="auto"/>
              </w:rPr>
            </w:pPr>
          </w:p>
        </w:tc>
        <w:tc>
          <w:tcPr>
            <w:tcW w:w="820" w:type="dxa"/>
            <w:vAlign w:val="bottom"/>
            <w:tcBorders>
              <w:top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E6E7E7"/>
          </w:tcPr>
          <w:p>
            <w:pPr>
              <w:spacing w:after="0"/>
              <w:rPr>
                <w:sz w:val="17"/>
                <w:szCs w:val="17"/>
                <w:color w:val="auto"/>
              </w:rPr>
            </w:pPr>
          </w:p>
        </w:tc>
      </w:tr>
      <w:tr>
        <w:trPr>
          <w:trHeight w:val="184"/>
        </w:trPr>
        <w:tc>
          <w:tcPr>
            <w:tcW w:w="4340" w:type="dxa"/>
            <w:vAlign w:val="bottom"/>
          </w:tcPr>
          <w:p>
            <w:pPr>
              <w:ind w:left="420"/>
              <w:spacing w:after="0" w:line="184" w:lineRule="exact"/>
              <w:rPr>
                <w:sz w:val="20"/>
                <w:szCs w:val="20"/>
                <w:color w:val="auto"/>
              </w:rPr>
            </w:pPr>
            <w:r>
              <w:rPr>
                <w:rFonts w:ascii="Arial" w:cs="Arial" w:eastAsia="Arial" w:hAnsi="Arial"/>
                <w:sz w:val="18"/>
                <w:szCs w:val="18"/>
                <w:b w:val="1"/>
                <w:bCs w:val="1"/>
                <w:color w:val="auto"/>
              </w:rPr>
              <w:t>Dividends declared on common stock ($.130</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21"/>
        </w:trPr>
        <w:tc>
          <w:tcPr>
            <w:tcW w:w="4340" w:type="dxa"/>
            <w:vAlign w:val="bottom"/>
          </w:tcPr>
          <w:p>
            <w:pPr>
              <w:ind w:left="640"/>
              <w:spacing w:after="0"/>
              <w:rPr>
                <w:sz w:val="20"/>
                <w:szCs w:val="20"/>
                <w:color w:val="auto"/>
              </w:rPr>
            </w:pPr>
            <w:r>
              <w:rPr>
                <w:rFonts w:ascii="Arial" w:cs="Arial" w:eastAsia="Arial" w:hAnsi="Arial"/>
                <w:sz w:val="18"/>
                <w:szCs w:val="18"/>
                <w:b w:val="1"/>
                <w:bCs w:val="1"/>
                <w:color w:val="auto"/>
              </w:rPr>
              <w:t>per share)</w:t>
            </w:r>
          </w:p>
        </w:tc>
        <w:tc>
          <w:tcPr>
            <w:tcW w:w="14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73"/>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b w:val="1"/>
                <w:bCs w:val="1"/>
                <w:color w:val="auto"/>
              </w:rPr>
              <w:t>(199)</w:t>
            </w:r>
          </w:p>
        </w:tc>
        <w:tc>
          <w:tcPr>
            <w:tcW w:w="220" w:type="dxa"/>
            <w:vAlign w:val="bottom"/>
          </w:tcPr>
          <w:p>
            <w:pPr>
              <w:spacing w:after="0"/>
              <w:rPr>
                <w:sz w:val="19"/>
                <w:szCs w:val="19"/>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w:t>
            </w:r>
          </w:p>
        </w:tc>
      </w:tr>
      <w:tr>
        <w:trPr>
          <w:trHeight w:val="184"/>
        </w:trPr>
        <w:tc>
          <w:tcPr>
            <w:tcW w:w="4340" w:type="dxa"/>
            <w:vAlign w:val="bottom"/>
            <w:shd w:val="clear" w:color="auto" w:fill="E6E7E7"/>
          </w:tcPr>
          <w:p>
            <w:pPr>
              <w:ind w:left="420"/>
              <w:spacing w:after="0" w:line="184" w:lineRule="exact"/>
              <w:rPr>
                <w:sz w:val="20"/>
                <w:szCs w:val="20"/>
                <w:color w:val="auto"/>
              </w:rPr>
            </w:pPr>
            <w:r>
              <w:rPr>
                <w:rFonts w:ascii="Arial" w:cs="Arial" w:eastAsia="Arial" w:hAnsi="Arial"/>
                <w:sz w:val="18"/>
                <w:szCs w:val="18"/>
                <w:b w:val="1"/>
                <w:bCs w:val="1"/>
                <w:color w:val="auto"/>
              </w:rPr>
              <w:t>Common stock issued on exercise of stock</w:t>
            </w:r>
          </w:p>
        </w:tc>
        <w:tc>
          <w:tcPr>
            <w:tcW w:w="140" w:type="dxa"/>
            <w:vAlign w:val="bottom"/>
            <w:shd w:val="clear" w:color="auto" w:fill="E6E7E7"/>
          </w:tcPr>
          <w:p>
            <w:pPr>
              <w:spacing w:after="0"/>
              <w:rPr>
                <w:sz w:val="15"/>
                <w:szCs w:val="15"/>
                <w:color w:val="auto"/>
              </w:rPr>
            </w:pPr>
          </w:p>
        </w:tc>
        <w:tc>
          <w:tcPr>
            <w:tcW w:w="700" w:type="dxa"/>
            <w:vAlign w:val="bottom"/>
            <w:shd w:val="clear" w:color="auto" w:fill="E6E7E7"/>
          </w:tcPr>
          <w:p>
            <w:pPr>
              <w:spacing w:after="0"/>
              <w:rPr>
                <w:sz w:val="15"/>
                <w:szCs w:val="15"/>
                <w:color w:val="auto"/>
              </w:rPr>
            </w:pPr>
          </w:p>
        </w:tc>
        <w:tc>
          <w:tcPr>
            <w:tcW w:w="740" w:type="dxa"/>
            <w:vAlign w:val="bottom"/>
            <w:shd w:val="clear" w:color="auto" w:fill="E6E7E7"/>
          </w:tcPr>
          <w:p>
            <w:pPr>
              <w:spacing w:after="0"/>
              <w:rPr>
                <w:sz w:val="15"/>
                <w:szCs w:val="15"/>
                <w:color w:val="auto"/>
              </w:rPr>
            </w:pPr>
          </w:p>
        </w:tc>
        <w:tc>
          <w:tcPr>
            <w:tcW w:w="220" w:type="dxa"/>
            <w:vAlign w:val="bottom"/>
            <w:shd w:val="clear" w:color="auto" w:fill="E6E7E7"/>
          </w:tcPr>
          <w:p>
            <w:pPr>
              <w:spacing w:after="0"/>
              <w:rPr>
                <w:sz w:val="15"/>
                <w:szCs w:val="15"/>
                <w:color w:val="auto"/>
              </w:rPr>
            </w:pPr>
          </w:p>
        </w:tc>
        <w:tc>
          <w:tcPr>
            <w:tcW w:w="700" w:type="dxa"/>
            <w:vAlign w:val="bottom"/>
            <w:shd w:val="clear" w:color="auto" w:fill="E6E7E7"/>
          </w:tcPr>
          <w:p>
            <w:pPr>
              <w:spacing w:after="0"/>
              <w:rPr>
                <w:sz w:val="15"/>
                <w:szCs w:val="15"/>
                <w:color w:val="auto"/>
              </w:rPr>
            </w:pPr>
          </w:p>
        </w:tc>
        <w:tc>
          <w:tcPr>
            <w:tcW w:w="220" w:type="dxa"/>
            <w:vAlign w:val="bottom"/>
            <w:shd w:val="clear" w:color="auto" w:fill="E6E7E7"/>
          </w:tcPr>
          <w:p>
            <w:pPr>
              <w:spacing w:after="0"/>
              <w:rPr>
                <w:sz w:val="15"/>
                <w:szCs w:val="15"/>
                <w:color w:val="auto"/>
              </w:rPr>
            </w:pPr>
          </w:p>
        </w:tc>
        <w:tc>
          <w:tcPr>
            <w:tcW w:w="660" w:type="dxa"/>
            <w:vAlign w:val="bottom"/>
            <w:shd w:val="clear" w:color="auto" w:fill="E6E7E7"/>
          </w:tcPr>
          <w:p>
            <w:pPr>
              <w:spacing w:after="0"/>
              <w:rPr>
                <w:sz w:val="15"/>
                <w:szCs w:val="15"/>
                <w:color w:val="auto"/>
              </w:rPr>
            </w:pPr>
          </w:p>
        </w:tc>
        <w:tc>
          <w:tcPr>
            <w:tcW w:w="320" w:type="dxa"/>
            <w:vAlign w:val="bottom"/>
            <w:shd w:val="clear" w:color="auto" w:fill="E6E7E7"/>
          </w:tcPr>
          <w:p>
            <w:pPr>
              <w:spacing w:after="0"/>
              <w:rPr>
                <w:sz w:val="15"/>
                <w:szCs w:val="15"/>
                <w:color w:val="auto"/>
              </w:rPr>
            </w:pPr>
          </w:p>
        </w:tc>
        <w:tc>
          <w:tcPr>
            <w:tcW w:w="980" w:type="dxa"/>
            <w:vAlign w:val="bottom"/>
            <w:shd w:val="clear" w:color="auto" w:fill="E6E7E7"/>
          </w:tcPr>
          <w:p>
            <w:pPr>
              <w:spacing w:after="0"/>
              <w:rPr>
                <w:sz w:val="15"/>
                <w:szCs w:val="15"/>
                <w:color w:val="auto"/>
              </w:rPr>
            </w:pPr>
          </w:p>
        </w:tc>
        <w:tc>
          <w:tcPr>
            <w:tcW w:w="240" w:type="dxa"/>
            <w:vAlign w:val="bottom"/>
            <w:shd w:val="clear" w:color="auto" w:fill="E6E7E7"/>
          </w:tcPr>
          <w:p>
            <w:pPr>
              <w:spacing w:after="0"/>
              <w:rPr>
                <w:sz w:val="15"/>
                <w:szCs w:val="15"/>
                <w:color w:val="auto"/>
              </w:rPr>
            </w:pPr>
          </w:p>
        </w:tc>
        <w:tc>
          <w:tcPr>
            <w:tcW w:w="820" w:type="dxa"/>
            <w:vAlign w:val="bottom"/>
            <w:shd w:val="clear" w:color="auto" w:fill="E6E7E7"/>
          </w:tcPr>
          <w:p>
            <w:pPr>
              <w:spacing w:after="0"/>
              <w:rPr>
                <w:sz w:val="15"/>
                <w:szCs w:val="15"/>
                <w:color w:val="auto"/>
              </w:rPr>
            </w:pPr>
          </w:p>
        </w:tc>
        <w:tc>
          <w:tcPr>
            <w:tcW w:w="640" w:type="dxa"/>
            <w:vAlign w:val="bottom"/>
            <w:shd w:val="clear" w:color="auto" w:fill="E6E7E7"/>
          </w:tcPr>
          <w:p>
            <w:pPr>
              <w:spacing w:after="0"/>
              <w:rPr>
                <w:sz w:val="15"/>
                <w:szCs w:val="15"/>
                <w:color w:val="auto"/>
              </w:rPr>
            </w:pPr>
          </w:p>
        </w:tc>
      </w:tr>
      <w:tr>
        <w:trPr>
          <w:trHeight w:val="221"/>
        </w:trPr>
        <w:tc>
          <w:tcPr>
            <w:tcW w:w="4340" w:type="dxa"/>
            <w:vAlign w:val="bottom"/>
            <w:shd w:val="clear" w:color="auto" w:fill="E6E7E7"/>
          </w:tcPr>
          <w:p>
            <w:pPr>
              <w:ind w:left="640"/>
              <w:spacing w:after="0"/>
              <w:rPr>
                <w:sz w:val="20"/>
                <w:szCs w:val="20"/>
                <w:color w:val="auto"/>
              </w:rPr>
            </w:pPr>
            <w:r>
              <w:rPr>
                <w:rFonts w:ascii="Arial" w:cs="Arial" w:eastAsia="Arial" w:hAnsi="Arial"/>
                <w:sz w:val="18"/>
                <w:szCs w:val="18"/>
                <w:b w:val="1"/>
                <w:bCs w:val="1"/>
                <w:color w:val="auto"/>
              </w:rPr>
              <w:t>options</w:t>
            </w:r>
          </w:p>
        </w:tc>
        <w:tc>
          <w:tcPr>
            <w:tcW w:w="140" w:type="dxa"/>
            <w:vAlign w:val="bottom"/>
            <w:shd w:val="clear" w:color="auto" w:fill="E6E7E7"/>
          </w:tcPr>
          <w:p>
            <w:pPr>
              <w:spacing w:after="0"/>
              <w:rPr>
                <w:sz w:val="19"/>
                <w:szCs w:val="19"/>
                <w:color w:val="auto"/>
              </w:rPr>
            </w:pPr>
          </w:p>
        </w:tc>
        <w:tc>
          <w:tcPr>
            <w:tcW w:w="700" w:type="dxa"/>
            <w:vAlign w:val="bottom"/>
            <w:shd w:val="clear" w:color="auto" w:fill="E6E7E7"/>
          </w:tcPr>
          <w:p>
            <w:pPr>
              <w:jc w:val="right"/>
              <w:ind w:right="13"/>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6E7E7"/>
          </w:tcPr>
          <w:p>
            <w:pPr>
              <w:jc w:val="right"/>
              <w:ind w:right="13"/>
              <w:spacing w:after="0"/>
              <w:rPr>
                <w:sz w:val="20"/>
                <w:szCs w:val="20"/>
                <w:color w:val="auto"/>
              </w:rPr>
            </w:pPr>
            <w:r>
              <w:rPr>
                <w:rFonts w:ascii="Arial" w:cs="Arial" w:eastAsia="Arial" w:hAnsi="Arial"/>
                <w:sz w:val="18"/>
                <w:szCs w:val="18"/>
                <w:b w:val="1"/>
                <w:bCs w:val="1"/>
                <w:color w:val="auto"/>
              </w:rPr>
              <w:t>(329)</w:t>
            </w:r>
          </w:p>
        </w:tc>
        <w:tc>
          <w:tcPr>
            <w:tcW w:w="220" w:type="dxa"/>
            <w:vAlign w:val="bottom"/>
            <w:shd w:val="clear" w:color="auto" w:fill="E6E7E7"/>
          </w:tcPr>
          <w:p>
            <w:pPr>
              <w:spacing w:after="0"/>
              <w:rPr>
                <w:sz w:val="19"/>
                <w:szCs w:val="19"/>
                <w:color w:val="auto"/>
              </w:rPr>
            </w:pPr>
          </w:p>
        </w:tc>
        <w:tc>
          <w:tcPr>
            <w:tcW w:w="700" w:type="dxa"/>
            <w:vAlign w:val="bottom"/>
            <w:shd w:val="clear" w:color="auto" w:fill="E6E7E7"/>
          </w:tcPr>
          <w:p>
            <w:pPr>
              <w:jc w:val="right"/>
              <w:ind w:right="72"/>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E6E7E7"/>
          </w:tcPr>
          <w:p>
            <w:pPr>
              <w:spacing w:after="0"/>
              <w:rPr>
                <w:sz w:val="19"/>
                <w:szCs w:val="19"/>
                <w:color w:val="auto"/>
              </w:rPr>
            </w:pPr>
          </w:p>
        </w:tc>
        <w:tc>
          <w:tcPr>
            <w:tcW w:w="660" w:type="dxa"/>
            <w:vAlign w:val="bottom"/>
            <w:shd w:val="clear" w:color="auto" w:fill="E6E7E7"/>
          </w:tcPr>
          <w:p>
            <w:pPr>
              <w:jc w:val="right"/>
              <w:ind w:right="73"/>
              <w:spacing w:after="0"/>
              <w:rPr>
                <w:sz w:val="20"/>
                <w:szCs w:val="20"/>
                <w:color w:val="auto"/>
              </w:rPr>
            </w:pPr>
            <w:r>
              <w:rPr>
                <w:rFonts w:ascii="Arial" w:cs="Arial" w:eastAsia="Arial" w:hAnsi="Arial"/>
                <w:sz w:val="18"/>
                <w:szCs w:val="18"/>
                <w:b w:val="1"/>
                <w:bCs w:val="1"/>
                <w:color w:val="auto"/>
              </w:rPr>
              <w:t>754</w:t>
            </w:r>
          </w:p>
        </w:tc>
        <w:tc>
          <w:tcPr>
            <w:tcW w:w="320" w:type="dxa"/>
            <w:vAlign w:val="bottom"/>
            <w:shd w:val="clear" w:color="auto" w:fill="E6E7E7"/>
          </w:tcPr>
          <w:p>
            <w:pPr>
              <w:spacing w:after="0"/>
              <w:rPr>
                <w:sz w:val="19"/>
                <w:szCs w:val="19"/>
                <w:color w:val="auto"/>
              </w:rPr>
            </w:pPr>
          </w:p>
        </w:tc>
        <w:tc>
          <w:tcPr>
            <w:tcW w:w="980" w:type="dxa"/>
            <w:vAlign w:val="bottom"/>
            <w:shd w:val="clear" w:color="auto" w:fill="E6E7E7"/>
          </w:tcPr>
          <w:p>
            <w:pPr>
              <w:jc w:val="right"/>
              <w:ind w:right="73"/>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E6E7E7"/>
          </w:tcPr>
          <w:p>
            <w:pPr>
              <w:spacing w:after="0"/>
              <w:rPr>
                <w:sz w:val="19"/>
                <w:szCs w:val="19"/>
                <w:color w:val="auto"/>
              </w:rPr>
            </w:pPr>
          </w:p>
        </w:tc>
        <w:tc>
          <w:tcPr>
            <w:tcW w:w="1460" w:type="dxa"/>
            <w:vAlign w:val="bottom"/>
            <w:gridSpan w:val="2"/>
            <w:shd w:val="clear" w:color="auto" w:fill="E6E7E7"/>
          </w:tcPr>
          <w:p>
            <w:pPr>
              <w:jc w:val="right"/>
              <w:ind w:right="660"/>
              <w:spacing w:after="0"/>
              <w:rPr>
                <w:sz w:val="20"/>
                <w:szCs w:val="20"/>
                <w:color w:val="auto"/>
              </w:rPr>
            </w:pPr>
            <w:r>
              <w:rPr>
                <w:rFonts w:ascii="Arial" w:cs="Arial" w:eastAsia="Arial" w:hAnsi="Arial"/>
                <w:sz w:val="18"/>
                <w:szCs w:val="18"/>
                <w:b w:val="1"/>
                <w:bCs w:val="1"/>
                <w:color w:val="auto"/>
              </w:rPr>
              <w:t>—</w:t>
            </w:r>
          </w:p>
        </w:tc>
      </w:tr>
      <w:tr>
        <w:trPr>
          <w:trHeight w:val="203"/>
        </w:trPr>
        <w:tc>
          <w:tcPr>
            <w:tcW w:w="4340" w:type="dxa"/>
            <w:vAlign w:val="bottom"/>
          </w:tcPr>
          <w:p>
            <w:pPr>
              <w:ind w:left="420"/>
              <w:spacing w:after="0" w:line="202" w:lineRule="exact"/>
              <w:rPr>
                <w:sz w:val="20"/>
                <w:szCs w:val="20"/>
                <w:color w:val="auto"/>
              </w:rPr>
            </w:pPr>
            <w:r>
              <w:rPr>
                <w:rFonts w:ascii="Arial" w:cs="Arial" w:eastAsia="Arial" w:hAnsi="Arial"/>
                <w:sz w:val="18"/>
                <w:szCs w:val="18"/>
                <w:b w:val="1"/>
                <w:bCs w:val="1"/>
                <w:color w:val="auto"/>
              </w:rPr>
              <w:t>Stock repurchases</w:t>
            </w:r>
          </w:p>
        </w:tc>
        <w:tc>
          <w:tcPr>
            <w:tcW w:w="14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70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w w:val="94"/>
              </w:rPr>
              <w:t>(5,328)</w:t>
            </w:r>
          </w:p>
        </w:tc>
        <w:tc>
          <w:tcPr>
            <w:tcW w:w="320" w:type="dxa"/>
            <w:vAlign w:val="bottom"/>
          </w:tcPr>
          <w:p>
            <w:pPr>
              <w:spacing w:after="0"/>
              <w:rPr>
                <w:sz w:val="17"/>
                <w:szCs w:val="17"/>
                <w:color w:val="auto"/>
              </w:rPr>
            </w:pPr>
          </w:p>
        </w:tc>
        <w:tc>
          <w:tcPr>
            <w:tcW w:w="98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146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434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b w:val="1"/>
                <w:bCs w:val="1"/>
                <w:color w:val="auto"/>
              </w:rPr>
              <w:t>Stock-based compensation transactions</w:t>
            </w:r>
          </w:p>
        </w:tc>
        <w:tc>
          <w:tcPr>
            <w:tcW w:w="140" w:type="dxa"/>
            <w:vAlign w:val="bottom"/>
            <w:shd w:val="clear" w:color="auto" w:fill="E6E7E7"/>
          </w:tcPr>
          <w:p>
            <w:pPr>
              <w:spacing w:after="0"/>
              <w:rPr>
                <w:sz w:val="17"/>
                <w:szCs w:val="17"/>
                <w:color w:val="auto"/>
              </w:rPr>
            </w:pPr>
          </w:p>
        </w:tc>
        <w:tc>
          <w:tcPr>
            <w:tcW w:w="700" w:type="dxa"/>
            <w:vAlign w:val="bottom"/>
            <w:shd w:val="clear" w:color="auto" w:fill="E6E7E7"/>
          </w:tcPr>
          <w:p>
            <w:pPr>
              <w:jc w:val="right"/>
              <w:ind w:right="13"/>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6E7E7"/>
          </w:tcPr>
          <w:p>
            <w:pPr>
              <w:jc w:val="right"/>
              <w:ind w:right="73"/>
              <w:spacing w:after="0" w:line="202" w:lineRule="exact"/>
              <w:rPr>
                <w:sz w:val="20"/>
                <w:szCs w:val="20"/>
                <w:color w:val="auto"/>
              </w:rPr>
            </w:pPr>
            <w:r>
              <w:rPr>
                <w:rFonts w:ascii="Arial" w:cs="Arial" w:eastAsia="Arial" w:hAnsi="Arial"/>
                <w:sz w:val="18"/>
                <w:szCs w:val="18"/>
                <w:b w:val="1"/>
                <w:bCs w:val="1"/>
                <w:color w:val="auto"/>
              </w:rPr>
              <w:t>332</w:t>
            </w:r>
          </w:p>
        </w:tc>
        <w:tc>
          <w:tcPr>
            <w:tcW w:w="220" w:type="dxa"/>
            <w:vAlign w:val="bottom"/>
            <w:shd w:val="clear" w:color="auto" w:fill="E6E7E7"/>
          </w:tcPr>
          <w:p>
            <w:pPr>
              <w:spacing w:after="0"/>
              <w:rPr>
                <w:sz w:val="17"/>
                <w:szCs w:val="17"/>
                <w:color w:val="auto"/>
              </w:rPr>
            </w:pPr>
          </w:p>
        </w:tc>
        <w:tc>
          <w:tcPr>
            <w:tcW w:w="700" w:type="dxa"/>
            <w:vAlign w:val="bottom"/>
            <w:shd w:val="clear" w:color="auto" w:fill="E6E7E7"/>
          </w:tcPr>
          <w:p>
            <w:pPr>
              <w:jc w:val="right"/>
              <w:ind w:right="72"/>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E6E7E7"/>
          </w:tcPr>
          <w:p>
            <w:pPr>
              <w:spacing w:after="0"/>
              <w:rPr>
                <w:sz w:val="17"/>
                <w:szCs w:val="17"/>
                <w:color w:val="auto"/>
              </w:rPr>
            </w:pPr>
          </w:p>
        </w:tc>
        <w:tc>
          <w:tcPr>
            <w:tcW w:w="660" w:type="dxa"/>
            <w:vAlign w:val="bottom"/>
            <w:shd w:val="clear" w:color="auto" w:fill="E6E7E7"/>
          </w:tcPr>
          <w:p>
            <w:pPr>
              <w:jc w:val="right"/>
              <w:ind w:right="73"/>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E6E7E7"/>
          </w:tcPr>
          <w:p>
            <w:pPr>
              <w:spacing w:after="0"/>
              <w:rPr>
                <w:sz w:val="17"/>
                <w:szCs w:val="17"/>
                <w:color w:val="auto"/>
              </w:rPr>
            </w:pPr>
          </w:p>
        </w:tc>
        <w:tc>
          <w:tcPr>
            <w:tcW w:w="980" w:type="dxa"/>
            <w:vAlign w:val="bottom"/>
            <w:shd w:val="clear" w:color="auto" w:fill="E6E7E7"/>
          </w:tcPr>
          <w:p>
            <w:pPr>
              <w:jc w:val="right"/>
              <w:ind w:right="73"/>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E6E7E7"/>
          </w:tcPr>
          <w:p>
            <w:pPr>
              <w:spacing w:after="0"/>
              <w:rPr>
                <w:sz w:val="17"/>
                <w:szCs w:val="17"/>
                <w:color w:val="auto"/>
              </w:rPr>
            </w:pPr>
          </w:p>
        </w:tc>
        <w:tc>
          <w:tcPr>
            <w:tcW w:w="1460" w:type="dxa"/>
            <w:vAlign w:val="bottom"/>
            <w:gridSpan w:val="2"/>
            <w:shd w:val="clear" w:color="auto" w:fill="E6E7E7"/>
          </w:tcPr>
          <w:p>
            <w:pPr>
              <w:jc w:val="right"/>
              <w:ind w:right="66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4340" w:type="dxa"/>
            <w:vAlign w:val="bottom"/>
          </w:tcPr>
          <w:p>
            <w:pPr>
              <w:ind w:left="420"/>
              <w:spacing w:after="0" w:line="202" w:lineRule="exact"/>
              <w:rPr>
                <w:sz w:val="20"/>
                <w:szCs w:val="20"/>
                <w:color w:val="auto"/>
              </w:rPr>
            </w:pPr>
            <w:r>
              <w:rPr>
                <w:rFonts w:ascii="Arial" w:cs="Arial" w:eastAsia="Arial" w:hAnsi="Arial"/>
                <w:sz w:val="18"/>
                <w:szCs w:val="18"/>
                <w:b w:val="1"/>
                <w:bCs w:val="1"/>
                <w:color w:val="auto"/>
              </w:rPr>
              <w:t>Tax benefit from exercise of options</w:t>
            </w:r>
          </w:p>
        </w:tc>
        <w:tc>
          <w:tcPr>
            <w:tcW w:w="14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146</w:t>
            </w:r>
          </w:p>
        </w:tc>
        <w:tc>
          <w:tcPr>
            <w:tcW w:w="220" w:type="dxa"/>
            <w:vAlign w:val="bottom"/>
          </w:tcPr>
          <w:p>
            <w:pPr>
              <w:spacing w:after="0"/>
              <w:rPr>
                <w:sz w:val="17"/>
                <w:szCs w:val="17"/>
                <w:color w:val="auto"/>
              </w:rPr>
            </w:pPr>
          </w:p>
        </w:tc>
        <w:tc>
          <w:tcPr>
            <w:tcW w:w="70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66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98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146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434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b w:val="1"/>
                <w:bCs w:val="1"/>
                <w:color w:val="auto"/>
              </w:rPr>
              <w:t>Other comprehensive income, net of tax</w:t>
            </w:r>
          </w:p>
        </w:tc>
        <w:tc>
          <w:tcPr>
            <w:tcW w:w="140" w:type="dxa"/>
            <w:vAlign w:val="bottom"/>
            <w:shd w:val="clear" w:color="auto" w:fill="E6E7E7"/>
          </w:tcPr>
          <w:p>
            <w:pPr>
              <w:spacing w:after="0"/>
              <w:rPr>
                <w:sz w:val="17"/>
                <w:szCs w:val="17"/>
                <w:color w:val="auto"/>
              </w:rPr>
            </w:pPr>
          </w:p>
        </w:tc>
        <w:tc>
          <w:tcPr>
            <w:tcW w:w="700" w:type="dxa"/>
            <w:vAlign w:val="bottom"/>
            <w:shd w:val="clear" w:color="auto" w:fill="E6E7E7"/>
          </w:tcPr>
          <w:p>
            <w:pPr>
              <w:jc w:val="right"/>
              <w:ind w:right="13"/>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6E7E7"/>
          </w:tcPr>
          <w:p>
            <w:pPr>
              <w:jc w:val="right"/>
              <w:ind w:right="73"/>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E6E7E7"/>
          </w:tcPr>
          <w:p>
            <w:pPr>
              <w:spacing w:after="0"/>
              <w:rPr>
                <w:sz w:val="17"/>
                <w:szCs w:val="17"/>
                <w:color w:val="auto"/>
              </w:rPr>
            </w:pPr>
          </w:p>
        </w:tc>
        <w:tc>
          <w:tcPr>
            <w:tcW w:w="700" w:type="dxa"/>
            <w:vAlign w:val="bottom"/>
            <w:shd w:val="clear" w:color="auto" w:fill="E6E7E7"/>
          </w:tcPr>
          <w:p>
            <w:pPr>
              <w:jc w:val="right"/>
              <w:ind w:right="72"/>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E6E7E7"/>
          </w:tcPr>
          <w:p>
            <w:pPr>
              <w:spacing w:after="0"/>
              <w:rPr>
                <w:sz w:val="17"/>
                <w:szCs w:val="17"/>
                <w:color w:val="auto"/>
              </w:rPr>
            </w:pPr>
          </w:p>
        </w:tc>
        <w:tc>
          <w:tcPr>
            <w:tcW w:w="660" w:type="dxa"/>
            <w:vAlign w:val="bottom"/>
            <w:shd w:val="clear" w:color="auto" w:fill="E6E7E7"/>
          </w:tcPr>
          <w:p>
            <w:pPr>
              <w:jc w:val="right"/>
              <w:ind w:right="73"/>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E6E7E7"/>
          </w:tcPr>
          <w:p>
            <w:pPr>
              <w:spacing w:after="0"/>
              <w:rPr>
                <w:sz w:val="17"/>
                <w:szCs w:val="17"/>
                <w:color w:val="auto"/>
              </w:rPr>
            </w:pPr>
          </w:p>
        </w:tc>
        <w:tc>
          <w:tcPr>
            <w:tcW w:w="980" w:type="dxa"/>
            <w:vAlign w:val="bottom"/>
            <w:shd w:val="clear" w:color="auto" w:fill="E6E7E7"/>
          </w:tcPr>
          <w:p>
            <w:pPr>
              <w:jc w:val="right"/>
              <w:ind w:right="73"/>
              <w:spacing w:after="0" w:line="202" w:lineRule="exact"/>
              <w:rPr>
                <w:sz w:val="20"/>
                <w:szCs w:val="20"/>
                <w:color w:val="auto"/>
              </w:rPr>
            </w:pPr>
            <w:r>
              <w:rPr>
                <w:rFonts w:ascii="Arial" w:cs="Arial" w:eastAsia="Arial" w:hAnsi="Arial"/>
                <w:sz w:val="18"/>
                <w:szCs w:val="18"/>
                <w:b w:val="1"/>
                <w:bCs w:val="1"/>
                <w:color w:val="auto"/>
              </w:rPr>
              <w:t>52</w:t>
            </w:r>
          </w:p>
        </w:tc>
        <w:tc>
          <w:tcPr>
            <w:tcW w:w="240" w:type="dxa"/>
            <w:vAlign w:val="bottom"/>
            <w:shd w:val="clear" w:color="auto" w:fill="E6E7E7"/>
          </w:tcPr>
          <w:p>
            <w:pPr>
              <w:spacing w:after="0"/>
              <w:rPr>
                <w:sz w:val="17"/>
                <w:szCs w:val="17"/>
                <w:color w:val="auto"/>
              </w:rPr>
            </w:pPr>
          </w:p>
        </w:tc>
        <w:tc>
          <w:tcPr>
            <w:tcW w:w="1460" w:type="dxa"/>
            <w:vAlign w:val="bottom"/>
            <w:gridSpan w:val="2"/>
            <w:shd w:val="clear" w:color="auto" w:fill="E6E7E7"/>
          </w:tcPr>
          <w:p>
            <w:pPr>
              <w:jc w:val="right"/>
              <w:ind w:right="660"/>
              <w:spacing w:after="0" w:line="202" w:lineRule="exact"/>
              <w:rPr>
                <w:sz w:val="20"/>
                <w:szCs w:val="20"/>
                <w:color w:val="auto"/>
              </w:rPr>
            </w:pPr>
            <w:r>
              <w:rPr>
                <w:rFonts w:ascii="Arial" w:cs="Arial" w:eastAsia="Arial" w:hAnsi="Arial"/>
                <w:sz w:val="18"/>
                <w:szCs w:val="18"/>
                <w:b w:val="1"/>
                <w:bCs w:val="1"/>
                <w:color w:val="auto"/>
              </w:rPr>
              <w:t>—</w:t>
            </w:r>
          </w:p>
        </w:tc>
      </w:tr>
      <w:tr>
        <w:trPr>
          <w:trHeight w:val="184"/>
        </w:trPr>
        <w:tc>
          <w:tcPr>
            <w:tcW w:w="4340" w:type="dxa"/>
            <w:vAlign w:val="bottom"/>
          </w:tcPr>
          <w:p>
            <w:pPr>
              <w:ind w:left="420"/>
              <w:spacing w:after="0" w:line="184" w:lineRule="exact"/>
              <w:rPr>
                <w:sz w:val="20"/>
                <w:szCs w:val="20"/>
                <w:color w:val="auto"/>
              </w:rPr>
            </w:pPr>
            <w:r>
              <w:rPr>
                <w:rFonts w:ascii="Arial" w:cs="Arial" w:eastAsia="Arial" w:hAnsi="Arial"/>
                <w:sz w:val="18"/>
                <w:szCs w:val="18"/>
                <w:b w:val="1"/>
                <w:bCs w:val="1"/>
                <w:color w:val="auto"/>
              </w:rPr>
              <w:t>Adjustment for implementation of</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21"/>
        </w:trPr>
        <w:tc>
          <w:tcPr>
            <w:tcW w:w="4340" w:type="dxa"/>
            <w:vAlign w:val="bottom"/>
          </w:tcPr>
          <w:p>
            <w:pPr>
              <w:ind w:left="640"/>
              <w:spacing w:after="0"/>
              <w:rPr>
                <w:sz w:val="20"/>
                <w:szCs w:val="20"/>
                <w:color w:val="auto"/>
              </w:rPr>
            </w:pPr>
            <w:r>
              <w:rPr>
                <w:rFonts w:ascii="Arial" w:cs="Arial" w:eastAsia="Arial" w:hAnsi="Arial"/>
                <w:sz w:val="18"/>
                <w:szCs w:val="18"/>
                <w:b w:val="1"/>
                <w:bCs w:val="1"/>
                <w:color w:val="auto"/>
              </w:rPr>
              <w:t>SFAS 158 (a)</w:t>
            </w:r>
          </w:p>
        </w:tc>
        <w:tc>
          <w:tcPr>
            <w:tcW w:w="14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73"/>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19"/>
                <w:szCs w:val="19"/>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b w:val="1"/>
                <w:bCs w:val="1"/>
                <w:color w:val="auto"/>
              </w:rPr>
              <w:t>(334)</w:t>
            </w:r>
          </w:p>
        </w:tc>
        <w:tc>
          <w:tcPr>
            <w:tcW w:w="240" w:type="dxa"/>
            <w:vAlign w:val="bottom"/>
          </w:tcPr>
          <w:p>
            <w:pPr>
              <w:spacing w:after="0"/>
              <w:rPr>
                <w:sz w:val="19"/>
                <w:szCs w:val="19"/>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w:t>
            </w:r>
          </w:p>
        </w:tc>
      </w:tr>
      <w:tr>
        <w:trPr>
          <w:trHeight w:val="203"/>
        </w:trPr>
        <w:tc>
          <w:tcPr>
            <w:tcW w:w="434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b w:val="1"/>
                <w:bCs w:val="1"/>
                <w:color w:val="auto"/>
              </w:rPr>
              <w:t>Unearned compensation amortization</w:t>
            </w:r>
          </w:p>
        </w:tc>
        <w:tc>
          <w:tcPr>
            <w:tcW w:w="140" w:type="dxa"/>
            <w:vAlign w:val="bottom"/>
            <w:shd w:val="clear" w:color="auto" w:fill="E6E7E7"/>
          </w:tcPr>
          <w:p>
            <w:pPr>
              <w:spacing w:after="0"/>
              <w:rPr>
                <w:sz w:val="17"/>
                <w:szCs w:val="17"/>
                <w:color w:val="auto"/>
              </w:rPr>
            </w:pPr>
          </w:p>
        </w:tc>
        <w:tc>
          <w:tcPr>
            <w:tcW w:w="700" w:type="dxa"/>
            <w:vAlign w:val="bottom"/>
            <w:shd w:val="clear" w:color="auto" w:fill="E6E7E7"/>
          </w:tcPr>
          <w:p>
            <w:pPr>
              <w:jc w:val="right"/>
              <w:ind w:right="13"/>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6E7E7"/>
          </w:tcPr>
          <w:p>
            <w:pPr>
              <w:jc w:val="right"/>
              <w:ind w:right="73"/>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E6E7E7"/>
          </w:tcPr>
          <w:p>
            <w:pPr>
              <w:spacing w:after="0"/>
              <w:rPr>
                <w:sz w:val="17"/>
                <w:szCs w:val="17"/>
                <w:color w:val="auto"/>
              </w:rPr>
            </w:pPr>
          </w:p>
        </w:tc>
        <w:tc>
          <w:tcPr>
            <w:tcW w:w="700" w:type="dxa"/>
            <w:vAlign w:val="bottom"/>
            <w:shd w:val="clear" w:color="auto" w:fill="E6E7E7"/>
          </w:tcPr>
          <w:p>
            <w:pPr>
              <w:jc w:val="right"/>
              <w:ind w:right="72"/>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E6E7E7"/>
          </w:tcPr>
          <w:p>
            <w:pPr>
              <w:spacing w:after="0"/>
              <w:rPr>
                <w:sz w:val="17"/>
                <w:szCs w:val="17"/>
                <w:color w:val="auto"/>
              </w:rPr>
            </w:pPr>
          </w:p>
        </w:tc>
        <w:tc>
          <w:tcPr>
            <w:tcW w:w="660" w:type="dxa"/>
            <w:vAlign w:val="bottom"/>
            <w:shd w:val="clear" w:color="auto" w:fill="E6E7E7"/>
          </w:tcPr>
          <w:p>
            <w:pPr>
              <w:jc w:val="right"/>
              <w:ind w:right="73"/>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E6E7E7"/>
          </w:tcPr>
          <w:p>
            <w:pPr>
              <w:spacing w:after="0"/>
              <w:rPr>
                <w:sz w:val="17"/>
                <w:szCs w:val="17"/>
                <w:color w:val="auto"/>
              </w:rPr>
            </w:pPr>
          </w:p>
        </w:tc>
        <w:tc>
          <w:tcPr>
            <w:tcW w:w="980" w:type="dxa"/>
            <w:vAlign w:val="bottom"/>
            <w:shd w:val="clear" w:color="auto" w:fill="E6E7E7"/>
          </w:tcPr>
          <w:p>
            <w:pPr>
              <w:jc w:val="right"/>
              <w:ind w:right="73"/>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E6E7E7"/>
          </w:tcPr>
          <w:p>
            <w:pPr>
              <w:spacing w:after="0"/>
              <w:rPr>
                <w:sz w:val="17"/>
                <w:szCs w:val="17"/>
                <w:color w:val="auto"/>
              </w:rPr>
            </w:pPr>
          </w:p>
        </w:tc>
        <w:tc>
          <w:tcPr>
            <w:tcW w:w="8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640" w:type="dxa"/>
            <w:vAlign w:val="bottom"/>
            <w:shd w:val="clear" w:color="auto" w:fill="E6E7E7"/>
          </w:tcPr>
          <w:p>
            <w:pPr>
              <w:spacing w:after="0"/>
              <w:rPr>
                <w:sz w:val="17"/>
                <w:szCs w:val="17"/>
                <w:color w:val="auto"/>
              </w:rPr>
            </w:pPr>
          </w:p>
        </w:tc>
      </w:tr>
      <w:tr>
        <w:trPr>
          <w:trHeight w:val="210"/>
        </w:trPr>
        <w:tc>
          <w:tcPr>
            <w:tcW w:w="4340" w:type="dxa"/>
            <w:vAlign w:val="bottom"/>
          </w:tcPr>
          <w:p>
            <w:pPr>
              <w:ind w:left="420"/>
              <w:spacing w:after="0" w:line="202" w:lineRule="exact"/>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18"/>
                <w:szCs w:val="18"/>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18"/>
                <w:szCs w:val="18"/>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18"/>
                <w:szCs w:val="18"/>
                <w:color w:val="auto"/>
              </w:rPr>
            </w:pPr>
          </w:p>
        </w:tc>
        <w:tc>
          <w:tcPr>
            <w:tcW w:w="66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98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46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434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b w:val="1"/>
                <w:bCs w:val="1"/>
                <w:color w:val="auto"/>
              </w:rPr>
              <w:t>Balance, December 31, 2006</w:t>
            </w:r>
          </w:p>
        </w:tc>
        <w:tc>
          <w:tcPr>
            <w:tcW w:w="140" w:type="dxa"/>
            <w:vAlign w:val="bottom"/>
            <w:shd w:val="clear" w:color="auto" w:fill="E6E7E7"/>
          </w:tcPr>
          <w:p>
            <w:pPr>
              <w:spacing w:after="0"/>
              <w:rPr>
                <w:sz w:val="17"/>
                <w:szCs w:val="17"/>
                <w:color w:val="auto"/>
              </w:rPr>
            </w:pPr>
          </w:p>
        </w:tc>
        <w:tc>
          <w:tcPr>
            <w:tcW w:w="700" w:type="dxa"/>
            <w:vAlign w:val="bottom"/>
            <w:tcBorders>
              <w:top w:val="single" w:sz="8" w:color="auto"/>
              <w:bottom w:val="single" w:sz="8" w:color="auto"/>
            </w:tcBorders>
            <w:shd w:val="clear" w:color="auto" w:fill="E6E7E7"/>
          </w:tcPr>
          <w:p>
            <w:pPr>
              <w:jc w:val="right"/>
              <w:ind w:right="13"/>
              <w:spacing w:after="0" w:line="202" w:lineRule="exact"/>
              <w:rPr>
                <w:sz w:val="20"/>
                <w:szCs w:val="20"/>
                <w:color w:val="auto"/>
              </w:rPr>
            </w:pPr>
            <w:r>
              <w:rPr>
                <w:rFonts w:ascii="Arial" w:cs="Arial" w:eastAsia="Arial" w:hAnsi="Arial"/>
                <w:sz w:val="18"/>
                <w:szCs w:val="18"/>
                <w:b w:val="1"/>
                <w:bCs w:val="1"/>
                <w:color w:val="auto"/>
                <w:w w:val="96"/>
              </w:rPr>
              <w:t>$ 1,739</w:t>
            </w:r>
          </w:p>
        </w:tc>
        <w:tc>
          <w:tcPr>
            <w:tcW w:w="740" w:type="dxa"/>
            <w:vAlign w:val="bottom"/>
            <w:tcBorders>
              <w:top w:val="single" w:sz="8" w:color="auto"/>
              <w:bottom w:val="single" w:sz="8" w:color="auto"/>
            </w:tcBorders>
            <w:shd w:val="clear" w:color="auto" w:fill="E6E7E7"/>
          </w:tcPr>
          <w:p>
            <w:pPr>
              <w:jc w:val="right"/>
              <w:ind w:right="73"/>
              <w:spacing w:after="0" w:line="202" w:lineRule="exact"/>
              <w:rPr>
                <w:sz w:val="20"/>
                <w:szCs w:val="20"/>
                <w:color w:val="auto"/>
              </w:rPr>
            </w:pPr>
            <w:r>
              <w:rPr>
                <w:rFonts w:ascii="Arial" w:cs="Arial" w:eastAsia="Arial" w:hAnsi="Arial"/>
                <w:sz w:val="18"/>
                <w:szCs w:val="18"/>
                <w:b w:val="1"/>
                <w:bCs w:val="1"/>
                <w:color w:val="auto"/>
              </w:rPr>
              <w:t>$ 885</w:t>
            </w:r>
          </w:p>
        </w:tc>
        <w:tc>
          <w:tcPr>
            <w:tcW w:w="220" w:type="dxa"/>
            <w:vAlign w:val="bottom"/>
            <w:tcBorders>
              <w:top w:val="single" w:sz="8" w:color="auto"/>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shd w:val="clear" w:color="auto" w:fill="E6E7E7"/>
          </w:tcPr>
          <w:p>
            <w:pPr>
              <w:jc w:val="right"/>
              <w:ind w:right="72"/>
              <w:spacing w:after="0" w:line="202" w:lineRule="exact"/>
              <w:rPr>
                <w:sz w:val="20"/>
                <w:szCs w:val="20"/>
                <w:color w:val="auto"/>
              </w:rPr>
            </w:pPr>
            <w:r>
              <w:rPr>
                <w:rFonts w:ascii="Arial" w:cs="Arial" w:eastAsia="Arial" w:hAnsi="Arial"/>
                <w:sz w:val="18"/>
                <w:szCs w:val="18"/>
                <w:b w:val="1"/>
                <w:bCs w:val="1"/>
                <w:color w:val="auto"/>
                <w:w w:val="94"/>
              </w:rPr>
              <w:t>17,529</w:t>
            </w:r>
          </w:p>
        </w:tc>
        <w:tc>
          <w:tcPr>
            <w:tcW w:w="220" w:type="dxa"/>
            <w:vAlign w:val="bottom"/>
            <w:tcBorders>
              <w:top w:val="single" w:sz="8" w:color="auto"/>
              <w:bottom w:val="single" w:sz="8" w:color="auto"/>
            </w:tcBorders>
            <w:shd w:val="clear" w:color="auto" w:fill="E6E7E7"/>
          </w:tcPr>
          <w:p>
            <w:pPr>
              <w:ind w:left="100"/>
              <w:spacing w:after="0" w:line="202" w:lineRule="exact"/>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shd w:val="clear" w:color="auto" w:fill="E6E7E7"/>
          </w:tcPr>
          <w:p>
            <w:pPr>
              <w:jc w:val="right"/>
              <w:ind w:right="13"/>
              <w:spacing w:after="0" w:line="202" w:lineRule="exact"/>
              <w:rPr>
                <w:sz w:val="20"/>
                <w:szCs w:val="20"/>
                <w:color w:val="auto"/>
              </w:rPr>
            </w:pPr>
            <w:r>
              <w:rPr>
                <w:rFonts w:ascii="Arial" w:cs="Arial" w:eastAsia="Arial" w:hAnsi="Arial"/>
                <w:sz w:val="18"/>
                <w:szCs w:val="18"/>
                <w:b w:val="1"/>
                <w:bCs w:val="1"/>
                <w:color w:val="auto"/>
                <w:w w:val="94"/>
              </w:rPr>
              <w:t>(8,430)</w:t>
            </w:r>
          </w:p>
        </w:tc>
        <w:tc>
          <w:tcPr>
            <w:tcW w:w="320" w:type="dxa"/>
            <w:vAlign w:val="bottom"/>
            <w:tcBorders>
              <w:top w:val="single" w:sz="8" w:color="auto"/>
              <w:bottom w:val="single" w:sz="8" w:color="auto"/>
            </w:tcBorders>
            <w:shd w:val="clear" w:color="auto" w:fill="E6E7E7"/>
          </w:tcPr>
          <w:p>
            <w:pPr>
              <w:jc w:val="right"/>
              <w:ind w:right="44"/>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shd w:val="clear" w:color="auto" w:fill="E6E7E7"/>
          </w:tcPr>
          <w:p>
            <w:pPr>
              <w:jc w:val="right"/>
              <w:ind w:right="13"/>
              <w:spacing w:after="0" w:line="202" w:lineRule="exact"/>
              <w:rPr>
                <w:sz w:val="20"/>
                <w:szCs w:val="20"/>
                <w:color w:val="auto"/>
              </w:rPr>
            </w:pPr>
            <w:r>
              <w:rPr>
                <w:rFonts w:ascii="Arial" w:cs="Arial" w:eastAsia="Arial" w:hAnsi="Arial"/>
                <w:sz w:val="18"/>
                <w:szCs w:val="18"/>
                <w:b w:val="1"/>
                <w:bCs w:val="1"/>
                <w:color w:val="auto"/>
              </w:rPr>
              <w:t>(363)</w:t>
            </w:r>
          </w:p>
        </w:tc>
        <w:tc>
          <w:tcPr>
            <w:tcW w:w="240" w:type="dxa"/>
            <w:vAlign w:val="bottom"/>
            <w:tcBorders>
              <w:top w:val="single" w:sz="8" w:color="auto"/>
              <w:bottom w:val="single" w:sz="8" w:color="auto"/>
            </w:tcBorders>
            <w:shd w:val="clear" w:color="auto" w:fill="E6E7E7"/>
          </w:tcPr>
          <w:p>
            <w:pPr>
              <w:ind w:left="10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E6E7E7"/>
          </w:tcPr>
          <w:p>
            <w:pPr>
              <w:spacing w:after="0"/>
              <w:rPr>
                <w:sz w:val="17"/>
                <w:szCs w:val="17"/>
                <w:color w:val="auto"/>
              </w:rPr>
            </w:pPr>
          </w:p>
        </w:tc>
      </w:tr>
      <w:tr>
        <w:trPr>
          <w:trHeight w:val="20"/>
        </w:trPr>
        <w:tc>
          <w:tcPr>
            <w:tcW w:w="4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00" w:right="820" w:hanging="431"/>
        <w:spacing w:after="0" w:line="231" w:lineRule="auto"/>
        <w:tabs>
          <w:tab w:leader="none" w:pos="883"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Reflects the impact of recording the funded status of pension and other postretirement plans and the change in measurement date of non-U.S. pension plans (see Note 10).</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See accompanying notes.</w:t>
      </w:r>
    </w:p>
    <w:p>
      <w:pPr>
        <w:sectPr>
          <w:pgSz w:w="11900" w:h="16838" w:orient="portrait"/>
          <w:cols w:equalWidth="0" w:num="1">
            <w:col w:w="11080"/>
          </w:cols>
          <w:pgMar w:left="240" w:top="287" w:right="579" w:bottom="1440" w:gutter="0" w:footer="0" w:header="0"/>
        </w:sectPr>
      </w:pPr>
    </w:p>
    <w:bookmarkStart w:id="60" w:name="page61"/>
    <w:bookmarkEnd w:id="60"/>
    <w:p>
      <w:pPr>
        <w:jc w:val="right"/>
        <w:spacing w:after="0"/>
        <w:tabs>
          <w:tab w:leader="none" w:pos="12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2006 ANNUAL REPORT</w:t>
      </w:r>
      <w:r>
        <w:rPr>
          <w:sz w:val="20"/>
          <w:szCs w:val="20"/>
          <w:color w:val="auto"/>
        </w:rPr>
        <w:tab/>
      </w:r>
      <w:r>
        <w:rPr>
          <w:rFonts w:ascii="Arial" w:cs="Arial" w:eastAsia="Arial" w:hAnsi="Arial"/>
          <w:sz w:val="12"/>
          <w:szCs w:val="12"/>
          <w:color w:val="939598"/>
        </w:rPr>
        <w:t>11</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Significant Accounting Policies and Practices</w:t>
      </w:r>
    </w:p>
    <w:p>
      <w:pPr>
        <w:spacing w:after="0" w:line="18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Business: Texas Instruments (TI) makes, markets and sells high-technology components; more than 50,000 customers all over the world buy TI products. We have two reportable operating segments: Semiconductor, which accounted for 96 percent of our revenue in 2006, and Education Technology, formerly called Educational &amp; Productivity Solutions (see Note 12 for a discussion of this name change). Over time, Semiconductor averages a higher growth rate than Education Technology, although the semiconductor market is characterized by wide swings in growth rates from year to year. The former Sensors &amp; Controls business has been reflected as discontinued operations (see below and Note 2). Additionally, the radio frequency identification (RFID) systems operations that had been part of the Sensors &amp; Controls segment are included in the Semiconductor segment.</w:t>
      </w:r>
    </w:p>
    <w:p>
      <w:pPr>
        <w:spacing w:after="0" w:line="155"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In January 2006, we acquired 100 percent of the equity of Chipcon Group ASA (Chipcon), a leading company in the design of short-range, low-power wireless radio frequency semiconductors, based in Oslo, Norway, for $183 million in cash. The acquisition will enhance our ability to offer customers complete short-range wireless solutions for consumer, home and building automation applications.</w:t>
      </w:r>
    </w:p>
    <w:p>
      <w:pPr>
        <w:spacing w:after="0" w:line="124" w:lineRule="exact"/>
        <w:rPr>
          <w:sz w:val="20"/>
          <w:szCs w:val="20"/>
          <w:color w:val="auto"/>
        </w:rPr>
      </w:pPr>
    </w:p>
    <w:p>
      <w:pPr>
        <w:jc w:val="both"/>
        <w:ind w:right="40"/>
        <w:spacing w:after="0" w:line="236" w:lineRule="auto"/>
        <w:rPr>
          <w:sz w:val="20"/>
          <w:szCs w:val="20"/>
          <w:color w:val="auto"/>
        </w:rPr>
      </w:pPr>
      <w:r>
        <w:rPr>
          <w:rFonts w:ascii="Arial" w:cs="Arial" w:eastAsia="Arial" w:hAnsi="Arial"/>
          <w:sz w:val="18"/>
          <w:szCs w:val="18"/>
          <w:color w:val="auto"/>
        </w:rPr>
        <w:t>The acquisition was accounted for as a purchase business combination and the results of operations of this business have been included in the Semiconductor segment from the date of acquisition. Pro forma information has not been presented as it would not be materially different from amounts reported. As a result of the acquisition, we recorded a $5 million charge for in-process R&amp;D in Corporate. We also recognized $115 million of goodwill and $86 million of other acquisition-related intangible assets, acquired $6 million of cash and assumed $29 million of other net liabilities (see Note 5 for a summary of the other intangible assets acquired).</w:t>
      </w:r>
    </w:p>
    <w:p>
      <w:pPr>
        <w:spacing w:after="0" w:line="157"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In the second quarter of 2006, we made another acquisition primarily to obtain a patent portfolio. This acquisition was not material and was also integrated into the Semiconductor segment.</w:t>
      </w:r>
    </w:p>
    <w:p>
      <w:pPr>
        <w:spacing w:after="0" w:line="15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January 2006, we entered into a definitive agreement to sell substantially all of our Sensors &amp; Controls segment, excluding the RFID systems operations, to an affiliate of Bain Capital, LLC, a leading global private equity investment firm, for $3 billion in cash. The sale was completed on April 27, 2006. The operations and cash flows of the former Sensors &amp; Controls business have been eliminated from the ongoing operations of TI and as we have no significant continuing involvement in the operations of the sold business, the former Sensors &amp; Controls business is presented as discontinued operations. Prior period financial statements, including segment information, have been reclassified to reflect these changes for all periods presented (see Note 2 for detailed information on discontinued operations and Note 12 for segment information).</w:t>
      </w:r>
    </w:p>
    <w:p>
      <w:pPr>
        <w:spacing w:after="0" w:line="15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u w:val="single" w:color="auto"/>
          <w:color w:val="auto"/>
        </w:rPr>
        <w:t>Basis of Presentation</w:t>
      </w:r>
      <w:r>
        <w:rPr>
          <w:rFonts w:ascii="Arial" w:cs="Arial" w:eastAsia="Arial" w:hAnsi="Arial"/>
          <w:sz w:val="18"/>
          <w:szCs w:val="18"/>
          <w:color w:val="auto"/>
        </w:rPr>
        <w:t>: The consolidated financial statements have been prepared in accordance with accounting principles generally accepted in the United States (U.S. GAAP). They were prepared on the same basis as the audited financial statements included in the 2005 annual report, as revised for reporting discontinued operations in our current report on Form 8-K dated November 3, 2006, with three exceptions. The exceptions are:</w:t>
      </w:r>
    </w:p>
    <w:p>
      <w:pPr>
        <w:spacing w:after="0" w:line="195" w:lineRule="exact"/>
        <w:rPr>
          <w:sz w:val="20"/>
          <w:szCs w:val="20"/>
          <w:color w:val="auto"/>
        </w:rPr>
      </w:pPr>
    </w:p>
    <w:p>
      <w:pPr>
        <w:ind w:left="440" w:right="140" w:hanging="325"/>
        <w:spacing w:after="0" w:line="234" w:lineRule="auto"/>
        <w:tabs>
          <w:tab w:leader="none" w:pos="4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inclusion of compensation expense for stock options beginning July 1, 2005 (see Effects of Stock-based Compensation below and the discussion in Note 9),</w:t>
      </w:r>
    </w:p>
    <w:p>
      <w:pPr>
        <w:spacing w:after="0" w:line="1" w:lineRule="exact"/>
        <w:rPr>
          <w:rFonts w:ascii="Arial" w:cs="Arial" w:eastAsia="Arial" w:hAnsi="Arial"/>
          <w:sz w:val="18"/>
          <w:szCs w:val="18"/>
          <w:color w:val="auto"/>
        </w:rPr>
      </w:pPr>
    </w:p>
    <w:p>
      <w:pPr>
        <w:ind w:left="440" w:hanging="325"/>
        <w:spacing w:after="0" w:line="234" w:lineRule="auto"/>
        <w:tabs>
          <w:tab w:leader="none" w:pos="4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change in depreciation method beginning January 1, 2006, (see Change in Depreciation Method below) and</w:t>
      </w:r>
    </w:p>
    <w:p>
      <w:pPr>
        <w:ind w:left="440" w:right="240" w:hanging="325"/>
        <w:spacing w:after="0" w:line="239" w:lineRule="auto"/>
        <w:tabs>
          <w:tab w:leader="none" w:pos="4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adoption of a new accounting standard on pensions and other postretirement benefits as of December 31, 2006 (see Changes in Accounting Standards below and the discussion in Note 10).</w:t>
      </w:r>
    </w:p>
    <w:p>
      <w:pPr>
        <w:spacing w:after="0" w:line="74"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 notes, except per-share amounts, are stated in millions of U.S. dollars unless otherwise indicated. All amounts in the notes reference continuing operations unless otherwise indicated. Certain amounts in the prior periods’ financial statements have been reclassified to conform to the 2006 presentation.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preparation of financial statements requires the use of estimates from which final results may vary.</w:t>
      </w:r>
    </w:p>
    <w:p>
      <w:pPr>
        <w:spacing w:after="0" w:line="15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u w:val="single" w:color="auto"/>
          <w:color w:val="auto"/>
        </w:rPr>
        <w:t>Foreign Currency</w:t>
      </w:r>
      <w:r>
        <w:rPr>
          <w:rFonts w:ascii="Arial" w:cs="Arial" w:eastAsia="Arial" w:hAnsi="Arial"/>
          <w:sz w:val="18"/>
          <w:szCs w:val="18"/>
          <w:color w:val="auto"/>
        </w:rPr>
        <w:t>: For financial reporting purposes, the functional currency for non-U.S. subsidiaries is the U.S. dollar. Accounts recorded in currencies other than U.S. dollars are remeasured into the functional currency. Current assets (except inventories), deferred income taxes, other assets, current liabilities and long-term liabilities are remeasured at exchange rates in effect at the end of each reporting period. Inventories and property, plant and equipment and depreciation thereon are remeasured at historic exchange rates. Revenue and expense accounts other than depreciation for each month are</w:t>
      </w:r>
    </w:p>
    <w:p>
      <w:pPr>
        <w:sectPr>
          <w:pgSz w:w="11900" w:h="16838" w:orient="portrait"/>
          <w:cols w:equalWidth="0" w:num="1">
            <w:col w:w="10960"/>
          </w:cols>
          <w:pgMar w:left="700" w:top="287" w:right="239" w:bottom="1440" w:gutter="0" w:footer="0" w:header="0"/>
        </w:sectPr>
      </w:pPr>
    </w:p>
    <w:bookmarkStart w:id="61" w:name="page62"/>
    <w:bookmarkEnd w:id="61"/>
    <w:p>
      <w:pPr>
        <w:spacing w:after="0"/>
        <w:tabs>
          <w:tab w:leader="none" w:pos="36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w:t>
        <w:tab/>
        <w:t>TEXAS INSTRUMENTS 2006 ANNUAL REPORT</w:t>
      </w:r>
    </w:p>
    <w:p>
      <w:pPr>
        <w:spacing w:after="0" w:line="140" w:lineRule="exact"/>
        <w:rPr>
          <w:sz w:val="20"/>
          <w:szCs w:val="20"/>
          <w:color w:val="auto"/>
        </w:rPr>
      </w:pPr>
    </w:p>
    <w:p>
      <w:pPr>
        <w:ind w:left="460" w:right="20"/>
        <w:spacing w:after="0" w:line="239" w:lineRule="auto"/>
        <w:rPr>
          <w:sz w:val="20"/>
          <w:szCs w:val="20"/>
          <w:color w:val="auto"/>
        </w:rPr>
      </w:pPr>
      <w:r>
        <w:rPr>
          <w:rFonts w:ascii="Arial" w:cs="Arial" w:eastAsia="Arial" w:hAnsi="Arial"/>
          <w:sz w:val="18"/>
          <w:szCs w:val="18"/>
          <w:color w:val="auto"/>
        </w:rPr>
        <w:t>remeasured at the appropriate daily rate of exchange. Net currency exchange gains and losses from remeasurement are charged or credited on a current basis to other income (expense) net.</w:t>
      </w:r>
    </w:p>
    <w:p>
      <w:pPr>
        <w:spacing w:after="0" w:line="155" w:lineRule="exact"/>
        <w:rPr>
          <w:sz w:val="20"/>
          <w:szCs w:val="20"/>
          <w:color w:val="auto"/>
        </w:rPr>
      </w:pPr>
    </w:p>
    <w:p>
      <w:pPr>
        <w:ind w:left="460" w:right="440"/>
        <w:spacing w:after="0" w:line="236" w:lineRule="auto"/>
        <w:rPr>
          <w:sz w:val="20"/>
          <w:szCs w:val="20"/>
          <w:color w:val="auto"/>
        </w:rPr>
      </w:pPr>
      <w:r>
        <w:rPr>
          <w:rFonts w:ascii="Arial" w:cs="Arial" w:eastAsia="Arial" w:hAnsi="Arial"/>
          <w:sz w:val="18"/>
          <w:szCs w:val="18"/>
          <w:u w:val="single" w:color="auto"/>
          <w:color w:val="auto"/>
        </w:rPr>
        <w:t>Derivatives</w:t>
      </w:r>
      <w:r>
        <w:rPr>
          <w:rFonts w:ascii="Arial" w:cs="Arial" w:eastAsia="Arial" w:hAnsi="Arial"/>
          <w:sz w:val="18"/>
          <w:szCs w:val="18"/>
          <w:color w:val="auto"/>
        </w:rPr>
        <w:t>: We use derivative financial instruments to manage exposure to foreign currency and interest rate risk. We enter into certain foreign currency derivative instruments that do not meet hedge accounting criteria. These instruments are primarily forward currency exchange contracts that are intended as economic hedges to minimize the adverse earnings impact from the effect of exchange rate fluctuations on our non-U.S. dollar net balance sheet exposures. Gains and losses from these forward currency exchange contracts are credited or charged on a current basis to other income (expense) net.</w:t>
      </w:r>
    </w:p>
    <w:p>
      <w:pPr>
        <w:spacing w:after="0" w:line="157" w:lineRule="exact"/>
        <w:rPr>
          <w:sz w:val="20"/>
          <w:szCs w:val="20"/>
          <w:color w:val="auto"/>
        </w:rPr>
      </w:pPr>
    </w:p>
    <w:p>
      <w:pPr>
        <w:ind w:left="460" w:right="100"/>
        <w:spacing w:after="0" w:line="238" w:lineRule="auto"/>
        <w:rPr>
          <w:sz w:val="20"/>
          <w:szCs w:val="20"/>
          <w:color w:val="auto"/>
        </w:rPr>
      </w:pPr>
      <w:r>
        <w:rPr>
          <w:rFonts w:ascii="Arial" w:cs="Arial" w:eastAsia="Arial" w:hAnsi="Arial"/>
          <w:sz w:val="18"/>
          <w:szCs w:val="18"/>
          <w:color w:val="auto"/>
        </w:rPr>
        <w:t>With respect to long-term debt and its associated interest expense, we may utilize interest rate swaps designated as fair value hedges to change the characteristics of the interest rate stream on the debt from fixed rates to short-term variable rates. The net effects of interest rate swaps are included on an accrual basis in interest expense. There is no hedge ineffectiveness related to these swaps.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158" w:lineRule="exact"/>
        <w:rPr>
          <w:sz w:val="20"/>
          <w:szCs w:val="20"/>
          <w:color w:val="auto"/>
        </w:rPr>
      </w:pPr>
    </w:p>
    <w:p>
      <w:pPr>
        <w:ind w:left="460"/>
        <w:spacing w:after="0" w:line="236" w:lineRule="auto"/>
        <w:rPr>
          <w:sz w:val="20"/>
          <w:szCs w:val="20"/>
          <w:color w:val="auto"/>
        </w:rPr>
      </w:pPr>
      <w:r>
        <w:rPr>
          <w:rFonts w:ascii="Arial" w:cs="Arial" w:eastAsia="Arial" w:hAnsi="Arial"/>
          <w:sz w:val="18"/>
          <w:szCs w:val="18"/>
          <w:u w:val="single" w:color="auto"/>
          <w:color w:val="auto"/>
        </w:rPr>
        <w:t>Revenue Recognition</w:t>
      </w:r>
      <w:r>
        <w:rPr>
          <w:rFonts w:ascii="Arial" w:cs="Arial" w:eastAsia="Arial" w:hAnsi="Arial"/>
          <w:sz w:val="18"/>
          <w:szCs w:val="18"/>
          <w:color w:val="auto"/>
        </w:rPr>
        <w:t>: Revenue from sales of our products, including shipping fees, is recognized when title to the products is transferred to the customer, which usually occurs upon shipment or delivery, depending upon the terms of the sales order. Estimates of returns for product quality reasons and of price allowances (calculated based upon historical experience, analysis of product shipments and contractual arrangements with customers), are recorded when revenue is recognized. Allowances include discounts for prompt payment, as well as volume-based incentives and special pricing arrangements. In addition, allowances for doubtful accounts are recorded for estimated amounts of accounts receivable that may not be collected.</w:t>
      </w:r>
    </w:p>
    <w:p>
      <w:pPr>
        <w:spacing w:after="0" w:line="156" w:lineRule="exact"/>
        <w:rPr>
          <w:sz w:val="20"/>
          <w:szCs w:val="20"/>
          <w:color w:val="auto"/>
        </w:rPr>
      </w:pPr>
    </w:p>
    <w:p>
      <w:pPr>
        <w:ind w:left="460" w:right="20"/>
        <w:spacing w:after="0" w:line="271" w:lineRule="auto"/>
        <w:rPr>
          <w:sz w:val="20"/>
          <w:szCs w:val="20"/>
          <w:color w:val="auto"/>
        </w:rPr>
      </w:pPr>
      <w:r>
        <w:rPr>
          <w:rFonts w:ascii="Arial" w:cs="Arial" w:eastAsia="Arial" w:hAnsi="Arial"/>
          <w:sz w:val="16"/>
          <w:szCs w:val="16"/>
          <w:color w:val="auto"/>
        </w:rPr>
        <w:t>Revenue from sales of our products to distributors is recognized, net of allowances, based upon delivery of the products to the distributors. At the time of delivery, title transfers to the distributors and payment from the distributors is due on our standard commercial terms; payment terms are not contingent upon resale of the products. Credit allowances for the distributors are calculated based on historical data, current economic conditions and contractual terms. For instance, we sell our products to distributors at standard published prices, but we may grant price adjustment credits to distributors in response to individual competitive opportunities they may have. To estimate allowances for this type of credit, we use statistical percentages of revenue, determined quarterly based upon recent historical adjustment trends.</w:t>
      </w:r>
    </w:p>
    <w:p>
      <w:pPr>
        <w:spacing w:after="0" w:line="131" w:lineRule="exact"/>
        <w:rPr>
          <w:sz w:val="20"/>
          <w:szCs w:val="20"/>
          <w:color w:val="auto"/>
        </w:rPr>
      </w:pPr>
    </w:p>
    <w:p>
      <w:pPr>
        <w:ind w:left="460" w:right="180"/>
        <w:spacing w:after="0" w:line="236" w:lineRule="auto"/>
        <w:rPr>
          <w:sz w:val="20"/>
          <w:szCs w:val="20"/>
          <w:color w:val="auto"/>
        </w:rPr>
      </w:pPr>
      <w:r>
        <w:rPr>
          <w:rFonts w:ascii="Arial" w:cs="Arial" w:eastAsia="Arial" w:hAnsi="Arial"/>
          <w:sz w:val="18"/>
          <w:szCs w:val="18"/>
          <w:color w:val="auto"/>
        </w:rPr>
        <w:t>We also provide distributors an allowance to scrap certain slow-moving or obsolete products in their inventory, estimated as a negotiated fixed percentage of each distributor’s purchases from us. In addition, if we publish a new price for a product that is lower than that paid by distributors for the same product still in distributor on-hand inventory, we may credit the distributors for the difference between those prices. The allowance for this type of credit is based on the identified product price difference applied to estimated distributor on-hand inventory of that product.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we can reasonably and reliably estimate allowances for credits to distributors in a timely manner.</w:t>
      </w:r>
    </w:p>
    <w:p>
      <w:pPr>
        <w:spacing w:after="0" w:line="158" w:lineRule="exact"/>
        <w:rPr>
          <w:sz w:val="20"/>
          <w:szCs w:val="20"/>
          <w:color w:val="auto"/>
        </w:rPr>
      </w:pPr>
    </w:p>
    <w:p>
      <w:pPr>
        <w:ind w:left="460" w:right="40"/>
        <w:spacing w:after="0" w:line="236" w:lineRule="auto"/>
        <w:rPr>
          <w:sz w:val="20"/>
          <w:szCs w:val="20"/>
          <w:color w:val="auto"/>
        </w:rPr>
      </w:pPr>
      <w:r>
        <w:rPr>
          <w:rFonts w:ascii="Arial" w:cs="Arial" w:eastAsia="Arial" w:hAnsi="Arial"/>
          <w:sz w:val="18"/>
          <w:szCs w:val="18"/>
          <w:color w:val="auto"/>
        </w:rPr>
        <w:t>Our contractual agreements with our intellectual property licensees determine the amount and timing of royalty revenue. Royalty revenue is recognized when earned according to the terms of the agreements and when realization of payment is considered probable by management. Where royalties are based upon licensee sales, we recognize royalty revenue upon the sale by the licensee of royalty-bearing products, as estimated by us based on historical experience and analysis of annual sales results of licensees. Where warranted, revenue from licensees may be recognized on a cash basis.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Shipping and handling costs are included in cost of revenue.</w:t>
      </w:r>
    </w:p>
    <w:p>
      <w:pPr>
        <w:spacing w:after="0" w:line="158" w:lineRule="exact"/>
        <w:rPr>
          <w:sz w:val="20"/>
          <w:szCs w:val="20"/>
          <w:color w:val="auto"/>
        </w:rPr>
      </w:pPr>
    </w:p>
    <w:p>
      <w:pPr>
        <w:ind w:left="460" w:right="40"/>
        <w:spacing w:after="0" w:line="239" w:lineRule="auto"/>
        <w:rPr>
          <w:sz w:val="20"/>
          <w:szCs w:val="20"/>
          <w:color w:val="auto"/>
        </w:rPr>
      </w:pPr>
      <w:r>
        <w:rPr>
          <w:rFonts w:ascii="Arial" w:cs="Arial" w:eastAsia="Arial" w:hAnsi="Arial"/>
          <w:sz w:val="18"/>
          <w:szCs w:val="18"/>
          <w:u w:val="single" w:color="auto"/>
          <w:color w:val="auto"/>
        </w:rPr>
        <w:t>Advertising Costs</w:t>
      </w:r>
      <w:r>
        <w:rPr>
          <w:rFonts w:ascii="Arial" w:cs="Arial" w:eastAsia="Arial" w:hAnsi="Arial"/>
          <w:sz w:val="18"/>
          <w:szCs w:val="18"/>
          <w:color w:val="auto"/>
        </w:rPr>
        <w:t>: Advertising and other promotional costs are expensed as incurred. This expense was $190 million in 2006, $126 million in 2005 and $92 million in 2004.</w:t>
      </w:r>
    </w:p>
    <w:p>
      <w:pPr>
        <w:spacing w:after="0" w:line="155" w:lineRule="exact"/>
        <w:rPr>
          <w:sz w:val="20"/>
          <w:szCs w:val="20"/>
          <w:color w:val="auto"/>
        </w:rPr>
      </w:pPr>
    </w:p>
    <w:p>
      <w:pPr>
        <w:ind w:left="460"/>
        <w:spacing w:after="0" w:line="236" w:lineRule="auto"/>
        <w:rPr>
          <w:sz w:val="20"/>
          <w:szCs w:val="20"/>
          <w:color w:val="auto"/>
        </w:rPr>
      </w:pPr>
      <w:r>
        <w:rPr>
          <w:rFonts w:ascii="Arial" w:cs="Arial" w:eastAsia="Arial" w:hAnsi="Arial"/>
          <w:sz w:val="18"/>
          <w:szCs w:val="18"/>
          <w:u w:val="single" w:color="auto"/>
          <w:color w:val="auto"/>
        </w:rPr>
        <w:t>Impairments of Long-lived Assets</w:t>
      </w:r>
      <w:r>
        <w:rPr>
          <w:rFonts w:ascii="Arial" w:cs="Arial" w:eastAsia="Arial" w:hAnsi="Arial"/>
          <w:sz w:val="18"/>
          <w:szCs w:val="18"/>
          <w:color w:val="auto"/>
        </w:rPr>
        <w:t>: Reviews are regularly performed to determine whether facts or circumstances exist that indicate the carrying values of fixed assets, intangible assets or capitalized software licenses are impaired. We assess the recoverability of assets by comparing the projected undiscounted net cash flows associated with those assets to their respective carrying amounts. Impairment, if any, is based on the excess of the carrying amount over the fair value of those assets. Fair value is determined by available market valuations, if applicable, or by discounted cash flows.</w:t>
      </w:r>
    </w:p>
    <w:p>
      <w:pPr>
        <w:spacing w:after="0" w:line="157" w:lineRule="exact"/>
        <w:rPr>
          <w:sz w:val="20"/>
          <w:szCs w:val="20"/>
          <w:color w:val="auto"/>
        </w:rPr>
      </w:pPr>
    </w:p>
    <w:p>
      <w:pPr>
        <w:ind w:left="460" w:right="140"/>
        <w:spacing w:after="0" w:line="237" w:lineRule="auto"/>
        <w:rPr>
          <w:sz w:val="20"/>
          <w:szCs w:val="20"/>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We account for income taxes using an asset and liability approach. We record the amount of taxes payable or refundable for the current year and the deferred tax assets and liabilities for the future tax consequences of events that have been recognized in the financial statements or tax returns. When it is more likely than not that some portion or all of the deferred tax assets will not be realized, a valuation allowance is recorded.</w:t>
      </w:r>
    </w:p>
    <w:p>
      <w:pPr>
        <w:sectPr>
          <w:pgSz w:w="11900" w:h="16838" w:orient="portrait"/>
          <w:cols w:equalWidth="0" w:num="1">
            <w:col w:w="11420"/>
          </w:cols>
          <w:pgMar w:left="240" w:top="287" w:right="239" w:bottom="1440" w:gutter="0" w:footer="0" w:header="0"/>
        </w:sectPr>
      </w:pPr>
    </w:p>
    <w:bookmarkStart w:id="62" w:name="page63"/>
    <w:bookmarkEnd w:id="62"/>
    <w:p>
      <w:pPr>
        <w:ind w:left="7700"/>
        <w:spacing w:after="0"/>
        <w:tabs>
          <w:tab w:leader="none" w:pos="1090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2006 ANNUAL REPORT</w:t>
      </w:r>
      <w:r>
        <w:rPr>
          <w:sz w:val="20"/>
          <w:szCs w:val="20"/>
          <w:color w:val="auto"/>
        </w:rPr>
        <w:tab/>
      </w:r>
      <w:r>
        <w:rPr>
          <w:rFonts w:ascii="Arial" w:cs="Arial" w:eastAsia="Arial" w:hAnsi="Arial"/>
          <w:sz w:val="12"/>
          <w:szCs w:val="12"/>
          <w:color w:val="939598"/>
        </w:rPr>
        <w:t>13</w:t>
      </w:r>
    </w:p>
    <w:p>
      <w:pPr>
        <w:spacing w:after="0" w:line="140" w:lineRule="exact"/>
        <w:rPr>
          <w:sz w:val="20"/>
          <w:szCs w:val="20"/>
          <w:color w:val="auto"/>
        </w:rPr>
      </w:pPr>
    </w:p>
    <w:p>
      <w:pPr>
        <w:ind w:left="100" w:right="60"/>
        <w:spacing w:after="0" w:line="239" w:lineRule="auto"/>
        <w:rPr>
          <w:sz w:val="20"/>
          <w:szCs w:val="20"/>
          <w:color w:val="auto"/>
        </w:rPr>
      </w:pPr>
      <w:r>
        <w:rPr>
          <w:rFonts w:ascii="Arial" w:cs="Arial" w:eastAsia="Arial" w:hAnsi="Arial"/>
          <w:sz w:val="18"/>
          <w:szCs w:val="18"/>
          <w:u w:val="single" w:color="auto"/>
          <w:color w:val="auto"/>
        </w:rPr>
        <w:t>Earnings per Share (EPS)</w:t>
      </w:r>
      <w:r>
        <w:rPr>
          <w:rFonts w:ascii="Arial" w:cs="Arial" w:eastAsia="Arial" w:hAnsi="Arial"/>
          <w:sz w:val="18"/>
          <w:szCs w:val="18"/>
          <w:color w:val="auto"/>
        </w:rPr>
        <w:t>: Computation and reconciliation of earnings per common share from continuing operations, on a basic and diluted basis, are as follows (shares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jc w:val="right"/>
              <w:ind w:right="80"/>
              <w:spacing w:after="0"/>
              <w:rPr>
                <w:sz w:val="20"/>
                <w:szCs w:val="20"/>
                <w:color w:val="auto"/>
              </w:rPr>
            </w:pPr>
            <w:r>
              <w:rPr>
                <w:rFonts w:ascii="Arial" w:cs="Arial" w:eastAsia="Arial" w:hAnsi="Arial"/>
                <w:sz w:val="14"/>
                <w:szCs w:val="14"/>
                <w:b w:val="1"/>
                <w:bCs w:val="1"/>
                <w:color w:val="939598"/>
              </w:rPr>
              <w:t>2006</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right"/>
              <w:ind w:right="100"/>
              <w:spacing w:after="0"/>
              <w:rPr>
                <w:sz w:val="20"/>
                <w:szCs w:val="20"/>
                <w:color w:val="auto"/>
              </w:rPr>
            </w:pPr>
            <w:r>
              <w:rPr>
                <w:rFonts w:ascii="Arial" w:cs="Arial" w:eastAsia="Arial" w:hAnsi="Arial"/>
                <w:sz w:val="14"/>
                <w:szCs w:val="14"/>
                <w:b w:val="1"/>
                <w:bCs w:val="1"/>
                <w:color w:val="939598"/>
              </w:rPr>
              <w:t>2005</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right"/>
              <w:ind w:right="80"/>
              <w:spacing w:after="0"/>
              <w:rPr>
                <w:sz w:val="20"/>
                <w:szCs w:val="20"/>
                <w:color w:val="auto"/>
              </w:rPr>
            </w:pPr>
            <w:r>
              <w:rPr>
                <w:rFonts w:ascii="Arial" w:cs="Arial" w:eastAsia="Arial" w:hAnsi="Arial"/>
                <w:sz w:val="14"/>
                <w:szCs w:val="14"/>
                <w:b w:val="1"/>
                <w:bCs w:val="1"/>
                <w:color w:val="939598"/>
              </w:rPr>
              <w:t>2004</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9"/>
        </w:trPr>
        <w:tc>
          <w:tcPr>
            <w:tcW w:w="3880" w:type="dxa"/>
            <w:vAlign w:val="bottom"/>
            <w:shd w:val="clear" w:color="auto" w:fill="939598"/>
          </w:tcPr>
          <w:p>
            <w:pPr>
              <w:spacing w:after="0"/>
              <w:rPr>
                <w:sz w:val="17"/>
                <w:szCs w:val="17"/>
                <w:color w:val="auto"/>
              </w:rPr>
            </w:pPr>
          </w:p>
        </w:tc>
        <w:tc>
          <w:tcPr>
            <w:tcW w:w="180" w:type="dxa"/>
            <w:vAlign w:val="bottom"/>
            <w:shd w:val="clear" w:color="auto" w:fill="939598"/>
          </w:tcPr>
          <w:p>
            <w:pPr>
              <w:spacing w:after="0"/>
              <w:rPr>
                <w:sz w:val="17"/>
                <w:szCs w:val="17"/>
                <w:color w:val="auto"/>
              </w:rPr>
            </w:pPr>
          </w:p>
        </w:tc>
        <w:tc>
          <w:tcPr>
            <w:tcW w:w="100" w:type="dxa"/>
            <w:vAlign w:val="bottom"/>
            <w:shd w:val="clear" w:color="auto" w:fill="939598"/>
          </w:tcPr>
          <w:p>
            <w:pPr>
              <w:spacing w:after="0"/>
              <w:rPr>
                <w:sz w:val="17"/>
                <w:szCs w:val="17"/>
                <w:color w:val="auto"/>
              </w:rPr>
            </w:pPr>
          </w:p>
        </w:tc>
        <w:tc>
          <w:tcPr>
            <w:tcW w:w="680" w:type="dxa"/>
            <w:vAlign w:val="bottom"/>
            <w:shd w:val="clear" w:color="auto" w:fill="939598"/>
          </w:tcPr>
          <w:p>
            <w:pPr>
              <w:jc w:val="center"/>
              <w:ind w:right="120"/>
              <w:spacing w:after="0"/>
              <w:rPr>
                <w:sz w:val="20"/>
                <w:szCs w:val="20"/>
                <w:color w:val="auto"/>
              </w:rPr>
            </w:pPr>
            <w:r>
              <w:rPr>
                <w:rFonts w:ascii="Arial" w:cs="Arial" w:eastAsia="Arial" w:hAnsi="Arial"/>
                <w:sz w:val="14"/>
                <w:szCs w:val="14"/>
                <w:b w:val="1"/>
                <w:bCs w:val="1"/>
                <w:color w:val="FFFFFF"/>
                <w:w w:val="97"/>
              </w:rPr>
              <w:t>Income</w:t>
            </w:r>
          </w:p>
        </w:tc>
        <w:tc>
          <w:tcPr>
            <w:tcW w:w="620" w:type="dxa"/>
            <w:vAlign w:val="bottom"/>
            <w:shd w:val="clear" w:color="auto" w:fill="939598"/>
          </w:tcPr>
          <w:p>
            <w:pPr>
              <w:spacing w:after="0"/>
              <w:rPr>
                <w:sz w:val="17"/>
                <w:szCs w:val="17"/>
                <w:color w:val="auto"/>
              </w:rPr>
            </w:pPr>
          </w:p>
        </w:tc>
        <w:tc>
          <w:tcPr>
            <w:tcW w:w="200" w:type="dxa"/>
            <w:vAlign w:val="bottom"/>
            <w:shd w:val="clear" w:color="auto" w:fill="939598"/>
          </w:tcPr>
          <w:p>
            <w:pPr>
              <w:spacing w:after="0"/>
              <w:rPr>
                <w:sz w:val="17"/>
                <w:szCs w:val="17"/>
                <w:color w:val="auto"/>
              </w:rPr>
            </w:pPr>
          </w:p>
        </w:tc>
        <w:tc>
          <w:tcPr>
            <w:tcW w:w="520" w:type="dxa"/>
            <w:vAlign w:val="bottom"/>
            <w:shd w:val="clear" w:color="auto" w:fill="939598"/>
          </w:tcPr>
          <w:p>
            <w:pPr>
              <w:spacing w:after="0"/>
              <w:rPr>
                <w:sz w:val="17"/>
                <w:szCs w:val="17"/>
                <w:color w:val="auto"/>
              </w:rPr>
            </w:pPr>
          </w:p>
        </w:tc>
        <w:tc>
          <w:tcPr>
            <w:tcW w:w="200" w:type="dxa"/>
            <w:vAlign w:val="bottom"/>
            <w:shd w:val="clear" w:color="auto" w:fill="939598"/>
          </w:tcPr>
          <w:p>
            <w:pPr>
              <w:spacing w:after="0"/>
              <w:rPr>
                <w:sz w:val="17"/>
                <w:szCs w:val="17"/>
                <w:color w:val="auto"/>
              </w:rPr>
            </w:pPr>
          </w:p>
        </w:tc>
        <w:tc>
          <w:tcPr>
            <w:tcW w:w="700" w:type="dxa"/>
            <w:vAlign w:val="bottom"/>
            <w:shd w:val="clear" w:color="auto" w:fill="939598"/>
          </w:tcPr>
          <w:p>
            <w:pPr>
              <w:jc w:val="right"/>
              <w:ind w:right="140"/>
              <w:spacing w:after="0"/>
              <w:rPr>
                <w:sz w:val="20"/>
                <w:szCs w:val="20"/>
                <w:color w:val="auto"/>
              </w:rPr>
            </w:pPr>
            <w:r>
              <w:rPr>
                <w:rFonts w:ascii="Arial" w:cs="Arial" w:eastAsia="Arial" w:hAnsi="Arial"/>
                <w:sz w:val="14"/>
                <w:szCs w:val="14"/>
                <w:b w:val="1"/>
                <w:bCs w:val="1"/>
                <w:color w:val="FFFFFF"/>
                <w:w w:val="93"/>
              </w:rPr>
              <w:t>Income</w:t>
            </w:r>
          </w:p>
        </w:tc>
        <w:tc>
          <w:tcPr>
            <w:tcW w:w="640" w:type="dxa"/>
            <w:vAlign w:val="bottom"/>
            <w:shd w:val="clear" w:color="auto" w:fill="939598"/>
          </w:tcPr>
          <w:p>
            <w:pPr>
              <w:spacing w:after="0"/>
              <w:rPr>
                <w:sz w:val="17"/>
                <w:szCs w:val="17"/>
                <w:color w:val="auto"/>
              </w:rPr>
            </w:pPr>
          </w:p>
        </w:tc>
        <w:tc>
          <w:tcPr>
            <w:tcW w:w="200" w:type="dxa"/>
            <w:vAlign w:val="bottom"/>
            <w:shd w:val="clear" w:color="auto" w:fill="939598"/>
          </w:tcPr>
          <w:p>
            <w:pPr>
              <w:spacing w:after="0"/>
              <w:rPr>
                <w:sz w:val="17"/>
                <w:szCs w:val="17"/>
                <w:color w:val="auto"/>
              </w:rPr>
            </w:pPr>
          </w:p>
        </w:tc>
        <w:tc>
          <w:tcPr>
            <w:tcW w:w="520" w:type="dxa"/>
            <w:vAlign w:val="bottom"/>
            <w:shd w:val="clear" w:color="auto" w:fill="939598"/>
          </w:tcPr>
          <w:p>
            <w:pPr>
              <w:spacing w:after="0"/>
              <w:rPr>
                <w:sz w:val="17"/>
                <w:szCs w:val="17"/>
                <w:color w:val="auto"/>
              </w:rPr>
            </w:pPr>
          </w:p>
        </w:tc>
        <w:tc>
          <w:tcPr>
            <w:tcW w:w="200" w:type="dxa"/>
            <w:vAlign w:val="bottom"/>
            <w:shd w:val="clear" w:color="auto" w:fill="939598"/>
          </w:tcPr>
          <w:p>
            <w:pPr>
              <w:spacing w:after="0"/>
              <w:rPr>
                <w:sz w:val="17"/>
                <w:szCs w:val="17"/>
                <w:color w:val="auto"/>
              </w:rPr>
            </w:pPr>
          </w:p>
        </w:tc>
        <w:tc>
          <w:tcPr>
            <w:tcW w:w="700" w:type="dxa"/>
            <w:vAlign w:val="bottom"/>
            <w:shd w:val="clear" w:color="auto" w:fill="939598"/>
          </w:tcPr>
          <w:p>
            <w:pPr>
              <w:jc w:val="right"/>
              <w:ind w:right="140"/>
              <w:spacing w:after="0"/>
              <w:rPr>
                <w:sz w:val="20"/>
                <w:szCs w:val="20"/>
                <w:color w:val="auto"/>
              </w:rPr>
            </w:pPr>
            <w:r>
              <w:rPr>
                <w:rFonts w:ascii="Arial" w:cs="Arial" w:eastAsia="Arial" w:hAnsi="Arial"/>
                <w:sz w:val="14"/>
                <w:szCs w:val="14"/>
                <w:b w:val="1"/>
                <w:bCs w:val="1"/>
                <w:color w:val="FFFFFF"/>
                <w:w w:val="93"/>
              </w:rPr>
              <w:t>Income</w:t>
            </w:r>
          </w:p>
        </w:tc>
        <w:tc>
          <w:tcPr>
            <w:tcW w:w="620" w:type="dxa"/>
            <w:vAlign w:val="bottom"/>
            <w:shd w:val="clear" w:color="auto" w:fill="939598"/>
          </w:tcPr>
          <w:p>
            <w:pPr>
              <w:spacing w:after="0"/>
              <w:rPr>
                <w:sz w:val="17"/>
                <w:szCs w:val="17"/>
                <w:color w:val="auto"/>
              </w:rPr>
            </w:pPr>
          </w:p>
        </w:tc>
        <w:tc>
          <w:tcPr>
            <w:tcW w:w="220" w:type="dxa"/>
            <w:vAlign w:val="bottom"/>
            <w:shd w:val="clear" w:color="auto" w:fill="939598"/>
          </w:tcPr>
          <w:p>
            <w:pPr>
              <w:spacing w:after="0"/>
              <w:rPr>
                <w:sz w:val="17"/>
                <w:szCs w:val="17"/>
                <w:color w:val="auto"/>
              </w:rPr>
            </w:pPr>
          </w:p>
        </w:tc>
        <w:tc>
          <w:tcPr>
            <w:tcW w:w="480" w:type="dxa"/>
            <w:vAlign w:val="bottom"/>
            <w:shd w:val="clear" w:color="auto" w:fill="939598"/>
          </w:tcPr>
          <w:p>
            <w:pPr>
              <w:spacing w:after="0"/>
              <w:rPr>
                <w:sz w:val="17"/>
                <w:szCs w:val="17"/>
                <w:color w:val="auto"/>
              </w:rPr>
            </w:pPr>
          </w:p>
        </w:tc>
        <w:tc>
          <w:tcPr>
            <w:tcW w:w="60" w:type="dxa"/>
            <w:vAlign w:val="bottom"/>
            <w:shd w:val="clear" w:color="auto" w:fill="939598"/>
          </w:tcPr>
          <w:p>
            <w:pPr>
              <w:spacing w:after="0"/>
              <w:rPr>
                <w:sz w:val="17"/>
                <w:szCs w:val="17"/>
                <w:color w:val="auto"/>
              </w:rPr>
            </w:pPr>
          </w:p>
        </w:tc>
      </w:tr>
      <w:tr>
        <w:trPr>
          <w:trHeight w:val="149"/>
        </w:trPr>
        <w:tc>
          <w:tcPr>
            <w:tcW w:w="3880" w:type="dxa"/>
            <w:vAlign w:val="bottom"/>
            <w:shd w:val="clear" w:color="auto" w:fill="939598"/>
          </w:tcPr>
          <w:p>
            <w:pPr>
              <w:spacing w:after="0"/>
              <w:rPr>
                <w:sz w:val="12"/>
                <w:szCs w:val="12"/>
                <w:color w:val="auto"/>
              </w:rPr>
            </w:pPr>
          </w:p>
        </w:tc>
        <w:tc>
          <w:tcPr>
            <w:tcW w:w="180" w:type="dxa"/>
            <w:vAlign w:val="bottom"/>
            <w:shd w:val="clear" w:color="auto" w:fill="939598"/>
          </w:tcPr>
          <w:p>
            <w:pPr>
              <w:spacing w:after="0"/>
              <w:rPr>
                <w:sz w:val="12"/>
                <w:szCs w:val="12"/>
                <w:color w:val="auto"/>
              </w:rPr>
            </w:pPr>
          </w:p>
        </w:tc>
        <w:tc>
          <w:tcPr>
            <w:tcW w:w="100" w:type="dxa"/>
            <w:vAlign w:val="bottom"/>
            <w:shd w:val="clear" w:color="auto" w:fill="939598"/>
          </w:tcPr>
          <w:p>
            <w:pPr>
              <w:spacing w:after="0"/>
              <w:rPr>
                <w:sz w:val="12"/>
                <w:szCs w:val="12"/>
                <w:color w:val="auto"/>
              </w:rPr>
            </w:pPr>
          </w:p>
        </w:tc>
        <w:tc>
          <w:tcPr>
            <w:tcW w:w="680" w:type="dxa"/>
            <w:vAlign w:val="bottom"/>
            <w:shd w:val="clear" w:color="auto" w:fill="939598"/>
          </w:tcPr>
          <w:p>
            <w:pPr>
              <w:jc w:val="center"/>
              <w:ind w:right="100"/>
              <w:spacing w:after="0" w:line="149" w:lineRule="exact"/>
              <w:rPr>
                <w:sz w:val="20"/>
                <w:szCs w:val="20"/>
                <w:color w:val="auto"/>
              </w:rPr>
            </w:pPr>
            <w:r>
              <w:rPr>
                <w:rFonts w:ascii="Arial" w:cs="Arial" w:eastAsia="Arial" w:hAnsi="Arial"/>
                <w:sz w:val="14"/>
                <w:szCs w:val="14"/>
                <w:b w:val="1"/>
                <w:bCs w:val="1"/>
                <w:color w:val="FFFFFF"/>
                <w:w w:val="96"/>
              </w:rPr>
              <w:t>from</w:t>
            </w:r>
          </w:p>
        </w:tc>
        <w:tc>
          <w:tcPr>
            <w:tcW w:w="620" w:type="dxa"/>
            <w:vAlign w:val="bottom"/>
            <w:shd w:val="clear" w:color="auto" w:fill="939598"/>
          </w:tcPr>
          <w:p>
            <w:pPr>
              <w:spacing w:after="0"/>
              <w:rPr>
                <w:sz w:val="12"/>
                <w:szCs w:val="12"/>
                <w:color w:val="auto"/>
              </w:rPr>
            </w:pPr>
          </w:p>
        </w:tc>
        <w:tc>
          <w:tcPr>
            <w:tcW w:w="200" w:type="dxa"/>
            <w:vAlign w:val="bottom"/>
            <w:shd w:val="clear" w:color="auto" w:fill="939598"/>
          </w:tcPr>
          <w:p>
            <w:pPr>
              <w:spacing w:after="0"/>
              <w:rPr>
                <w:sz w:val="12"/>
                <w:szCs w:val="12"/>
                <w:color w:val="auto"/>
              </w:rPr>
            </w:pPr>
          </w:p>
        </w:tc>
        <w:tc>
          <w:tcPr>
            <w:tcW w:w="520" w:type="dxa"/>
            <w:vAlign w:val="bottom"/>
            <w:shd w:val="clear" w:color="auto" w:fill="939598"/>
          </w:tcPr>
          <w:p>
            <w:pPr>
              <w:spacing w:after="0"/>
              <w:rPr>
                <w:sz w:val="12"/>
                <w:szCs w:val="12"/>
                <w:color w:val="auto"/>
              </w:rPr>
            </w:pPr>
          </w:p>
        </w:tc>
        <w:tc>
          <w:tcPr>
            <w:tcW w:w="200" w:type="dxa"/>
            <w:vAlign w:val="bottom"/>
            <w:shd w:val="clear" w:color="auto" w:fill="939598"/>
          </w:tcPr>
          <w:p>
            <w:pPr>
              <w:spacing w:after="0"/>
              <w:rPr>
                <w:sz w:val="12"/>
                <w:szCs w:val="12"/>
                <w:color w:val="auto"/>
              </w:rPr>
            </w:pPr>
          </w:p>
        </w:tc>
        <w:tc>
          <w:tcPr>
            <w:tcW w:w="700" w:type="dxa"/>
            <w:vAlign w:val="bottom"/>
            <w:shd w:val="clear" w:color="auto" w:fill="939598"/>
          </w:tcPr>
          <w:p>
            <w:pPr>
              <w:jc w:val="right"/>
              <w:ind w:right="220"/>
              <w:spacing w:after="0" w:line="149" w:lineRule="exact"/>
              <w:rPr>
                <w:sz w:val="20"/>
                <w:szCs w:val="20"/>
                <w:color w:val="auto"/>
              </w:rPr>
            </w:pPr>
            <w:r>
              <w:rPr>
                <w:rFonts w:ascii="Arial" w:cs="Arial" w:eastAsia="Arial" w:hAnsi="Arial"/>
                <w:sz w:val="14"/>
                <w:szCs w:val="14"/>
                <w:b w:val="1"/>
                <w:bCs w:val="1"/>
                <w:color w:val="FFFFFF"/>
              </w:rPr>
              <w:t>from</w:t>
            </w:r>
          </w:p>
        </w:tc>
        <w:tc>
          <w:tcPr>
            <w:tcW w:w="640" w:type="dxa"/>
            <w:vAlign w:val="bottom"/>
            <w:shd w:val="clear" w:color="auto" w:fill="939598"/>
          </w:tcPr>
          <w:p>
            <w:pPr>
              <w:spacing w:after="0"/>
              <w:rPr>
                <w:sz w:val="12"/>
                <w:szCs w:val="12"/>
                <w:color w:val="auto"/>
              </w:rPr>
            </w:pPr>
          </w:p>
        </w:tc>
        <w:tc>
          <w:tcPr>
            <w:tcW w:w="200" w:type="dxa"/>
            <w:vAlign w:val="bottom"/>
            <w:shd w:val="clear" w:color="auto" w:fill="939598"/>
          </w:tcPr>
          <w:p>
            <w:pPr>
              <w:spacing w:after="0"/>
              <w:rPr>
                <w:sz w:val="12"/>
                <w:szCs w:val="12"/>
                <w:color w:val="auto"/>
              </w:rPr>
            </w:pPr>
          </w:p>
        </w:tc>
        <w:tc>
          <w:tcPr>
            <w:tcW w:w="520" w:type="dxa"/>
            <w:vAlign w:val="bottom"/>
            <w:shd w:val="clear" w:color="auto" w:fill="939598"/>
          </w:tcPr>
          <w:p>
            <w:pPr>
              <w:spacing w:after="0"/>
              <w:rPr>
                <w:sz w:val="12"/>
                <w:szCs w:val="12"/>
                <w:color w:val="auto"/>
              </w:rPr>
            </w:pPr>
          </w:p>
        </w:tc>
        <w:tc>
          <w:tcPr>
            <w:tcW w:w="200" w:type="dxa"/>
            <w:vAlign w:val="bottom"/>
            <w:shd w:val="clear" w:color="auto" w:fill="939598"/>
          </w:tcPr>
          <w:p>
            <w:pPr>
              <w:spacing w:after="0"/>
              <w:rPr>
                <w:sz w:val="12"/>
                <w:szCs w:val="12"/>
                <w:color w:val="auto"/>
              </w:rPr>
            </w:pPr>
          </w:p>
        </w:tc>
        <w:tc>
          <w:tcPr>
            <w:tcW w:w="700" w:type="dxa"/>
            <w:vAlign w:val="bottom"/>
            <w:shd w:val="clear" w:color="auto" w:fill="939598"/>
          </w:tcPr>
          <w:p>
            <w:pPr>
              <w:jc w:val="right"/>
              <w:ind w:right="220"/>
              <w:spacing w:after="0" w:line="149" w:lineRule="exact"/>
              <w:rPr>
                <w:sz w:val="20"/>
                <w:szCs w:val="20"/>
                <w:color w:val="auto"/>
              </w:rPr>
            </w:pPr>
            <w:r>
              <w:rPr>
                <w:rFonts w:ascii="Arial" w:cs="Arial" w:eastAsia="Arial" w:hAnsi="Arial"/>
                <w:sz w:val="14"/>
                <w:szCs w:val="14"/>
                <w:b w:val="1"/>
                <w:bCs w:val="1"/>
                <w:color w:val="FFFFFF"/>
              </w:rPr>
              <w:t>from</w:t>
            </w:r>
          </w:p>
        </w:tc>
        <w:tc>
          <w:tcPr>
            <w:tcW w:w="620" w:type="dxa"/>
            <w:vAlign w:val="bottom"/>
            <w:shd w:val="clear" w:color="auto" w:fill="939598"/>
          </w:tcPr>
          <w:p>
            <w:pPr>
              <w:spacing w:after="0"/>
              <w:rPr>
                <w:sz w:val="12"/>
                <w:szCs w:val="12"/>
                <w:color w:val="auto"/>
              </w:rPr>
            </w:pPr>
          </w:p>
        </w:tc>
        <w:tc>
          <w:tcPr>
            <w:tcW w:w="220" w:type="dxa"/>
            <w:vAlign w:val="bottom"/>
            <w:shd w:val="clear" w:color="auto" w:fill="939598"/>
          </w:tcPr>
          <w:p>
            <w:pPr>
              <w:spacing w:after="0"/>
              <w:rPr>
                <w:sz w:val="12"/>
                <w:szCs w:val="12"/>
                <w:color w:val="auto"/>
              </w:rPr>
            </w:pPr>
          </w:p>
        </w:tc>
        <w:tc>
          <w:tcPr>
            <w:tcW w:w="480" w:type="dxa"/>
            <w:vAlign w:val="bottom"/>
            <w:shd w:val="clear" w:color="auto" w:fill="939598"/>
          </w:tcPr>
          <w:p>
            <w:pPr>
              <w:spacing w:after="0"/>
              <w:rPr>
                <w:sz w:val="12"/>
                <w:szCs w:val="12"/>
                <w:color w:val="auto"/>
              </w:rPr>
            </w:pPr>
          </w:p>
        </w:tc>
        <w:tc>
          <w:tcPr>
            <w:tcW w:w="60" w:type="dxa"/>
            <w:vAlign w:val="bottom"/>
            <w:shd w:val="clear" w:color="auto" w:fill="939598"/>
          </w:tcPr>
          <w:p>
            <w:pPr>
              <w:spacing w:after="0"/>
              <w:rPr>
                <w:sz w:val="12"/>
                <w:szCs w:val="12"/>
                <w:color w:val="auto"/>
              </w:rPr>
            </w:pPr>
          </w:p>
        </w:tc>
      </w:tr>
      <w:tr>
        <w:trPr>
          <w:trHeight w:val="149"/>
        </w:trPr>
        <w:tc>
          <w:tcPr>
            <w:tcW w:w="3880" w:type="dxa"/>
            <w:vAlign w:val="bottom"/>
            <w:shd w:val="clear" w:color="auto" w:fill="939598"/>
          </w:tcPr>
          <w:p>
            <w:pPr>
              <w:spacing w:after="0"/>
              <w:rPr>
                <w:sz w:val="12"/>
                <w:szCs w:val="12"/>
                <w:color w:val="auto"/>
              </w:rPr>
            </w:pPr>
          </w:p>
        </w:tc>
        <w:tc>
          <w:tcPr>
            <w:tcW w:w="960" w:type="dxa"/>
            <w:vAlign w:val="bottom"/>
            <w:gridSpan w:val="3"/>
            <w:shd w:val="clear" w:color="auto" w:fill="939598"/>
          </w:tcPr>
          <w:p>
            <w:pPr>
              <w:jc w:val="center"/>
              <w:ind w:left="6"/>
              <w:spacing w:after="0" w:line="149" w:lineRule="exact"/>
              <w:rPr>
                <w:sz w:val="20"/>
                <w:szCs w:val="20"/>
                <w:color w:val="auto"/>
              </w:rPr>
            </w:pPr>
            <w:r>
              <w:rPr>
                <w:rFonts w:ascii="Arial" w:cs="Arial" w:eastAsia="Arial" w:hAnsi="Arial"/>
                <w:sz w:val="14"/>
                <w:szCs w:val="14"/>
                <w:b w:val="1"/>
                <w:bCs w:val="1"/>
                <w:color w:val="FFFFFF"/>
                <w:w w:val="97"/>
              </w:rPr>
              <w:t>Continuing</w:t>
            </w:r>
          </w:p>
        </w:tc>
        <w:tc>
          <w:tcPr>
            <w:tcW w:w="620" w:type="dxa"/>
            <w:vAlign w:val="bottom"/>
            <w:shd w:val="clear" w:color="auto" w:fill="939598"/>
          </w:tcPr>
          <w:p>
            <w:pPr>
              <w:spacing w:after="0"/>
              <w:rPr>
                <w:sz w:val="12"/>
                <w:szCs w:val="12"/>
                <w:color w:val="auto"/>
              </w:rPr>
            </w:pPr>
          </w:p>
        </w:tc>
        <w:tc>
          <w:tcPr>
            <w:tcW w:w="200" w:type="dxa"/>
            <w:vAlign w:val="bottom"/>
            <w:shd w:val="clear" w:color="auto" w:fill="939598"/>
          </w:tcPr>
          <w:p>
            <w:pPr>
              <w:spacing w:after="0"/>
              <w:rPr>
                <w:sz w:val="12"/>
                <w:szCs w:val="12"/>
                <w:color w:val="auto"/>
              </w:rPr>
            </w:pPr>
          </w:p>
        </w:tc>
        <w:tc>
          <w:tcPr>
            <w:tcW w:w="520" w:type="dxa"/>
            <w:vAlign w:val="bottom"/>
            <w:shd w:val="clear" w:color="auto" w:fill="939598"/>
          </w:tcPr>
          <w:p>
            <w:pPr>
              <w:spacing w:after="0"/>
              <w:rPr>
                <w:sz w:val="12"/>
                <w:szCs w:val="12"/>
                <w:color w:val="auto"/>
              </w:rPr>
            </w:pPr>
          </w:p>
        </w:tc>
        <w:tc>
          <w:tcPr>
            <w:tcW w:w="900" w:type="dxa"/>
            <w:vAlign w:val="bottom"/>
            <w:gridSpan w:val="2"/>
            <w:shd w:val="clear" w:color="auto" w:fill="939598"/>
          </w:tcPr>
          <w:p>
            <w:pPr>
              <w:ind w:left="100"/>
              <w:spacing w:after="0" w:line="149" w:lineRule="exact"/>
              <w:rPr>
                <w:sz w:val="20"/>
                <w:szCs w:val="20"/>
                <w:color w:val="auto"/>
              </w:rPr>
            </w:pPr>
            <w:r>
              <w:rPr>
                <w:rFonts w:ascii="Arial" w:cs="Arial" w:eastAsia="Arial" w:hAnsi="Arial"/>
                <w:sz w:val="14"/>
                <w:szCs w:val="14"/>
                <w:b w:val="1"/>
                <w:bCs w:val="1"/>
                <w:color w:val="FFFFFF"/>
              </w:rPr>
              <w:t>Continuing</w:t>
            </w:r>
          </w:p>
        </w:tc>
        <w:tc>
          <w:tcPr>
            <w:tcW w:w="640" w:type="dxa"/>
            <w:vAlign w:val="bottom"/>
            <w:shd w:val="clear" w:color="auto" w:fill="939598"/>
          </w:tcPr>
          <w:p>
            <w:pPr>
              <w:spacing w:after="0"/>
              <w:rPr>
                <w:sz w:val="12"/>
                <w:szCs w:val="12"/>
                <w:color w:val="auto"/>
              </w:rPr>
            </w:pPr>
          </w:p>
        </w:tc>
        <w:tc>
          <w:tcPr>
            <w:tcW w:w="200" w:type="dxa"/>
            <w:vAlign w:val="bottom"/>
            <w:shd w:val="clear" w:color="auto" w:fill="939598"/>
          </w:tcPr>
          <w:p>
            <w:pPr>
              <w:spacing w:after="0"/>
              <w:rPr>
                <w:sz w:val="12"/>
                <w:szCs w:val="12"/>
                <w:color w:val="auto"/>
              </w:rPr>
            </w:pPr>
          </w:p>
        </w:tc>
        <w:tc>
          <w:tcPr>
            <w:tcW w:w="520" w:type="dxa"/>
            <w:vAlign w:val="bottom"/>
            <w:shd w:val="clear" w:color="auto" w:fill="939598"/>
          </w:tcPr>
          <w:p>
            <w:pPr>
              <w:spacing w:after="0"/>
              <w:rPr>
                <w:sz w:val="12"/>
                <w:szCs w:val="12"/>
                <w:color w:val="auto"/>
              </w:rPr>
            </w:pPr>
          </w:p>
        </w:tc>
        <w:tc>
          <w:tcPr>
            <w:tcW w:w="900" w:type="dxa"/>
            <w:vAlign w:val="bottom"/>
            <w:gridSpan w:val="2"/>
            <w:shd w:val="clear" w:color="auto" w:fill="939598"/>
          </w:tcPr>
          <w:p>
            <w:pPr>
              <w:ind w:left="80"/>
              <w:spacing w:after="0" w:line="149" w:lineRule="exact"/>
              <w:rPr>
                <w:sz w:val="20"/>
                <w:szCs w:val="20"/>
                <w:color w:val="auto"/>
              </w:rPr>
            </w:pPr>
            <w:r>
              <w:rPr>
                <w:rFonts w:ascii="Arial" w:cs="Arial" w:eastAsia="Arial" w:hAnsi="Arial"/>
                <w:sz w:val="14"/>
                <w:szCs w:val="14"/>
                <w:b w:val="1"/>
                <w:bCs w:val="1"/>
                <w:color w:val="FFFFFF"/>
              </w:rPr>
              <w:t>Continuing</w:t>
            </w:r>
          </w:p>
        </w:tc>
        <w:tc>
          <w:tcPr>
            <w:tcW w:w="620" w:type="dxa"/>
            <w:vAlign w:val="bottom"/>
            <w:shd w:val="clear" w:color="auto" w:fill="939598"/>
          </w:tcPr>
          <w:p>
            <w:pPr>
              <w:spacing w:after="0"/>
              <w:rPr>
                <w:sz w:val="12"/>
                <w:szCs w:val="12"/>
                <w:color w:val="auto"/>
              </w:rPr>
            </w:pPr>
          </w:p>
        </w:tc>
        <w:tc>
          <w:tcPr>
            <w:tcW w:w="220" w:type="dxa"/>
            <w:vAlign w:val="bottom"/>
            <w:shd w:val="clear" w:color="auto" w:fill="939598"/>
          </w:tcPr>
          <w:p>
            <w:pPr>
              <w:spacing w:after="0"/>
              <w:rPr>
                <w:sz w:val="12"/>
                <w:szCs w:val="12"/>
                <w:color w:val="auto"/>
              </w:rPr>
            </w:pPr>
          </w:p>
        </w:tc>
        <w:tc>
          <w:tcPr>
            <w:tcW w:w="480" w:type="dxa"/>
            <w:vAlign w:val="bottom"/>
            <w:shd w:val="clear" w:color="auto" w:fill="939598"/>
          </w:tcPr>
          <w:p>
            <w:pPr>
              <w:spacing w:after="0"/>
              <w:rPr>
                <w:sz w:val="12"/>
                <w:szCs w:val="12"/>
                <w:color w:val="auto"/>
              </w:rPr>
            </w:pPr>
          </w:p>
        </w:tc>
        <w:tc>
          <w:tcPr>
            <w:tcW w:w="60" w:type="dxa"/>
            <w:vAlign w:val="bottom"/>
            <w:shd w:val="clear" w:color="auto" w:fill="939598"/>
          </w:tcPr>
          <w:p>
            <w:pPr>
              <w:spacing w:after="0"/>
              <w:rPr>
                <w:sz w:val="12"/>
                <w:szCs w:val="12"/>
                <w:color w:val="auto"/>
              </w:rPr>
            </w:pPr>
          </w:p>
        </w:tc>
      </w:tr>
      <w:tr>
        <w:trPr>
          <w:trHeight w:val="165"/>
        </w:trPr>
        <w:tc>
          <w:tcPr>
            <w:tcW w:w="3880" w:type="dxa"/>
            <w:vAlign w:val="bottom"/>
            <w:shd w:val="clear" w:color="auto" w:fill="939598"/>
          </w:tcPr>
          <w:p>
            <w:pPr>
              <w:spacing w:after="0"/>
              <w:rPr>
                <w:sz w:val="14"/>
                <w:szCs w:val="14"/>
                <w:color w:val="auto"/>
              </w:rPr>
            </w:pPr>
          </w:p>
        </w:tc>
        <w:tc>
          <w:tcPr>
            <w:tcW w:w="960" w:type="dxa"/>
            <w:vAlign w:val="bottom"/>
            <w:gridSpan w:val="3"/>
            <w:shd w:val="clear" w:color="auto" w:fill="939598"/>
          </w:tcPr>
          <w:p>
            <w:pPr>
              <w:jc w:val="center"/>
              <w:ind w:left="6"/>
              <w:spacing w:after="0"/>
              <w:rPr>
                <w:sz w:val="20"/>
                <w:szCs w:val="20"/>
                <w:color w:val="auto"/>
              </w:rPr>
            </w:pPr>
            <w:r>
              <w:rPr>
                <w:rFonts w:ascii="Arial" w:cs="Arial" w:eastAsia="Arial" w:hAnsi="Arial"/>
                <w:sz w:val="14"/>
                <w:szCs w:val="14"/>
                <w:b w:val="1"/>
                <w:bCs w:val="1"/>
                <w:color w:val="FFFFFF"/>
                <w:w w:val="97"/>
              </w:rPr>
              <w:t>Operations</w:t>
            </w:r>
          </w:p>
        </w:tc>
        <w:tc>
          <w:tcPr>
            <w:tcW w:w="620" w:type="dxa"/>
            <w:vAlign w:val="bottom"/>
            <w:shd w:val="clear" w:color="auto" w:fill="939598"/>
          </w:tcPr>
          <w:p>
            <w:pPr>
              <w:jc w:val="right"/>
              <w:spacing w:after="0"/>
              <w:rPr>
                <w:sz w:val="20"/>
                <w:szCs w:val="20"/>
                <w:color w:val="auto"/>
              </w:rPr>
            </w:pPr>
            <w:r>
              <w:rPr>
                <w:rFonts w:ascii="Arial" w:cs="Arial" w:eastAsia="Arial" w:hAnsi="Arial"/>
                <w:sz w:val="14"/>
                <w:szCs w:val="14"/>
                <w:b w:val="1"/>
                <w:bCs w:val="1"/>
                <w:color w:val="FFFFFF"/>
              </w:rPr>
              <w:t>Shares</w:t>
            </w:r>
          </w:p>
        </w:tc>
        <w:tc>
          <w:tcPr>
            <w:tcW w:w="200" w:type="dxa"/>
            <w:vAlign w:val="bottom"/>
            <w:shd w:val="clear" w:color="auto" w:fill="939598"/>
          </w:tcPr>
          <w:p>
            <w:pPr>
              <w:spacing w:after="0"/>
              <w:rPr>
                <w:sz w:val="14"/>
                <w:szCs w:val="14"/>
                <w:color w:val="auto"/>
              </w:rPr>
            </w:pPr>
          </w:p>
        </w:tc>
        <w:tc>
          <w:tcPr>
            <w:tcW w:w="520" w:type="dxa"/>
            <w:vAlign w:val="bottom"/>
            <w:shd w:val="clear" w:color="auto" w:fill="939598"/>
          </w:tcPr>
          <w:p>
            <w:pPr>
              <w:jc w:val="right"/>
              <w:ind w:right="139"/>
              <w:spacing w:after="0"/>
              <w:rPr>
                <w:sz w:val="20"/>
                <w:szCs w:val="20"/>
                <w:color w:val="auto"/>
              </w:rPr>
            </w:pPr>
            <w:r>
              <w:rPr>
                <w:rFonts w:ascii="Arial" w:cs="Arial" w:eastAsia="Arial" w:hAnsi="Arial"/>
                <w:sz w:val="14"/>
                <w:szCs w:val="14"/>
                <w:b w:val="1"/>
                <w:bCs w:val="1"/>
                <w:color w:val="FFFFFF"/>
                <w:w w:val="99"/>
              </w:rPr>
              <w:t>EPS</w:t>
            </w:r>
          </w:p>
        </w:tc>
        <w:tc>
          <w:tcPr>
            <w:tcW w:w="900" w:type="dxa"/>
            <w:vAlign w:val="bottom"/>
            <w:gridSpan w:val="2"/>
            <w:shd w:val="clear" w:color="auto" w:fill="939598"/>
          </w:tcPr>
          <w:p>
            <w:pPr>
              <w:ind w:left="100"/>
              <w:spacing w:after="0"/>
              <w:rPr>
                <w:sz w:val="20"/>
                <w:szCs w:val="20"/>
                <w:color w:val="auto"/>
              </w:rPr>
            </w:pPr>
            <w:r>
              <w:rPr>
                <w:rFonts w:ascii="Arial" w:cs="Arial" w:eastAsia="Arial" w:hAnsi="Arial"/>
                <w:sz w:val="14"/>
                <w:szCs w:val="14"/>
                <w:b w:val="1"/>
                <w:bCs w:val="1"/>
                <w:color w:val="FFFFFF"/>
              </w:rPr>
              <w:t>Operations</w:t>
            </w:r>
          </w:p>
        </w:tc>
        <w:tc>
          <w:tcPr>
            <w:tcW w:w="640" w:type="dxa"/>
            <w:vAlign w:val="bottom"/>
            <w:shd w:val="clear" w:color="auto" w:fill="939598"/>
          </w:tcPr>
          <w:p>
            <w:pPr>
              <w:jc w:val="right"/>
              <w:ind w:right="20"/>
              <w:spacing w:after="0"/>
              <w:rPr>
                <w:sz w:val="20"/>
                <w:szCs w:val="20"/>
                <w:color w:val="auto"/>
              </w:rPr>
            </w:pPr>
            <w:r>
              <w:rPr>
                <w:rFonts w:ascii="Arial" w:cs="Arial" w:eastAsia="Arial" w:hAnsi="Arial"/>
                <w:sz w:val="14"/>
                <w:szCs w:val="14"/>
                <w:b w:val="1"/>
                <w:bCs w:val="1"/>
                <w:color w:val="FFFFFF"/>
              </w:rPr>
              <w:t>Shares</w:t>
            </w:r>
          </w:p>
        </w:tc>
        <w:tc>
          <w:tcPr>
            <w:tcW w:w="200" w:type="dxa"/>
            <w:vAlign w:val="bottom"/>
            <w:shd w:val="clear" w:color="auto" w:fill="939598"/>
          </w:tcPr>
          <w:p>
            <w:pPr>
              <w:spacing w:after="0"/>
              <w:rPr>
                <w:sz w:val="14"/>
                <w:szCs w:val="14"/>
                <w:color w:val="auto"/>
              </w:rPr>
            </w:pPr>
          </w:p>
        </w:tc>
        <w:tc>
          <w:tcPr>
            <w:tcW w:w="520" w:type="dxa"/>
            <w:vAlign w:val="bottom"/>
            <w:shd w:val="clear" w:color="auto" w:fill="939598"/>
          </w:tcPr>
          <w:p>
            <w:pPr>
              <w:jc w:val="right"/>
              <w:ind w:right="139"/>
              <w:spacing w:after="0"/>
              <w:rPr>
                <w:sz w:val="20"/>
                <w:szCs w:val="20"/>
                <w:color w:val="auto"/>
              </w:rPr>
            </w:pPr>
            <w:r>
              <w:rPr>
                <w:rFonts w:ascii="Arial" w:cs="Arial" w:eastAsia="Arial" w:hAnsi="Arial"/>
                <w:sz w:val="14"/>
                <w:szCs w:val="14"/>
                <w:b w:val="1"/>
                <w:bCs w:val="1"/>
                <w:color w:val="FFFFFF"/>
                <w:w w:val="99"/>
              </w:rPr>
              <w:t>EPS</w:t>
            </w:r>
          </w:p>
        </w:tc>
        <w:tc>
          <w:tcPr>
            <w:tcW w:w="900" w:type="dxa"/>
            <w:vAlign w:val="bottom"/>
            <w:gridSpan w:val="2"/>
            <w:shd w:val="clear" w:color="auto" w:fill="939598"/>
          </w:tcPr>
          <w:p>
            <w:pPr>
              <w:ind w:left="80"/>
              <w:spacing w:after="0"/>
              <w:rPr>
                <w:sz w:val="20"/>
                <w:szCs w:val="20"/>
                <w:color w:val="auto"/>
              </w:rPr>
            </w:pPr>
            <w:r>
              <w:rPr>
                <w:rFonts w:ascii="Arial" w:cs="Arial" w:eastAsia="Arial" w:hAnsi="Arial"/>
                <w:sz w:val="14"/>
                <w:szCs w:val="14"/>
                <w:b w:val="1"/>
                <w:bCs w:val="1"/>
                <w:color w:val="FFFFFF"/>
              </w:rPr>
              <w:t>Operations</w:t>
            </w:r>
          </w:p>
        </w:tc>
        <w:tc>
          <w:tcPr>
            <w:tcW w:w="620" w:type="dxa"/>
            <w:vAlign w:val="bottom"/>
            <w:shd w:val="clear" w:color="auto" w:fill="939598"/>
          </w:tcPr>
          <w:p>
            <w:pPr>
              <w:jc w:val="right"/>
              <w:spacing w:after="0"/>
              <w:rPr>
                <w:sz w:val="20"/>
                <w:szCs w:val="20"/>
                <w:color w:val="auto"/>
              </w:rPr>
            </w:pPr>
            <w:r>
              <w:rPr>
                <w:rFonts w:ascii="Arial" w:cs="Arial" w:eastAsia="Arial" w:hAnsi="Arial"/>
                <w:sz w:val="14"/>
                <w:szCs w:val="14"/>
                <w:b w:val="1"/>
                <w:bCs w:val="1"/>
                <w:color w:val="FFFFFF"/>
              </w:rPr>
              <w:t>Shares</w:t>
            </w:r>
          </w:p>
        </w:tc>
        <w:tc>
          <w:tcPr>
            <w:tcW w:w="220" w:type="dxa"/>
            <w:vAlign w:val="bottom"/>
            <w:shd w:val="clear" w:color="auto" w:fill="939598"/>
          </w:tcPr>
          <w:p>
            <w:pPr>
              <w:spacing w:after="0"/>
              <w:rPr>
                <w:sz w:val="14"/>
                <w:szCs w:val="14"/>
                <w:color w:val="auto"/>
              </w:rPr>
            </w:pPr>
          </w:p>
        </w:tc>
        <w:tc>
          <w:tcPr>
            <w:tcW w:w="540" w:type="dxa"/>
            <w:vAlign w:val="bottom"/>
            <w:gridSpan w:val="2"/>
            <w:shd w:val="clear" w:color="auto" w:fill="939598"/>
          </w:tcPr>
          <w:p>
            <w:pPr>
              <w:ind w:left="40"/>
              <w:spacing w:after="0"/>
              <w:rPr>
                <w:sz w:val="20"/>
                <w:szCs w:val="20"/>
                <w:color w:val="auto"/>
              </w:rPr>
            </w:pPr>
            <w:r>
              <w:rPr>
                <w:rFonts w:ascii="Arial" w:cs="Arial" w:eastAsia="Arial" w:hAnsi="Arial"/>
                <w:sz w:val="14"/>
                <w:szCs w:val="14"/>
                <w:b w:val="1"/>
                <w:bCs w:val="1"/>
                <w:color w:val="FFFFFF"/>
              </w:rPr>
              <w:t>EPS</w:t>
            </w:r>
          </w:p>
        </w:tc>
      </w:tr>
      <w:tr>
        <w:trPr>
          <w:trHeight w:val="270"/>
        </w:trPr>
        <w:tc>
          <w:tcPr>
            <w:tcW w:w="3880" w:type="dxa"/>
            <w:vAlign w:val="bottom"/>
          </w:tcPr>
          <w:p>
            <w:pPr>
              <w:ind w:left="200"/>
              <w:spacing w:after="0"/>
              <w:rPr>
                <w:sz w:val="20"/>
                <w:szCs w:val="20"/>
                <w:color w:val="auto"/>
              </w:rPr>
            </w:pPr>
            <w:r>
              <w:rPr>
                <w:rFonts w:ascii="Arial" w:cs="Arial" w:eastAsia="Arial" w:hAnsi="Arial"/>
                <w:sz w:val="18"/>
                <w:szCs w:val="18"/>
                <w:b w:val="1"/>
                <w:bCs w:val="1"/>
                <w:color w:val="auto"/>
              </w:rPr>
              <w:t>Basic EPS</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2,638</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1,528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20"/>
              <w:spacing w:after="0"/>
              <w:rPr>
                <w:sz w:val="20"/>
                <w:szCs w:val="20"/>
                <w:color w:val="auto"/>
              </w:rPr>
            </w:pPr>
            <w:r>
              <w:rPr>
                <w:rFonts w:ascii="Arial" w:cs="Arial" w:eastAsia="Arial" w:hAnsi="Arial"/>
                <w:sz w:val="18"/>
                <w:szCs w:val="18"/>
                <w:color w:val="auto"/>
              </w:rPr>
              <w:t>2,173</w:t>
            </w:r>
          </w:p>
        </w:tc>
        <w:tc>
          <w:tcPr>
            <w:tcW w:w="640" w:type="dxa"/>
            <w:vAlign w:val="bottom"/>
          </w:tcPr>
          <w:p>
            <w:pPr>
              <w:jc w:val="right"/>
              <w:ind w:right="20"/>
              <w:spacing w:after="0"/>
              <w:rPr>
                <w:sz w:val="20"/>
                <w:szCs w:val="20"/>
                <w:color w:val="auto"/>
              </w:rPr>
            </w:pPr>
            <w:r>
              <w:rPr>
                <w:rFonts w:ascii="Arial" w:cs="Arial" w:eastAsia="Arial" w:hAnsi="Arial"/>
                <w:sz w:val="18"/>
                <w:szCs w:val="18"/>
                <w:color w:val="auto"/>
              </w:rPr>
              <w:t>1,640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20"/>
              <w:spacing w:after="0"/>
              <w:rPr>
                <w:sz w:val="20"/>
                <w:szCs w:val="20"/>
                <w:color w:val="auto"/>
              </w:rPr>
            </w:pPr>
            <w:r>
              <w:rPr>
                <w:rFonts w:ascii="Arial" w:cs="Arial" w:eastAsia="Arial" w:hAnsi="Arial"/>
                <w:sz w:val="18"/>
                <w:szCs w:val="18"/>
                <w:color w:val="auto"/>
              </w:rPr>
              <w:t>1,691</w:t>
            </w:r>
          </w:p>
        </w:tc>
        <w:tc>
          <w:tcPr>
            <w:tcW w:w="620" w:type="dxa"/>
            <w:vAlign w:val="bottom"/>
          </w:tcPr>
          <w:p>
            <w:pPr>
              <w:jc w:val="right"/>
              <w:spacing w:after="0"/>
              <w:rPr>
                <w:sz w:val="20"/>
                <w:szCs w:val="20"/>
                <w:color w:val="auto"/>
              </w:rPr>
            </w:pPr>
            <w:r>
              <w:rPr>
                <w:rFonts w:ascii="Arial" w:cs="Arial" w:eastAsia="Arial" w:hAnsi="Arial"/>
                <w:sz w:val="18"/>
                <w:szCs w:val="18"/>
                <w:color w:val="auto"/>
              </w:rPr>
              <w:t>1,730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0.98</w:t>
            </w:r>
          </w:p>
        </w:tc>
        <w:tc>
          <w:tcPr>
            <w:tcW w:w="60" w:type="dxa"/>
            <w:vAlign w:val="bottom"/>
          </w:tcPr>
          <w:p>
            <w:pPr>
              <w:spacing w:after="0"/>
              <w:rPr>
                <w:sz w:val="23"/>
                <w:szCs w:val="23"/>
                <w:color w:val="auto"/>
              </w:rPr>
            </w:pPr>
          </w:p>
        </w:tc>
      </w:tr>
      <w:tr>
        <w:trPr>
          <w:trHeight w:val="203"/>
        </w:trPr>
        <w:tc>
          <w:tcPr>
            <w:tcW w:w="388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Dilutives:</w:t>
            </w:r>
          </w:p>
        </w:tc>
        <w:tc>
          <w:tcPr>
            <w:tcW w:w="180" w:type="dxa"/>
            <w:vAlign w:val="bottom"/>
            <w:shd w:val="clear" w:color="auto" w:fill="E6E7E7"/>
          </w:tcPr>
          <w:p>
            <w:pPr>
              <w:spacing w:after="0"/>
              <w:rPr>
                <w:sz w:val="17"/>
                <w:szCs w:val="17"/>
                <w:color w:val="auto"/>
              </w:rPr>
            </w:pPr>
          </w:p>
        </w:tc>
        <w:tc>
          <w:tcPr>
            <w:tcW w:w="100" w:type="dxa"/>
            <w:vAlign w:val="bottom"/>
            <w:shd w:val="clear" w:color="auto" w:fill="E6E7E7"/>
          </w:tcPr>
          <w:p>
            <w:pPr>
              <w:spacing w:after="0"/>
              <w:rPr>
                <w:sz w:val="17"/>
                <w:szCs w:val="17"/>
                <w:color w:val="auto"/>
              </w:rPr>
            </w:pPr>
          </w:p>
        </w:tc>
        <w:tc>
          <w:tcPr>
            <w:tcW w:w="680" w:type="dxa"/>
            <w:vAlign w:val="bottom"/>
            <w:shd w:val="clear" w:color="auto" w:fill="E6E7E7"/>
          </w:tcPr>
          <w:p>
            <w:pPr>
              <w:spacing w:after="0"/>
              <w:rPr>
                <w:sz w:val="17"/>
                <w:szCs w:val="17"/>
                <w:color w:val="auto"/>
              </w:rPr>
            </w:pPr>
          </w:p>
        </w:tc>
        <w:tc>
          <w:tcPr>
            <w:tcW w:w="620" w:type="dxa"/>
            <w:vAlign w:val="bottom"/>
            <w:shd w:val="clear" w:color="auto" w:fill="E6E7E7"/>
          </w:tcPr>
          <w:p>
            <w:pPr>
              <w:spacing w:after="0"/>
              <w:rPr>
                <w:sz w:val="17"/>
                <w:szCs w:val="17"/>
                <w:color w:val="auto"/>
              </w:rPr>
            </w:pPr>
          </w:p>
        </w:tc>
        <w:tc>
          <w:tcPr>
            <w:tcW w:w="200" w:type="dxa"/>
            <w:vAlign w:val="bottom"/>
            <w:shd w:val="clear" w:color="auto" w:fill="E6E7E7"/>
          </w:tcPr>
          <w:p>
            <w:pPr>
              <w:spacing w:after="0"/>
              <w:rPr>
                <w:sz w:val="17"/>
                <w:szCs w:val="17"/>
                <w:color w:val="auto"/>
              </w:rPr>
            </w:pPr>
          </w:p>
        </w:tc>
        <w:tc>
          <w:tcPr>
            <w:tcW w:w="520" w:type="dxa"/>
            <w:vAlign w:val="bottom"/>
            <w:shd w:val="clear" w:color="auto" w:fill="E6E7E7"/>
          </w:tcPr>
          <w:p>
            <w:pPr>
              <w:spacing w:after="0"/>
              <w:rPr>
                <w:sz w:val="17"/>
                <w:szCs w:val="17"/>
                <w:color w:val="auto"/>
              </w:rPr>
            </w:pPr>
          </w:p>
        </w:tc>
        <w:tc>
          <w:tcPr>
            <w:tcW w:w="200" w:type="dxa"/>
            <w:vAlign w:val="bottom"/>
            <w:shd w:val="clear" w:color="auto" w:fill="E6E7E7"/>
          </w:tcPr>
          <w:p>
            <w:pPr>
              <w:spacing w:after="0"/>
              <w:rPr>
                <w:sz w:val="17"/>
                <w:szCs w:val="17"/>
                <w:color w:val="auto"/>
              </w:rPr>
            </w:pPr>
          </w:p>
        </w:tc>
        <w:tc>
          <w:tcPr>
            <w:tcW w:w="700" w:type="dxa"/>
            <w:vAlign w:val="bottom"/>
            <w:shd w:val="clear" w:color="auto" w:fill="E6E7E7"/>
          </w:tcPr>
          <w:p>
            <w:pPr>
              <w:spacing w:after="0"/>
              <w:rPr>
                <w:sz w:val="17"/>
                <w:szCs w:val="17"/>
                <w:color w:val="auto"/>
              </w:rPr>
            </w:pPr>
          </w:p>
        </w:tc>
        <w:tc>
          <w:tcPr>
            <w:tcW w:w="640" w:type="dxa"/>
            <w:vAlign w:val="bottom"/>
            <w:shd w:val="clear" w:color="auto" w:fill="E6E7E7"/>
          </w:tcPr>
          <w:p>
            <w:pPr>
              <w:spacing w:after="0"/>
              <w:rPr>
                <w:sz w:val="17"/>
                <w:szCs w:val="17"/>
                <w:color w:val="auto"/>
              </w:rPr>
            </w:pPr>
          </w:p>
        </w:tc>
        <w:tc>
          <w:tcPr>
            <w:tcW w:w="200" w:type="dxa"/>
            <w:vAlign w:val="bottom"/>
            <w:shd w:val="clear" w:color="auto" w:fill="E6E7E7"/>
          </w:tcPr>
          <w:p>
            <w:pPr>
              <w:spacing w:after="0"/>
              <w:rPr>
                <w:sz w:val="17"/>
                <w:szCs w:val="17"/>
                <w:color w:val="auto"/>
              </w:rPr>
            </w:pPr>
          </w:p>
        </w:tc>
        <w:tc>
          <w:tcPr>
            <w:tcW w:w="520" w:type="dxa"/>
            <w:vAlign w:val="bottom"/>
            <w:shd w:val="clear" w:color="auto" w:fill="E6E7E7"/>
          </w:tcPr>
          <w:p>
            <w:pPr>
              <w:spacing w:after="0"/>
              <w:rPr>
                <w:sz w:val="17"/>
                <w:szCs w:val="17"/>
                <w:color w:val="auto"/>
              </w:rPr>
            </w:pPr>
          </w:p>
        </w:tc>
        <w:tc>
          <w:tcPr>
            <w:tcW w:w="200" w:type="dxa"/>
            <w:vAlign w:val="bottom"/>
            <w:shd w:val="clear" w:color="auto" w:fill="E6E7E7"/>
          </w:tcPr>
          <w:p>
            <w:pPr>
              <w:spacing w:after="0"/>
              <w:rPr>
                <w:sz w:val="17"/>
                <w:szCs w:val="17"/>
                <w:color w:val="auto"/>
              </w:rPr>
            </w:pPr>
          </w:p>
        </w:tc>
        <w:tc>
          <w:tcPr>
            <w:tcW w:w="700" w:type="dxa"/>
            <w:vAlign w:val="bottom"/>
            <w:shd w:val="clear" w:color="auto" w:fill="E6E7E7"/>
          </w:tcPr>
          <w:p>
            <w:pPr>
              <w:spacing w:after="0"/>
              <w:rPr>
                <w:sz w:val="17"/>
                <w:szCs w:val="17"/>
                <w:color w:val="auto"/>
              </w:rPr>
            </w:pPr>
          </w:p>
        </w:tc>
        <w:tc>
          <w:tcPr>
            <w:tcW w:w="620" w:type="dxa"/>
            <w:vAlign w:val="bottom"/>
            <w:shd w:val="clear" w:color="auto" w:fill="E6E7E7"/>
          </w:tcPr>
          <w:p>
            <w:pPr>
              <w:spacing w:after="0"/>
              <w:rPr>
                <w:sz w:val="17"/>
                <w:szCs w:val="17"/>
                <w:color w:val="auto"/>
              </w:rPr>
            </w:pPr>
          </w:p>
        </w:tc>
        <w:tc>
          <w:tcPr>
            <w:tcW w:w="220" w:type="dxa"/>
            <w:vAlign w:val="bottom"/>
            <w:shd w:val="clear" w:color="auto" w:fill="E6E7E7"/>
          </w:tcPr>
          <w:p>
            <w:pPr>
              <w:spacing w:after="0"/>
              <w:rPr>
                <w:sz w:val="17"/>
                <w:szCs w:val="17"/>
                <w:color w:val="auto"/>
              </w:rPr>
            </w:pPr>
          </w:p>
        </w:tc>
        <w:tc>
          <w:tcPr>
            <w:tcW w:w="48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r>
      <w:tr>
        <w:trPr>
          <w:trHeight w:val="210"/>
        </w:trPr>
        <w:tc>
          <w:tcPr>
            <w:tcW w:w="3880" w:type="dxa"/>
            <w:vAlign w:val="bottom"/>
          </w:tcPr>
          <w:p>
            <w:pPr>
              <w:ind w:left="420"/>
              <w:spacing w:after="0" w:line="202" w:lineRule="exact"/>
              <w:rPr>
                <w:sz w:val="20"/>
                <w:szCs w:val="20"/>
                <w:color w:val="auto"/>
              </w:rPr>
            </w:pPr>
            <w:r>
              <w:rPr>
                <w:rFonts w:ascii="Arial" w:cs="Arial" w:eastAsia="Arial" w:hAnsi="Arial"/>
                <w:sz w:val="18"/>
                <w:szCs w:val="18"/>
                <w:color w:val="auto"/>
              </w:rPr>
              <w:t>Stock-based compensation plans</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32</w:t>
            </w: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20"/>
              <w:spacing w:after="0" w:line="202" w:lineRule="exact"/>
              <w:rPr>
                <w:sz w:val="20"/>
                <w:szCs w:val="20"/>
                <w:color w:val="auto"/>
              </w:rPr>
            </w:pPr>
            <w:r>
              <w:rPr>
                <w:rFonts w:ascii="Arial" w:cs="Arial" w:eastAsia="Arial" w:hAnsi="Arial"/>
                <w:sz w:val="18"/>
                <w:szCs w:val="18"/>
                <w:color w:val="auto"/>
              </w:rPr>
              <w:t>31</w:t>
            </w: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388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Diluted EPS</w:t>
            </w:r>
          </w:p>
        </w:tc>
        <w:tc>
          <w:tcPr>
            <w:tcW w:w="180" w:type="dxa"/>
            <w:vAlign w:val="bottom"/>
            <w:shd w:val="clear" w:color="auto" w:fill="E6E7E7"/>
          </w:tcPr>
          <w:p>
            <w:pPr>
              <w:spacing w:after="0"/>
              <w:rPr>
                <w:sz w:val="17"/>
                <w:szCs w:val="17"/>
                <w:color w:val="auto"/>
              </w:rPr>
            </w:pPr>
          </w:p>
        </w:tc>
        <w:tc>
          <w:tcPr>
            <w:tcW w:w="100" w:type="dxa"/>
            <w:vAlign w:val="bottom"/>
            <w:tcBorders>
              <w:bottom w:val="single" w:sz="8" w:color="auto"/>
            </w:tcBorders>
            <w:shd w:val="clear" w:color="auto" w:fill="E6E7E7"/>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2,638</w:t>
            </w:r>
          </w:p>
        </w:tc>
        <w:tc>
          <w:tcPr>
            <w:tcW w:w="62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1,560</w:t>
            </w:r>
          </w:p>
        </w:tc>
        <w:tc>
          <w:tcPr>
            <w:tcW w:w="20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1.69</w:t>
            </w:r>
          </w:p>
        </w:tc>
        <w:tc>
          <w:tcPr>
            <w:tcW w:w="200" w:type="dxa"/>
            <w:vAlign w:val="bottom"/>
            <w:tcBorders>
              <w:bottom w:val="single" w:sz="8" w:color="auto"/>
            </w:tcBorders>
            <w:shd w:val="clear" w:color="auto" w:fill="E6E7E7"/>
          </w:tcPr>
          <w:p>
            <w:pPr>
              <w:ind w:left="10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E6E7E7"/>
          </w:tcPr>
          <w:p>
            <w:pPr>
              <w:jc w:val="right"/>
              <w:ind w:right="20"/>
              <w:spacing w:after="0" w:line="202" w:lineRule="exact"/>
              <w:rPr>
                <w:sz w:val="20"/>
                <w:szCs w:val="20"/>
                <w:color w:val="auto"/>
              </w:rPr>
            </w:pPr>
            <w:r>
              <w:rPr>
                <w:rFonts w:ascii="Arial" w:cs="Arial" w:eastAsia="Arial" w:hAnsi="Arial"/>
                <w:sz w:val="18"/>
                <w:szCs w:val="18"/>
                <w:color w:val="auto"/>
              </w:rPr>
              <w:t>2,173</w:t>
            </w:r>
          </w:p>
        </w:tc>
        <w:tc>
          <w:tcPr>
            <w:tcW w:w="640" w:type="dxa"/>
            <w:vAlign w:val="bottom"/>
            <w:tcBorders>
              <w:bottom w:val="single" w:sz="8" w:color="auto"/>
            </w:tcBorders>
            <w:shd w:val="clear" w:color="auto" w:fill="E6E7E7"/>
          </w:tcPr>
          <w:p>
            <w:pPr>
              <w:jc w:val="right"/>
              <w:ind w:right="20"/>
              <w:spacing w:after="0" w:line="202" w:lineRule="exact"/>
              <w:rPr>
                <w:sz w:val="20"/>
                <w:szCs w:val="20"/>
                <w:color w:val="auto"/>
              </w:rPr>
            </w:pPr>
            <w:r>
              <w:rPr>
                <w:rFonts w:ascii="Arial" w:cs="Arial" w:eastAsia="Arial" w:hAnsi="Arial"/>
                <w:sz w:val="18"/>
                <w:szCs w:val="18"/>
                <w:color w:val="auto"/>
              </w:rPr>
              <w:t>1,671</w:t>
            </w:r>
          </w:p>
        </w:tc>
        <w:tc>
          <w:tcPr>
            <w:tcW w:w="20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1.30</w:t>
            </w:r>
          </w:p>
        </w:tc>
        <w:tc>
          <w:tcPr>
            <w:tcW w:w="200" w:type="dxa"/>
            <w:vAlign w:val="bottom"/>
            <w:tcBorders>
              <w:bottom w:val="single" w:sz="8" w:color="auto"/>
            </w:tcBorders>
            <w:shd w:val="clear" w:color="auto" w:fill="E6E7E7"/>
          </w:tcPr>
          <w:p>
            <w:pPr>
              <w:ind w:left="80"/>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E6E7E7"/>
          </w:tcPr>
          <w:p>
            <w:pPr>
              <w:jc w:val="right"/>
              <w:ind w:right="20"/>
              <w:spacing w:after="0" w:line="202" w:lineRule="exact"/>
              <w:rPr>
                <w:sz w:val="20"/>
                <w:szCs w:val="20"/>
                <w:color w:val="auto"/>
              </w:rPr>
            </w:pPr>
            <w:r>
              <w:rPr>
                <w:rFonts w:ascii="Arial" w:cs="Arial" w:eastAsia="Arial" w:hAnsi="Arial"/>
                <w:sz w:val="18"/>
                <w:szCs w:val="18"/>
                <w:color w:val="auto"/>
              </w:rPr>
              <w:t>1,691</w:t>
            </w:r>
          </w:p>
        </w:tc>
        <w:tc>
          <w:tcPr>
            <w:tcW w:w="62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1,768</w:t>
            </w:r>
          </w:p>
        </w:tc>
        <w:tc>
          <w:tcPr>
            <w:tcW w:w="22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0.96</w:t>
            </w:r>
          </w:p>
        </w:tc>
        <w:tc>
          <w:tcPr>
            <w:tcW w:w="60" w:type="dxa"/>
            <w:vAlign w:val="bottom"/>
            <w:shd w:val="clear" w:color="auto" w:fill="E6E7E7"/>
          </w:tcPr>
          <w:p>
            <w:pPr>
              <w:spacing w:after="0"/>
              <w:rPr>
                <w:sz w:val="17"/>
                <w:szCs w:val="17"/>
                <w:color w:val="auto"/>
              </w:rPr>
            </w:pPr>
          </w:p>
        </w:tc>
      </w:tr>
      <w:tr>
        <w:trPr>
          <w:trHeight w:val="20"/>
        </w:trPr>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left="100" w:right="120"/>
        <w:spacing w:after="0" w:line="238" w:lineRule="auto"/>
        <w:rPr>
          <w:sz w:val="20"/>
          <w:szCs w:val="20"/>
          <w:color w:val="auto"/>
        </w:rPr>
      </w:pPr>
      <w:r>
        <w:rPr>
          <w:rFonts w:ascii="Arial" w:cs="Arial" w:eastAsia="Arial" w:hAnsi="Arial"/>
          <w:sz w:val="18"/>
          <w:szCs w:val="18"/>
          <w:color w:val="auto"/>
        </w:rPr>
        <w:t>Options to purchase 93 million, 82 million and 113 million shares of common stock were outstanding during 2006, 2005 and 2004 that were not included in the computation of diluted earnings per share because the options’ exercise price was greater than the average market price of the common shares and, therefore, the effect would be antidilutive.</w:t>
      </w:r>
    </w:p>
    <w:p>
      <w:pPr>
        <w:spacing w:after="0" w:line="154" w:lineRule="exact"/>
        <w:rPr>
          <w:sz w:val="20"/>
          <w:szCs w:val="20"/>
          <w:color w:val="auto"/>
        </w:rPr>
      </w:pPr>
    </w:p>
    <w:p>
      <w:pPr>
        <w:ind w:left="100" w:right="140"/>
        <w:spacing w:after="0" w:line="271" w:lineRule="auto"/>
        <w:rPr>
          <w:sz w:val="20"/>
          <w:szCs w:val="20"/>
          <w:color w:val="auto"/>
        </w:rPr>
      </w:pPr>
      <w:r>
        <w:rPr>
          <w:rFonts w:ascii="Arial" w:cs="Arial" w:eastAsia="Arial" w:hAnsi="Arial"/>
          <w:sz w:val="16"/>
          <w:szCs w:val="16"/>
          <w:u w:val="single" w:color="auto"/>
          <w:color w:val="auto"/>
        </w:rPr>
        <w:t>Effects of Stock-based Compensation</w:t>
      </w:r>
      <w:r>
        <w:rPr>
          <w:rFonts w:ascii="Arial" w:cs="Arial" w:eastAsia="Arial" w:hAnsi="Arial"/>
          <w:sz w:val="16"/>
          <w:szCs w:val="16"/>
          <w:color w:val="auto"/>
        </w:rPr>
        <w:t>: We have several stock-based employee compensation plans that are more fully described in Note 9. Prior to July 1, 2005, we accounted for awards granted under those plans following the recognition and measurement principles of Accounting Principles Board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and related interpretations. No compensation cost was reflected in net income for stock options, as all options granted under the plans have an exercise price equal to the market value of the underlying common stock on the date of the grant (except options granted under employee stock purchase plans and acquisition-related stock option awards). Compensation cost has previously been recognized for restricted stock units (RSUs).</w:t>
      </w:r>
    </w:p>
    <w:p>
      <w:pPr>
        <w:spacing w:after="0" w:line="131" w:lineRule="exact"/>
        <w:rPr>
          <w:sz w:val="20"/>
          <w:szCs w:val="20"/>
          <w:color w:val="auto"/>
        </w:rPr>
      </w:pPr>
    </w:p>
    <w:p>
      <w:pPr>
        <w:ind w:left="100"/>
        <w:spacing w:after="0" w:line="264" w:lineRule="auto"/>
        <w:rPr>
          <w:sz w:val="20"/>
          <w:szCs w:val="20"/>
          <w:color w:val="auto"/>
        </w:rPr>
      </w:pPr>
      <w:r>
        <w:rPr>
          <w:rFonts w:ascii="Arial" w:cs="Arial" w:eastAsia="Arial" w:hAnsi="Arial"/>
          <w:sz w:val="16"/>
          <w:szCs w:val="16"/>
          <w:color w:val="auto"/>
        </w:rPr>
        <w:t>Effective July 1, 2005, we adopted the fair value recognition provisions of Financial Accounting Standards Board (FASB) Statement of Financial Accounting Standards (SFAS) No. 123(R), “</w:t>
      </w:r>
      <w:r>
        <w:rPr>
          <w:rFonts w:ascii="Arial" w:cs="Arial" w:eastAsia="Arial" w:hAnsi="Arial"/>
          <w:sz w:val="16"/>
          <w:szCs w:val="16"/>
          <w:i w:val="1"/>
          <w:iCs w:val="1"/>
          <w:color w:val="auto"/>
        </w:rPr>
        <w:t>Share-Based Payments,</w:t>
      </w:r>
      <w:r>
        <w:rPr>
          <w:rFonts w:ascii="Arial" w:cs="Arial" w:eastAsia="Arial" w:hAnsi="Arial"/>
          <w:sz w:val="16"/>
          <w:szCs w:val="16"/>
          <w:color w:val="auto"/>
        </w:rPr>
        <w:t>” using the modified prospective application method. Under this transition method, compensation cost recognized for the years ended December 31, 2006 and 2005, includes the applicable amounts of:</w:t>
      </w:r>
    </w:p>
    <w:p>
      <w:pPr>
        <w:spacing w:after="0" w:line="1" w:lineRule="exact"/>
        <w:rPr>
          <w:sz w:val="20"/>
          <w:szCs w:val="20"/>
          <w:color w:val="auto"/>
        </w:rPr>
      </w:pPr>
    </w:p>
    <w:p>
      <w:pPr>
        <w:ind w:left="100" w:right="80" w:firstLine="4"/>
        <w:spacing w:after="0" w:line="234" w:lineRule="auto"/>
        <w:tabs>
          <w:tab w:leader="none" w:pos="363"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compensation cost of all stock-based payments granted prior to, but not yet vested as of, July 1, 2005 (based on the grant-date fair value estimated in accordance with the original provisions of SFAS 123 and previously presented in pro forma footnote disclosures), and</w:t>
      </w:r>
    </w:p>
    <w:p>
      <w:pPr>
        <w:spacing w:after="0" w:line="1" w:lineRule="exact"/>
        <w:rPr>
          <w:rFonts w:ascii="Arial" w:cs="Arial" w:eastAsia="Arial" w:hAnsi="Arial"/>
          <w:sz w:val="18"/>
          <w:szCs w:val="18"/>
          <w:color w:val="auto"/>
        </w:rPr>
      </w:pPr>
    </w:p>
    <w:p>
      <w:pPr>
        <w:ind w:left="100" w:right="420" w:firstLine="4"/>
        <w:spacing w:after="0" w:line="239" w:lineRule="auto"/>
        <w:tabs>
          <w:tab w:leader="none" w:pos="363"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compensation cost for all stock-based payments granted subsequent to July 1, 2005 (based on the grant-date fair value estimated in accordance with the new provisions of SFAS 123(R)). Results for prior periods have not been restated.</w:t>
      </w:r>
    </w:p>
    <w:p>
      <w:pPr>
        <w:spacing w:after="0" w:line="15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amounts of stock-based compensation expense recognized in the periods presented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shd w:val="clear" w:color="auto" w:fill="939598"/>
          </w:tcPr>
          <w:p>
            <w:pPr>
              <w:spacing w:after="0"/>
              <w:rPr>
                <w:sz w:val="14"/>
                <w:szCs w:val="14"/>
                <w:color w:val="auto"/>
              </w:rPr>
            </w:pPr>
          </w:p>
        </w:tc>
        <w:tc>
          <w:tcPr>
            <w:tcW w:w="20" w:type="dxa"/>
            <w:vAlign w:val="bottom"/>
            <w:shd w:val="clear" w:color="auto" w:fill="939598"/>
          </w:tcPr>
          <w:p>
            <w:pPr>
              <w:spacing w:after="0"/>
              <w:rPr>
                <w:sz w:val="14"/>
                <w:szCs w:val="14"/>
                <w:color w:val="auto"/>
              </w:rPr>
            </w:pPr>
          </w:p>
        </w:tc>
        <w:tc>
          <w:tcPr>
            <w:tcW w:w="80" w:type="dxa"/>
            <w:vAlign w:val="bottom"/>
            <w:shd w:val="clear" w:color="auto" w:fill="939598"/>
          </w:tcPr>
          <w:p>
            <w:pPr>
              <w:spacing w:after="0"/>
              <w:rPr>
                <w:sz w:val="14"/>
                <w:szCs w:val="14"/>
                <w:color w:val="auto"/>
              </w:rPr>
            </w:pPr>
          </w:p>
        </w:tc>
        <w:tc>
          <w:tcPr>
            <w:tcW w:w="460" w:type="dxa"/>
            <w:vAlign w:val="bottom"/>
            <w:shd w:val="clear" w:color="auto" w:fill="939598"/>
          </w:tcPr>
          <w:p>
            <w:pPr>
              <w:jc w:val="right"/>
              <w:ind w:right="76"/>
              <w:spacing w:after="0"/>
              <w:rPr>
                <w:sz w:val="20"/>
                <w:szCs w:val="20"/>
                <w:color w:val="auto"/>
              </w:rPr>
            </w:pPr>
            <w:r>
              <w:rPr>
                <w:rFonts w:ascii="Arial" w:cs="Arial" w:eastAsia="Arial" w:hAnsi="Arial"/>
                <w:sz w:val="14"/>
                <w:szCs w:val="14"/>
                <w:b w:val="1"/>
                <w:bCs w:val="1"/>
                <w:color w:val="FFFFFF"/>
                <w:w w:val="89"/>
              </w:rPr>
              <w:t>2006</w:t>
            </w:r>
          </w:p>
        </w:tc>
        <w:tc>
          <w:tcPr>
            <w:tcW w:w="140" w:type="dxa"/>
            <w:vAlign w:val="bottom"/>
            <w:shd w:val="clear" w:color="auto" w:fill="939598"/>
          </w:tcPr>
          <w:p>
            <w:pPr>
              <w:spacing w:after="0"/>
              <w:rPr>
                <w:sz w:val="14"/>
                <w:szCs w:val="14"/>
                <w:color w:val="auto"/>
              </w:rPr>
            </w:pPr>
          </w:p>
        </w:tc>
        <w:tc>
          <w:tcPr>
            <w:tcW w:w="440" w:type="dxa"/>
            <w:vAlign w:val="bottom"/>
            <w:shd w:val="clear" w:color="auto" w:fill="939598"/>
          </w:tcPr>
          <w:p>
            <w:pPr>
              <w:jc w:val="right"/>
              <w:ind w:right="56"/>
              <w:spacing w:after="0"/>
              <w:rPr>
                <w:sz w:val="20"/>
                <w:szCs w:val="20"/>
                <w:color w:val="auto"/>
              </w:rPr>
            </w:pPr>
            <w:r>
              <w:rPr>
                <w:rFonts w:ascii="Arial" w:cs="Arial" w:eastAsia="Arial" w:hAnsi="Arial"/>
                <w:sz w:val="14"/>
                <w:szCs w:val="14"/>
                <w:b w:val="1"/>
                <w:bCs w:val="1"/>
                <w:color w:val="FFFFFF"/>
                <w:w w:val="89"/>
              </w:rPr>
              <w:t>2005</w:t>
            </w:r>
          </w:p>
        </w:tc>
        <w:tc>
          <w:tcPr>
            <w:tcW w:w="460" w:type="dxa"/>
            <w:vAlign w:val="bottom"/>
            <w:gridSpan w:val="2"/>
            <w:shd w:val="clear" w:color="auto" w:fill="939598"/>
          </w:tcPr>
          <w:p>
            <w:pPr>
              <w:jc w:val="right"/>
              <w:spacing w:after="0"/>
              <w:rPr>
                <w:sz w:val="20"/>
                <w:szCs w:val="20"/>
                <w:color w:val="auto"/>
              </w:rPr>
            </w:pPr>
            <w:r>
              <w:rPr>
                <w:rFonts w:ascii="Arial" w:cs="Arial" w:eastAsia="Arial" w:hAnsi="Arial"/>
                <w:sz w:val="14"/>
                <w:szCs w:val="14"/>
                <w:b w:val="1"/>
                <w:bCs w:val="1"/>
                <w:color w:val="FFFFFF"/>
              </w:rPr>
              <w:t>2004</w:t>
            </w:r>
          </w:p>
        </w:tc>
        <w:tc>
          <w:tcPr>
            <w:tcW w:w="60" w:type="dxa"/>
            <w:vAlign w:val="bottom"/>
            <w:shd w:val="clear" w:color="auto" w:fill="939598"/>
          </w:tcPr>
          <w:p>
            <w:pPr>
              <w:spacing w:after="0"/>
              <w:rPr>
                <w:sz w:val="14"/>
                <w:szCs w:val="14"/>
                <w:color w:val="auto"/>
              </w:rPr>
            </w:pPr>
          </w:p>
        </w:tc>
      </w:tr>
      <w:tr>
        <w:trPr>
          <w:trHeight w:val="270"/>
        </w:trPr>
        <w:tc>
          <w:tcPr>
            <w:tcW w:w="9060" w:type="dxa"/>
            <w:vAlign w:val="bottom"/>
          </w:tcPr>
          <w:p>
            <w:pPr>
              <w:ind w:left="200"/>
              <w:spacing w:after="0"/>
              <w:rPr>
                <w:sz w:val="20"/>
                <w:szCs w:val="20"/>
                <w:color w:val="auto"/>
              </w:rPr>
            </w:pPr>
            <w:r>
              <w:rPr>
                <w:rFonts w:ascii="Arial" w:cs="Arial" w:eastAsia="Arial" w:hAnsi="Arial"/>
                <w:sz w:val="18"/>
                <w:szCs w:val="18"/>
                <w:color w:val="auto"/>
              </w:rPr>
              <w:t>Stock-based compensation expense recognized:</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03"/>
        </w:trPr>
        <w:tc>
          <w:tcPr>
            <w:tcW w:w="906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Cost of revenue</w:t>
            </w:r>
          </w:p>
        </w:tc>
        <w:tc>
          <w:tcPr>
            <w:tcW w:w="100" w:type="dxa"/>
            <w:vAlign w:val="bottom"/>
            <w:gridSpan w:val="2"/>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64</w:t>
            </w:r>
          </w:p>
        </w:tc>
        <w:tc>
          <w:tcPr>
            <w:tcW w:w="1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32</w:t>
            </w:r>
          </w:p>
        </w:tc>
        <w:tc>
          <w:tcPr>
            <w:tcW w:w="2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E6E7E7"/>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9060" w:type="dxa"/>
            <w:vAlign w:val="bottom"/>
          </w:tcPr>
          <w:p>
            <w:pPr>
              <w:ind w:left="420"/>
              <w:spacing w:after="0" w:line="202" w:lineRule="exact"/>
              <w:rPr>
                <w:sz w:val="20"/>
                <w:szCs w:val="20"/>
                <w:color w:val="auto"/>
              </w:rPr>
            </w:pPr>
            <w:r>
              <w:rPr>
                <w:rFonts w:ascii="Arial" w:cs="Arial" w:eastAsia="Arial" w:hAnsi="Arial"/>
                <w:sz w:val="18"/>
                <w:szCs w:val="18"/>
                <w:color w:val="auto"/>
              </w:rPr>
              <w:t>Research &amp; development (R&amp;D)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101</w:t>
            </w:r>
          </w:p>
        </w:tc>
        <w:tc>
          <w:tcPr>
            <w:tcW w:w="1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220" w:type="dxa"/>
            <w:vAlign w:val="bottom"/>
          </w:tcPr>
          <w:p>
            <w:pPr>
              <w:spacing w:after="0"/>
              <w:rPr>
                <w:sz w:val="17"/>
                <w:szCs w:val="17"/>
                <w:color w:val="auto"/>
              </w:rPr>
            </w:pPr>
          </w:p>
        </w:tc>
        <w:tc>
          <w:tcPr>
            <w:tcW w:w="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906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Selling, general &amp; administrative (SG&amp;A)</w:t>
            </w:r>
          </w:p>
        </w:tc>
        <w:tc>
          <w:tcPr>
            <w:tcW w:w="20" w:type="dxa"/>
            <w:vAlign w:val="bottom"/>
            <w:shd w:val="clear" w:color="auto" w:fill="E6E7E7"/>
          </w:tcPr>
          <w:p>
            <w:pPr>
              <w:spacing w:after="0"/>
              <w:rPr>
                <w:sz w:val="17"/>
                <w:szCs w:val="17"/>
                <w:color w:val="auto"/>
              </w:rPr>
            </w:pPr>
          </w:p>
        </w:tc>
        <w:tc>
          <w:tcPr>
            <w:tcW w:w="80" w:type="dxa"/>
            <w:vAlign w:val="bottom"/>
            <w:tcBorders>
              <w:bottom w:val="single" w:sz="8" w:color="auto"/>
            </w:tcBorders>
            <w:shd w:val="clear" w:color="auto" w:fill="E6E7E7"/>
          </w:tcPr>
          <w:p>
            <w:pPr>
              <w:spacing w:after="0"/>
              <w:rPr>
                <w:sz w:val="17"/>
                <w:szCs w:val="17"/>
                <w:color w:val="auto"/>
              </w:rPr>
            </w:pPr>
          </w:p>
        </w:tc>
        <w:tc>
          <w:tcPr>
            <w:tcW w:w="46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167</w:t>
            </w:r>
          </w:p>
        </w:tc>
        <w:tc>
          <w:tcPr>
            <w:tcW w:w="140" w:type="dxa"/>
            <w:vAlign w:val="bottom"/>
            <w:tcBorders>
              <w:bottom w:val="single" w:sz="8" w:color="auto"/>
            </w:tcBorders>
            <w:shd w:val="clear" w:color="auto" w:fill="E6E7E7"/>
          </w:tcPr>
          <w:p>
            <w:pPr>
              <w:spacing w:after="0"/>
              <w:rPr>
                <w:sz w:val="17"/>
                <w:szCs w:val="17"/>
                <w:color w:val="auto"/>
              </w:rPr>
            </w:pPr>
          </w:p>
        </w:tc>
        <w:tc>
          <w:tcPr>
            <w:tcW w:w="44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90</w:t>
            </w:r>
          </w:p>
        </w:tc>
        <w:tc>
          <w:tcPr>
            <w:tcW w:w="220" w:type="dxa"/>
            <w:vAlign w:val="bottom"/>
            <w:tcBorders>
              <w:bottom w:val="single" w:sz="8" w:color="auto"/>
            </w:tcBorders>
            <w:shd w:val="clear" w:color="auto" w:fill="E6E7E7"/>
          </w:tcPr>
          <w:p>
            <w:pPr>
              <w:spacing w:after="0"/>
              <w:rPr>
                <w:sz w:val="17"/>
                <w:szCs w:val="17"/>
                <w:color w:val="auto"/>
              </w:rPr>
            </w:pPr>
          </w:p>
        </w:tc>
        <w:tc>
          <w:tcPr>
            <w:tcW w:w="24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18</w:t>
            </w:r>
          </w:p>
        </w:tc>
        <w:tc>
          <w:tcPr>
            <w:tcW w:w="60" w:type="dxa"/>
            <w:vAlign w:val="bottom"/>
            <w:shd w:val="clear" w:color="auto" w:fill="E6E7E7"/>
          </w:tcPr>
          <w:p>
            <w:pPr>
              <w:spacing w:after="0"/>
              <w:rPr>
                <w:sz w:val="17"/>
                <w:szCs w:val="17"/>
                <w:color w:val="auto"/>
              </w:rPr>
            </w:pPr>
          </w:p>
        </w:tc>
      </w:tr>
      <w:tr>
        <w:trPr>
          <w:trHeight w:val="210"/>
        </w:trPr>
        <w:tc>
          <w:tcPr>
            <w:tcW w:w="9060" w:type="dxa"/>
            <w:vAlign w:val="bottom"/>
          </w:tcPr>
          <w:p>
            <w:pPr>
              <w:ind w:left="4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r>
      <w:tr>
        <w:trPr>
          <w:trHeight w:val="20"/>
        </w:trPr>
        <w:tc>
          <w:tcPr>
            <w:tcW w:w="9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left="100" w:right="120"/>
        <w:spacing w:after="0" w:line="238" w:lineRule="auto"/>
        <w:rPr>
          <w:sz w:val="20"/>
          <w:szCs w:val="20"/>
          <w:color w:val="auto"/>
        </w:rPr>
      </w:pPr>
      <w:r>
        <w:rPr>
          <w:rFonts w:ascii="Arial" w:cs="Arial" w:eastAsia="Arial" w:hAnsi="Arial"/>
          <w:sz w:val="18"/>
          <w:szCs w:val="18"/>
          <w:color w:val="auto"/>
        </w:rPr>
        <w:t>The amounts above include the impact of recognizing compensation expense related to RSUs, nonqualified stock options and stock options offered under the employee stock purchase plans. For the periods before our implementation of SFAS 123(R) on July 1, 2005, only compensation expense related to RSUs was recognized and included in SG&amp;A.</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Stock-based compensation expense has not been allocated between segments, but is reflected in Corporate.</w:t>
      </w:r>
    </w:p>
    <w:p>
      <w:pPr>
        <w:sectPr>
          <w:pgSz w:w="11900" w:h="16838" w:orient="portrait"/>
          <w:cols w:equalWidth="0" w:num="1">
            <w:col w:w="11060"/>
          </w:cols>
          <w:pgMar w:left="600" w:top="287" w:right="239" w:bottom="1440" w:gutter="0" w:footer="0" w:header="0"/>
        </w:sectPr>
      </w:pPr>
    </w:p>
    <w:bookmarkStart w:id="63" w:name="page64"/>
    <w:bookmarkEnd w:id="63"/>
    <w:p>
      <w:pPr>
        <w:spacing w:after="0"/>
        <w:tabs>
          <w:tab w:leader="none" w:pos="36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14</w:t>
        <w:tab/>
        <w:t>TEXAS INSTRUMENTS 2006 ANNUAL REPORT</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Prior Period Pro Forma Presentations:</w:t>
      </w:r>
    </w:p>
    <w:p>
      <w:pPr>
        <w:spacing w:after="0" w:line="176" w:lineRule="exact"/>
        <w:rPr>
          <w:sz w:val="20"/>
          <w:szCs w:val="20"/>
          <w:color w:val="auto"/>
        </w:rPr>
      </w:pPr>
    </w:p>
    <w:p>
      <w:pPr>
        <w:ind w:left="460" w:right="100"/>
        <w:spacing w:after="0" w:line="236" w:lineRule="auto"/>
        <w:rPr>
          <w:sz w:val="20"/>
          <w:szCs w:val="20"/>
          <w:color w:val="auto"/>
        </w:rPr>
      </w:pPr>
      <w:r>
        <w:rPr>
          <w:rFonts w:ascii="Arial" w:cs="Arial" w:eastAsia="Arial" w:hAnsi="Arial"/>
          <w:sz w:val="18"/>
          <w:szCs w:val="18"/>
          <w:color w:val="auto"/>
        </w:rPr>
        <w:t>Under the modified prospective application method, results for prior periods have not been restated to reflect the effects of implementing SFAS 123(R). The following pro forma information, as required by SFAS No. 148, “</w:t>
      </w:r>
      <w:r>
        <w:rPr>
          <w:rFonts w:ascii="Arial" w:cs="Arial" w:eastAsia="Arial" w:hAnsi="Arial"/>
          <w:sz w:val="18"/>
          <w:szCs w:val="18"/>
          <w:i w:val="1"/>
          <w:iCs w:val="1"/>
          <w:color w:val="auto"/>
        </w:rPr>
        <w:t>Accounting for Stock-Based Compensation – Transition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Disclosure, an amendment of FASB Statement No. 123,</w:t>
      </w:r>
      <w:r>
        <w:rPr>
          <w:rFonts w:ascii="Arial" w:cs="Arial" w:eastAsia="Arial" w:hAnsi="Arial"/>
          <w:sz w:val="18"/>
          <w:szCs w:val="18"/>
          <w:color w:val="auto"/>
        </w:rPr>
        <w:t>” is presented for comparative purposes and illustrates the pro forma effect on</w:t>
      </w:r>
      <w:r>
        <w:rPr>
          <w:rFonts w:ascii="Arial" w:cs="Arial" w:eastAsia="Arial" w:hAnsi="Arial"/>
          <w:sz w:val="18"/>
          <w:szCs w:val="18"/>
          <w:i w:val="1"/>
          <w:iCs w:val="1"/>
          <w:color w:val="auto"/>
        </w:rPr>
        <w:t xml:space="preserve"> </w:t>
      </w:r>
      <w:r>
        <w:rPr>
          <w:rFonts w:ascii="Arial" w:cs="Arial" w:eastAsia="Arial" w:hAnsi="Arial"/>
          <w:sz w:val="18"/>
          <w:szCs w:val="18"/>
          <w:color w:val="auto"/>
        </w:rPr>
        <w:t>income from continuing operations and related per share amounts as if we had applied the original fair value recognition provisions of SFAS 123 to stock-based employee compensation for periods prior to implementation of SFAS 123(R).</w:t>
      </w:r>
    </w:p>
    <w:p>
      <w:pPr>
        <w:spacing w:after="0" w:line="182"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9180" w:type="dxa"/>
            <w:vAlign w:val="bottom"/>
            <w:shd w:val="clear" w:color="auto" w:fill="939598"/>
          </w:tcPr>
          <w:p>
            <w:pPr>
              <w:spacing w:after="0"/>
              <w:rPr>
                <w:sz w:val="14"/>
                <w:szCs w:val="14"/>
                <w:color w:val="auto"/>
              </w:rPr>
            </w:pPr>
          </w:p>
        </w:tc>
        <w:tc>
          <w:tcPr>
            <w:tcW w:w="20" w:type="dxa"/>
            <w:vAlign w:val="bottom"/>
            <w:shd w:val="clear" w:color="auto" w:fill="939598"/>
          </w:tcPr>
          <w:p>
            <w:pPr>
              <w:spacing w:after="0"/>
              <w:rPr>
                <w:sz w:val="14"/>
                <w:szCs w:val="14"/>
                <w:color w:val="auto"/>
              </w:rPr>
            </w:pPr>
          </w:p>
        </w:tc>
        <w:tc>
          <w:tcPr>
            <w:tcW w:w="120" w:type="dxa"/>
            <w:vAlign w:val="bottom"/>
            <w:shd w:val="clear" w:color="auto" w:fill="939598"/>
          </w:tcPr>
          <w:p>
            <w:pPr>
              <w:spacing w:after="0"/>
              <w:rPr>
                <w:sz w:val="14"/>
                <w:szCs w:val="14"/>
                <w:color w:val="auto"/>
              </w:rPr>
            </w:pPr>
          </w:p>
        </w:tc>
        <w:tc>
          <w:tcPr>
            <w:tcW w:w="620" w:type="dxa"/>
            <w:vAlign w:val="bottom"/>
            <w:shd w:val="clear" w:color="auto" w:fill="939598"/>
          </w:tcPr>
          <w:p>
            <w:pPr>
              <w:jc w:val="right"/>
              <w:ind w:right="194"/>
              <w:spacing w:after="0"/>
              <w:rPr>
                <w:sz w:val="20"/>
                <w:szCs w:val="20"/>
                <w:color w:val="auto"/>
              </w:rPr>
            </w:pPr>
            <w:r>
              <w:rPr>
                <w:rFonts w:ascii="Arial" w:cs="Arial" w:eastAsia="Arial" w:hAnsi="Arial"/>
                <w:sz w:val="14"/>
                <w:szCs w:val="14"/>
                <w:b w:val="1"/>
                <w:bCs w:val="1"/>
                <w:color w:val="FFFFFF"/>
              </w:rPr>
              <w:t>2005</w:t>
            </w:r>
          </w:p>
        </w:tc>
        <w:tc>
          <w:tcPr>
            <w:tcW w:w="200" w:type="dxa"/>
            <w:vAlign w:val="bottom"/>
            <w:shd w:val="clear" w:color="auto" w:fill="939598"/>
          </w:tcPr>
          <w:p>
            <w:pPr>
              <w:spacing w:after="0"/>
              <w:rPr>
                <w:sz w:val="14"/>
                <w:szCs w:val="14"/>
                <w:color w:val="auto"/>
              </w:rPr>
            </w:pPr>
          </w:p>
        </w:tc>
        <w:tc>
          <w:tcPr>
            <w:tcW w:w="520" w:type="dxa"/>
            <w:vAlign w:val="bottom"/>
            <w:shd w:val="clear" w:color="auto" w:fill="939598"/>
          </w:tcPr>
          <w:p>
            <w:pPr>
              <w:jc w:val="right"/>
              <w:ind w:right="94"/>
              <w:spacing w:after="0"/>
              <w:rPr>
                <w:sz w:val="20"/>
                <w:szCs w:val="20"/>
                <w:color w:val="auto"/>
              </w:rPr>
            </w:pPr>
            <w:r>
              <w:rPr>
                <w:rFonts w:ascii="Arial" w:cs="Arial" w:eastAsia="Arial" w:hAnsi="Arial"/>
                <w:sz w:val="14"/>
                <w:szCs w:val="14"/>
                <w:b w:val="1"/>
                <w:bCs w:val="1"/>
                <w:color w:val="FFFFFF"/>
              </w:rPr>
              <w:t>2004</w:t>
            </w:r>
          </w:p>
        </w:tc>
        <w:tc>
          <w:tcPr>
            <w:tcW w:w="60" w:type="dxa"/>
            <w:vAlign w:val="bottom"/>
            <w:shd w:val="clear" w:color="auto" w:fill="939598"/>
          </w:tcPr>
          <w:p>
            <w:pPr>
              <w:spacing w:after="0"/>
              <w:rPr>
                <w:sz w:val="14"/>
                <w:szCs w:val="14"/>
                <w:color w:val="auto"/>
              </w:rPr>
            </w:pPr>
          </w:p>
        </w:tc>
      </w:tr>
      <w:tr>
        <w:trPr>
          <w:trHeight w:val="203"/>
        </w:trPr>
        <w:tc>
          <w:tcPr>
            <w:tcW w:w="9180" w:type="dxa"/>
            <w:vAlign w:val="bottom"/>
          </w:tcPr>
          <w:p>
            <w:pPr>
              <w:ind w:left="200"/>
              <w:spacing w:after="0" w:line="202" w:lineRule="exact"/>
              <w:rPr>
                <w:sz w:val="20"/>
                <w:szCs w:val="20"/>
                <w:color w:val="auto"/>
              </w:rPr>
            </w:pPr>
            <w:r>
              <w:rPr>
                <w:rFonts w:ascii="Arial" w:cs="Arial" w:eastAsia="Arial" w:hAnsi="Arial"/>
                <w:sz w:val="18"/>
                <w:szCs w:val="18"/>
                <w:color w:val="auto"/>
              </w:rPr>
              <w:t>Income from continuing operations, as reported</w:t>
            </w:r>
          </w:p>
        </w:tc>
        <w:tc>
          <w:tcPr>
            <w:tcW w:w="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2,173</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1,691</w:t>
            </w:r>
          </w:p>
        </w:tc>
        <w:tc>
          <w:tcPr>
            <w:tcW w:w="60" w:type="dxa"/>
            <w:vAlign w:val="bottom"/>
          </w:tcPr>
          <w:p>
            <w:pPr>
              <w:spacing w:after="0"/>
              <w:rPr>
                <w:sz w:val="17"/>
                <w:szCs w:val="17"/>
                <w:color w:val="auto"/>
              </w:rPr>
            </w:pPr>
          </w:p>
        </w:tc>
      </w:tr>
      <w:tr>
        <w:trPr>
          <w:trHeight w:val="206"/>
        </w:trPr>
        <w:tc>
          <w:tcPr>
            <w:tcW w:w="9180" w:type="dxa"/>
            <w:vAlign w:val="bottom"/>
            <w:shd w:val="clear" w:color="auto" w:fill="E6E7E7"/>
          </w:tcPr>
          <w:p>
            <w:pPr>
              <w:ind w:left="200"/>
              <w:spacing w:after="0" w:line="206" w:lineRule="exact"/>
              <w:rPr>
                <w:sz w:val="20"/>
                <w:szCs w:val="20"/>
                <w:color w:val="auto"/>
              </w:rPr>
            </w:pPr>
            <w:r>
              <w:rPr>
                <w:rFonts w:ascii="Arial" w:cs="Arial" w:eastAsia="Arial" w:hAnsi="Arial"/>
                <w:sz w:val="18"/>
                <w:szCs w:val="18"/>
                <w:color w:val="auto"/>
              </w:rPr>
              <w:t>Add: Stock-based compensation expense included in reported income from continuing operations, net of ($58)</w:t>
            </w:r>
          </w:p>
        </w:tc>
        <w:tc>
          <w:tcPr>
            <w:tcW w:w="20" w:type="dxa"/>
            <w:vAlign w:val="bottom"/>
            <w:shd w:val="clear" w:color="auto" w:fill="E6E7E7"/>
          </w:tcPr>
          <w:p>
            <w:pPr>
              <w:spacing w:after="0"/>
              <w:rPr>
                <w:sz w:val="17"/>
                <w:szCs w:val="17"/>
                <w:color w:val="auto"/>
              </w:rPr>
            </w:pPr>
          </w:p>
        </w:tc>
        <w:tc>
          <w:tcPr>
            <w:tcW w:w="120" w:type="dxa"/>
            <w:vAlign w:val="bottom"/>
            <w:shd w:val="clear" w:color="auto" w:fill="E6E7E7"/>
          </w:tcPr>
          <w:p>
            <w:pPr>
              <w:spacing w:after="0"/>
              <w:rPr>
                <w:sz w:val="17"/>
                <w:szCs w:val="17"/>
                <w:color w:val="auto"/>
              </w:rPr>
            </w:pPr>
          </w:p>
        </w:tc>
        <w:tc>
          <w:tcPr>
            <w:tcW w:w="620" w:type="dxa"/>
            <w:vAlign w:val="bottom"/>
            <w:shd w:val="clear" w:color="auto" w:fill="E6E7E7"/>
          </w:tcPr>
          <w:p>
            <w:pPr>
              <w:spacing w:after="0"/>
              <w:rPr>
                <w:sz w:val="17"/>
                <w:szCs w:val="17"/>
                <w:color w:val="auto"/>
              </w:rPr>
            </w:pPr>
          </w:p>
        </w:tc>
        <w:tc>
          <w:tcPr>
            <w:tcW w:w="200" w:type="dxa"/>
            <w:vAlign w:val="bottom"/>
            <w:shd w:val="clear" w:color="auto" w:fill="E6E7E7"/>
          </w:tcPr>
          <w:p>
            <w:pPr>
              <w:spacing w:after="0"/>
              <w:rPr>
                <w:sz w:val="17"/>
                <w:szCs w:val="17"/>
                <w:color w:val="auto"/>
              </w:rPr>
            </w:pPr>
          </w:p>
        </w:tc>
        <w:tc>
          <w:tcPr>
            <w:tcW w:w="52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r>
      <w:tr>
        <w:trPr>
          <w:trHeight w:val="203"/>
        </w:trPr>
        <w:tc>
          <w:tcPr>
            <w:tcW w:w="918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and ($6) tax (including actual SFAS 123(R) total stock-based compensation expense recognized since July 1,</w:t>
            </w:r>
          </w:p>
        </w:tc>
        <w:tc>
          <w:tcPr>
            <w:tcW w:w="20" w:type="dxa"/>
            <w:vAlign w:val="bottom"/>
            <w:shd w:val="clear" w:color="auto" w:fill="E6E7E7"/>
          </w:tcPr>
          <w:p>
            <w:pPr>
              <w:spacing w:after="0"/>
              <w:rPr>
                <w:sz w:val="17"/>
                <w:szCs w:val="17"/>
                <w:color w:val="auto"/>
              </w:rPr>
            </w:pPr>
          </w:p>
        </w:tc>
        <w:tc>
          <w:tcPr>
            <w:tcW w:w="120" w:type="dxa"/>
            <w:vAlign w:val="bottom"/>
            <w:shd w:val="clear" w:color="auto" w:fill="E6E7E7"/>
          </w:tcPr>
          <w:p>
            <w:pPr>
              <w:spacing w:after="0"/>
              <w:rPr>
                <w:sz w:val="17"/>
                <w:szCs w:val="17"/>
                <w:color w:val="auto"/>
              </w:rPr>
            </w:pPr>
          </w:p>
        </w:tc>
        <w:tc>
          <w:tcPr>
            <w:tcW w:w="620" w:type="dxa"/>
            <w:vAlign w:val="bottom"/>
            <w:shd w:val="clear" w:color="auto" w:fill="E6E7E7"/>
          </w:tcPr>
          <w:p>
            <w:pPr>
              <w:spacing w:after="0"/>
              <w:rPr>
                <w:sz w:val="17"/>
                <w:szCs w:val="17"/>
                <w:color w:val="auto"/>
              </w:rPr>
            </w:pPr>
          </w:p>
        </w:tc>
        <w:tc>
          <w:tcPr>
            <w:tcW w:w="200" w:type="dxa"/>
            <w:vAlign w:val="bottom"/>
            <w:shd w:val="clear" w:color="auto" w:fill="E6E7E7"/>
          </w:tcPr>
          <w:p>
            <w:pPr>
              <w:spacing w:after="0"/>
              <w:rPr>
                <w:sz w:val="17"/>
                <w:szCs w:val="17"/>
                <w:color w:val="auto"/>
              </w:rPr>
            </w:pPr>
          </w:p>
        </w:tc>
        <w:tc>
          <w:tcPr>
            <w:tcW w:w="52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r>
      <w:tr>
        <w:trPr>
          <w:trHeight w:val="199"/>
        </w:trPr>
        <w:tc>
          <w:tcPr>
            <w:tcW w:w="9180" w:type="dxa"/>
            <w:vAlign w:val="bottom"/>
            <w:shd w:val="clear" w:color="auto" w:fill="E6E7E7"/>
          </w:tcPr>
          <w:p>
            <w:pPr>
              <w:ind w:left="420"/>
              <w:spacing w:after="0" w:line="200" w:lineRule="exact"/>
              <w:rPr>
                <w:sz w:val="20"/>
                <w:szCs w:val="20"/>
                <w:color w:val="auto"/>
              </w:rPr>
            </w:pPr>
            <w:r>
              <w:rPr>
                <w:rFonts w:ascii="Arial" w:cs="Arial" w:eastAsia="Arial" w:hAnsi="Arial"/>
                <w:sz w:val="18"/>
                <w:szCs w:val="18"/>
                <w:color w:val="auto"/>
              </w:rPr>
              <w:t>2005)</w:t>
            </w:r>
          </w:p>
        </w:tc>
        <w:tc>
          <w:tcPr>
            <w:tcW w:w="20" w:type="dxa"/>
            <w:vAlign w:val="bottom"/>
            <w:shd w:val="clear" w:color="auto" w:fill="E6E7E7"/>
          </w:tcPr>
          <w:p>
            <w:pPr>
              <w:spacing w:after="0"/>
              <w:rPr>
                <w:sz w:val="17"/>
                <w:szCs w:val="17"/>
                <w:color w:val="auto"/>
              </w:rPr>
            </w:pPr>
          </w:p>
        </w:tc>
        <w:tc>
          <w:tcPr>
            <w:tcW w:w="120" w:type="dxa"/>
            <w:vAlign w:val="bottom"/>
            <w:shd w:val="clear" w:color="auto" w:fill="E6E7E7"/>
          </w:tcPr>
          <w:p>
            <w:pPr>
              <w:spacing w:after="0"/>
              <w:rPr>
                <w:sz w:val="17"/>
                <w:szCs w:val="17"/>
                <w:color w:val="auto"/>
              </w:rPr>
            </w:pPr>
          </w:p>
        </w:tc>
        <w:tc>
          <w:tcPr>
            <w:tcW w:w="620" w:type="dxa"/>
            <w:vAlign w:val="bottom"/>
            <w:shd w:val="clear" w:color="auto" w:fill="E6E7E7"/>
          </w:tcPr>
          <w:p>
            <w:pPr>
              <w:jc w:val="right"/>
              <w:ind w:right="14"/>
              <w:spacing w:after="0" w:line="200" w:lineRule="exact"/>
              <w:rPr>
                <w:sz w:val="20"/>
                <w:szCs w:val="20"/>
                <w:color w:val="auto"/>
              </w:rPr>
            </w:pPr>
            <w:r>
              <w:rPr>
                <w:rFonts w:ascii="Arial" w:cs="Arial" w:eastAsia="Arial" w:hAnsi="Arial"/>
                <w:sz w:val="18"/>
                <w:szCs w:val="18"/>
                <w:color w:val="auto"/>
              </w:rPr>
              <w:t>117</w:t>
            </w:r>
          </w:p>
        </w:tc>
        <w:tc>
          <w:tcPr>
            <w:tcW w:w="200" w:type="dxa"/>
            <w:vAlign w:val="bottom"/>
            <w:shd w:val="clear" w:color="auto" w:fill="E6E7E7"/>
          </w:tcPr>
          <w:p>
            <w:pPr>
              <w:spacing w:after="0"/>
              <w:rPr>
                <w:sz w:val="17"/>
                <w:szCs w:val="17"/>
                <w:color w:val="auto"/>
              </w:rPr>
            </w:pPr>
          </w:p>
        </w:tc>
        <w:tc>
          <w:tcPr>
            <w:tcW w:w="520" w:type="dxa"/>
            <w:vAlign w:val="bottom"/>
            <w:shd w:val="clear" w:color="auto" w:fill="E6E7E7"/>
          </w:tcPr>
          <w:p>
            <w:pPr>
              <w:jc w:val="right"/>
              <w:spacing w:after="0" w:line="200" w:lineRule="exact"/>
              <w:rPr>
                <w:sz w:val="20"/>
                <w:szCs w:val="20"/>
                <w:color w:val="auto"/>
              </w:rPr>
            </w:pPr>
            <w:r>
              <w:rPr>
                <w:rFonts w:ascii="Arial" w:cs="Arial" w:eastAsia="Arial" w:hAnsi="Arial"/>
                <w:sz w:val="18"/>
                <w:szCs w:val="18"/>
                <w:color w:val="auto"/>
              </w:rPr>
              <w:t>12</w:t>
            </w:r>
          </w:p>
        </w:tc>
        <w:tc>
          <w:tcPr>
            <w:tcW w:w="60" w:type="dxa"/>
            <w:vAlign w:val="bottom"/>
            <w:shd w:val="clear" w:color="auto" w:fill="E6E7E7"/>
          </w:tcPr>
          <w:p>
            <w:pPr>
              <w:spacing w:after="0"/>
              <w:rPr>
                <w:sz w:val="17"/>
                <w:szCs w:val="17"/>
                <w:color w:val="auto"/>
              </w:rPr>
            </w:pPr>
          </w:p>
        </w:tc>
      </w:tr>
      <w:tr>
        <w:trPr>
          <w:trHeight w:val="206"/>
        </w:trPr>
        <w:tc>
          <w:tcPr>
            <w:tcW w:w="9180" w:type="dxa"/>
            <w:vAlign w:val="bottom"/>
          </w:tcPr>
          <w:p>
            <w:pPr>
              <w:ind w:left="200"/>
              <w:spacing w:after="0" w:line="206" w:lineRule="exact"/>
              <w:rPr>
                <w:sz w:val="20"/>
                <w:szCs w:val="20"/>
                <w:color w:val="auto"/>
              </w:rPr>
            </w:pPr>
            <w:r>
              <w:rPr>
                <w:rFonts w:ascii="Arial" w:cs="Arial" w:eastAsia="Arial" w:hAnsi="Arial"/>
                <w:sz w:val="18"/>
                <w:szCs w:val="18"/>
                <w:color w:val="auto"/>
                <w:w w:val="98"/>
              </w:rPr>
              <w:t>Deduct: Total stock-based compensation expense determined under fair value-based method for all awards, net of</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9180" w:type="dxa"/>
            <w:vAlign w:val="bottom"/>
          </w:tcPr>
          <w:p>
            <w:pPr>
              <w:ind w:left="420"/>
              <w:spacing w:after="0" w:line="200" w:lineRule="exact"/>
              <w:rPr>
                <w:sz w:val="20"/>
                <w:szCs w:val="20"/>
                <w:color w:val="auto"/>
              </w:rPr>
            </w:pPr>
            <w:r>
              <w:rPr>
                <w:rFonts w:ascii="Arial" w:cs="Arial" w:eastAsia="Arial" w:hAnsi="Arial"/>
                <w:sz w:val="18"/>
                <w:szCs w:val="18"/>
                <w:color w:val="auto"/>
              </w:rPr>
              <w:t>$122 and $184 tax</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0" w:lineRule="exact"/>
              <w:rPr>
                <w:sz w:val="20"/>
                <w:szCs w:val="20"/>
                <w:color w:val="auto"/>
              </w:rPr>
            </w:pPr>
            <w:r>
              <w:rPr>
                <w:rFonts w:ascii="Arial" w:cs="Arial" w:eastAsia="Arial" w:hAnsi="Arial"/>
                <w:sz w:val="18"/>
                <w:szCs w:val="18"/>
                <w:color w:val="auto"/>
              </w:rPr>
              <w:t>(250)</w:t>
            </w:r>
          </w:p>
        </w:tc>
        <w:tc>
          <w:tcPr>
            <w:tcW w:w="200" w:type="dxa"/>
            <w:vAlign w:val="bottom"/>
          </w:tcPr>
          <w:p>
            <w:pPr>
              <w:spacing w:after="0"/>
              <w:rPr>
                <w:sz w:val="17"/>
                <w:szCs w:val="17"/>
                <w:color w:val="auto"/>
              </w:rPr>
            </w:pPr>
          </w:p>
        </w:tc>
        <w:tc>
          <w:tcPr>
            <w:tcW w:w="580" w:type="dxa"/>
            <w:vAlign w:val="bottom"/>
            <w:gridSpan w:val="2"/>
          </w:tcPr>
          <w:p>
            <w:pPr>
              <w:jc w:val="right"/>
              <w:ind w:right="20"/>
              <w:spacing w:after="0" w:line="200" w:lineRule="exact"/>
              <w:rPr>
                <w:sz w:val="20"/>
                <w:szCs w:val="20"/>
                <w:color w:val="auto"/>
              </w:rPr>
            </w:pPr>
            <w:r>
              <w:rPr>
                <w:rFonts w:ascii="Arial" w:cs="Arial" w:eastAsia="Arial" w:hAnsi="Arial"/>
                <w:sz w:val="18"/>
                <w:szCs w:val="18"/>
                <w:color w:val="auto"/>
              </w:rPr>
              <w:t>(367)</w:t>
            </w:r>
          </w:p>
        </w:tc>
      </w:tr>
      <w:tr>
        <w:trPr>
          <w:trHeight w:val="203"/>
        </w:trPr>
        <w:tc>
          <w:tcPr>
            <w:tcW w:w="918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Deduct: Adjustment for retirement-eligible employees, net of $49 tax</w:t>
            </w:r>
          </w:p>
        </w:tc>
        <w:tc>
          <w:tcPr>
            <w:tcW w:w="20" w:type="dxa"/>
            <w:vAlign w:val="bottom"/>
            <w:shd w:val="clear" w:color="auto" w:fill="E6E7E7"/>
          </w:tcPr>
          <w:p>
            <w:pPr>
              <w:spacing w:after="0"/>
              <w:rPr>
                <w:sz w:val="17"/>
                <w:szCs w:val="17"/>
                <w:color w:val="auto"/>
              </w:rPr>
            </w:pPr>
          </w:p>
        </w:tc>
        <w:tc>
          <w:tcPr>
            <w:tcW w:w="120" w:type="dxa"/>
            <w:vAlign w:val="bottom"/>
            <w:tcBorders>
              <w:bottom w:val="single" w:sz="8" w:color="auto"/>
            </w:tcBorders>
            <w:shd w:val="clear" w:color="auto" w:fill="E6E7E7"/>
          </w:tcPr>
          <w:p>
            <w:pPr>
              <w:spacing w:after="0"/>
              <w:rPr>
                <w:sz w:val="17"/>
                <w:szCs w:val="17"/>
                <w:color w:val="auto"/>
              </w:rPr>
            </w:pPr>
          </w:p>
        </w:tc>
        <w:tc>
          <w:tcPr>
            <w:tcW w:w="62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(93)</w:t>
            </w:r>
          </w:p>
        </w:tc>
        <w:tc>
          <w:tcPr>
            <w:tcW w:w="200" w:type="dxa"/>
            <w:vAlign w:val="bottom"/>
            <w:tcBorders>
              <w:bottom w:val="single" w:sz="8" w:color="auto"/>
            </w:tcBorders>
            <w:shd w:val="clear" w:color="auto" w:fill="E6E7E7"/>
          </w:tcPr>
          <w:p>
            <w:pPr>
              <w:spacing w:after="0"/>
              <w:rPr>
                <w:sz w:val="17"/>
                <w:szCs w:val="17"/>
                <w:color w:val="auto"/>
              </w:rPr>
            </w:pPr>
          </w:p>
        </w:tc>
        <w:tc>
          <w:tcPr>
            <w:tcW w:w="52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E6E7E7"/>
          </w:tcPr>
          <w:p>
            <w:pPr>
              <w:spacing w:after="0"/>
              <w:rPr>
                <w:sz w:val="17"/>
                <w:szCs w:val="17"/>
                <w:color w:val="auto"/>
              </w:rPr>
            </w:pPr>
          </w:p>
        </w:tc>
      </w:tr>
      <w:tr>
        <w:trPr>
          <w:trHeight w:val="210"/>
        </w:trPr>
        <w:tc>
          <w:tcPr>
            <w:tcW w:w="9180" w:type="dxa"/>
            <w:vAlign w:val="bottom"/>
          </w:tcPr>
          <w:p>
            <w:pPr>
              <w:ind w:left="200"/>
              <w:spacing w:after="0"/>
              <w:rPr>
                <w:sz w:val="20"/>
                <w:szCs w:val="20"/>
                <w:color w:val="auto"/>
              </w:rPr>
            </w:pPr>
            <w:r>
              <w:rPr>
                <w:rFonts w:ascii="Arial" w:cs="Arial" w:eastAsia="Arial" w:hAnsi="Arial"/>
                <w:sz w:val="18"/>
                <w:szCs w:val="18"/>
                <w:color w:val="auto"/>
              </w:rPr>
              <w:t>Adjusted income from continuing operations</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1,947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1,336</w:t>
            </w:r>
          </w:p>
        </w:tc>
        <w:tc>
          <w:tcPr>
            <w:tcW w:w="60" w:type="dxa"/>
            <w:vAlign w:val="bottom"/>
          </w:tcPr>
          <w:p>
            <w:pPr>
              <w:spacing w:after="0"/>
              <w:rPr>
                <w:sz w:val="18"/>
                <w:szCs w:val="18"/>
                <w:color w:val="auto"/>
              </w:rPr>
            </w:pPr>
          </w:p>
        </w:tc>
      </w:tr>
      <w:tr>
        <w:trPr>
          <w:trHeight w:val="20"/>
        </w:trPr>
        <w:tc>
          <w:tcPr>
            <w:tcW w:w="9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9180" w:type="dxa"/>
            <w:vAlign w:val="bottom"/>
            <w:shd w:val="clear" w:color="auto" w:fill="E6E7E7"/>
          </w:tcPr>
          <w:p>
            <w:pPr>
              <w:ind w:left="200"/>
              <w:spacing w:after="0" w:line="196" w:lineRule="exact"/>
              <w:rPr>
                <w:sz w:val="20"/>
                <w:szCs w:val="20"/>
                <w:color w:val="auto"/>
              </w:rPr>
            </w:pPr>
            <w:r>
              <w:rPr>
                <w:rFonts w:ascii="Arial" w:cs="Arial" w:eastAsia="Arial" w:hAnsi="Arial"/>
                <w:sz w:val="18"/>
                <w:szCs w:val="18"/>
                <w:color w:val="auto"/>
              </w:rPr>
              <w:t>Earnings per common share from continuing operations:</w:t>
            </w:r>
          </w:p>
        </w:tc>
        <w:tc>
          <w:tcPr>
            <w:tcW w:w="20" w:type="dxa"/>
            <w:vAlign w:val="bottom"/>
            <w:shd w:val="clear" w:color="auto" w:fill="E6E7E7"/>
          </w:tcPr>
          <w:p>
            <w:pPr>
              <w:spacing w:after="0"/>
              <w:rPr>
                <w:sz w:val="17"/>
                <w:szCs w:val="17"/>
                <w:color w:val="auto"/>
              </w:rPr>
            </w:pPr>
          </w:p>
        </w:tc>
        <w:tc>
          <w:tcPr>
            <w:tcW w:w="120" w:type="dxa"/>
            <w:vAlign w:val="bottom"/>
            <w:shd w:val="clear" w:color="auto" w:fill="E6E7E7"/>
          </w:tcPr>
          <w:p>
            <w:pPr>
              <w:spacing w:after="0"/>
              <w:rPr>
                <w:sz w:val="17"/>
                <w:szCs w:val="17"/>
                <w:color w:val="auto"/>
              </w:rPr>
            </w:pPr>
          </w:p>
        </w:tc>
        <w:tc>
          <w:tcPr>
            <w:tcW w:w="620" w:type="dxa"/>
            <w:vAlign w:val="bottom"/>
            <w:shd w:val="clear" w:color="auto" w:fill="E6E7E7"/>
          </w:tcPr>
          <w:p>
            <w:pPr>
              <w:spacing w:after="0"/>
              <w:rPr>
                <w:sz w:val="17"/>
                <w:szCs w:val="17"/>
                <w:color w:val="auto"/>
              </w:rPr>
            </w:pPr>
          </w:p>
        </w:tc>
        <w:tc>
          <w:tcPr>
            <w:tcW w:w="200" w:type="dxa"/>
            <w:vAlign w:val="bottom"/>
            <w:shd w:val="clear" w:color="auto" w:fill="E6E7E7"/>
          </w:tcPr>
          <w:p>
            <w:pPr>
              <w:spacing w:after="0"/>
              <w:rPr>
                <w:sz w:val="17"/>
                <w:szCs w:val="17"/>
                <w:color w:val="auto"/>
              </w:rPr>
            </w:pPr>
          </w:p>
        </w:tc>
        <w:tc>
          <w:tcPr>
            <w:tcW w:w="52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r>
      <w:tr>
        <w:trPr>
          <w:trHeight w:val="203"/>
        </w:trPr>
        <w:tc>
          <w:tcPr>
            <w:tcW w:w="9180" w:type="dxa"/>
            <w:vAlign w:val="bottom"/>
          </w:tcPr>
          <w:p>
            <w:pPr>
              <w:ind w:left="420"/>
              <w:spacing w:after="0" w:line="202" w:lineRule="exact"/>
              <w:rPr>
                <w:sz w:val="20"/>
                <w:szCs w:val="20"/>
                <w:color w:val="auto"/>
              </w:rPr>
            </w:pPr>
            <w:r>
              <w:rPr>
                <w:rFonts w:ascii="Arial" w:cs="Arial" w:eastAsia="Arial" w:hAnsi="Arial"/>
                <w:sz w:val="18"/>
                <w:szCs w:val="18"/>
                <w:color w:val="auto"/>
              </w:rPr>
              <w:t>Basic – as reported</w:t>
            </w:r>
          </w:p>
        </w:tc>
        <w:tc>
          <w:tcPr>
            <w:tcW w:w="14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1.33</w:t>
            </w:r>
          </w:p>
        </w:tc>
        <w:tc>
          <w:tcPr>
            <w:tcW w:w="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0.98</w:t>
            </w:r>
          </w:p>
        </w:tc>
        <w:tc>
          <w:tcPr>
            <w:tcW w:w="60" w:type="dxa"/>
            <w:vAlign w:val="bottom"/>
          </w:tcPr>
          <w:p>
            <w:pPr>
              <w:spacing w:after="0"/>
              <w:rPr>
                <w:sz w:val="17"/>
                <w:szCs w:val="17"/>
                <w:color w:val="auto"/>
              </w:rPr>
            </w:pPr>
          </w:p>
        </w:tc>
      </w:tr>
      <w:tr>
        <w:trPr>
          <w:trHeight w:val="20"/>
        </w:trPr>
        <w:tc>
          <w:tcPr>
            <w:tcW w:w="9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9180" w:type="dxa"/>
            <w:vAlign w:val="bottom"/>
            <w:shd w:val="clear" w:color="auto" w:fill="E6E7E7"/>
          </w:tcPr>
          <w:p>
            <w:pPr>
              <w:ind w:left="420"/>
              <w:spacing w:after="0" w:line="196" w:lineRule="exact"/>
              <w:rPr>
                <w:sz w:val="20"/>
                <w:szCs w:val="20"/>
                <w:color w:val="auto"/>
              </w:rPr>
            </w:pPr>
            <w:r>
              <w:rPr>
                <w:rFonts w:ascii="Arial" w:cs="Arial" w:eastAsia="Arial" w:hAnsi="Arial"/>
                <w:sz w:val="18"/>
                <w:szCs w:val="18"/>
                <w:color w:val="auto"/>
              </w:rPr>
              <w:t>Basic – as adjusted for stock-based compensation expense</w:t>
            </w:r>
          </w:p>
        </w:tc>
        <w:tc>
          <w:tcPr>
            <w:tcW w:w="140" w:type="dxa"/>
            <w:vAlign w:val="bottom"/>
            <w:gridSpan w:val="2"/>
            <w:shd w:val="clear" w:color="auto" w:fill="E6E7E7"/>
          </w:tcPr>
          <w:p>
            <w:pPr>
              <w:jc w:val="right"/>
              <w:ind w:right="4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E6E7E7"/>
          </w:tcPr>
          <w:p>
            <w:pPr>
              <w:jc w:val="right"/>
              <w:ind w:right="14"/>
              <w:spacing w:after="0" w:line="196" w:lineRule="exact"/>
              <w:rPr>
                <w:sz w:val="20"/>
                <w:szCs w:val="20"/>
                <w:color w:val="auto"/>
              </w:rPr>
            </w:pPr>
            <w:r>
              <w:rPr>
                <w:rFonts w:ascii="Arial" w:cs="Arial" w:eastAsia="Arial" w:hAnsi="Arial"/>
                <w:sz w:val="18"/>
                <w:szCs w:val="18"/>
                <w:color w:val="auto"/>
              </w:rPr>
              <w:t>1.19</w:t>
            </w:r>
          </w:p>
        </w:tc>
        <w:tc>
          <w:tcPr>
            <w:tcW w:w="200" w:type="dxa"/>
            <w:vAlign w:val="bottom"/>
            <w:shd w:val="clear" w:color="auto" w:fill="E6E7E7"/>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E6E7E7"/>
          </w:tcPr>
          <w:p>
            <w:pPr>
              <w:jc w:val="right"/>
              <w:spacing w:after="0" w:line="196" w:lineRule="exact"/>
              <w:rPr>
                <w:sz w:val="20"/>
                <w:szCs w:val="20"/>
                <w:color w:val="auto"/>
              </w:rPr>
            </w:pPr>
            <w:r>
              <w:rPr>
                <w:rFonts w:ascii="Arial" w:cs="Arial" w:eastAsia="Arial" w:hAnsi="Arial"/>
                <w:sz w:val="18"/>
                <w:szCs w:val="18"/>
                <w:color w:val="auto"/>
              </w:rPr>
              <w:t>0.77</w:t>
            </w:r>
          </w:p>
        </w:tc>
        <w:tc>
          <w:tcPr>
            <w:tcW w:w="60" w:type="dxa"/>
            <w:vAlign w:val="bottom"/>
            <w:shd w:val="clear" w:color="auto" w:fill="E6E7E7"/>
          </w:tcPr>
          <w:p>
            <w:pPr>
              <w:spacing w:after="0"/>
              <w:rPr>
                <w:sz w:val="17"/>
                <w:szCs w:val="17"/>
                <w:color w:val="auto"/>
              </w:rPr>
            </w:pPr>
          </w:p>
        </w:tc>
      </w:tr>
      <w:tr>
        <w:trPr>
          <w:trHeight w:val="20"/>
        </w:trPr>
        <w:tc>
          <w:tcPr>
            <w:tcW w:w="9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9180" w:type="dxa"/>
            <w:vAlign w:val="bottom"/>
          </w:tcPr>
          <w:p>
            <w:pPr>
              <w:ind w:left="420"/>
              <w:spacing w:after="0" w:line="196" w:lineRule="exact"/>
              <w:rPr>
                <w:sz w:val="20"/>
                <w:szCs w:val="20"/>
                <w:color w:val="auto"/>
              </w:rPr>
            </w:pPr>
            <w:r>
              <w:rPr>
                <w:rFonts w:ascii="Arial" w:cs="Arial" w:eastAsia="Arial" w:hAnsi="Arial"/>
                <w:sz w:val="18"/>
                <w:szCs w:val="18"/>
                <w:color w:val="auto"/>
              </w:rPr>
              <w:t>Diluted – as reported</w:t>
            </w:r>
          </w:p>
        </w:tc>
        <w:tc>
          <w:tcPr>
            <w:tcW w:w="14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1.30</w:t>
            </w: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0.96</w:t>
            </w:r>
          </w:p>
        </w:tc>
        <w:tc>
          <w:tcPr>
            <w:tcW w:w="60" w:type="dxa"/>
            <w:vAlign w:val="bottom"/>
          </w:tcPr>
          <w:p>
            <w:pPr>
              <w:spacing w:after="0"/>
              <w:rPr>
                <w:sz w:val="17"/>
                <w:szCs w:val="17"/>
                <w:color w:val="auto"/>
              </w:rPr>
            </w:pPr>
          </w:p>
        </w:tc>
      </w:tr>
      <w:tr>
        <w:trPr>
          <w:trHeight w:val="20"/>
        </w:trPr>
        <w:tc>
          <w:tcPr>
            <w:tcW w:w="9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9180" w:type="dxa"/>
            <w:vAlign w:val="bottom"/>
            <w:shd w:val="clear" w:color="auto" w:fill="E6E7E7"/>
          </w:tcPr>
          <w:p>
            <w:pPr>
              <w:ind w:left="420"/>
              <w:spacing w:after="0" w:line="196" w:lineRule="exact"/>
              <w:rPr>
                <w:sz w:val="20"/>
                <w:szCs w:val="20"/>
                <w:color w:val="auto"/>
              </w:rPr>
            </w:pPr>
            <w:r>
              <w:rPr>
                <w:rFonts w:ascii="Arial" w:cs="Arial" w:eastAsia="Arial" w:hAnsi="Arial"/>
                <w:sz w:val="18"/>
                <w:szCs w:val="18"/>
                <w:color w:val="auto"/>
              </w:rPr>
              <w:t>Diluted – as adjusted for stock-based compensation expense</w:t>
            </w:r>
          </w:p>
        </w:tc>
        <w:tc>
          <w:tcPr>
            <w:tcW w:w="140" w:type="dxa"/>
            <w:vAlign w:val="bottom"/>
            <w:gridSpan w:val="2"/>
            <w:shd w:val="clear" w:color="auto" w:fill="E6E7E7"/>
          </w:tcPr>
          <w:p>
            <w:pPr>
              <w:jc w:val="right"/>
              <w:ind w:right="4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E6E7E7"/>
          </w:tcPr>
          <w:p>
            <w:pPr>
              <w:jc w:val="right"/>
              <w:ind w:right="14"/>
              <w:spacing w:after="0" w:line="196" w:lineRule="exact"/>
              <w:rPr>
                <w:sz w:val="20"/>
                <w:szCs w:val="20"/>
                <w:color w:val="auto"/>
              </w:rPr>
            </w:pPr>
            <w:r>
              <w:rPr>
                <w:rFonts w:ascii="Arial" w:cs="Arial" w:eastAsia="Arial" w:hAnsi="Arial"/>
                <w:sz w:val="18"/>
                <w:szCs w:val="18"/>
                <w:color w:val="auto"/>
              </w:rPr>
              <w:t>1.17</w:t>
            </w:r>
          </w:p>
        </w:tc>
        <w:tc>
          <w:tcPr>
            <w:tcW w:w="200" w:type="dxa"/>
            <w:vAlign w:val="bottom"/>
            <w:shd w:val="clear" w:color="auto" w:fill="E6E7E7"/>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E6E7E7"/>
          </w:tcPr>
          <w:p>
            <w:pPr>
              <w:jc w:val="right"/>
              <w:spacing w:after="0" w:line="196" w:lineRule="exact"/>
              <w:rPr>
                <w:sz w:val="20"/>
                <w:szCs w:val="20"/>
                <w:color w:val="auto"/>
              </w:rPr>
            </w:pPr>
            <w:r>
              <w:rPr>
                <w:rFonts w:ascii="Arial" w:cs="Arial" w:eastAsia="Arial" w:hAnsi="Arial"/>
                <w:sz w:val="18"/>
                <w:szCs w:val="18"/>
                <w:color w:val="auto"/>
              </w:rPr>
              <w:t>0.76</w:t>
            </w:r>
          </w:p>
        </w:tc>
        <w:tc>
          <w:tcPr>
            <w:tcW w:w="60" w:type="dxa"/>
            <w:vAlign w:val="bottom"/>
            <w:shd w:val="clear" w:color="auto" w:fill="E6E7E7"/>
          </w:tcPr>
          <w:p>
            <w:pPr>
              <w:spacing w:after="0"/>
              <w:rPr>
                <w:sz w:val="17"/>
                <w:szCs w:val="17"/>
                <w:color w:val="auto"/>
              </w:rPr>
            </w:pPr>
          </w:p>
        </w:tc>
      </w:tr>
      <w:tr>
        <w:trPr>
          <w:trHeight w:val="20"/>
        </w:trPr>
        <w:tc>
          <w:tcPr>
            <w:tcW w:w="9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left="460" w:right="240"/>
        <w:spacing w:after="0" w:line="236" w:lineRule="auto"/>
        <w:rPr>
          <w:sz w:val="20"/>
          <w:szCs w:val="20"/>
          <w:color w:val="auto"/>
        </w:rPr>
      </w:pPr>
      <w:r>
        <w:rPr>
          <w:rFonts w:ascii="Arial" w:cs="Arial" w:eastAsia="Arial" w:hAnsi="Arial"/>
          <w:sz w:val="18"/>
          <w:szCs w:val="18"/>
          <w:color w:val="auto"/>
        </w:rPr>
        <w:t>In our first-quarter 2005 pro forma footnote disclosures, we included a $93 million ($0.05 per share) inception-to-date adjustment of fair value-based compensation expense to reduce the attribution period for both retirement-eligible employees and employees who would become retirement eligible prior to vesting of certain grants of nonqualified stock options. Effective January 1, 2005, stock-based compensation expense for retirement-eligible employees is recognized over a six-month required service period, and for non-retirement-eligible employees, over the shorter of the period from the grant date to the date they become retirement eligible (but not less than the six-month required service period) or the normal four-year vesting period.</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176" w:lineRule="exact"/>
        <w:rPr>
          <w:sz w:val="20"/>
          <w:szCs w:val="20"/>
          <w:color w:val="auto"/>
        </w:rPr>
      </w:pPr>
    </w:p>
    <w:p>
      <w:pPr>
        <w:ind w:left="460" w:right="160"/>
        <w:spacing w:after="0" w:line="299" w:lineRule="auto"/>
        <w:rPr>
          <w:sz w:val="20"/>
          <w:szCs w:val="20"/>
          <w:color w:val="auto"/>
        </w:rPr>
      </w:pPr>
      <w:r>
        <w:rPr>
          <w:rFonts w:ascii="Arial" w:cs="Arial" w:eastAsia="Arial" w:hAnsi="Arial"/>
          <w:sz w:val="16"/>
          <w:szCs w:val="16"/>
          <w:color w:val="auto"/>
        </w:rPr>
        <w:t>The fair values for the nonqualified stock options and stock options offered under the TI Employees 2002 Stock Purchase Plan (both actual and pro forma) were estimated using the Black-Scholes option-pricing model with the weighted-average assumptions listed below.</w:t>
      </w:r>
    </w:p>
    <w:p>
      <w:pPr>
        <w:spacing w:after="0" w:line="134"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7440" w:type="dxa"/>
            <w:vAlign w:val="bottom"/>
            <w:shd w:val="clear" w:color="auto" w:fill="939598"/>
          </w:tcPr>
          <w:p>
            <w:pPr>
              <w:spacing w:after="0"/>
              <w:rPr>
                <w:sz w:val="14"/>
                <w:szCs w:val="14"/>
                <w:color w:val="auto"/>
              </w:rPr>
            </w:pPr>
          </w:p>
        </w:tc>
        <w:tc>
          <w:tcPr>
            <w:tcW w:w="420" w:type="dxa"/>
            <w:vAlign w:val="bottom"/>
            <w:shd w:val="clear" w:color="auto" w:fill="939598"/>
          </w:tcPr>
          <w:p>
            <w:pPr>
              <w:spacing w:after="0"/>
              <w:rPr>
                <w:sz w:val="14"/>
                <w:szCs w:val="14"/>
                <w:color w:val="auto"/>
              </w:rPr>
            </w:pPr>
          </w:p>
        </w:tc>
        <w:tc>
          <w:tcPr>
            <w:tcW w:w="800" w:type="dxa"/>
            <w:vAlign w:val="bottom"/>
            <w:shd w:val="clear" w:color="auto" w:fill="939598"/>
          </w:tcPr>
          <w:p>
            <w:pPr>
              <w:jc w:val="right"/>
              <w:ind w:right="374"/>
              <w:spacing w:after="0"/>
              <w:rPr>
                <w:sz w:val="20"/>
                <w:szCs w:val="20"/>
                <w:color w:val="auto"/>
              </w:rPr>
            </w:pPr>
            <w:r>
              <w:rPr>
                <w:rFonts w:ascii="Arial" w:cs="Arial" w:eastAsia="Arial" w:hAnsi="Arial"/>
                <w:sz w:val="14"/>
                <w:szCs w:val="14"/>
                <w:b w:val="1"/>
                <w:bCs w:val="1"/>
                <w:color w:val="FFFFFF"/>
              </w:rPr>
              <w:t>2006</w:t>
            </w:r>
          </w:p>
        </w:tc>
        <w:tc>
          <w:tcPr>
            <w:tcW w:w="260" w:type="dxa"/>
            <w:vAlign w:val="bottom"/>
            <w:shd w:val="clear" w:color="auto" w:fill="939598"/>
          </w:tcPr>
          <w:p>
            <w:pPr>
              <w:spacing w:after="0"/>
              <w:rPr>
                <w:sz w:val="14"/>
                <w:szCs w:val="14"/>
                <w:color w:val="auto"/>
              </w:rPr>
            </w:pPr>
          </w:p>
        </w:tc>
        <w:tc>
          <w:tcPr>
            <w:tcW w:w="840" w:type="dxa"/>
            <w:vAlign w:val="bottom"/>
            <w:shd w:val="clear" w:color="auto" w:fill="939598"/>
          </w:tcPr>
          <w:p>
            <w:pPr>
              <w:jc w:val="right"/>
              <w:ind w:right="394"/>
              <w:spacing w:after="0"/>
              <w:rPr>
                <w:sz w:val="20"/>
                <w:szCs w:val="20"/>
                <w:color w:val="auto"/>
              </w:rPr>
            </w:pPr>
            <w:r>
              <w:rPr>
                <w:rFonts w:ascii="Arial" w:cs="Arial" w:eastAsia="Arial" w:hAnsi="Arial"/>
                <w:sz w:val="14"/>
                <w:szCs w:val="14"/>
                <w:b w:val="1"/>
                <w:bCs w:val="1"/>
                <w:color w:val="FFFFFF"/>
              </w:rPr>
              <w:t>2005</w:t>
            </w:r>
          </w:p>
        </w:tc>
        <w:tc>
          <w:tcPr>
            <w:tcW w:w="280" w:type="dxa"/>
            <w:vAlign w:val="bottom"/>
            <w:shd w:val="clear" w:color="auto" w:fill="939598"/>
          </w:tcPr>
          <w:p>
            <w:pPr>
              <w:spacing w:after="0"/>
              <w:rPr>
                <w:sz w:val="14"/>
                <w:szCs w:val="14"/>
                <w:color w:val="auto"/>
              </w:rPr>
            </w:pPr>
          </w:p>
        </w:tc>
        <w:tc>
          <w:tcPr>
            <w:tcW w:w="680" w:type="dxa"/>
            <w:vAlign w:val="bottom"/>
            <w:shd w:val="clear" w:color="auto" w:fill="939598"/>
          </w:tcPr>
          <w:p>
            <w:pPr>
              <w:jc w:val="right"/>
              <w:ind w:right="254"/>
              <w:spacing w:after="0"/>
              <w:rPr>
                <w:sz w:val="20"/>
                <w:szCs w:val="20"/>
                <w:color w:val="auto"/>
              </w:rPr>
            </w:pPr>
            <w:r>
              <w:rPr>
                <w:rFonts w:ascii="Arial" w:cs="Arial" w:eastAsia="Arial" w:hAnsi="Arial"/>
                <w:sz w:val="14"/>
                <w:szCs w:val="14"/>
                <w:b w:val="1"/>
                <w:bCs w:val="1"/>
                <w:color w:val="FFFFFF"/>
              </w:rPr>
              <w:t>2004</w:t>
            </w:r>
          </w:p>
        </w:tc>
      </w:tr>
      <w:tr>
        <w:trPr>
          <w:trHeight w:val="270"/>
        </w:trPr>
        <w:tc>
          <w:tcPr>
            <w:tcW w:w="7440" w:type="dxa"/>
            <w:vAlign w:val="bottom"/>
          </w:tcPr>
          <w:p>
            <w:pPr>
              <w:ind w:left="200"/>
              <w:spacing w:after="0"/>
              <w:rPr>
                <w:sz w:val="20"/>
                <w:szCs w:val="20"/>
                <w:color w:val="auto"/>
              </w:rPr>
            </w:pPr>
            <w:r>
              <w:rPr>
                <w:rFonts w:ascii="Arial" w:cs="Arial" w:eastAsia="Arial" w:hAnsi="Arial"/>
                <w:sz w:val="18"/>
                <w:szCs w:val="18"/>
                <w:b w:val="1"/>
                <w:bCs w:val="1"/>
                <w:color w:val="auto"/>
              </w:rPr>
              <w:t>Long-term Plans (a)</w:t>
            </w: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03"/>
        </w:trPr>
        <w:tc>
          <w:tcPr>
            <w:tcW w:w="744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Weighted average grant date fair value, per share</w:t>
            </w:r>
          </w:p>
        </w:tc>
        <w:tc>
          <w:tcPr>
            <w:tcW w:w="4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6E7E7"/>
          </w:tcPr>
          <w:p>
            <w:pPr>
              <w:jc w:val="right"/>
              <w:ind w:right="214"/>
              <w:spacing w:after="0" w:line="202" w:lineRule="exact"/>
              <w:rPr>
                <w:sz w:val="20"/>
                <w:szCs w:val="20"/>
                <w:color w:val="auto"/>
              </w:rPr>
            </w:pPr>
            <w:r>
              <w:rPr>
                <w:rFonts w:ascii="Arial" w:cs="Arial" w:eastAsia="Arial" w:hAnsi="Arial"/>
                <w:sz w:val="18"/>
                <w:szCs w:val="18"/>
                <w:b w:val="1"/>
                <w:bCs w:val="1"/>
                <w:color w:val="auto"/>
              </w:rPr>
              <w:t>11.82</w:t>
            </w:r>
          </w:p>
        </w:tc>
        <w:tc>
          <w:tcPr>
            <w:tcW w:w="2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7E7"/>
          </w:tcPr>
          <w:p>
            <w:pPr>
              <w:jc w:val="right"/>
              <w:ind w:right="214"/>
              <w:spacing w:after="0" w:line="202" w:lineRule="exact"/>
              <w:rPr>
                <w:sz w:val="20"/>
                <w:szCs w:val="20"/>
                <w:color w:val="auto"/>
              </w:rPr>
            </w:pPr>
            <w:r>
              <w:rPr>
                <w:rFonts w:ascii="Arial" w:cs="Arial" w:eastAsia="Arial" w:hAnsi="Arial"/>
                <w:sz w:val="18"/>
                <w:szCs w:val="18"/>
                <w:color w:val="auto"/>
              </w:rPr>
              <w:t>10.07</w:t>
            </w:r>
          </w:p>
        </w:tc>
        <w:tc>
          <w:tcPr>
            <w:tcW w:w="2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E6E7E7"/>
          </w:tcPr>
          <w:p>
            <w:pPr>
              <w:jc w:val="right"/>
              <w:ind w:right="74"/>
              <w:spacing w:after="0" w:line="202" w:lineRule="exact"/>
              <w:rPr>
                <w:sz w:val="20"/>
                <w:szCs w:val="20"/>
                <w:color w:val="auto"/>
              </w:rPr>
            </w:pPr>
            <w:r>
              <w:rPr>
                <w:rFonts w:ascii="Arial" w:cs="Arial" w:eastAsia="Arial" w:hAnsi="Arial"/>
                <w:sz w:val="18"/>
                <w:szCs w:val="18"/>
                <w:color w:val="auto"/>
              </w:rPr>
              <w:t>15.61</w:t>
            </w: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Weighted average assumptions used:</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744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Expected volatility</w:t>
            </w:r>
          </w:p>
        </w:tc>
        <w:tc>
          <w:tcPr>
            <w:tcW w:w="420" w:type="dxa"/>
            <w:vAlign w:val="bottom"/>
            <w:shd w:val="clear" w:color="auto" w:fill="E6E7E7"/>
          </w:tcPr>
          <w:p>
            <w:pPr>
              <w:spacing w:after="0"/>
              <w:rPr>
                <w:sz w:val="17"/>
                <w:szCs w:val="17"/>
                <w:color w:val="auto"/>
              </w:rPr>
            </w:pPr>
          </w:p>
        </w:tc>
        <w:tc>
          <w:tcPr>
            <w:tcW w:w="800" w:type="dxa"/>
            <w:vAlign w:val="bottom"/>
            <w:shd w:val="clear" w:color="auto" w:fill="E6E7E7"/>
          </w:tcPr>
          <w:p>
            <w:pPr>
              <w:jc w:val="right"/>
              <w:ind w:right="54"/>
              <w:spacing w:after="0" w:line="202" w:lineRule="exact"/>
              <w:rPr>
                <w:sz w:val="20"/>
                <w:szCs w:val="20"/>
                <w:color w:val="auto"/>
              </w:rPr>
            </w:pPr>
            <w:r>
              <w:rPr>
                <w:rFonts w:ascii="Arial" w:cs="Arial" w:eastAsia="Arial" w:hAnsi="Arial"/>
                <w:sz w:val="18"/>
                <w:szCs w:val="18"/>
                <w:b w:val="1"/>
                <w:bCs w:val="1"/>
                <w:color w:val="auto"/>
              </w:rPr>
              <w:t>34%</w:t>
            </w:r>
          </w:p>
        </w:tc>
        <w:tc>
          <w:tcPr>
            <w:tcW w:w="260" w:type="dxa"/>
            <w:vAlign w:val="bottom"/>
            <w:shd w:val="clear" w:color="auto" w:fill="E6E7E7"/>
          </w:tcPr>
          <w:p>
            <w:pPr>
              <w:spacing w:after="0"/>
              <w:rPr>
                <w:sz w:val="17"/>
                <w:szCs w:val="17"/>
                <w:color w:val="auto"/>
              </w:rPr>
            </w:pPr>
          </w:p>
        </w:tc>
        <w:tc>
          <w:tcPr>
            <w:tcW w:w="840" w:type="dxa"/>
            <w:vAlign w:val="bottom"/>
            <w:shd w:val="clear" w:color="auto" w:fill="E6E7E7"/>
          </w:tcPr>
          <w:p>
            <w:pPr>
              <w:jc w:val="right"/>
              <w:ind w:right="54"/>
              <w:spacing w:after="0" w:line="202" w:lineRule="exact"/>
              <w:rPr>
                <w:sz w:val="20"/>
                <w:szCs w:val="20"/>
                <w:color w:val="auto"/>
              </w:rPr>
            </w:pPr>
            <w:r>
              <w:rPr>
                <w:rFonts w:ascii="Arial" w:cs="Arial" w:eastAsia="Arial" w:hAnsi="Arial"/>
                <w:sz w:val="18"/>
                <w:szCs w:val="18"/>
                <w:color w:val="auto"/>
              </w:rPr>
              <w:t>50%</w:t>
            </w:r>
          </w:p>
        </w:tc>
        <w:tc>
          <w:tcPr>
            <w:tcW w:w="280" w:type="dxa"/>
            <w:vAlign w:val="bottom"/>
            <w:shd w:val="clear" w:color="auto" w:fill="E6E7E7"/>
          </w:tcPr>
          <w:p>
            <w:pPr>
              <w:spacing w:after="0"/>
              <w:rPr>
                <w:sz w:val="17"/>
                <w:szCs w:val="17"/>
                <w:color w:val="auto"/>
              </w:rPr>
            </w:pPr>
          </w:p>
        </w:tc>
        <w:tc>
          <w:tcPr>
            <w:tcW w:w="6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56%</w:t>
            </w:r>
          </w:p>
        </w:tc>
      </w:tr>
      <w:tr>
        <w:trPr>
          <w:trHeight w:val="203"/>
        </w:trPr>
        <w:tc>
          <w:tcPr>
            <w:tcW w:w="7440" w:type="dxa"/>
            <w:vAlign w:val="bottom"/>
          </w:tcPr>
          <w:p>
            <w:pPr>
              <w:ind w:left="420"/>
              <w:spacing w:after="0" w:line="202" w:lineRule="exact"/>
              <w:rPr>
                <w:sz w:val="20"/>
                <w:szCs w:val="20"/>
                <w:color w:val="auto"/>
              </w:rPr>
            </w:pPr>
            <w:r>
              <w:rPr>
                <w:rFonts w:ascii="Arial" w:cs="Arial" w:eastAsia="Arial" w:hAnsi="Arial"/>
                <w:sz w:val="18"/>
                <w:szCs w:val="18"/>
                <w:color w:val="auto"/>
              </w:rPr>
              <w:t>Expected lives</w:t>
            </w:r>
          </w:p>
        </w:tc>
        <w:tc>
          <w:tcPr>
            <w:tcW w:w="420" w:type="dxa"/>
            <w:vAlign w:val="bottom"/>
          </w:tcPr>
          <w:p>
            <w:pPr>
              <w:spacing w:after="0"/>
              <w:rPr>
                <w:sz w:val="17"/>
                <w:szCs w:val="17"/>
                <w:color w:val="auto"/>
              </w:rPr>
            </w:pPr>
          </w:p>
        </w:tc>
        <w:tc>
          <w:tcPr>
            <w:tcW w:w="80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5 yrs</w:t>
            </w:r>
          </w:p>
        </w:tc>
        <w:tc>
          <w:tcPr>
            <w:tcW w:w="260" w:type="dxa"/>
            <w:vAlign w:val="bottom"/>
          </w:tcPr>
          <w:p>
            <w:pPr>
              <w:spacing w:after="0"/>
              <w:rPr>
                <w:sz w:val="17"/>
                <w:szCs w:val="17"/>
                <w:color w:val="auto"/>
              </w:rPr>
            </w:pPr>
          </w:p>
        </w:tc>
        <w:tc>
          <w:tcPr>
            <w:tcW w:w="84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5 yrs</w:t>
            </w:r>
          </w:p>
        </w:tc>
        <w:tc>
          <w:tcPr>
            <w:tcW w:w="2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 yrs</w:t>
            </w:r>
          </w:p>
        </w:tc>
      </w:tr>
      <w:tr>
        <w:trPr>
          <w:trHeight w:val="203"/>
        </w:trPr>
        <w:tc>
          <w:tcPr>
            <w:tcW w:w="744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Risk-free interest rates</w:t>
            </w:r>
          </w:p>
        </w:tc>
        <w:tc>
          <w:tcPr>
            <w:tcW w:w="420" w:type="dxa"/>
            <w:vAlign w:val="bottom"/>
            <w:shd w:val="clear" w:color="auto" w:fill="E6E7E7"/>
          </w:tcPr>
          <w:p>
            <w:pPr>
              <w:spacing w:after="0"/>
              <w:rPr>
                <w:sz w:val="17"/>
                <w:szCs w:val="17"/>
                <w:color w:val="auto"/>
              </w:rPr>
            </w:pPr>
          </w:p>
        </w:tc>
        <w:tc>
          <w:tcPr>
            <w:tcW w:w="800" w:type="dxa"/>
            <w:vAlign w:val="bottom"/>
            <w:shd w:val="clear" w:color="auto" w:fill="E6E7E7"/>
          </w:tcPr>
          <w:p>
            <w:pPr>
              <w:jc w:val="right"/>
              <w:ind w:right="54"/>
              <w:spacing w:after="0" w:line="202" w:lineRule="exact"/>
              <w:rPr>
                <w:sz w:val="20"/>
                <w:szCs w:val="20"/>
                <w:color w:val="auto"/>
              </w:rPr>
            </w:pPr>
            <w:r>
              <w:rPr>
                <w:rFonts w:ascii="Arial" w:cs="Arial" w:eastAsia="Arial" w:hAnsi="Arial"/>
                <w:sz w:val="18"/>
                <w:szCs w:val="18"/>
                <w:b w:val="1"/>
                <w:bCs w:val="1"/>
                <w:color w:val="auto"/>
              </w:rPr>
              <w:t>4.50%</w:t>
            </w:r>
          </w:p>
        </w:tc>
        <w:tc>
          <w:tcPr>
            <w:tcW w:w="260" w:type="dxa"/>
            <w:vAlign w:val="bottom"/>
            <w:shd w:val="clear" w:color="auto" w:fill="E6E7E7"/>
          </w:tcPr>
          <w:p>
            <w:pPr>
              <w:spacing w:after="0"/>
              <w:rPr>
                <w:sz w:val="17"/>
                <w:szCs w:val="17"/>
                <w:color w:val="auto"/>
              </w:rPr>
            </w:pPr>
          </w:p>
        </w:tc>
        <w:tc>
          <w:tcPr>
            <w:tcW w:w="840" w:type="dxa"/>
            <w:vAlign w:val="bottom"/>
            <w:shd w:val="clear" w:color="auto" w:fill="E6E7E7"/>
          </w:tcPr>
          <w:p>
            <w:pPr>
              <w:jc w:val="right"/>
              <w:ind w:right="54"/>
              <w:spacing w:after="0" w:line="202" w:lineRule="exact"/>
              <w:rPr>
                <w:sz w:val="20"/>
                <w:szCs w:val="20"/>
                <w:color w:val="auto"/>
              </w:rPr>
            </w:pPr>
            <w:r>
              <w:rPr>
                <w:rFonts w:ascii="Arial" w:cs="Arial" w:eastAsia="Arial" w:hAnsi="Arial"/>
                <w:sz w:val="18"/>
                <w:szCs w:val="18"/>
                <w:color w:val="auto"/>
              </w:rPr>
              <w:t>3.77%</w:t>
            </w:r>
          </w:p>
        </w:tc>
        <w:tc>
          <w:tcPr>
            <w:tcW w:w="280" w:type="dxa"/>
            <w:vAlign w:val="bottom"/>
            <w:shd w:val="clear" w:color="auto" w:fill="E6E7E7"/>
          </w:tcPr>
          <w:p>
            <w:pPr>
              <w:spacing w:after="0"/>
              <w:rPr>
                <w:sz w:val="17"/>
                <w:szCs w:val="17"/>
                <w:color w:val="auto"/>
              </w:rPr>
            </w:pPr>
          </w:p>
        </w:tc>
        <w:tc>
          <w:tcPr>
            <w:tcW w:w="6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3.16%</w:t>
            </w:r>
          </w:p>
        </w:tc>
      </w:tr>
      <w:tr>
        <w:trPr>
          <w:trHeight w:val="203"/>
        </w:trPr>
        <w:tc>
          <w:tcPr>
            <w:tcW w:w="7440" w:type="dxa"/>
            <w:vAlign w:val="bottom"/>
          </w:tcPr>
          <w:p>
            <w:pPr>
              <w:ind w:left="420"/>
              <w:spacing w:after="0" w:line="202" w:lineRule="exact"/>
              <w:rPr>
                <w:sz w:val="20"/>
                <w:szCs w:val="20"/>
                <w:color w:val="auto"/>
              </w:rPr>
            </w:pPr>
            <w:r>
              <w:rPr>
                <w:rFonts w:ascii="Arial" w:cs="Arial" w:eastAsia="Arial" w:hAnsi="Arial"/>
                <w:sz w:val="18"/>
                <w:szCs w:val="18"/>
                <w:color w:val="auto"/>
              </w:rPr>
              <w:t>Expected dividend yields</w:t>
            </w:r>
          </w:p>
        </w:tc>
        <w:tc>
          <w:tcPr>
            <w:tcW w:w="420" w:type="dxa"/>
            <w:vAlign w:val="bottom"/>
          </w:tcPr>
          <w:p>
            <w:pPr>
              <w:spacing w:after="0"/>
              <w:rPr>
                <w:sz w:val="17"/>
                <w:szCs w:val="17"/>
                <w:color w:val="auto"/>
              </w:rPr>
            </w:pPr>
          </w:p>
        </w:tc>
        <w:tc>
          <w:tcPr>
            <w:tcW w:w="8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0.37%</w:t>
            </w:r>
          </w:p>
        </w:tc>
        <w:tc>
          <w:tcPr>
            <w:tcW w:w="260" w:type="dxa"/>
            <w:vAlign w:val="bottom"/>
          </w:tcPr>
          <w:p>
            <w:pPr>
              <w:spacing w:after="0"/>
              <w:rPr>
                <w:sz w:val="17"/>
                <w:szCs w:val="17"/>
                <w:color w:val="auto"/>
              </w:rPr>
            </w:pPr>
          </w:p>
        </w:tc>
        <w:tc>
          <w:tcPr>
            <w:tcW w:w="8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0.48%</w:t>
            </w:r>
          </w:p>
        </w:tc>
        <w:tc>
          <w:tcPr>
            <w:tcW w:w="2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0.33%</w:t>
            </w:r>
          </w:p>
        </w:tc>
      </w:tr>
      <w:tr>
        <w:trPr>
          <w:trHeight w:val="419"/>
        </w:trPr>
        <w:tc>
          <w:tcPr>
            <w:tcW w:w="7440" w:type="dxa"/>
            <w:vAlign w:val="bottom"/>
            <w:shd w:val="clear" w:color="auto" w:fill="E6E7E7"/>
          </w:tcPr>
          <w:p>
            <w:pPr>
              <w:ind w:left="200"/>
              <w:spacing w:after="0"/>
              <w:rPr>
                <w:sz w:val="20"/>
                <w:szCs w:val="20"/>
                <w:color w:val="auto"/>
              </w:rPr>
            </w:pPr>
            <w:r>
              <w:rPr>
                <w:rFonts w:ascii="Arial" w:cs="Arial" w:eastAsia="Arial" w:hAnsi="Arial"/>
                <w:sz w:val="18"/>
                <w:szCs w:val="18"/>
                <w:b w:val="1"/>
                <w:bCs w:val="1"/>
                <w:color w:val="auto"/>
              </w:rPr>
              <w:t>Stock Purchase Plans (b)</w:t>
            </w:r>
          </w:p>
        </w:tc>
        <w:tc>
          <w:tcPr>
            <w:tcW w:w="420" w:type="dxa"/>
            <w:vAlign w:val="bottom"/>
            <w:shd w:val="clear" w:color="auto" w:fill="E6E7E7"/>
          </w:tcPr>
          <w:p>
            <w:pPr>
              <w:spacing w:after="0"/>
              <w:rPr>
                <w:sz w:val="24"/>
                <w:szCs w:val="24"/>
                <w:color w:val="auto"/>
              </w:rPr>
            </w:pPr>
          </w:p>
        </w:tc>
        <w:tc>
          <w:tcPr>
            <w:tcW w:w="800" w:type="dxa"/>
            <w:vAlign w:val="bottom"/>
            <w:shd w:val="clear" w:color="auto" w:fill="E6E7E7"/>
          </w:tcPr>
          <w:p>
            <w:pPr>
              <w:spacing w:after="0"/>
              <w:rPr>
                <w:sz w:val="24"/>
                <w:szCs w:val="24"/>
                <w:color w:val="auto"/>
              </w:rPr>
            </w:pPr>
          </w:p>
        </w:tc>
        <w:tc>
          <w:tcPr>
            <w:tcW w:w="260" w:type="dxa"/>
            <w:vAlign w:val="bottom"/>
            <w:shd w:val="clear" w:color="auto" w:fill="E6E7E7"/>
          </w:tcPr>
          <w:p>
            <w:pPr>
              <w:spacing w:after="0"/>
              <w:rPr>
                <w:sz w:val="24"/>
                <w:szCs w:val="24"/>
                <w:color w:val="auto"/>
              </w:rPr>
            </w:pPr>
          </w:p>
        </w:tc>
        <w:tc>
          <w:tcPr>
            <w:tcW w:w="840" w:type="dxa"/>
            <w:vAlign w:val="bottom"/>
            <w:shd w:val="clear" w:color="auto" w:fill="E6E7E7"/>
          </w:tcPr>
          <w:p>
            <w:pPr>
              <w:spacing w:after="0"/>
              <w:rPr>
                <w:sz w:val="24"/>
                <w:szCs w:val="24"/>
                <w:color w:val="auto"/>
              </w:rPr>
            </w:pPr>
          </w:p>
        </w:tc>
        <w:tc>
          <w:tcPr>
            <w:tcW w:w="280" w:type="dxa"/>
            <w:vAlign w:val="bottom"/>
            <w:shd w:val="clear" w:color="auto" w:fill="E6E7E7"/>
          </w:tcPr>
          <w:p>
            <w:pPr>
              <w:spacing w:after="0"/>
              <w:rPr>
                <w:sz w:val="24"/>
                <w:szCs w:val="24"/>
                <w:color w:val="auto"/>
              </w:rPr>
            </w:pPr>
          </w:p>
        </w:tc>
        <w:tc>
          <w:tcPr>
            <w:tcW w:w="680" w:type="dxa"/>
            <w:vAlign w:val="bottom"/>
            <w:shd w:val="clear" w:color="auto" w:fill="E6E7E7"/>
          </w:tcPr>
          <w:p>
            <w:pPr>
              <w:spacing w:after="0"/>
              <w:rPr>
                <w:sz w:val="24"/>
                <w:szCs w:val="24"/>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Weighted average fair value, per share</w:t>
            </w:r>
          </w:p>
        </w:tc>
        <w:tc>
          <w:tcPr>
            <w:tcW w:w="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214"/>
              <w:spacing w:after="0" w:line="202" w:lineRule="exact"/>
              <w:rPr>
                <w:sz w:val="20"/>
                <w:szCs w:val="20"/>
                <w:color w:val="auto"/>
              </w:rPr>
            </w:pPr>
            <w:r>
              <w:rPr>
                <w:rFonts w:ascii="Arial" w:cs="Arial" w:eastAsia="Arial" w:hAnsi="Arial"/>
                <w:sz w:val="18"/>
                <w:szCs w:val="18"/>
                <w:b w:val="1"/>
                <w:bCs w:val="1"/>
                <w:color w:val="auto"/>
              </w:rPr>
              <w:t>4.68</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4.56</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4.66</w:t>
            </w:r>
          </w:p>
        </w:tc>
      </w:tr>
      <w:tr>
        <w:trPr>
          <w:trHeight w:val="203"/>
        </w:trPr>
        <w:tc>
          <w:tcPr>
            <w:tcW w:w="744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Weighted average assumptions used:</w:t>
            </w:r>
          </w:p>
        </w:tc>
        <w:tc>
          <w:tcPr>
            <w:tcW w:w="420" w:type="dxa"/>
            <w:vAlign w:val="bottom"/>
            <w:shd w:val="clear" w:color="auto" w:fill="E6E7E7"/>
          </w:tcPr>
          <w:p>
            <w:pPr>
              <w:spacing w:after="0"/>
              <w:rPr>
                <w:sz w:val="17"/>
                <w:szCs w:val="17"/>
                <w:color w:val="auto"/>
              </w:rPr>
            </w:pPr>
          </w:p>
        </w:tc>
        <w:tc>
          <w:tcPr>
            <w:tcW w:w="800" w:type="dxa"/>
            <w:vAlign w:val="bottom"/>
            <w:shd w:val="clear" w:color="auto" w:fill="E6E7E7"/>
          </w:tcPr>
          <w:p>
            <w:pPr>
              <w:spacing w:after="0"/>
              <w:rPr>
                <w:sz w:val="17"/>
                <w:szCs w:val="17"/>
                <w:color w:val="auto"/>
              </w:rPr>
            </w:pPr>
          </w:p>
        </w:tc>
        <w:tc>
          <w:tcPr>
            <w:tcW w:w="260" w:type="dxa"/>
            <w:vAlign w:val="bottom"/>
            <w:shd w:val="clear" w:color="auto" w:fill="E6E7E7"/>
          </w:tcPr>
          <w:p>
            <w:pPr>
              <w:spacing w:after="0"/>
              <w:rPr>
                <w:sz w:val="17"/>
                <w:szCs w:val="17"/>
                <w:color w:val="auto"/>
              </w:rPr>
            </w:pPr>
          </w:p>
        </w:tc>
        <w:tc>
          <w:tcPr>
            <w:tcW w:w="840" w:type="dxa"/>
            <w:vAlign w:val="bottom"/>
            <w:shd w:val="clear" w:color="auto" w:fill="E6E7E7"/>
          </w:tcPr>
          <w:p>
            <w:pPr>
              <w:spacing w:after="0"/>
              <w:rPr>
                <w:sz w:val="17"/>
                <w:szCs w:val="17"/>
                <w:color w:val="auto"/>
              </w:rPr>
            </w:pPr>
          </w:p>
        </w:tc>
        <w:tc>
          <w:tcPr>
            <w:tcW w:w="280" w:type="dxa"/>
            <w:vAlign w:val="bottom"/>
            <w:shd w:val="clear" w:color="auto" w:fill="E6E7E7"/>
          </w:tcPr>
          <w:p>
            <w:pPr>
              <w:spacing w:after="0"/>
              <w:rPr>
                <w:sz w:val="17"/>
                <w:szCs w:val="17"/>
                <w:color w:val="auto"/>
              </w:rPr>
            </w:pPr>
          </w:p>
        </w:tc>
        <w:tc>
          <w:tcPr>
            <w:tcW w:w="680" w:type="dxa"/>
            <w:vAlign w:val="bottom"/>
            <w:shd w:val="clear" w:color="auto" w:fill="E6E7E7"/>
          </w:tcPr>
          <w:p>
            <w:pPr>
              <w:spacing w:after="0"/>
              <w:rPr>
                <w:sz w:val="17"/>
                <w:szCs w:val="17"/>
                <w:color w:val="auto"/>
              </w:rPr>
            </w:pPr>
          </w:p>
        </w:tc>
      </w:tr>
      <w:tr>
        <w:trPr>
          <w:trHeight w:val="203"/>
        </w:trPr>
        <w:tc>
          <w:tcPr>
            <w:tcW w:w="7440" w:type="dxa"/>
            <w:vAlign w:val="bottom"/>
          </w:tcPr>
          <w:p>
            <w:pPr>
              <w:ind w:left="420"/>
              <w:spacing w:after="0" w:line="202" w:lineRule="exact"/>
              <w:rPr>
                <w:sz w:val="20"/>
                <w:szCs w:val="20"/>
                <w:color w:val="auto"/>
              </w:rPr>
            </w:pPr>
            <w:r>
              <w:rPr>
                <w:rFonts w:ascii="Arial" w:cs="Arial" w:eastAsia="Arial" w:hAnsi="Arial"/>
                <w:sz w:val="18"/>
                <w:szCs w:val="18"/>
                <w:color w:val="auto"/>
              </w:rPr>
              <w:t>Expected volatility</w:t>
            </w:r>
          </w:p>
        </w:tc>
        <w:tc>
          <w:tcPr>
            <w:tcW w:w="420" w:type="dxa"/>
            <w:vAlign w:val="bottom"/>
          </w:tcPr>
          <w:p>
            <w:pPr>
              <w:spacing w:after="0"/>
              <w:rPr>
                <w:sz w:val="17"/>
                <w:szCs w:val="17"/>
                <w:color w:val="auto"/>
              </w:rPr>
            </w:pPr>
          </w:p>
        </w:tc>
        <w:tc>
          <w:tcPr>
            <w:tcW w:w="800" w:type="dxa"/>
            <w:vAlign w:val="bottom"/>
          </w:tcPr>
          <w:p>
            <w:pPr>
              <w:jc w:val="right"/>
              <w:ind w:right="214"/>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8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36%</w:t>
            </w:r>
          </w:p>
        </w:tc>
        <w:tc>
          <w:tcPr>
            <w:tcW w:w="2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r>
      <w:tr>
        <w:trPr>
          <w:trHeight w:val="203"/>
        </w:trPr>
        <w:tc>
          <w:tcPr>
            <w:tcW w:w="744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Expected lives</w:t>
            </w:r>
          </w:p>
        </w:tc>
        <w:tc>
          <w:tcPr>
            <w:tcW w:w="420" w:type="dxa"/>
            <w:vAlign w:val="bottom"/>
            <w:shd w:val="clear" w:color="auto" w:fill="E6E7E7"/>
          </w:tcPr>
          <w:p>
            <w:pPr>
              <w:spacing w:after="0"/>
              <w:rPr>
                <w:sz w:val="17"/>
                <w:szCs w:val="17"/>
                <w:color w:val="auto"/>
              </w:rPr>
            </w:pPr>
          </w:p>
        </w:tc>
        <w:tc>
          <w:tcPr>
            <w:tcW w:w="800" w:type="dxa"/>
            <w:vAlign w:val="bottom"/>
            <w:shd w:val="clear" w:color="auto" w:fill="E6E7E7"/>
          </w:tcPr>
          <w:p>
            <w:pPr>
              <w:jc w:val="right"/>
              <w:ind w:right="214"/>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E6E7E7"/>
          </w:tcPr>
          <w:p>
            <w:pPr>
              <w:spacing w:after="0"/>
              <w:rPr>
                <w:sz w:val="17"/>
                <w:szCs w:val="17"/>
                <w:color w:val="auto"/>
              </w:rPr>
            </w:pPr>
          </w:p>
        </w:tc>
        <w:tc>
          <w:tcPr>
            <w:tcW w:w="840" w:type="dxa"/>
            <w:vAlign w:val="bottom"/>
            <w:shd w:val="clear" w:color="auto" w:fill="E6E7E7"/>
          </w:tcPr>
          <w:p>
            <w:pPr>
              <w:jc w:val="right"/>
              <w:ind w:right="214"/>
              <w:spacing w:after="0" w:line="202" w:lineRule="exact"/>
              <w:rPr>
                <w:sz w:val="20"/>
                <w:szCs w:val="20"/>
                <w:color w:val="auto"/>
              </w:rPr>
            </w:pPr>
            <w:r>
              <w:rPr>
                <w:rFonts w:ascii="Arial" w:cs="Arial" w:eastAsia="Arial" w:hAnsi="Arial"/>
                <w:sz w:val="18"/>
                <w:szCs w:val="18"/>
                <w:color w:val="auto"/>
                <w:w w:val="96"/>
              </w:rPr>
              <w:t>.58 yrs</w:t>
            </w:r>
          </w:p>
        </w:tc>
        <w:tc>
          <w:tcPr>
            <w:tcW w:w="280" w:type="dxa"/>
            <w:vAlign w:val="bottom"/>
            <w:shd w:val="clear" w:color="auto" w:fill="E6E7E7"/>
          </w:tcPr>
          <w:p>
            <w:pPr>
              <w:spacing w:after="0"/>
              <w:rPr>
                <w:sz w:val="17"/>
                <w:szCs w:val="17"/>
                <w:color w:val="auto"/>
              </w:rPr>
            </w:pPr>
          </w:p>
        </w:tc>
        <w:tc>
          <w:tcPr>
            <w:tcW w:w="6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.58 yrs</w:t>
            </w:r>
          </w:p>
        </w:tc>
      </w:tr>
      <w:tr>
        <w:trPr>
          <w:trHeight w:val="203"/>
        </w:trPr>
        <w:tc>
          <w:tcPr>
            <w:tcW w:w="7440" w:type="dxa"/>
            <w:vAlign w:val="bottom"/>
          </w:tcPr>
          <w:p>
            <w:pPr>
              <w:ind w:left="420"/>
              <w:spacing w:after="0" w:line="202" w:lineRule="exact"/>
              <w:rPr>
                <w:sz w:val="20"/>
                <w:szCs w:val="20"/>
                <w:color w:val="auto"/>
              </w:rPr>
            </w:pPr>
            <w:r>
              <w:rPr>
                <w:rFonts w:ascii="Arial" w:cs="Arial" w:eastAsia="Arial" w:hAnsi="Arial"/>
                <w:sz w:val="18"/>
                <w:szCs w:val="18"/>
                <w:color w:val="auto"/>
              </w:rPr>
              <w:t>Risk-free interest rates</w:t>
            </w:r>
          </w:p>
        </w:tc>
        <w:tc>
          <w:tcPr>
            <w:tcW w:w="420" w:type="dxa"/>
            <w:vAlign w:val="bottom"/>
          </w:tcPr>
          <w:p>
            <w:pPr>
              <w:spacing w:after="0"/>
              <w:rPr>
                <w:sz w:val="17"/>
                <w:szCs w:val="17"/>
                <w:color w:val="auto"/>
              </w:rPr>
            </w:pPr>
          </w:p>
        </w:tc>
        <w:tc>
          <w:tcPr>
            <w:tcW w:w="800" w:type="dxa"/>
            <w:vAlign w:val="bottom"/>
          </w:tcPr>
          <w:p>
            <w:pPr>
              <w:jc w:val="right"/>
              <w:ind w:right="214"/>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8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2.44%</w:t>
            </w:r>
          </w:p>
        </w:tc>
        <w:tc>
          <w:tcPr>
            <w:tcW w:w="2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r>
      <w:tr>
        <w:trPr>
          <w:trHeight w:val="203"/>
        </w:trPr>
        <w:tc>
          <w:tcPr>
            <w:tcW w:w="744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Expected dividend yields</w:t>
            </w:r>
          </w:p>
        </w:tc>
        <w:tc>
          <w:tcPr>
            <w:tcW w:w="420" w:type="dxa"/>
            <w:vAlign w:val="bottom"/>
            <w:shd w:val="clear" w:color="auto" w:fill="E6E7E7"/>
          </w:tcPr>
          <w:p>
            <w:pPr>
              <w:spacing w:after="0"/>
              <w:rPr>
                <w:sz w:val="17"/>
                <w:szCs w:val="17"/>
                <w:color w:val="auto"/>
              </w:rPr>
            </w:pPr>
          </w:p>
        </w:tc>
        <w:tc>
          <w:tcPr>
            <w:tcW w:w="800" w:type="dxa"/>
            <w:vAlign w:val="bottom"/>
            <w:shd w:val="clear" w:color="auto" w:fill="E6E7E7"/>
          </w:tcPr>
          <w:p>
            <w:pPr>
              <w:jc w:val="right"/>
              <w:ind w:right="214"/>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E6E7E7"/>
          </w:tcPr>
          <w:p>
            <w:pPr>
              <w:spacing w:after="0"/>
              <w:rPr>
                <w:sz w:val="17"/>
                <w:szCs w:val="17"/>
                <w:color w:val="auto"/>
              </w:rPr>
            </w:pPr>
          </w:p>
        </w:tc>
        <w:tc>
          <w:tcPr>
            <w:tcW w:w="840" w:type="dxa"/>
            <w:vAlign w:val="bottom"/>
            <w:shd w:val="clear" w:color="auto" w:fill="E6E7E7"/>
          </w:tcPr>
          <w:p>
            <w:pPr>
              <w:jc w:val="right"/>
              <w:ind w:right="54"/>
              <w:spacing w:after="0" w:line="202" w:lineRule="exact"/>
              <w:rPr>
                <w:sz w:val="20"/>
                <w:szCs w:val="20"/>
                <w:color w:val="auto"/>
              </w:rPr>
            </w:pPr>
            <w:r>
              <w:rPr>
                <w:rFonts w:ascii="Arial" w:cs="Arial" w:eastAsia="Arial" w:hAnsi="Arial"/>
                <w:sz w:val="18"/>
                <w:szCs w:val="18"/>
                <w:color w:val="auto"/>
              </w:rPr>
              <w:t>0.45%</w:t>
            </w:r>
          </w:p>
        </w:tc>
        <w:tc>
          <w:tcPr>
            <w:tcW w:w="280" w:type="dxa"/>
            <w:vAlign w:val="bottom"/>
            <w:shd w:val="clear" w:color="auto" w:fill="E6E7E7"/>
          </w:tcPr>
          <w:p>
            <w:pPr>
              <w:spacing w:after="0"/>
              <w:rPr>
                <w:sz w:val="17"/>
                <w:szCs w:val="17"/>
                <w:color w:val="auto"/>
              </w:rPr>
            </w:pPr>
          </w:p>
        </w:tc>
        <w:tc>
          <w:tcPr>
            <w:tcW w:w="6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0.42%</w:t>
            </w:r>
          </w:p>
        </w:tc>
      </w:tr>
    </w:tbl>
    <w:p>
      <w:pPr>
        <w:spacing w:after="0" w:line="68" w:lineRule="exact"/>
        <w:rPr>
          <w:sz w:val="20"/>
          <w:szCs w:val="20"/>
          <w:color w:val="auto"/>
        </w:rPr>
      </w:pPr>
    </w:p>
    <w:p>
      <w:pPr>
        <w:ind w:left="800" w:hanging="346"/>
        <w:spacing w:after="0"/>
        <w:tabs>
          <w:tab w:leader="none" w:pos="8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Includes stock options under the long-term incentive plans and the director plans.</w:t>
      </w:r>
    </w:p>
    <w:p>
      <w:pPr>
        <w:ind w:left="800" w:hanging="346"/>
        <w:spacing w:after="0" w:line="228" w:lineRule="auto"/>
        <w:tabs>
          <w:tab w:leader="none" w:pos="8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Includes assumptions for the TI Employees 2002 Stock Purchase Plan. The TI Employees 2005 Stock Purchase Plan, which began October 1, 2005, is a discount-purchase plan. Consequently, the Black-Scholes option pricing model is not used to determine the fair value per share of these awards. The fair value per share under this plan is equal to the amount of the discount.</w:t>
      </w:r>
    </w:p>
    <w:p>
      <w:pPr>
        <w:sectPr>
          <w:pgSz w:w="11900" w:h="16838" w:orient="portrait"/>
          <w:cols w:equalWidth="0" w:num="1">
            <w:col w:w="11400"/>
          </w:cols>
          <w:pgMar w:left="240" w:top="287" w:right="259" w:bottom="1440" w:gutter="0" w:footer="0" w:header="0"/>
        </w:sectPr>
      </w:pPr>
    </w:p>
    <w:bookmarkStart w:id="64" w:name="page65"/>
    <w:bookmarkEnd w:id="64"/>
    <w:p>
      <w:pPr>
        <w:ind w:left="7760"/>
        <w:spacing w:after="0"/>
        <w:rPr>
          <w:sz w:val="20"/>
          <w:szCs w:val="20"/>
          <w:color w:val="auto"/>
        </w:rPr>
      </w:pPr>
      <w:r>
        <w:rPr>
          <w:rFonts w:ascii="Arial" w:cs="Arial" w:eastAsia="Arial" w:hAnsi="Arial"/>
          <w:sz w:val="12"/>
          <w:szCs w:val="12"/>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2006 ANNUAL REPORT 15</w:t>
      </w:r>
    </w:p>
    <w:p>
      <w:pPr>
        <w:spacing w:after="0" w:line="163"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Effective July 1, 2005, we changed our method of determining expected volatility on all options granted after that date to rely solely on available implied volatility rates rather than an analysis of historical volatility. After giving consideration to available regulatory guidance, we believe that market-based measures of implied volatility are currently the best available indicators of the expected volatility used in these estimates.</w:t>
      </w:r>
    </w:p>
    <w:p>
      <w:pPr>
        <w:spacing w:after="0" w:line="155"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Expected lives of options are determined based on the historical share option exercise experience of our optionees, using a rolling 10-year average. We believe the historical experience method is the best estimate of future exercise patterns currently available.</w:t>
      </w:r>
    </w:p>
    <w:p>
      <w:pPr>
        <w:spacing w:after="0" w:line="155"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Risk-free interest rates are determined using the implied yield currently available for zero-coupon U.S. government issues with a remaining term equal to the expected life of the options.</w:t>
      </w:r>
    </w:p>
    <w:p>
      <w:pPr>
        <w:spacing w:after="0" w:line="15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Expected dividend yields are based on the approved annual dividend rate in effect and the current market price of TI common stock at the time of grant. No assumption for a future dividend rate change has been included unless there is an approved plan to change the dividend in the near term.</w:t>
      </w:r>
    </w:p>
    <w:p>
      <w:pPr>
        <w:spacing w:after="0" w:line="15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u w:val="single" w:color="auto"/>
          <w:color w:val="auto"/>
        </w:rPr>
        <w:t>Inventories</w:t>
      </w:r>
      <w:r>
        <w:rPr>
          <w:rFonts w:ascii="Arial" w:cs="Arial" w:eastAsia="Arial" w:hAnsi="Arial"/>
          <w:sz w:val="18"/>
          <w:szCs w:val="18"/>
          <w:color w:val="auto"/>
        </w:rPr>
        <w:t>: Inventories are stated at the lower of cost or estimated net realizable value. Cost is generally computed on a currently adjusted standard cost basis, which approximates costs on a first-in, first-out basis. Prior to January 1, 2006, standard costs were based on the optimal utilization of installed factory capacity. With the adoption of SFAS No. 151, “</w:t>
      </w:r>
      <w:r>
        <w:rPr>
          <w:rFonts w:ascii="Arial" w:cs="Arial" w:eastAsia="Arial" w:hAnsi="Arial"/>
          <w:sz w:val="18"/>
          <w:szCs w:val="18"/>
          <w:i w:val="1"/>
          <w:iCs w:val="1"/>
          <w:color w:val="auto"/>
        </w:rPr>
        <w:t>Inventory Costs, an amendment of ARB No. 43, Chapter</w:t>
      </w:r>
      <w:r>
        <w:rPr>
          <w:rFonts w:ascii="Arial" w:cs="Arial" w:eastAsia="Arial" w:hAnsi="Arial"/>
          <w:sz w:val="18"/>
          <w:szCs w:val="18"/>
          <w:color w:val="auto"/>
        </w:rPr>
        <w:t xml:space="preserve"> </w:t>
      </w:r>
      <w:r>
        <w:rPr>
          <w:rFonts w:ascii="Arial" w:cs="Arial" w:eastAsia="Arial" w:hAnsi="Arial"/>
          <w:sz w:val="18"/>
          <w:szCs w:val="18"/>
          <w:i w:val="1"/>
          <w:iCs w:val="1"/>
          <w:color w:val="auto"/>
        </w:rPr>
        <w:t>4,</w:t>
      </w:r>
      <w:r>
        <w:rPr>
          <w:rFonts w:ascii="Arial" w:cs="Arial" w:eastAsia="Arial" w:hAnsi="Arial"/>
          <w:sz w:val="18"/>
          <w:szCs w:val="18"/>
          <w:color w:val="auto"/>
        </w:rPr>
        <w:t>” effective January 1, 2006, standard costs are based on the normal utilization of installed factory capacity, which is not materially different</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optimal rates previously used. The primary impact to our inventory valuation methodology was to change how the fixed production overhead costs included in inventory are calculated. The effect of this change for the year ended December 31, 2006, on inventory and net income was not material. Costs associated with underutilization of capacity are expensed as incurred.</w:t>
      </w:r>
    </w:p>
    <w:p>
      <w:pPr>
        <w:spacing w:after="0" w:line="15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conduct quarterly inventory reviews for salability and obsolescence. A specific allowance is provided for inventory considered unlikely to be sold. Remaining inventory has a salability and obsolescence allowance based upon the historical disposal percentage. Inventory is written off in the period in which disposal occurs.</w:t>
      </w:r>
    </w:p>
    <w:p>
      <w:pPr>
        <w:spacing w:after="0" w:line="15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u w:val="single" w:color="auto"/>
          <w:color w:val="auto"/>
        </w:rPr>
        <w:t>Property, Plant and Equipment and Other Capitalized Costs</w:t>
      </w:r>
      <w:r>
        <w:rPr>
          <w:rFonts w:ascii="Arial" w:cs="Arial" w:eastAsia="Arial" w:hAnsi="Arial"/>
          <w:sz w:val="18"/>
          <w:szCs w:val="18"/>
          <w:color w:val="auto"/>
        </w:rPr>
        <w:t>: Property, plant and equipment are stated at cost and depreciated over their estimated useful lives. In 2006, these assets were depreciated using the straight-line method. Prior to 2006, these assets were depreciated primarily using the 150 percent declining-balance method (see Change in Depreciation Method below). Leasehold improvements are amortized using the straight-line method over the shorter of the remaining lease term or the estimated useful lives of the improvements. Acquisition-related costs are amortized on a straight-line basis over the estimated economic life of the assets. Capitalized software licenses generally are amortized on a straight-line basis over the term of the license. Fully depreciated or amortized assets are written off against accumulated depreciation or amortization.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Change in Depreciation Method</w:t>
      </w:r>
      <w:r>
        <w:rPr>
          <w:rFonts w:ascii="Arial" w:cs="Arial" w:eastAsia="Arial" w:hAnsi="Arial"/>
          <w:sz w:val="16"/>
          <w:szCs w:val="16"/>
          <w:color w:val="auto"/>
        </w:rPr>
        <w:t>: Effective January 1, 2006, as a result of a study made of the pattern of usage of our long-lived depreciable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assets, we adopted the straight-line method of depreciation for all property, plant and equipment. Under the provisions of SFAS No. 154,</w:t>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Accounting Changes and Error Corrections, a replacement of APB Opinion No. 20 and FASB Statement No. 3,</w:t>
      </w:r>
      <w:r>
        <w:rPr>
          <w:rFonts w:ascii="Arial" w:cs="Arial" w:eastAsia="Arial" w:hAnsi="Arial"/>
          <w:sz w:val="16"/>
          <w:szCs w:val="16"/>
          <w:color w:val="auto"/>
        </w:rPr>
        <w:t>” which became effective as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of January 1, 2006, a change in depreciation method is treated on a prospective basis as a change in estimate. Prior period results have not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been restated. We believe that the change from the 150 percent declining-balance method to the straight-line method better reflects the</w:t>
      </w:r>
    </w:p>
    <w:p>
      <w:pPr>
        <w:spacing w:after="0"/>
        <w:rPr>
          <w:sz w:val="20"/>
          <w:szCs w:val="20"/>
          <w:color w:val="auto"/>
        </w:rPr>
      </w:pPr>
      <w:r>
        <w:rPr>
          <w:rFonts w:ascii="Arial" w:cs="Arial" w:eastAsia="Arial" w:hAnsi="Arial"/>
          <w:sz w:val="16"/>
          <w:szCs w:val="16"/>
          <w:color w:val="auto"/>
        </w:rPr>
        <w:t>pattern of consumption of the future benefits to be derived from those assets being depreciated and provides a better matching of costs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revenues over the assets’ estimated useful lives. The effect of the change in depreciation method for the year ended December 31, 2006,</w:t>
      </w:r>
    </w:p>
    <w:p>
      <w:pPr>
        <w:spacing w:after="0"/>
        <w:rPr>
          <w:sz w:val="20"/>
          <w:szCs w:val="20"/>
          <w:color w:val="auto"/>
        </w:rPr>
      </w:pPr>
      <w:r>
        <w:rPr>
          <w:rFonts w:ascii="Arial" w:cs="Arial" w:eastAsia="Arial" w:hAnsi="Arial"/>
          <w:sz w:val="16"/>
          <w:szCs w:val="16"/>
          <w:color w:val="auto"/>
        </w:rPr>
        <w:t>was to reduce depreciation expense by $156 million and increase both income from continuing operations and net income by $77 million ($</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0.05 per share).</w:t>
      </w:r>
    </w:p>
    <w:p>
      <w:pPr>
        <w:spacing w:after="0" w:line="15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u w:val="single" w:color="auto"/>
          <w:color w:val="auto"/>
        </w:rPr>
        <w:t>Equity and Other Long-term Investments</w:t>
      </w:r>
      <w:r>
        <w:rPr>
          <w:rFonts w:ascii="Arial" w:cs="Arial" w:eastAsia="Arial" w:hAnsi="Arial"/>
          <w:sz w:val="18"/>
          <w:szCs w:val="18"/>
          <w:color w:val="auto"/>
        </w:rPr>
        <w:t>: All investments in equity and debt securities are classified as available for sale except for investments in certain mutual funds (described below) that are held to offset deferred compensation liabilities. Equity investments held at December 31, 2006 and 2005, include publicly traded marketable securities and private investments, which are generally non-marketable. Investments in marketable equity and debt securities are stated at fair value, which is based on market quotes. Adjustments to fair value of these investments are recorded as an increase or decrease in the accumulated other comprehensive income section of stockholders’ equity except where losses are considered to be other than temporary, in which case the losses are recorded as expenses in other income (expense) net. Marketable equity securities and other long-term investments are considered other-than-temporarily impaired if they have traded below their cost basis for more than six months.</w:t>
      </w:r>
    </w:p>
    <w:p>
      <w:pPr>
        <w:spacing w:after="0" w:line="154"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Investments in non-marketable equity securities, primarily comprised of investments in early stage development companies and various venture capital funds, are stated at historical cost and are subject to a periodic impairment review. Any</w:t>
      </w:r>
    </w:p>
    <w:p>
      <w:pPr>
        <w:sectPr>
          <w:pgSz w:w="11900" w:h="16838" w:orient="portrait"/>
          <w:cols w:equalWidth="0" w:num="1">
            <w:col w:w="10960"/>
          </w:cols>
          <w:pgMar w:left="700" w:top="287" w:right="239" w:bottom="1440" w:gutter="0" w:footer="0" w:header="0"/>
        </w:sectPr>
      </w:pPr>
    </w:p>
    <w:bookmarkStart w:id="65" w:name="page66"/>
    <w:bookmarkEnd w:id="65"/>
    <w:p>
      <w:pPr>
        <w:spacing w:after="0"/>
        <w:tabs>
          <w:tab w:leader="none" w:pos="36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16</w:t>
        <w:tab/>
        <w:t>TEXAS INSTRUMENTS 2006 ANNUAL REPORT</w:t>
      </w:r>
    </w:p>
    <w:p>
      <w:pPr>
        <w:spacing w:after="0" w:line="140" w:lineRule="exact"/>
        <w:rPr>
          <w:sz w:val="20"/>
          <w:szCs w:val="20"/>
          <w:color w:val="auto"/>
        </w:rPr>
      </w:pPr>
    </w:p>
    <w:p>
      <w:pPr>
        <w:ind w:left="460" w:right="920"/>
        <w:spacing w:after="0" w:line="239" w:lineRule="auto"/>
        <w:rPr>
          <w:sz w:val="20"/>
          <w:szCs w:val="20"/>
          <w:color w:val="auto"/>
        </w:rPr>
      </w:pPr>
      <w:r>
        <w:rPr>
          <w:rFonts w:ascii="Arial" w:cs="Arial" w:eastAsia="Arial" w:hAnsi="Arial"/>
          <w:sz w:val="18"/>
          <w:szCs w:val="18"/>
          <w:color w:val="auto"/>
        </w:rPr>
        <w:t>impairment considered other than temporary is recorded in other income (expense) net. Cost or amortized cost, as appropriate, is determined on a specific identification basis.</w:t>
      </w:r>
    </w:p>
    <w:p>
      <w:pPr>
        <w:spacing w:after="0" w:line="155" w:lineRule="exact"/>
        <w:rPr>
          <w:sz w:val="20"/>
          <w:szCs w:val="20"/>
          <w:color w:val="auto"/>
        </w:rPr>
      </w:pPr>
    </w:p>
    <w:p>
      <w:pPr>
        <w:ind w:left="460" w:right="120"/>
        <w:spacing w:after="0" w:line="275" w:lineRule="auto"/>
        <w:rPr>
          <w:sz w:val="20"/>
          <w:szCs w:val="20"/>
          <w:color w:val="auto"/>
        </w:rPr>
      </w:pPr>
      <w:r>
        <w:rPr>
          <w:rFonts w:ascii="Arial" w:cs="Arial" w:eastAsia="Arial" w:hAnsi="Arial"/>
          <w:sz w:val="16"/>
          <w:szCs w:val="16"/>
          <w:color w:val="auto"/>
        </w:rPr>
        <w:t>Investments in certain mutual funds are classified as trading and are stated at fair value. These mutual funds hold a variety of debt and equity investments and are intended to generate returns that offset changes in certain liabilities related to deferred compensation arrangements, thus they are classified as long-term investments. Adjustments to fair value of both the mutual funds and the related deferred compensation liabilities are recorded in SG&amp;A expense (see Note 10 for a discussion of Deferred Compensation Arrangements).</w:t>
      </w:r>
    </w:p>
    <w:p>
      <w:pPr>
        <w:spacing w:after="0" w:line="129" w:lineRule="exact"/>
        <w:rPr>
          <w:sz w:val="20"/>
          <w:szCs w:val="20"/>
          <w:color w:val="auto"/>
        </w:rPr>
      </w:pPr>
    </w:p>
    <w:p>
      <w:pPr>
        <w:ind w:left="460" w:right="380"/>
        <w:spacing w:after="0" w:line="236" w:lineRule="auto"/>
        <w:rPr>
          <w:sz w:val="20"/>
          <w:szCs w:val="20"/>
          <w:color w:val="auto"/>
        </w:rPr>
      </w:pPr>
      <w:r>
        <w:rPr>
          <w:rFonts w:ascii="Arial" w:cs="Arial" w:eastAsia="Arial" w:hAnsi="Arial"/>
          <w:sz w:val="18"/>
          <w:szCs w:val="18"/>
          <w:u w:val="single" w:color="auto"/>
          <w:color w:val="auto"/>
        </w:rPr>
        <w:t>Goodwill and Intangible Assets</w:t>
      </w:r>
      <w:r>
        <w:rPr>
          <w:rFonts w:ascii="Arial" w:cs="Arial" w:eastAsia="Arial" w:hAnsi="Arial"/>
          <w:sz w:val="18"/>
          <w:szCs w:val="18"/>
          <w:color w:val="auto"/>
        </w:rPr>
        <w:t xml:space="preserve"> : Goodwill is not amortized but is reviewed for impairment annually, or more frequently if certain indicators arise. We complete our annual goodwill impairment tests as of October 1 of each year for our operating segments, which have been designated as reporting units based on an analysis of economic characteristics and how we operate the business. This annual test is performed by comparing the fair value for each reporting unit to its associated book value including goodwill. For each of the periods presented, the fair value exceeded the carrying value including goodwill, therefore no impairment was indicated.</w:t>
      </w:r>
    </w:p>
    <w:p>
      <w:pPr>
        <w:spacing w:after="0" w:line="157" w:lineRule="exact"/>
        <w:rPr>
          <w:sz w:val="20"/>
          <w:szCs w:val="20"/>
          <w:color w:val="auto"/>
        </w:rPr>
      </w:pPr>
    </w:p>
    <w:p>
      <w:pPr>
        <w:ind w:left="460" w:right="360"/>
        <w:spacing w:after="0" w:line="239" w:lineRule="auto"/>
        <w:rPr>
          <w:sz w:val="20"/>
          <w:szCs w:val="20"/>
          <w:color w:val="auto"/>
        </w:rPr>
      </w:pPr>
      <w:r>
        <w:rPr>
          <w:rFonts w:ascii="Arial" w:cs="Arial" w:eastAsia="Arial" w:hAnsi="Arial"/>
          <w:sz w:val="18"/>
          <w:szCs w:val="18"/>
          <w:color w:val="auto"/>
        </w:rPr>
        <w:t>Intangible assets are amortized on a straight-line basis over their estimated lives. Fully amortized intangible assets are written off against accumulated amortization.</w:t>
      </w:r>
    </w:p>
    <w:p>
      <w:pPr>
        <w:spacing w:after="0" w:line="137" w:lineRule="exact"/>
        <w:rPr>
          <w:sz w:val="20"/>
          <w:szCs w:val="20"/>
          <w:color w:val="auto"/>
        </w:rPr>
      </w:pPr>
    </w:p>
    <w:p>
      <w:pPr>
        <w:ind w:left="460" w:right="20"/>
        <w:spacing w:after="0" w:line="237" w:lineRule="auto"/>
        <w:rPr>
          <w:sz w:val="20"/>
          <w:szCs w:val="20"/>
          <w:color w:val="auto"/>
        </w:rPr>
      </w:pPr>
      <w:r>
        <w:rPr>
          <w:rFonts w:ascii="Arial" w:cs="Arial" w:eastAsia="Arial" w:hAnsi="Arial"/>
          <w:sz w:val="18"/>
          <w:szCs w:val="18"/>
          <w:u w:val="single" w:color="auto"/>
          <w:color w:val="auto"/>
        </w:rPr>
        <w:t>Changes in Accounting Standards</w:t>
      </w:r>
      <w:r>
        <w:rPr>
          <w:rFonts w:ascii="Arial" w:cs="Arial" w:eastAsia="Arial" w:hAnsi="Arial"/>
          <w:sz w:val="18"/>
          <w:szCs w:val="18"/>
          <w:color w:val="auto"/>
        </w:rPr>
        <w:t>: In September 2006, the FASB issued SFAS No. 158, “</w:t>
      </w:r>
      <w:r>
        <w:rPr>
          <w:rFonts w:ascii="Arial" w:cs="Arial" w:eastAsia="Arial" w:hAnsi="Arial"/>
          <w:sz w:val="18"/>
          <w:szCs w:val="18"/>
          <w:i w:val="1"/>
          <w:iCs w:val="1"/>
          <w:color w:val="auto"/>
        </w:rPr>
        <w:t>Employers’ Accounting for Defined Benefit Pension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Other Postretirement Plans, an amendment of FASB Statements No. 87, 88, 106, and 132(R).</w:t>
      </w:r>
      <w:r>
        <w:rPr>
          <w:rFonts w:ascii="Arial" w:cs="Arial" w:eastAsia="Arial" w:hAnsi="Arial"/>
          <w:sz w:val="18"/>
          <w:szCs w:val="18"/>
          <w:color w:val="auto"/>
        </w:rPr>
        <w:t>” Part of this Statement is effective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2006, and requires companies that have defined benefit pension plans and other postretirement benefit plans to recognize the funded status of those plans on the balance sheet on a prospective basis from the effective date. In addition, SFAS 158 requires that companies using a measurement date for their defined benefit pension plans and other postretirement benefit plans other than their fiscal year end, change to a fiscal year end measurement date effective for years ending after December 15, 2008. Our balance sheet as of December 31, 2006, has been adjusted to reflect the required recognition of the funded status for our defined benefit pension plans and other postretirement benefit plans as of that date, as well as the effect of early adopting the change in the measurement dates for all of our non-U.S. defined benefit pension plans from a September 30 to a December 31 date (see Note 10 for a discussion of the effects of adopting this new standard and of the change in measurement dates).</w:t>
      </w:r>
    </w:p>
    <w:p>
      <w:pPr>
        <w:spacing w:after="0" w:line="144" w:lineRule="exact"/>
        <w:rPr>
          <w:sz w:val="20"/>
          <w:szCs w:val="20"/>
          <w:color w:val="auto"/>
        </w:rPr>
      </w:pPr>
    </w:p>
    <w:p>
      <w:pPr>
        <w:ind w:left="460" w:right="100"/>
        <w:spacing w:after="0" w:line="238" w:lineRule="auto"/>
        <w:rPr>
          <w:sz w:val="20"/>
          <w:szCs w:val="20"/>
          <w:color w:val="auto"/>
        </w:rPr>
      </w:pPr>
      <w:r>
        <w:rPr>
          <w:rFonts w:ascii="Arial" w:cs="Arial" w:eastAsia="Arial" w:hAnsi="Arial"/>
          <w:sz w:val="18"/>
          <w:szCs w:val="18"/>
          <w:color w:val="auto"/>
        </w:rPr>
        <w:t>In July 2006, the FASB issued FASB Interpretation (FIN) No. 48, “</w:t>
      </w:r>
      <w:r>
        <w:rPr>
          <w:rFonts w:ascii="Arial" w:cs="Arial" w:eastAsia="Arial" w:hAnsi="Arial"/>
          <w:sz w:val="18"/>
          <w:szCs w:val="18"/>
          <w:i w:val="1"/>
          <w:iCs w:val="1"/>
          <w:color w:val="auto"/>
        </w:rPr>
        <w:t>Accounting for Uncertainty in Income Taxes—An Interpretation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No. 109.</w:t>
      </w:r>
      <w:r>
        <w:rPr>
          <w:rFonts w:ascii="Arial" w:cs="Arial" w:eastAsia="Arial" w:hAnsi="Arial"/>
          <w:sz w:val="18"/>
          <w:szCs w:val="18"/>
          <w:color w:val="auto"/>
        </w:rPr>
        <w:t>” This Interpretation clarifies the accounting for uncertainty in income taxes recognized in a company’s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FIN 48 requires companies to determine that it is “more likely than not” that a tax position will be sustained upon examination by the appropriate taxing authorities before any part of the benefit can be recorded in the financial statements. It also provides guidance on the recognition, measurement and classification of income tax uncertainties, along with any related interest and penalties. FIN 48 will also require significant additional disclosures. This Interpretation will be effective for fiscal years beginning after December 15, 2006. We will implement this Interpretation in the first quarter of 2007 on a prospective basis. We are currently evaluating the potential impact this Interpretation will have on our financial position and results of operations.</w:t>
      </w:r>
    </w:p>
    <w:p>
      <w:pPr>
        <w:spacing w:after="0" w:line="141" w:lineRule="exact"/>
        <w:rPr>
          <w:sz w:val="20"/>
          <w:szCs w:val="20"/>
          <w:color w:val="auto"/>
        </w:rPr>
      </w:pPr>
    </w:p>
    <w:p>
      <w:pPr>
        <w:ind w:left="460" w:right="120"/>
        <w:spacing w:after="0" w:line="239" w:lineRule="auto"/>
        <w:rPr>
          <w:sz w:val="20"/>
          <w:szCs w:val="20"/>
          <w:color w:val="auto"/>
        </w:rPr>
      </w:pPr>
      <w:r>
        <w:rPr>
          <w:rFonts w:ascii="Arial" w:cs="Arial" w:eastAsia="Arial" w:hAnsi="Arial"/>
          <w:sz w:val="18"/>
          <w:szCs w:val="18"/>
          <w:color w:val="auto"/>
        </w:rPr>
        <w:t>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which provides guidance on how to measure assets and liabilities that use fair value. SFAS 157 will apply whenever another U.S. GAAP standard requires or permits assets or liabilities to be measured at fair value. SFAS 157 does not expand the use of fair value to any new circumstances. This standard will also require additional disclosures in both annual and quarterly reports. SFAS 157 will be effective for financial statements issued for fiscal years beginning after November 15, 2007, and will be adopted by us beginning in the first quarter of 2008. We are currently evaluating the potential impact this standard will have on our financial position and results of operations.</w:t>
      </w:r>
    </w:p>
    <w:p>
      <w:pPr>
        <w:spacing w:after="0" w:line="141" w:lineRule="exact"/>
        <w:rPr>
          <w:sz w:val="20"/>
          <w:szCs w:val="20"/>
          <w:color w:val="auto"/>
        </w:rPr>
      </w:pPr>
    </w:p>
    <w:p>
      <w:pPr>
        <w:ind w:left="460"/>
        <w:spacing w:after="0" w:line="241" w:lineRule="auto"/>
        <w:rPr>
          <w:sz w:val="20"/>
          <w:szCs w:val="20"/>
          <w:color w:val="auto"/>
        </w:rPr>
      </w:pPr>
      <w:r>
        <w:rPr>
          <w:rFonts w:ascii="Arial" w:cs="Arial" w:eastAsia="Arial" w:hAnsi="Arial"/>
          <w:sz w:val="18"/>
          <w:szCs w:val="18"/>
          <w:color w:val="auto"/>
        </w:rPr>
        <w:t>In September 2006, the SEC staff issued Staff Accounting Bulletin (SAB) No. 108, “</w:t>
      </w:r>
      <w:r>
        <w:rPr>
          <w:rFonts w:ascii="Arial" w:cs="Arial" w:eastAsia="Arial" w:hAnsi="Arial"/>
          <w:sz w:val="18"/>
          <w:szCs w:val="18"/>
          <w:i w:val="1"/>
          <w:iCs w:val="1"/>
          <w:color w:val="auto"/>
        </w:rPr>
        <w:t>Considering the Effects of Prior Year Misstatements when</w:t>
      </w:r>
      <w:r>
        <w:rPr>
          <w:rFonts w:ascii="Arial" w:cs="Arial" w:eastAsia="Arial" w:hAnsi="Arial"/>
          <w:sz w:val="18"/>
          <w:szCs w:val="18"/>
          <w:color w:val="auto"/>
        </w:rPr>
        <w:t xml:space="preserve"> </w:t>
      </w:r>
      <w:r>
        <w:rPr>
          <w:rFonts w:ascii="Arial" w:cs="Arial" w:eastAsia="Arial" w:hAnsi="Arial"/>
          <w:sz w:val="18"/>
          <w:szCs w:val="18"/>
          <w:i w:val="1"/>
          <w:iCs w:val="1"/>
          <w:color w:val="auto"/>
        </w:rPr>
        <w:t>Quantifying Misstatements in Current Year Financial Statements.</w:t>
      </w:r>
      <w:r>
        <w:rPr>
          <w:rFonts w:ascii="Arial" w:cs="Arial" w:eastAsia="Arial" w:hAnsi="Arial"/>
          <w:sz w:val="18"/>
          <w:szCs w:val="18"/>
          <w:color w:val="auto"/>
        </w:rPr>
        <w:t>” SAB 108 was issued in order to eliminate the diversity of practice in how</w:t>
      </w:r>
      <w:r>
        <w:rPr>
          <w:rFonts w:ascii="Arial" w:cs="Arial" w:eastAsia="Arial" w:hAnsi="Arial"/>
          <w:sz w:val="18"/>
          <w:szCs w:val="18"/>
          <w:i w:val="1"/>
          <w:iCs w:val="1"/>
          <w:color w:val="auto"/>
        </w:rPr>
        <w:t xml:space="preserve"> </w:t>
      </w:r>
      <w:r>
        <w:rPr>
          <w:rFonts w:ascii="Arial" w:cs="Arial" w:eastAsia="Arial" w:hAnsi="Arial"/>
          <w:sz w:val="18"/>
          <w:szCs w:val="18"/>
          <w:color w:val="auto"/>
        </w:rPr>
        <w:t>public companies quantify misstatements of financial statements, including misstatements that were not material to prior years’ financial statements. We have adopted the provisions of SAB 108 for the year ending December 31, 2006, and have determined it does not have an impact on our financial position and results of operations for the period then ended.</w:t>
      </w:r>
    </w:p>
    <w:p>
      <w:pPr>
        <w:spacing w:after="0" w:line="136" w:lineRule="exact"/>
        <w:rPr>
          <w:sz w:val="20"/>
          <w:szCs w:val="20"/>
          <w:color w:val="auto"/>
        </w:rPr>
      </w:pPr>
    </w:p>
    <w:p>
      <w:pPr>
        <w:ind w:left="460" w:right="140"/>
        <w:spacing w:after="0" w:line="247" w:lineRule="auto"/>
        <w:rPr>
          <w:sz w:val="20"/>
          <w:szCs w:val="20"/>
          <w:color w:val="auto"/>
        </w:rPr>
      </w:pPr>
      <w:r>
        <w:rPr>
          <w:rFonts w:ascii="Arial" w:cs="Arial" w:eastAsia="Arial" w:hAnsi="Arial"/>
          <w:sz w:val="18"/>
          <w:szCs w:val="18"/>
          <w:color w:val="auto"/>
        </w:rPr>
        <w:t>In June 2006, the FASB ratified Emerging Issues Task Force (EITF) Issue No. 06-3, “</w:t>
      </w:r>
      <w:r>
        <w:rPr>
          <w:rFonts w:ascii="Arial" w:cs="Arial" w:eastAsia="Arial" w:hAnsi="Arial"/>
          <w:sz w:val="18"/>
          <w:szCs w:val="18"/>
          <w:i w:val="1"/>
          <w:iCs w:val="1"/>
          <w:color w:val="auto"/>
        </w:rPr>
        <w:t>How Taxes Collected from Customers and Remitted to</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Governmental Authorities Should Be Presented in the Income Statement (That Is, Gross Versus Net Presentation).</w:t>
      </w:r>
      <w:r>
        <w:rPr>
          <w:rFonts w:ascii="Arial" w:cs="Arial" w:eastAsia="Arial" w:hAnsi="Arial"/>
          <w:sz w:val="18"/>
          <w:szCs w:val="18"/>
          <w:color w:val="auto"/>
        </w:rPr>
        <w:t>” This standard allows</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to present in their statements of income any taxes assessed by a</w:t>
      </w:r>
    </w:p>
    <w:p>
      <w:pPr>
        <w:sectPr>
          <w:pgSz w:w="11900" w:h="16838" w:orient="portrait"/>
          <w:cols w:equalWidth="0" w:num="1">
            <w:col w:w="11420"/>
          </w:cols>
          <w:pgMar w:left="240" w:top="287" w:right="239" w:bottom="1440" w:gutter="0" w:footer="0" w:header="0"/>
        </w:sectPr>
      </w:pPr>
    </w:p>
    <w:bookmarkStart w:id="66" w:name="page67"/>
    <w:bookmarkEnd w:id="66"/>
    <w:p>
      <w:pPr>
        <w:ind w:left="7606"/>
        <w:spacing w:after="0"/>
        <w:tabs>
          <w:tab w:leader="none" w:pos="10806"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2006 ANNUAL REPORT</w:t>
      </w:r>
      <w:r>
        <w:rPr>
          <w:sz w:val="20"/>
          <w:szCs w:val="20"/>
          <w:color w:val="auto"/>
        </w:rPr>
        <w:tab/>
      </w:r>
      <w:r>
        <w:rPr>
          <w:rFonts w:ascii="Arial" w:cs="Arial" w:eastAsia="Arial" w:hAnsi="Arial"/>
          <w:sz w:val="12"/>
          <w:szCs w:val="12"/>
          <w:color w:val="939598"/>
        </w:rPr>
        <w:t>17</w:t>
      </w:r>
    </w:p>
    <w:p>
      <w:pPr>
        <w:spacing w:after="0" w:line="140" w:lineRule="exact"/>
        <w:rPr>
          <w:sz w:val="20"/>
          <w:szCs w:val="20"/>
          <w:color w:val="auto"/>
        </w:rPr>
      </w:pPr>
    </w:p>
    <w:p>
      <w:pPr>
        <w:ind w:left="6" w:right="40"/>
        <w:spacing w:after="0" w:line="237" w:lineRule="auto"/>
        <w:rPr>
          <w:sz w:val="20"/>
          <w:szCs w:val="20"/>
          <w:color w:val="auto"/>
        </w:rPr>
      </w:pPr>
      <w:r>
        <w:rPr>
          <w:rFonts w:ascii="Arial" w:cs="Arial" w:eastAsia="Arial" w:hAnsi="Arial"/>
          <w:sz w:val="18"/>
          <w:szCs w:val="18"/>
          <w:color w:val="auto"/>
        </w:rPr>
        <w:t>governmental authority that are directly imposed on revenue-producing transactions between a seller and a customer, such as sales, use, value-added and some excise taxes, on either a gross (included in revenue and costs) or a net (excluded from revenue) basis. This standard will be effective for us in interim periods and fiscal years beginning after December 15, 2006. We present these transactions on a net basis and, therefore, the adoption of this standard will have no impact on our financial position and results of operations.</w:t>
      </w:r>
    </w:p>
    <w:p>
      <w:pPr>
        <w:spacing w:after="0" w:line="214"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2. Discontinued Operations</w:t>
      </w:r>
    </w:p>
    <w:p>
      <w:pPr>
        <w:spacing w:after="0" w:line="180" w:lineRule="exact"/>
        <w:rPr>
          <w:sz w:val="20"/>
          <w:szCs w:val="20"/>
          <w:color w:val="auto"/>
        </w:rPr>
      </w:pPr>
    </w:p>
    <w:p>
      <w:pPr>
        <w:ind w:left="6" w:right="460"/>
        <w:spacing w:after="0" w:line="238" w:lineRule="auto"/>
        <w:rPr>
          <w:sz w:val="20"/>
          <w:szCs w:val="20"/>
          <w:color w:val="auto"/>
        </w:rPr>
      </w:pPr>
      <w:r>
        <w:rPr>
          <w:rFonts w:ascii="Arial" w:cs="Arial" w:eastAsia="Arial" w:hAnsi="Arial"/>
          <w:sz w:val="18"/>
          <w:szCs w:val="18"/>
          <w:color w:val="auto"/>
        </w:rPr>
        <w:t>In January 2006, we entered into an agreement to sell substantially all of the Sensors &amp; Controls segment, excluding the RFID systems operations, to an affiliate of Bain Capital, LLC, for $3 billion in cash. The sale was completed on April 27, 2006. The former Sensors &amp; Controls business acquired by Bain Capital, LLC was renamed Sensata Technologies (Sensata).</w:t>
      </w:r>
    </w:p>
    <w:p>
      <w:pPr>
        <w:spacing w:after="0" w:line="154" w:lineRule="exact"/>
        <w:rPr>
          <w:sz w:val="20"/>
          <w:szCs w:val="20"/>
          <w:color w:val="auto"/>
        </w:rPr>
      </w:pPr>
    </w:p>
    <w:p>
      <w:pPr>
        <w:ind w:left="6" w:right="360"/>
        <w:spacing w:after="0" w:line="238" w:lineRule="auto"/>
        <w:rPr>
          <w:sz w:val="20"/>
          <w:szCs w:val="20"/>
          <w:color w:val="auto"/>
        </w:rPr>
      </w:pPr>
      <w:r>
        <w:rPr>
          <w:rFonts w:ascii="Arial" w:cs="Arial" w:eastAsia="Arial" w:hAnsi="Arial"/>
          <w:sz w:val="18"/>
          <w:szCs w:val="18"/>
          <w:color w:val="auto"/>
        </w:rPr>
        <w:t>The results of operations of the former Sensors &amp; Controls business are being presented as discontinued operations. The following summarizes results of the discontinued operations for the years ended December 31, 2006, 2005 and 2004, included in the consolidated statements of income:</w:t>
      </w:r>
    </w:p>
    <w:p>
      <w:pPr>
        <w:spacing w:after="0" w:line="191" w:lineRule="exact"/>
        <w:rPr>
          <w:sz w:val="20"/>
          <w:szCs w:val="20"/>
          <w:color w:val="auto"/>
        </w:rPr>
      </w:pPr>
    </w:p>
    <w:tbl>
      <w:tblPr>
        <w:tblLayout w:type="fixed"/>
        <w:tblInd w:w="6" w:type="dxa"/>
        <w:tblCellMar>
          <w:top w:w="0" w:type="dxa"/>
          <w:left w:w="0" w:type="dxa"/>
          <w:bottom w:w="0" w:type="dxa"/>
          <w:right w:w="0" w:type="dxa"/>
        </w:tblCellMar>
      </w:tblPr>
      <w:tr>
        <w:trPr>
          <w:trHeight w:val="257"/>
        </w:trPr>
        <w:tc>
          <w:tcPr>
            <w:tcW w:w="8060" w:type="dxa"/>
            <w:vAlign w:val="bottom"/>
            <w:shd w:val="clear" w:color="auto" w:fill="939598"/>
          </w:tcPr>
          <w:p>
            <w:pPr>
              <w:spacing w:after="0"/>
              <w:rPr>
                <w:sz w:val="22"/>
                <w:szCs w:val="22"/>
                <w:color w:val="auto"/>
              </w:rPr>
            </w:pPr>
          </w:p>
        </w:tc>
        <w:tc>
          <w:tcPr>
            <w:tcW w:w="220" w:type="dxa"/>
            <w:vAlign w:val="bottom"/>
            <w:shd w:val="clear" w:color="auto" w:fill="939598"/>
          </w:tcPr>
          <w:p>
            <w:pPr>
              <w:spacing w:after="0"/>
              <w:rPr>
                <w:sz w:val="22"/>
                <w:szCs w:val="22"/>
                <w:color w:val="auto"/>
              </w:rPr>
            </w:pPr>
          </w:p>
        </w:tc>
        <w:tc>
          <w:tcPr>
            <w:tcW w:w="20" w:type="dxa"/>
            <w:vAlign w:val="bottom"/>
            <w:shd w:val="clear" w:color="auto" w:fill="939598"/>
          </w:tcPr>
          <w:p>
            <w:pPr>
              <w:spacing w:after="0"/>
              <w:rPr>
                <w:sz w:val="22"/>
                <w:szCs w:val="22"/>
                <w:color w:val="auto"/>
              </w:rPr>
            </w:pPr>
          </w:p>
        </w:tc>
        <w:tc>
          <w:tcPr>
            <w:tcW w:w="80" w:type="dxa"/>
            <w:vAlign w:val="bottom"/>
            <w:shd w:val="clear" w:color="auto" w:fill="939598"/>
          </w:tcPr>
          <w:p>
            <w:pPr>
              <w:spacing w:after="0"/>
              <w:rPr>
                <w:sz w:val="22"/>
                <w:szCs w:val="22"/>
                <w:color w:val="auto"/>
              </w:rPr>
            </w:pPr>
          </w:p>
        </w:tc>
        <w:tc>
          <w:tcPr>
            <w:tcW w:w="540" w:type="dxa"/>
            <w:vAlign w:val="bottom"/>
            <w:shd w:val="clear" w:color="auto" w:fill="939598"/>
          </w:tcPr>
          <w:p>
            <w:pPr>
              <w:jc w:val="right"/>
              <w:ind w:right="134"/>
              <w:spacing w:after="0"/>
              <w:rPr>
                <w:sz w:val="20"/>
                <w:szCs w:val="20"/>
                <w:color w:val="auto"/>
              </w:rPr>
            </w:pPr>
            <w:r>
              <w:rPr>
                <w:rFonts w:ascii="Arial" w:cs="Arial" w:eastAsia="Arial" w:hAnsi="Arial"/>
                <w:sz w:val="14"/>
                <w:szCs w:val="14"/>
                <w:b w:val="1"/>
                <w:bCs w:val="1"/>
                <w:color w:val="FFFFFF"/>
                <w:w w:val="96"/>
              </w:rPr>
              <w:t>2006</w:t>
            </w:r>
          </w:p>
        </w:tc>
        <w:tc>
          <w:tcPr>
            <w:tcW w:w="240" w:type="dxa"/>
            <w:vAlign w:val="bottom"/>
            <w:shd w:val="clear" w:color="auto" w:fill="939598"/>
          </w:tcPr>
          <w:p>
            <w:pPr>
              <w:spacing w:after="0"/>
              <w:rPr>
                <w:sz w:val="22"/>
                <w:szCs w:val="22"/>
                <w:color w:val="auto"/>
              </w:rPr>
            </w:pPr>
          </w:p>
        </w:tc>
        <w:tc>
          <w:tcPr>
            <w:tcW w:w="580" w:type="dxa"/>
            <w:vAlign w:val="bottom"/>
            <w:shd w:val="clear" w:color="auto" w:fill="939598"/>
          </w:tcPr>
          <w:p>
            <w:pPr>
              <w:jc w:val="right"/>
              <w:ind w:right="174"/>
              <w:spacing w:after="0"/>
              <w:rPr>
                <w:sz w:val="20"/>
                <w:szCs w:val="20"/>
                <w:color w:val="auto"/>
              </w:rPr>
            </w:pPr>
            <w:r>
              <w:rPr>
                <w:rFonts w:ascii="Arial" w:cs="Arial" w:eastAsia="Arial" w:hAnsi="Arial"/>
                <w:sz w:val="14"/>
                <w:szCs w:val="14"/>
                <w:b w:val="1"/>
                <w:bCs w:val="1"/>
                <w:color w:val="FFFFFF"/>
                <w:w w:val="96"/>
              </w:rPr>
              <w:t>2005</w:t>
            </w:r>
          </w:p>
        </w:tc>
        <w:tc>
          <w:tcPr>
            <w:tcW w:w="220" w:type="dxa"/>
            <w:vAlign w:val="bottom"/>
            <w:shd w:val="clear" w:color="auto" w:fill="939598"/>
          </w:tcPr>
          <w:p>
            <w:pPr>
              <w:spacing w:after="0"/>
              <w:rPr>
                <w:sz w:val="22"/>
                <w:szCs w:val="22"/>
                <w:color w:val="auto"/>
              </w:rPr>
            </w:pPr>
          </w:p>
        </w:tc>
        <w:tc>
          <w:tcPr>
            <w:tcW w:w="480" w:type="dxa"/>
            <w:vAlign w:val="bottom"/>
            <w:shd w:val="clear" w:color="auto" w:fill="939598"/>
          </w:tcPr>
          <w:p>
            <w:pPr>
              <w:jc w:val="right"/>
              <w:ind w:right="54"/>
              <w:spacing w:after="0"/>
              <w:rPr>
                <w:sz w:val="20"/>
                <w:szCs w:val="20"/>
                <w:color w:val="auto"/>
              </w:rPr>
            </w:pPr>
            <w:r>
              <w:rPr>
                <w:rFonts w:ascii="Arial" w:cs="Arial" w:eastAsia="Arial" w:hAnsi="Arial"/>
                <w:sz w:val="14"/>
                <w:szCs w:val="14"/>
                <w:b w:val="1"/>
                <w:bCs w:val="1"/>
                <w:color w:val="FFFFFF"/>
              </w:rPr>
              <w:t>2004</w:t>
            </w:r>
          </w:p>
        </w:tc>
        <w:tc>
          <w:tcPr>
            <w:tcW w:w="60" w:type="dxa"/>
            <w:vAlign w:val="bottom"/>
            <w:shd w:val="clear" w:color="auto" w:fill="939598"/>
          </w:tcPr>
          <w:p>
            <w:pPr>
              <w:spacing w:after="0"/>
              <w:rPr>
                <w:sz w:val="22"/>
                <w:szCs w:val="22"/>
                <w:color w:val="auto"/>
              </w:rPr>
            </w:pPr>
          </w:p>
        </w:tc>
      </w:tr>
      <w:tr>
        <w:trPr>
          <w:trHeight w:val="203"/>
        </w:trPr>
        <w:tc>
          <w:tcPr>
            <w:tcW w:w="8060" w:type="dxa"/>
            <w:vAlign w:val="bottom"/>
          </w:tcPr>
          <w:p>
            <w:pPr>
              <w:ind w:left="160"/>
              <w:spacing w:after="0" w:line="202" w:lineRule="exact"/>
              <w:rPr>
                <w:sz w:val="20"/>
                <w:szCs w:val="20"/>
                <w:color w:val="auto"/>
              </w:rPr>
            </w:pPr>
            <w:r>
              <w:rPr>
                <w:rFonts w:ascii="Arial" w:cs="Arial" w:eastAsia="Arial" w:hAnsi="Arial"/>
                <w:sz w:val="18"/>
                <w:szCs w:val="18"/>
                <w:color w:val="auto"/>
              </w:rPr>
              <w:t>Net revenue</w:t>
            </w:r>
          </w:p>
        </w:tc>
        <w:tc>
          <w:tcPr>
            <w:tcW w:w="32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375</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1,057</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1,028</w:t>
            </w:r>
          </w:p>
        </w:tc>
        <w:tc>
          <w:tcPr>
            <w:tcW w:w="60" w:type="dxa"/>
            <w:vAlign w:val="bottom"/>
          </w:tcPr>
          <w:p>
            <w:pPr>
              <w:spacing w:after="0"/>
              <w:rPr>
                <w:sz w:val="17"/>
                <w:szCs w:val="17"/>
                <w:color w:val="auto"/>
              </w:rPr>
            </w:pPr>
          </w:p>
        </w:tc>
      </w:tr>
      <w:tr>
        <w:trPr>
          <w:trHeight w:val="203"/>
        </w:trPr>
        <w:tc>
          <w:tcPr>
            <w:tcW w:w="8060" w:type="dxa"/>
            <w:vAlign w:val="bottom"/>
            <w:shd w:val="clear" w:color="auto" w:fill="E6E7E7"/>
          </w:tcPr>
          <w:p>
            <w:pPr>
              <w:ind w:left="160"/>
              <w:spacing w:after="0" w:line="202" w:lineRule="exact"/>
              <w:rPr>
                <w:sz w:val="20"/>
                <w:szCs w:val="20"/>
                <w:color w:val="auto"/>
              </w:rPr>
            </w:pPr>
            <w:r>
              <w:rPr>
                <w:rFonts w:ascii="Arial" w:cs="Arial" w:eastAsia="Arial" w:hAnsi="Arial"/>
                <w:sz w:val="18"/>
                <w:szCs w:val="18"/>
                <w:color w:val="auto"/>
              </w:rPr>
              <w:t>Operating costs and expenses</w:t>
            </w:r>
          </w:p>
        </w:tc>
        <w:tc>
          <w:tcPr>
            <w:tcW w:w="22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80" w:type="dxa"/>
            <w:vAlign w:val="bottom"/>
            <w:tcBorders>
              <w:bottom w:val="single" w:sz="8" w:color="auto"/>
            </w:tcBorders>
            <w:shd w:val="clear" w:color="auto" w:fill="E6E7E7"/>
          </w:tcPr>
          <w:p>
            <w:pPr>
              <w:spacing w:after="0"/>
              <w:rPr>
                <w:sz w:val="17"/>
                <w:szCs w:val="17"/>
                <w:color w:val="auto"/>
              </w:rPr>
            </w:pPr>
          </w:p>
        </w:tc>
        <w:tc>
          <w:tcPr>
            <w:tcW w:w="540" w:type="dxa"/>
            <w:vAlign w:val="bottom"/>
            <w:tcBorders>
              <w:bottom w:val="single" w:sz="8" w:color="auto"/>
            </w:tcBorders>
            <w:shd w:val="clear" w:color="auto" w:fill="E6E7E7"/>
          </w:tcPr>
          <w:p>
            <w:pPr>
              <w:jc w:val="right"/>
              <w:ind w:right="14"/>
              <w:spacing w:after="0" w:line="202" w:lineRule="exact"/>
              <w:rPr>
                <w:sz w:val="20"/>
                <w:szCs w:val="20"/>
                <w:color w:val="auto"/>
              </w:rPr>
            </w:pPr>
            <w:r>
              <w:rPr>
                <w:rFonts w:ascii="Arial" w:cs="Arial" w:eastAsia="Arial" w:hAnsi="Arial"/>
                <w:sz w:val="18"/>
                <w:szCs w:val="18"/>
                <w:b w:val="1"/>
                <w:bCs w:val="1"/>
                <w:color w:val="auto"/>
              </w:rPr>
              <w:t>327</w:t>
            </w:r>
          </w:p>
        </w:tc>
        <w:tc>
          <w:tcPr>
            <w:tcW w:w="240" w:type="dxa"/>
            <w:vAlign w:val="bottom"/>
            <w:tcBorders>
              <w:bottom w:val="single" w:sz="8" w:color="auto"/>
            </w:tcBorders>
            <w:shd w:val="clear" w:color="auto" w:fill="E6E7E7"/>
          </w:tcPr>
          <w:p>
            <w:pPr>
              <w:spacing w:after="0"/>
              <w:rPr>
                <w:sz w:val="17"/>
                <w:szCs w:val="17"/>
                <w:color w:val="auto"/>
              </w:rPr>
            </w:pPr>
          </w:p>
        </w:tc>
        <w:tc>
          <w:tcPr>
            <w:tcW w:w="580" w:type="dxa"/>
            <w:vAlign w:val="bottom"/>
            <w:tcBorders>
              <w:bottom w:val="single" w:sz="8" w:color="auto"/>
            </w:tcBorders>
            <w:shd w:val="clear" w:color="auto" w:fill="E6E7E7"/>
          </w:tcPr>
          <w:p>
            <w:pPr>
              <w:jc w:val="right"/>
              <w:ind w:right="14"/>
              <w:spacing w:after="0" w:line="202" w:lineRule="exact"/>
              <w:rPr>
                <w:sz w:val="20"/>
                <w:szCs w:val="20"/>
                <w:color w:val="auto"/>
              </w:rPr>
            </w:pPr>
            <w:r>
              <w:rPr>
                <w:rFonts w:ascii="Arial" w:cs="Arial" w:eastAsia="Arial" w:hAnsi="Arial"/>
                <w:sz w:val="18"/>
                <w:szCs w:val="18"/>
                <w:color w:val="auto"/>
              </w:rPr>
              <w:t>825</w:t>
            </w:r>
          </w:p>
        </w:tc>
        <w:tc>
          <w:tcPr>
            <w:tcW w:w="220" w:type="dxa"/>
            <w:vAlign w:val="bottom"/>
            <w:tcBorders>
              <w:bottom w:val="single" w:sz="8" w:color="auto"/>
            </w:tcBorders>
            <w:shd w:val="clear" w:color="auto" w:fill="E6E7E7"/>
          </w:tcPr>
          <w:p>
            <w:pPr>
              <w:spacing w:after="0"/>
              <w:rPr>
                <w:sz w:val="17"/>
                <w:szCs w:val="17"/>
                <w:color w:val="auto"/>
              </w:rPr>
            </w:pPr>
          </w:p>
        </w:tc>
        <w:tc>
          <w:tcPr>
            <w:tcW w:w="48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779</w:t>
            </w:r>
          </w:p>
        </w:tc>
        <w:tc>
          <w:tcPr>
            <w:tcW w:w="60" w:type="dxa"/>
            <w:vAlign w:val="bottom"/>
            <w:shd w:val="clear" w:color="auto" w:fill="E6E7E7"/>
          </w:tcPr>
          <w:p>
            <w:pPr>
              <w:spacing w:after="0"/>
              <w:rPr>
                <w:sz w:val="17"/>
                <w:szCs w:val="17"/>
                <w:color w:val="auto"/>
              </w:rPr>
            </w:pPr>
          </w:p>
        </w:tc>
      </w:tr>
      <w:tr>
        <w:trPr>
          <w:trHeight w:val="210"/>
        </w:trPr>
        <w:tc>
          <w:tcPr>
            <w:tcW w:w="8060" w:type="dxa"/>
            <w:vAlign w:val="bottom"/>
          </w:tcPr>
          <w:p>
            <w:pPr>
              <w:ind w:left="160"/>
              <w:spacing w:after="0"/>
              <w:rPr>
                <w:sz w:val="20"/>
                <w:szCs w:val="20"/>
                <w:color w:val="auto"/>
              </w:rPr>
            </w:pPr>
            <w:r>
              <w:rPr>
                <w:rFonts w:ascii="Arial" w:cs="Arial" w:eastAsia="Arial" w:hAnsi="Arial"/>
                <w:sz w:val="18"/>
                <w:szCs w:val="18"/>
                <w:color w:val="auto"/>
              </w:rPr>
              <w:t>Income from discontinued operations before income taxes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b w:val="1"/>
                <w:bCs w:val="1"/>
                <w:color w:val="auto"/>
              </w:rPr>
              <w:t>48</w:t>
            </w:r>
          </w:p>
        </w:tc>
        <w:tc>
          <w:tcPr>
            <w:tcW w:w="24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18"/>
                <w:szCs w:val="18"/>
                <w:color w:val="auto"/>
              </w:rPr>
            </w:pPr>
          </w:p>
        </w:tc>
      </w:tr>
      <w:tr>
        <w:trPr>
          <w:trHeight w:val="203"/>
        </w:trPr>
        <w:tc>
          <w:tcPr>
            <w:tcW w:w="8060" w:type="dxa"/>
            <w:vAlign w:val="bottom"/>
            <w:shd w:val="clear" w:color="auto" w:fill="E6E7E7"/>
          </w:tcPr>
          <w:p>
            <w:pPr>
              <w:ind w:left="160"/>
              <w:spacing w:after="0" w:line="202" w:lineRule="exact"/>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80" w:type="dxa"/>
            <w:vAlign w:val="bottom"/>
            <w:tcBorders>
              <w:bottom w:val="single" w:sz="8" w:color="auto"/>
            </w:tcBorders>
            <w:shd w:val="clear" w:color="auto" w:fill="E6E7E7"/>
          </w:tcPr>
          <w:p>
            <w:pPr>
              <w:spacing w:after="0"/>
              <w:rPr>
                <w:sz w:val="17"/>
                <w:szCs w:val="17"/>
                <w:color w:val="auto"/>
              </w:rPr>
            </w:pPr>
          </w:p>
        </w:tc>
        <w:tc>
          <w:tcPr>
            <w:tcW w:w="540" w:type="dxa"/>
            <w:vAlign w:val="bottom"/>
            <w:tcBorders>
              <w:bottom w:val="single" w:sz="8" w:color="auto"/>
            </w:tcBorders>
            <w:shd w:val="clear" w:color="auto" w:fill="E6E7E7"/>
          </w:tcPr>
          <w:p>
            <w:pPr>
              <w:jc w:val="right"/>
              <w:ind w:right="14"/>
              <w:spacing w:after="0" w:line="202" w:lineRule="exact"/>
              <w:rPr>
                <w:sz w:val="20"/>
                <w:szCs w:val="20"/>
                <w:color w:val="auto"/>
              </w:rPr>
            </w:pPr>
            <w:r>
              <w:rPr>
                <w:rFonts w:ascii="Arial" w:cs="Arial" w:eastAsia="Arial" w:hAnsi="Arial"/>
                <w:sz w:val="18"/>
                <w:szCs w:val="18"/>
                <w:b w:val="1"/>
                <w:bCs w:val="1"/>
                <w:color w:val="auto"/>
              </w:rPr>
              <w:t>19</w:t>
            </w:r>
          </w:p>
        </w:tc>
        <w:tc>
          <w:tcPr>
            <w:tcW w:w="240" w:type="dxa"/>
            <w:vAlign w:val="bottom"/>
            <w:tcBorders>
              <w:bottom w:val="single" w:sz="8" w:color="auto"/>
            </w:tcBorders>
            <w:shd w:val="clear" w:color="auto" w:fill="E6E7E7"/>
          </w:tcPr>
          <w:p>
            <w:pPr>
              <w:spacing w:after="0"/>
              <w:rPr>
                <w:sz w:val="17"/>
                <w:szCs w:val="17"/>
                <w:color w:val="auto"/>
              </w:rPr>
            </w:pPr>
          </w:p>
        </w:tc>
        <w:tc>
          <w:tcPr>
            <w:tcW w:w="580" w:type="dxa"/>
            <w:vAlign w:val="bottom"/>
            <w:tcBorders>
              <w:bottom w:val="single" w:sz="8" w:color="auto"/>
            </w:tcBorders>
            <w:shd w:val="clear" w:color="auto" w:fill="E6E7E7"/>
          </w:tcPr>
          <w:p>
            <w:pPr>
              <w:jc w:val="right"/>
              <w:ind w:right="14"/>
              <w:spacing w:after="0" w:line="202" w:lineRule="exact"/>
              <w:rPr>
                <w:sz w:val="20"/>
                <w:szCs w:val="20"/>
                <w:color w:val="auto"/>
              </w:rPr>
            </w:pPr>
            <w:r>
              <w:rPr>
                <w:rFonts w:ascii="Arial" w:cs="Arial" w:eastAsia="Arial" w:hAnsi="Arial"/>
                <w:sz w:val="18"/>
                <w:szCs w:val="18"/>
                <w:color w:val="auto"/>
              </w:rPr>
              <w:t>81</w:t>
            </w:r>
          </w:p>
        </w:tc>
        <w:tc>
          <w:tcPr>
            <w:tcW w:w="220" w:type="dxa"/>
            <w:vAlign w:val="bottom"/>
            <w:tcBorders>
              <w:bottom w:val="single" w:sz="8" w:color="auto"/>
            </w:tcBorders>
            <w:shd w:val="clear" w:color="auto" w:fill="E6E7E7"/>
          </w:tcPr>
          <w:p>
            <w:pPr>
              <w:spacing w:after="0"/>
              <w:rPr>
                <w:sz w:val="17"/>
                <w:szCs w:val="17"/>
                <w:color w:val="auto"/>
              </w:rPr>
            </w:pPr>
          </w:p>
        </w:tc>
        <w:tc>
          <w:tcPr>
            <w:tcW w:w="48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79</w:t>
            </w:r>
          </w:p>
        </w:tc>
        <w:tc>
          <w:tcPr>
            <w:tcW w:w="60" w:type="dxa"/>
            <w:vAlign w:val="bottom"/>
            <w:shd w:val="clear" w:color="auto" w:fill="E6E7E7"/>
          </w:tcPr>
          <w:p>
            <w:pPr>
              <w:spacing w:after="0"/>
              <w:rPr>
                <w:sz w:val="17"/>
                <w:szCs w:val="17"/>
                <w:color w:val="auto"/>
              </w:rPr>
            </w:pPr>
          </w:p>
        </w:tc>
      </w:tr>
      <w:tr>
        <w:trPr>
          <w:trHeight w:val="217"/>
        </w:trPr>
        <w:tc>
          <w:tcPr>
            <w:tcW w:w="8060" w:type="dxa"/>
            <w:vAlign w:val="bottom"/>
          </w:tcPr>
          <w:p>
            <w:pPr>
              <w:ind w:left="160"/>
              <w:spacing w:after="0"/>
              <w:rPr>
                <w:sz w:val="20"/>
                <w:szCs w:val="20"/>
                <w:color w:val="auto"/>
              </w:rPr>
            </w:pPr>
            <w:r>
              <w:rPr>
                <w:rFonts w:ascii="Arial" w:cs="Arial" w:eastAsia="Arial" w:hAnsi="Arial"/>
                <w:sz w:val="18"/>
                <w:szCs w:val="18"/>
                <w:color w:val="auto"/>
              </w:rPr>
              <w:t>Income from discontinued operations, net of income taxes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29</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151</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60" w:type="dxa"/>
            <w:vAlign w:val="bottom"/>
            <w:tcBorders>
              <w:bottom w:val="single" w:sz="8" w:color="auto"/>
            </w:tcBorders>
          </w:tcPr>
          <w:p>
            <w:pPr>
              <w:spacing w:after="0"/>
              <w:rPr>
                <w:sz w:val="18"/>
                <w:szCs w:val="18"/>
                <w:color w:val="auto"/>
              </w:rPr>
            </w:pPr>
          </w:p>
        </w:tc>
      </w:tr>
      <w:tr>
        <w:trPr>
          <w:trHeight w:val="203"/>
        </w:trPr>
        <w:tc>
          <w:tcPr>
            <w:tcW w:w="8060" w:type="dxa"/>
            <w:vAlign w:val="bottom"/>
            <w:shd w:val="clear" w:color="auto" w:fill="E6E7E7"/>
          </w:tcPr>
          <w:p>
            <w:pPr>
              <w:ind w:left="160"/>
              <w:spacing w:after="0" w:line="202" w:lineRule="exact"/>
              <w:rPr>
                <w:sz w:val="20"/>
                <w:szCs w:val="20"/>
                <w:color w:val="auto"/>
              </w:rPr>
            </w:pPr>
            <w:r>
              <w:rPr>
                <w:rFonts w:ascii="Arial" w:cs="Arial" w:eastAsia="Arial" w:hAnsi="Arial"/>
                <w:sz w:val="18"/>
                <w:szCs w:val="18"/>
                <w:color w:val="auto"/>
              </w:rPr>
              <w:t>Gain on sale of discontinued operations</w:t>
            </w:r>
          </w:p>
        </w:tc>
        <w:tc>
          <w:tcPr>
            <w:tcW w:w="22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80" w:type="dxa"/>
            <w:vAlign w:val="bottom"/>
            <w:shd w:val="clear" w:color="auto" w:fill="E6E7E7"/>
          </w:tcPr>
          <w:p>
            <w:pPr>
              <w:spacing w:after="0"/>
              <w:rPr>
                <w:sz w:val="17"/>
                <w:szCs w:val="17"/>
                <w:color w:val="auto"/>
              </w:rPr>
            </w:pPr>
          </w:p>
        </w:tc>
        <w:tc>
          <w:tcPr>
            <w:tcW w:w="540" w:type="dxa"/>
            <w:vAlign w:val="bottom"/>
            <w:shd w:val="clear" w:color="auto" w:fill="E6E7E7"/>
          </w:tcPr>
          <w:p>
            <w:pPr>
              <w:jc w:val="right"/>
              <w:ind w:right="14"/>
              <w:spacing w:after="0" w:line="202" w:lineRule="exact"/>
              <w:rPr>
                <w:sz w:val="20"/>
                <w:szCs w:val="20"/>
                <w:color w:val="auto"/>
              </w:rPr>
            </w:pPr>
            <w:r>
              <w:rPr>
                <w:rFonts w:ascii="Arial" w:cs="Arial" w:eastAsia="Arial" w:hAnsi="Arial"/>
                <w:sz w:val="18"/>
                <w:szCs w:val="18"/>
                <w:b w:val="1"/>
                <w:bCs w:val="1"/>
                <w:color w:val="auto"/>
                <w:w w:val="93"/>
              </w:rPr>
              <w:t>2,554</w:t>
            </w:r>
          </w:p>
        </w:tc>
        <w:tc>
          <w:tcPr>
            <w:tcW w:w="240" w:type="dxa"/>
            <w:vAlign w:val="bottom"/>
            <w:shd w:val="clear" w:color="auto" w:fill="E6E7E7"/>
          </w:tcPr>
          <w:p>
            <w:pPr>
              <w:spacing w:after="0"/>
              <w:rPr>
                <w:sz w:val="17"/>
                <w:szCs w:val="17"/>
                <w:color w:val="auto"/>
              </w:rPr>
            </w:pPr>
          </w:p>
        </w:tc>
        <w:tc>
          <w:tcPr>
            <w:tcW w:w="580" w:type="dxa"/>
            <w:vAlign w:val="bottom"/>
            <w:shd w:val="clear" w:color="auto" w:fill="E6E7E7"/>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7E7"/>
          </w:tcPr>
          <w:p>
            <w:pPr>
              <w:spacing w:after="0"/>
              <w:rPr>
                <w:sz w:val="17"/>
                <w:szCs w:val="17"/>
                <w:color w:val="auto"/>
              </w:rPr>
            </w:pPr>
          </w:p>
        </w:tc>
        <w:tc>
          <w:tcPr>
            <w:tcW w:w="540" w:type="dxa"/>
            <w:vAlign w:val="bottom"/>
            <w:gridSpan w:val="2"/>
            <w:shd w:val="clear" w:color="auto" w:fill="E6E7E7"/>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0"/>
        </w:trPr>
        <w:tc>
          <w:tcPr>
            <w:tcW w:w="8060" w:type="dxa"/>
            <w:vAlign w:val="bottom"/>
          </w:tcPr>
          <w:p>
            <w:pPr>
              <w:ind w:left="160"/>
              <w:spacing w:after="0" w:line="202" w:lineRule="exact"/>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b w:val="1"/>
                <w:bCs w:val="1"/>
                <w:color w:val="auto"/>
              </w:rPr>
              <w:t>880</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8060" w:type="dxa"/>
            <w:vAlign w:val="bottom"/>
            <w:shd w:val="clear" w:color="auto" w:fill="E6E7E7"/>
          </w:tcPr>
          <w:p>
            <w:pPr>
              <w:ind w:left="160"/>
              <w:spacing w:after="0" w:line="202" w:lineRule="exact"/>
              <w:rPr>
                <w:sz w:val="20"/>
                <w:szCs w:val="20"/>
                <w:color w:val="auto"/>
              </w:rPr>
            </w:pPr>
            <w:r>
              <w:rPr>
                <w:rFonts w:ascii="Arial" w:cs="Arial" w:eastAsia="Arial" w:hAnsi="Arial"/>
                <w:sz w:val="18"/>
                <w:szCs w:val="18"/>
                <w:color w:val="auto"/>
              </w:rPr>
              <w:t>Gain on sale of discontinued operations, net of income taxes</w:t>
            </w:r>
          </w:p>
        </w:tc>
        <w:tc>
          <w:tcPr>
            <w:tcW w:w="22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80" w:type="dxa"/>
            <w:vAlign w:val="bottom"/>
            <w:shd w:val="clear" w:color="auto" w:fill="E6E7E7"/>
          </w:tcPr>
          <w:p>
            <w:pPr>
              <w:spacing w:after="0"/>
              <w:rPr>
                <w:sz w:val="17"/>
                <w:szCs w:val="17"/>
                <w:color w:val="auto"/>
              </w:rPr>
            </w:pPr>
          </w:p>
        </w:tc>
        <w:tc>
          <w:tcPr>
            <w:tcW w:w="540" w:type="dxa"/>
            <w:vAlign w:val="bottom"/>
            <w:shd w:val="clear" w:color="auto" w:fill="E6E7E7"/>
          </w:tcPr>
          <w:p>
            <w:pPr>
              <w:jc w:val="right"/>
              <w:ind w:right="14"/>
              <w:spacing w:after="0" w:line="202" w:lineRule="exact"/>
              <w:rPr>
                <w:sz w:val="20"/>
                <w:szCs w:val="20"/>
                <w:color w:val="auto"/>
              </w:rPr>
            </w:pPr>
            <w:r>
              <w:rPr>
                <w:rFonts w:ascii="Arial" w:cs="Arial" w:eastAsia="Arial" w:hAnsi="Arial"/>
                <w:sz w:val="18"/>
                <w:szCs w:val="18"/>
                <w:b w:val="1"/>
                <w:bCs w:val="1"/>
                <w:color w:val="auto"/>
                <w:w w:val="93"/>
              </w:rPr>
              <w:t>1,674</w:t>
            </w:r>
          </w:p>
        </w:tc>
        <w:tc>
          <w:tcPr>
            <w:tcW w:w="240" w:type="dxa"/>
            <w:vAlign w:val="bottom"/>
            <w:shd w:val="clear" w:color="auto" w:fill="E6E7E7"/>
          </w:tcPr>
          <w:p>
            <w:pPr>
              <w:spacing w:after="0"/>
              <w:rPr>
                <w:sz w:val="17"/>
                <w:szCs w:val="17"/>
                <w:color w:val="auto"/>
              </w:rPr>
            </w:pPr>
          </w:p>
        </w:tc>
        <w:tc>
          <w:tcPr>
            <w:tcW w:w="580" w:type="dxa"/>
            <w:vAlign w:val="bottom"/>
            <w:shd w:val="clear" w:color="auto" w:fill="E6E7E7"/>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7E7"/>
          </w:tcPr>
          <w:p>
            <w:pPr>
              <w:spacing w:after="0"/>
              <w:rPr>
                <w:sz w:val="17"/>
                <w:szCs w:val="17"/>
                <w:color w:val="auto"/>
              </w:rPr>
            </w:pPr>
          </w:p>
        </w:tc>
        <w:tc>
          <w:tcPr>
            <w:tcW w:w="540" w:type="dxa"/>
            <w:vAlign w:val="bottom"/>
            <w:gridSpan w:val="2"/>
            <w:shd w:val="clear" w:color="auto" w:fill="E6E7E7"/>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0"/>
        </w:trPr>
        <w:tc>
          <w:tcPr>
            <w:tcW w:w="8060" w:type="dxa"/>
            <w:vAlign w:val="bottom"/>
          </w:tcPr>
          <w:p>
            <w:pPr>
              <w:ind w:left="160"/>
              <w:spacing w:after="0"/>
              <w:rPr>
                <w:sz w:val="20"/>
                <w:szCs w:val="20"/>
                <w:color w:val="auto"/>
              </w:rPr>
            </w:pPr>
            <w:r>
              <w:rPr>
                <w:rFonts w:ascii="Arial" w:cs="Arial" w:eastAsia="Arial" w:hAnsi="Arial"/>
                <w:sz w:val="18"/>
                <w:szCs w:val="18"/>
                <w:color w:val="auto"/>
              </w:rPr>
              <w:t>Total income from discontinued operations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3"/>
              </w:rPr>
              <w:t>1,703</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151</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18"/>
                <w:szCs w:val="18"/>
                <w:color w:val="auto"/>
              </w:rPr>
            </w:pPr>
          </w:p>
        </w:tc>
      </w:tr>
      <w:tr>
        <w:trPr>
          <w:trHeight w:val="20"/>
        </w:trPr>
        <w:tc>
          <w:tcPr>
            <w:tcW w:w="8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8060" w:type="dxa"/>
            <w:vAlign w:val="bottom"/>
            <w:shd w:val="clear" w:color="auto" w:fill="E6E7E7"/>
          </w:tcPr>
          <w:p>
            <w:pPr>
              <w:ind w:left="160"/>
              <w:spacing w:after="0" w:line="196" w:lineRule="exact"/>
              <w:rPr>
                <w:sz w:val="20"/>
                <w:szCs w:val="20"/>
                <w:color w:val="auto"/>
              </w:rPr>
            </w:pPr>
            <w:r>
              <w:rPr>
                <w:rFonts w:ascii="Arial" w:cs="Arial" w:eastAsia="Arial" w:hAnsi="Arial"/>
                <w:sz w:val="18"/>
                <w:szCs w:val="18"/>
                <w:color w:val="auto"/>
              </w:rPr>
              <w:t>Income from discontinued operations per common share: (a)</w:t>
            </w:r>
          </w:p>
        </w:tc>
        <w:tc>
          <w:tcPr>
            <w:tcW w:w="22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80" w:type="dxa"/>
            <w:vAlign w:val="bottom"/>
            <w:shd w:val="clear" w:color="auto" w:fill="E6E7E7"/>
          </w:tcPr>
          <w:p>
            <w:pPr>
              <w:spacing w:after="0"/>
              <w:rPr>
                <w:sz w:val="17"/>
                <w:szCs w:val="17"/>
                <w:color w:val="auto"/>
              </w:rPr>
            </w:pPr>
          </w:p>
        </w:tc>
        <w:tc>
          <w:tcPr>
            <w:tcW w:w="540" w:type="dxa"/>
            <w:vAlign w:val="bottom"/>
            <w:shd w:val="clear" w:color="auto" w:fill="E6E7E7"/>
          </w:tcPr>
          <w:p>
            <w:pPr>
              <w:spacing w:after="0"/>
              <w:rPr>
                <w:sz w:val="17"/>
                <w:szCs w:val="17"/>
                <w:color w:val="auto"/>
              </w:rPr>
            </w:pPr>
          </w:p>
        </w:tc>
        <w:tc>
          <w:tcPr>
            <w:tcW w:w="240" w:type="dxa"/>
            <w:vAlign w:val="bottom"/>
            <w:shd w:val="clear" w:color="auto" w:fill="E6E7E7"/>
          </w:tcPr>
          <w:p>
            <w:pPr>
              <w:spacing w:after="0"/>
              <w:rPr>
                <w:sz w:val="17"/>
                <w:szCs w:val="17"/>
                <w:color w:val="auto"/>
              </w:rPr>
            </w:pPr>
          </w:p>
        </w:tc>
        <w:tc>
          <w:tcPr>
            <w:tcW w:w="580" w:type="dxa"/>
            <w:vAlign w:val="bottom"/>
            <w:shd w:val="clear" w:color="auto" w:fill="E6E7E7"/>
          </w:tcPr>
          <w:p>
            <w:pPr>
              <w:spacing w:after="0"/>
              <w:rPr>
                <w:sz w:val="17"/>
                <w:szCs w:val="17"/>
                <w:color w:val="auto"/>
              </w:rPr>
            </w:pPr>
          </w:p>
        </w:tc>
        <w:tc>
          <w:tcPr>
            <w:tcW w:w="220" w:type="dxa"/>
            <w:vAlign w:val="bottom"/>
            <w:shd w:val="clear" w:color="auto" w:fill="E6E7E7"/>
          </w:tcPr>
          <w:p>
            <w:pPr>
              <w:spacing w:after="0"/>
              <w:rPr>
                <w:sz w:val="17"/>
                <w:szCs w:val="17"/>
                <w:color w:val="auto"/>
              </w:rPr>
            </w:pPr>
          </w:p>
        </w:tc>
        <w:tc>
          <w:tcPr>
            <w:tcW w:w="48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r>
      <w:tr>
        <w:trPr>
          <w:trHeight w:val="203"/>
        </w:trPr>
        <w:tc>
          <w:tcPr>
            <w:tcW w:w="8060" w:type="dxa"/>
            <w:vAlign w:val="bottom"/>
          </w:tcPr>
          <w:p>
            <w:pPr>
              <w:ind w:left="420"/>
              <w:spacing w:after="0" w:line="202" w:lineRule="exact"/>
              <w:rPr>
                <w:sz w:val="20"/>
                <w:szCs w:val="20"/>
                <w:color w:val="auto"/>
              </w:rPr>
            </w:pPr>
            <w:r>
              <w:rPr>
                <w:rFonts w:ascii="Arial" w:cs="Arial" w:eastAsia="Arial" w:hAnsi="Arial"/>
                <w:sz w:val="18"/>
                <w:szCs w:val="18"/>
                <w:color w:val="auto"/>
              </w:rPr>
              <w:t>Basic</w:t>
            </w:r>
          </w:p>
        </w:tc>
        <w:tc>
          <w:tcPr>
            <w:tcW w:w="32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1.11</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0.09</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0.10</w:t>
            </w:r>
          </w:p>
        </w:tc>
        <w:tc>
          <w:tcPr>
            <w:tcW w:w="60" w:type="dxa"/>
            <w:vAlign w:val="bottom"/>
          </w:tcPr>
          <w:p>
            <w:pPr>
              <w:spacing w:after="0"/>
              <w:rPr>
                <w:sz w:val="17"/>
                <w:szCs w:val="17"/>
                <w:color w:val="auto"/>
              </w:rPr>
            </w:pPr>
          </w:p>
        </w:tc>
      </w:tr>
      <w:tr>
        <w:trPr>
          <w:trHeight w:val="20"/>
        </w:trPr>
        <w:tc>
          <w:tcPr>
            <w:tcW w:w="8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tcBorders>
            <w:gridSpan w:val="2"/>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8060" w:type="dxa"/>
            <w:vAlign w:val="bottom"/>
            <w:shd w:val="clear" w:color="auto" w:fill="E6E7E7"/>
          </w:tcPr>
          <w:p>
            <w:pPr>
              <w:ind w:left="420"/>
              <w:spacing w:after="0" w:line="196" w:lineRule="exact"/>
              <w:rPr>
                <w:sz w:val="20"/>
                <w:szCs w:val="20"/>
                <w:color w:val="auto"/>
              </w:rPr>
            </w:pPr>
            <w:r>
              <w:rPr>
                <w:rFonts w:ascii="Arial" w:cs="Arial" w:eastAsia="Arial" w:hAnsi="Arial"/>
                <w:sz w:val="18"/>
                <w:szCs w:val="18"/>
                <w:color w:val="auto"/>
              </w:rPr>
              <w:t>Diluted</w:t>
            </w:r>
          </w:p>
        </w:tc>
        <w:tc>
          <w:tcPr>
            <w:tcW w:w="22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80" w:type="dxa"/>
            <w:vAlign w:val="bottom"/>
            <w:tcBorders>
              <w:top w:val="single" w:sz="8" w:color="auto"/>
              <w:bottom w:val="single" w:sz="8" w:color="auto"/>
            </w:tcBorders>
            <w:shd w:val="clear" w:color="auto" w:fill="E6E7E7"/>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shd w:val="clear" w:color="auto" w:fill="E6E7E7"/>
          </w:tcPr>
          <w:p>
            <w:pPr>
              <w:jc w:val="right"/>
              <w:ind w:right="14"/>
              <w:spacing w:after="0" w:line="196" w:lineRule="exact"/>
              <w:rPr>
                <w:sz w:val="20"/>
                <w:szCs w:val="20"/>
                <w:color w:val="auto"/>
              </w:rPr>
            </w:pPr>
            <w:r>
              <w:rPr>
                <w:rFonts w:ascii="Arial" w:cs="Arial" w:eastAsia="Arial" w:hAnsi="Arial"/>
                <w:sz w:val="18"/>
                <w:szCs w:val="18"/>
                <w:b w:val="1"/>
                <w:bCs w:val="1"/>
                <w:color w:val="auto"/>
              </w:rPr>
              <w:t>1.09</w:t>
            </w:r>
          </w:p>
        </w:tc>
        <w:tc>
          <w:tcPr>
            <w:tcW w:w="240" w:type="dxa"/>
            <w:vAlign w:val="bottom"/>
            <w:tcBorders>
              <w:top w:val="single" w:sz="8" w:color="auto"/>
              <w:bottom w:val="single" w:sz="8" w:color="auto"/>
            </w:tcBorders>
            <w:shd w:val="clear" w:color="auto" w:fill="E6E7E7"/>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E6E7E7"/>
          </w:tcPr>
          <w:p>
            <w:pPr>
              <w:jc w:val="right"/>
              <w:ind w:right="14"/>
              <w:spacing w:after="0" w:line="196" w:lineRule="exact"/>
              <w:rPr>
                <w:sz w:val="20"/>
                <w:szCs w:val="20"/>
                <w:color w:val="auto"/>
              </w:rPr>
            </w:pPr>
            <w:r>
              <w:rPr>
                <w:rFonts w:ascii="Arial" w:cs="Arial" w:eastAsia="Arial" w:hAnsi="Arial"/>
                <w:sz w:val="18"/>
                <w:szCs w:val="18"/>
                <w:color w:val="auto"/>
              </w:rPr>
              <w:t>0.09</w:t>
            </w:r>
          </w:p>
        </w:tc>
        <w:tc>
          <w:tcPr>
            <w:tcW w:w="220" w:type="dxa"/>
            <w:vAlign w:val="bottom"/>
            <w:tcBorders>
              <w:top w:val="single" w:sz="8" w:color="auto"/>
              <w:bottom w:val="single" w:sz="8" w:color="auto"/>
            </w:tcBorders>
            <w:shd w:val="clear" w:color="auto" w:fill="E6E7E7"/>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E6E7E7"/>
          </w:tcPr>
          <w:p>
            <w:pPr>
              <w:jc w:val="right"/>
              <w:spacing w:after="0" w:line="196" w:lineRule="exact"/>
              <w:rPr>
                <w:sz w:val="20"/>
                <w:szCs w:val="20"/>
                <w:color w:val="auto"/>
              </w:rPr>
            </w:pPr>
            <w:r>
              <w:rPr>
                <w:rFonts w:ascii="Arial" w:cs="Arial" w:eastAsia="Arial" w:hAnsi="Arial"/>
                <w:sz w:val="18"/>
                <w:szCs w:val="18"/>
                <w:color w:val="auto"/>
              </w:rPr>
              <w:t>0.10</w:t>
            </w:r>
          </w:p>
        </w:tc>
        <w:tc>
          <w:tcPr>
            <w:tcW w:w="60" w:type="dxa"/>
            <w:vAlign w:val="bottom"/>
            <w:shd w:val="clear" w:color="auto" w:fill="E6E7E7"/>
          </w:tcPr>
          <w:p>
            <w:pPr>
              <w:spacing w:after="0"/>
              <w:rPr>
                <w:sz w:val="17"/>
                <w:szCs w:val="17"/>
                <w:color w:val="auto"/>
              </w:rPr>
            </w:pPr>
          </w:p>
        </w:tc>
      </w:tr>
      <w:tr>
        <w:trPr>
          <w:trHeight w:val="20"/>
        </w:trPr>
        <w:tc>
          <w:tcPr>
            <w:tcW w:w="8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6" w:hanging="346"/>
        <w:spacing w:after="0"/>
        <w:tabs>
          <w:tab w:leader="none" w:pos="346" w:val="left"/>
        </w:tabs>
        <w:numPr>
          <w:ilvl w:val="0"/>
          <w:numId w:val="82"/>
        </w:numPr>
        <w:rPr>
          <w:rFonts w:ascii="Arial" w:cs="Arial" w:eastAsia="Arial" w:hAnsi="Arial"/>
          <w:sz w:val="14"/>
          <w:szCs w:val="14"/>
          <w:color w:val="auto"/>
        </w:rPr>
      </w:pPr>
      <w:r>
        <w:rPr>
          <w:rFonts w:ascii="Arial" w:cs="Arial" w:eastAsia="Arial" w:hAnsi="Arial"/>
          <w:sz w:val="14"/>
          <w:szCs w:val="14"/>
          <w:color w:val="auto"/>
        </w:rPr>
        <w:t>Earnings per share amounts from continuing and discontinued operations may not add to net income per share due to rounding.</w:t>
      </w:r>
    </w:p>
    <w:p>
      <w:pPr>
        <w:spacing w:after="0" w:line="153" w:lineRule="exact"/>
        <w:rPr>
          <w:sz w:val="20"/>
          <w:szCs w:val="20"/>
          <w:color w:val="auto"/>
        </w:rPr>
      </w:pPr>
    </w:p>
    <w:p>
      <w:pPr>
        <w:ind w:left="6" w:right="260"/>
        <w:spacing w:after="0" w:line="239" w:lineRule="auto"/>
        <w:rPr>
          <w:sz w:val="20"/>
          <w:szCs w:val="20"/>
          <w:color w:val="auto"/>
        </w:rPr>
      </w:pPr>
      <w:r>
        <w:rPr>
          <w:rFonts w:ascii="Arial" w:cs="Arial" w:eastAsia="Arial" w:hAnsi="Arial"/>
          <w:sz w:val="18"/>
          <w:szCs w:val="18"/>
          <w:color w:val="auto"/>
        </w:rPr>
        <w:t>As of December 31, 2006, the remaining assets of the former Sensors &amp; Controls business, included in assets of discontinued operations, are attributable to pension plans in our Japan subsidiary that are expected to be settled in 2007.</w:t>
      </w:r>
    </w:p>
    <w:p>
      <w:pPr>
        <w:spacing w:after="0" w:line="155" w:lineRule="exact"/>
        <w:rPr>
          <w:sz w:val="20"/>
          <w:szCs w:val="20"/>
          <w:color w:val="auto"/>
        </w:rPr>
      </w:pPr>
    </w:p>
    <w:p>
      <w:pPr>
        <w:ind w:left="6" w:right="160"/>
        <w:spacing w:after="0" w:line="269" w:lineRule="auto"/>
        <w:rPr>
          <w:sz w:val="20"/>
          <w:szCs w:val="20"/>
          <w:color w:val="auto"/>
        </w:rPr>
      </w:pPr>
      <w:r>
        <w:rPr>
          <w:rFonts w:ascii="Arial" w:cs="Arial" w:eastAsia="Arial" w:hAnsi="Arial"/>
          <w:sz w:val="16"/>
          <w:szCs w:val="16"/>
          <w:u w:val="single" w:color="auto"/>
          <w:color w:val="auto"/>
        </w:rPr>
        <w:t>Continuing Involvement</w:t>
      </w:r>
      <w:r>
        <w:rPr>
          <w:rFonts w:ascii="Arial" w:cs="Arial" w:eastAsia="Arial" w:hAnsi="Arial"/>
          <w:sz w:val="16"/>
          <w:szCs w:val="16"/>
          <w:color w:val="auto"/>
        </w:rPr>
        <w:t>: Upon closing of the sales transaction, we entered into a Transition Services Agreement (TSA) with Sensata to provide various temporary support services that are reasonably necessary to facilitate the continuation of the normal conduct of business of the former Sensors &amp; Controls business such as finance and accounting, human resources, information technology, warehousing and logistics, and records retention and storage. Such services are expected to be provided for up to twelve months from the closing date, although certain information technology-related services may be provided for up to two years. The fees for these services are generally equivalent to our cost. In addition, we entered into certain cross-license agreements to allow each party to continue to use the associated technology and intellectual property in the conduct of their respective business. However, these cross-license agreements generally do not involve the receipt or payment of any royalties and, therefore, are not considered to be a component of continuing involvement.</w:t>
      </w:r>
    </w:p>
    <w:p>
      <w:pPr>
        <w:spacing w:after="0" w:line="133" w:lineRule="exact"/>
        <w:rPr>
          <w:sz w:val="20"/>
          <w:szCs w:val="20"/>
          <w:color w:val="auto"/>
        </w:rPr>
      </w:pPr>
    </w:p>
    <w:p>
      <w:pPr>
        <w:ind w:left="6" w:right="60"/>
        <w:spacing w:after="0" w:line="236" w:lineRule="auto"/>
        <w:rPr>
          <w:sz w:val="20"/>
          <w:szCs w:val="20"/>
          <w:color w:val="auto"/>
        </w:rPr>
      </w:pPr>
      <w:r>
        <w:rPr>
          <w:rFonts w:ascii="Arial" w:cs="Arial" w:eastAsia="Arial" w:hAnsi="Arial"/>
          <w:sz w:val="18"/>
          <w:szCs w:val="18"/>
          <w:color w:val="auto"/>
        </w:rPr>
        <w:t>Although the services provided under the TSA generate continuing cash flows between us and Sensata, the amounts are not considered to be significant to the ongoing operations of either entity. In addition, we have no contractual ability through the TSA or any other agreement to significantly influence the operating or financial policies of Sensata. Under the provisions of EITF Issue No. 03-13, “</w:t>
      </w:r>
      <w:r>
        <w:rPr>
          <w:rFonts w:ascii="Arial" w:cs="Arial" w:eastAsia="Arial" w:hAnsi="Arial"/>
          <w:sz w:val="18"/>
          <w:szCs w:val="18"/>
          <w:i w:val="1"/>
          <w:iCs w:val="1"/>
          <w:color w:val="auto"/>
        </w:rPr>
        <w:t>Applying the 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of Paragraph 42 of FASB Statement No. 144 in Determining Whether to Report Discontinued Operations,</w:t>
      </w:r>
      <w:r>
        <w:rPr>
          <w:rFonts w:ascii="Arial" w:cs="Arial" w:eastAsia="Arial" w:hAnsi="Arial"/>
          <w:sz w:val="18"/>
          <w:szCs w:val="18"/>
          <w:color w:val="auto"/>
        </w:rPr>
        <w:t>” we therefore have no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involvement in the operations of the former Sensors &amp; Controls business and have classified the historical results of that business as discontinued operations.</w:t>
      </w:r>
    </w:p>
    <w:p>
      <w:pPr>
        <w:sectPr>
          <w:pgSz w:w="11900" w:h="16838" w:orient="portrait"/>
          <w:cols w:equalWidth="0" w:num="1">
            <w:col w:w="10966"/>
          </w:cols>
          <w:pgMar w:left="694" w:top="287" w:right="239" w:bottom="1440" w:gutter="0" w:footer="0" w:header="0"/>
        </w:sectPr>
      </w:pPr>
    </w:p>
    <w:bookmarkStart w:id="67" w:name="page68"/>
    <w:bookmarkEnd w:id="67"/>
    <w:p>
      <w:pPr>
        <w:ind w:left="372" w:hanging="372"/>
        <w:spacing w:after="0"/>
        <w:tabs>
          <w:tab w:leader="none" w:pos="372" w:val="left"/>
        </w:tabs>
        <w:numPr>
          <w:ilvl w:val="0"/>
          <w:numId w:val="83"/>
        </w:numPr>
        <w:rPr>
          <w:rFonts w:ascii="Arial" w:cs="Arial" w:eastAsia="Arial" w:hAnsi="Arial"/>
          <w:sz w:val="14"/>
          <w:szCs w:val="14"/>
          <w:color w:val="939598"/>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2006 ANNUAL REPORT</w:t>
      </w:r>
    </w:p>
    <w:p>
      <w:pPr>
        <w:spacing w:after="0" w:line="117" w:lineRule="exact"/>
        <w:rPr>
          <w:rFonts w:ascii="Arial" w:cs="Arial" w:eastAsia="Arial" w:hAnsi="Arial"/>
          <w:sz w:val="14"/>
          <w:szCs w:val="14"/>
          <w:color w:val="939598"/>
        </w:rPr>
      </w:pPr>
    </w:p>
    <w:p>
      <w:pPr>
        <w:ind w:left="652" w:hanging="196"/>
        <w:spacing w:after="0"/>
        <w:tabs>
          <w:tab w:leader="none" w:pos="652" w:val="left"/>
        </w:tabs>
        <w:numPr>
          <w:ilvl w:val="1"/>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Cash Equivalents and Short-term Investments</w:t>
      </w:r>
    </w:p>
    <w:p>
      <w:pPr>
        <w:spacing w:after="0" w:line="180" w:lineRule="exact"/>
        <w:rPr>
          <w:sz w:val="20"/>
          <w:szCs w:val="20"/>
          <w:color w:val="auto"/>
        </w:rPr>
      </w:pPr>
    </w:p>
    <w:p>
      <w:pPr>
        <w:ind w:left="452"/>
        <w:spacing w:after="0" w:line="268" w:lineRule="auto"/>
        <w:rPr>
          <w:sz w:val="20"/>
          <w:szCs w:val="20"/>
          <w:color w:val="auto"/>
        </w:rPr>
      </w:pPr>
      <w:r>
        <w:rPr>
          <w:rFonts w:ascii="Arial" w:cs="Arial" w:eastAsia="Arial" w:hAnsi="Arial"/>
          <w:sz w:val="16"/>
          <w:szCs w:val="16"/>
          <w:color w:val="auto"/>
        </w:rPr>
        <w:t>We generally invest cash in highly liquid debt securities that are classified as available for sale and are reflected in the balance sheet based on their maturity dates. Investments with serial maturities are allocated to their asset classification based on their individual expected average lives. Investments in debt securities with original maturities of three months or less are considered to be cash equivalents. We consider investments in debt securities with maturities or average lives beyond three months from the date of our investment as being available for use in current operations as needed and, as a result, include those investments in short-term investments. These investments in debt securities are stated at fair value. Adjustments to fair value are recorded as an increase or decrease in the accumulated other comprehensive income section of stockholders’ equity. We also invest in auction-rate securities. These securities have long-term underlying maturities; however, the market is highly liquid and the securities are re-auctioned periodically, generally every seven, 28 or 35 days. Our intent is not to hold these securities to maturity, but rather to use the frequent auction feature to provide liquidity as needed. Our practice is to invest in these securities for higher after-tax yields compared with those available on cash equivalents.</w:t>
      </w:r>
    </w:p>
    <w:p>
      <w:pPr>
        <w:spacing w:after="0" w:line="359" w:lineRule="exact"/>
        <w:rPr>
          <w:sz w:val="20"/>
          <w:szCs w:val="20"/>
          <w:color w:val="auto"/>
        </w:rPr>
      </w:pPr>
    </w:p>
    <w:tbl>
      <w:tblPr>
        <w:tblLayout w:type="fixed"/>
        <w:tblInd w:w="352" w:type="dxa"/>
        <w:tblCellMar>
          <w:top w:w="0" w:type="dxa"/>
          <w:left w:w="0" w:type="dxa"/>
          <w:bottom w:w="0" w:type="dxa"/>
          <w:right w:w="0" w:type="dxa"/>
        </w:tblCellMar>
      </w:tblPr>
      <w:tr>
        <w:trPr>
          <w:trHeight w:val="165"/>
        </w:trPr>
        <w:tc>
          <w:tcPr>
            <w:tcW w:w="6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3"/>
          </w:tcPr>
          <w:p>
            <w:pPr>
              <w:jc w:val="right"/>
              <w:ind w:right="412"/>
              <w:spacing w:after="0"/>
              <w:rPr>
                <w:sz w:val="20"/>
                <w:szCs w:val="20"/>
                <w:color w:val="auto"/>
              </w:rPr>
            </w:pPr>
            <w:r>
              <w:rPr>
                <w:rFonts w:ascii="Arial" w:cs="Arial" w:eastAsia="Arial" w:hAnsi="Arial"/>
                <w:sz w:val="14"/>
                <w:szCs w:val="14"/>
                <w:b w:val="1"/>
                <w:bCs w:val="1"/>
                <w:color w:val="939598"/>
              </w:rPr>
              <w:t>DECEMBER 31, 2006</w:t>
            </w:r>
          </w:p>
        </w:tc>
        <w:tc>
          <w:tcPr>
            <w:tcW w:w="320" w:type="dxa"/>
            <w:vAlign w:val="bottom"/>
          </w:tcPr>
          <w:p>
            <w:pPr>
              <w:spacing w:after="0"/>
              <w:rPr>
                <w:sz w:val="14"/>
                <w:szCs w:val="14"/>
                <w:color w:val="auto"/>
              </w:rPr>
            </w:pPr>
          </w:p>
        </w:tc>
        <w:tc>
          <w:tcPr>
            <w:tcW w:w="18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939598"/>
              </w:rPr>
              <w:t>DECEMBER 31, 2005</w:t>
            </w:r>
          </w:p>
        </w:tc>
      </w:tr>
      <w:tr>
        <w:trPr>
          <w:trHeight w:val="240"/>
        </w:trPr>
        <w:tc>
          <w:tcPr>
            <w:tcW w:w="6080" w:type="dxa"/>
            <w:vAlign w:val="bottom"/>
            <w:shd w:val="clear" w:color="auto" w:fill="939598"/>
          </w:tcPr>
          <w:p>
            <w:pPr>
              <w:spacing w:after="0"/>
              <w:rPr>
                <w:sz w:val="20"/>
                <w:szCs w:val="20"/>
                <w:color w:val="auto"/>
              </w:rPr>
            </w:pPr>
          </w:p>
        </w:tc>
        <w:tc>
          <w:tcPr>
            <w:tcW w:w="340" w:type="dxa"/>
            <w:vAlign w:val="bottom"/>
            <w:shd w:val="clear" w:color="auto" w:fill="939598"/>
          </w:tcPr>
          <w:p>
            <w:pPr>
              <w:spacing w:after="0"/>
              <w:rPr>
                <w:sz w:val="20"/>
                <w:szCs w:val="20"/>
                <w:color w:val="auto"/>
              </w:rPr>
            </w:pPr>
          </w:p>
        </w:tc>
        <w:tc>
          <w:tcPr>
            <w:tcW w:w="20" w:type="dxa"/>
            <w:vAlign w:val="bottom"/>
            <w:shd w:val="clear" w:color="auto" w:fill="939598"/>
          </w:tcPr>
          <w:p>
            <w:pPr>
              <w:spacing w:after="0"/>
              <w:rPr>
                <w:sz w:val="20"/>
                <w:szCs w:val="20"/>
                <w:color w:val="auto"/>
              </w:rPr>
            </w:pPr>
          </w:p>
        </w:tc>
        <w:tc>
          <w:tcPr>
            <w:tcW w:w="100" w:type="dxa"/>
            <w:vAlign w:val="bottom"/>
            <w:shd w:val="clear" w:color="auto" w:fill="939598"/>
          </w:tcPr>
          <w:p>
            <w:pPr>
              <w:spacing w:after="0"/>
              <w:rPr>
                <w:sz w:val="20"/>
                <w:szCs w:val="20"/>
                <w:color w:val="auto"/>
              </w:rPr>
            </w:pPr>
          </w:p>
        </w:tc>
        <w:tc>
          <w:tcPr>
            <w:tcW w:w="820" w:type="dxa"/>
            <w:vAlign w:val="bottom"/>
            <w:shd w:val="clear" w:color="auto" w:fill="939598"/>
          </w:tcPr>
          <w:p>
            <w:pPr>
              <w:jc w:val="right"/>
              <w:ind w:right="237"/>
              <w:spacing w:after="0"/>
              <w:rPr>
                <w:sz w:val="20"/>
                <w:szCs w:val="20"/>
                <w:color w:val="auto"/>
              </w:rPr>
            </w:pPr>
            <w:r>
              <w:rPr>
                <w:rFonts w:ascii="Arial" w:cs="Arial" w:eastAsia="Arial" w:hAnsi="Arial"/>
                <w:sz w:val="14"/>
                <w:szCs w:val="14"/>
                <w:b w:val="1"/>
                <w:bCs w:val="1"/>
                <w:color w:val="FFFFFF"/>
                <w:w w:val="99"/>
              </w:rPr>
              <w:t>Cash &amp;</w:t>
            </w:r>
          </w:p>
        </w:tc>
        <w:tc>
          <w:tcPr>
            <w:tcW w:w="400" w:type="dxa"/>
            <w:vAlign w:val="bottom"/>
            <w:shd w:val="clear" w:color="auto" w:fill="939598"/>
          </w:tcPr>
          <w:p>
            <w:pPr>
              <w:spacing w:after="0"/>
              <w:rPr>
                <w:sz w:val="20"/>
                <w:szCs w:val="20"/>
                <w:color w:val="auto"/>
              </w:rPr>
            </w:pPr>
          </w:p>
        </w:tc>
        <w:tc>
          <w:tcPr>
            <w:tcW w:w="780" w:type="dxa"/>
            <w:vAlign w:val="bottom"/>
            <w:shd w:val="clear" w:color="auto" w:fill="939598"/>
          </w:tcPr>
          <w:p>
            <w:pPr>
              <w:spacing w:after="0"/>
              <w:rPr>
                <w:sz w:val="20"/>
                <w:szCs w:val="20"/>
                <w:color w:val="auto"/>
              </w:rPr>
            </w:pPr>
          </w:p>
        </w:tc>
        <w:tc>
          <w:tcPr>
            <w:tcW w:w="320" w:type="dxa"/>
            <w:vAlign w:val="bottom"/>
            <w:shd w:val="clear" w:color="auto" w:fill="939598"/>
          </w:tcPr>
          <w:p>
            <w:pPr>
              <w:spacing w:after="0"/>
              <w:rPr>
                <w:sz w:val="20"/>
                <w:szCs w:val="20"/>
                <w:color w:val="auto"/>
              </w:rPr>
            </w:pPr>
          </w:p>
        </w:tc>
        <w:tc>
          <w:tcPr>
            <w:tcW w:w="820" w:type="dxa"/>
            <w:vAlign w:val="bottom"/>
            <w:shd w:val="clear" w:color="auto" w:fill="939598"/>
          </w:tcPr>
          <w:p>
            <w:pPr>
              <w:jc w:val="right"/>
              <w:ind w:right="237"/>
              <w:spacing w:after="0"/>
              <w:rPr>
                <w:sz w:val="20"/>
                <w:szCs w:val="20"/>
                <w:color w:val="auto"/>
              </w:rPr>
            </w:pPr>
            <w:r>
              <w:rPr>
                <w:rFonts w:ascii="Arial" w:cs="Arial" w:eastAsia="Arial" w:hAnsi="Arial"/>
                <w:sz w:val="14"/>
                <w:szCs w:val="14"/>
                <w:b w:val="1"/>
                <w:bCs w:val="1"/>
                <w:color w:val="FFFFFF"/>
                <w:w w:val="99"/>
              </w:rPr>
              <w:t>Cash &amp;</w:t>
            </w:r>
          </w:p>
        </w:tc>
        <w:tc>
          <w:tcPr>
            <w:tcW w:w="420" w:type="dxa"/>
            <w:vAlign w:val="bottom"/>
            <w:shd w:val="clear" w:color="auto" w:fill="939598"/>
          </w:tcPr>
          <w:p>
            <w:pPr>
              <w:spacing w:after="0"/>
              <w:rPr>
                <w:sz w:val="20"/>
                <w:szCs w:val="20"/>
                <w:color w:val="auto"/>
              </w:rPr>
            </w:pPr>
          </w:p>
        </w:tc>
        <w:tc>
          <w:tcPr>
            <w:tcW w:w="560" w:type="dxa"/>
            <w:vAlign w:val="bottom"/>
            <w:shd w:val="clear" w:color="auto" w:fill="939598"/>
          </w:tcPr>
          <w:p>
            <w:pPr>
              <w:spacing w:after="0"/>
              <w:rPr>
                <w:sz w:val="20"/>
                <w:szCs w:val="20"/>
                <w:color w:val="auto"/>
              </w:rPr>
            </w:pPr>
          </w:p>
        </w:tc>
        <w:tc>
          <w:tcPr>
            <w:tcW w:w="60" w:type="dxa"/>
            <w:vAlign w:val="bottom"/>
            <w:shd w:val="clear" w:color="auto" w:fill="939598"/>
          </w:tcPr>
          <w:p>
            <w:pPr>
              <w:spacing w:after="0"/>
              <w:rPr>
                <w:sz w:val="20"/>
                <w:szCs w:val="20"/>
                <w:color w:val="auto"/>
              </w:rPr>
            </w:pPr>
          </w:p>
        </w:tc>
      </w:tr>
      <w:tr>
        <w:trPr>
          <w:trHeight w:val="149"/>
        </w:trPr>
        <w:tc>
          <w:tcPr>
            <w:tcW w:w="6080" w:type="dxa"/>
            <w:vAlign w:val="bottom"/>
            <w:shd w:val="clear" w:color="auto" w:fill="939598"/>
          </w:tcPr>
          <w:p>
            <w:pPr>
              <w:spacing w:after="0"/>
              <w:rPr>
                <w:sz w:val="12"/>
                <w:szCs w:val="12"/>
                <w:color w:val="auto"/>
              </w:rPr>
            </w:pPr>
          </w:p>
        </w:tc>
        <w:tc>
          <w:tcPr>
            <w:tcW w:w="340" w:type="dxa"/>
            <w:vAlign w:val="bottom"/>
            <w:shd w:val="clear" w:color="auto" w:fill="939598"/>
          </w:tcPr>
          <w:p>
            <w:pPr>
              <w:spacing w:after="0"/>
              <w:rPr>
                <w:sz w:val="12"/>
                <w:szCs w:val="12"/>
                <w:color w:val="auto"/>
              </w:rPr>
            </w:pPr>
          </w:p>
        </w:tc>
        <w:tc>
          <w:tcPr>
            <w:tcW w:w="20" w:type="dxa"/>
            <w:vAlign w:val="bottom"/>
            <w:shd w:val="clear" w:color="auto" w:fill="939598"/>
          </w:tcPr>
          <w:p>
            <w:pPr>
              <w:spacing w:after="0"/>
              <w:rPr>
                <w:sz w:val="12"/>
                <w:szCs w:val="12"/>
                <w:color w:val="auto"/>
              </w:rPr>
            </w:pPr>
          </w:p>
        </w:tc>
        <w:tc>
          <w:tcPr>
            <w:tcW w:w="100" w:type="dxa"/>
            <w:vAlign w:val="bottom"/>
            <w:shd w:val="clear" w:color="auto" w:fill="939598"/>
          </w:tcPr>
          <w:p>
            <w:pPr>
              <w:spacing w:after="0"/>
              <w:rPr>
                <w:sz w:val="12"/>
                <w:szCs w:val="12"/>
                <w:color w:val="auto"/>
              </w:rPr>
            </w:pPr>
          </w:p>
        </w:tc>
        <w:tc>
          <w:tcPr>
            <w:tcW w:w="820" w:type="dxa"/>
            <w:vAlign w:val="bottom"/>
            <w:shd w:val="clear" w:color="auto" w:fill="939598"/>
          </w:tcPr>
          <w:p>
            <w:pPr>
              <w:jc w:val="right"/>
              <w:ind w:right="297"/>
              <w:spacing w:after="0" w:line="149" w:lineRule="exact"/>
              <w:rPr>
                <w:sz w:val="20"/>
                <w:szCs w:val="20"/>
                <w:color w:val="auto"/>
              </w:rPr>
            </w:pPr>
            <w:r>
              <w:rPr>
                <w:rFonts w:ascii="Arial" w:cs="Arial" w:eastAsia="Arial" w:hAnsi="Arial"/>
                <w:sz w:val="14"/>
                <w:szCs w:val="14"/>
                <w:b w:val="1"/>
                <w:bCs w:val="1"/>
                <w:color w:val="FFFFFF"/>
              </w:rPr>
              <w:t>Cash</w:t>
            </w:r>
          </w:p>
        </w:tc>
        <w:tc>
          <w:tcPr>
            <w:tcW w:w="1180" w:type="dxa"/>
            <w:vAlign w:val="bottom"/>
            <w:gridSpan w:val="2"/>
            <w:shd w:val="clear" w:color="auto" w:fill="939598"/>
          </w:tcPr>
          <w:p>
            <w:pPr>
              <w:jc w:val="right"/>
              <w:ind w:right="172"/>
              <w:spacing w:after="0" w:line="149" w:lineRule="exact"/>
              <w:rPr>
                <w:sz w:val="20"/>
                <w:szCs w:val="20"/>
                <w:color w:val="auto"/>
              </w:rPr>
            </w:pPr>
            <w:r>
              <w:rPr>
                <w:rFonts w:ascii="Arial" w:cs="Arial" w:eastAsia="Arial" w:hAnsi="Arial"/>
                <w:sz w:val="14"/>
                <w:szCs w:val="14"/>
                <w:b w:val="1"/>
                <w:bCs w:val="1"/>
                <w:color w:val="FFFFFF"/>
              </w:rPr>
              <w:t>Short-term</w:t>
            </w:r>
          </w:p>
        </w:tc>
        <w:tc>
          <w:tcPr>
            <w:tcW w:w="320" w:type="dxa"/>
            <w:vAlign w:val="bottom"/>
            <w:shd w:val="clear" w:color="auto" w:fill="939598"/>
          </w:tcPr>
          <w:p>
            <w:pPr>
              <w:spacing w:after="0"/>
              <w:rPr>
                <w:sz w:val="12"/>
                <w:szCs w:val="12"/>
                <w:color w:val="auto"/>
              </w:rPr>
            </w:pPr>
          </w:p>
        </w:tc>
        <w:tc>
          <w:tcPr>
            <w:tcW w:w="820" w:type="dxa"/>
            <w:vAlign w:val="bottom"/>
            <w:shd w:val="clear" w:color="auto" w:fill="939598"/>
          </w:tcPr>
          <w:p>
            <w:pPr>
              <w:jc w:val="right"/>
              <w:ind w:right="297"/>
              <w:spacing w:after="0" w:line="149" w:lineRule="exact"/>
              <w:rPr>
                <w:sz w:val="20"/>
                <w:szCs w:val="20"/>
                <w:color w:val="auto"/>
              </w:rPr>
            </w:pPr>
            <w:r>
              <w:rPr>
                <w:rFonts w:ascii="Arial" w:cs="Arial" w:eastAsia="Arial" w:hAnsi="Arial"/>
                <w:sz w:val="14"/>
                <w:szCs w:val="14"/>
                <w:b w:val="1"/>
                <w:bCs w:val="1"/>
                <w:color w:val="FFFFFF"/>
              </w:rPr>
              <w:t>Cash</w:t>
            </w:r>
          </w:p>
        </w:tc>
        <w:tc>
          <w:tcPr>
            <w:tcW w:w="1040" w:type="dxa"/>
            <w:vAlign w:val="bottom"/>
            <w:gridSpan w:val="3"/>
            <w:shd w:val="clear" w:color="auto" w:fill="939598"/>
          </w:tcPr>
          <w:p>
            <w:pPr>
              <w:ind w:left="240"/>
              <w:spacing w:after="0" w:line="149" w:lineRule="exact"/>
              <w:rPr>
                <w:sz w:val="20"/>
                <w:szCs w:val="20"/>
                <w:color w:val="auto"/>
              </w:rPr>
            </w:pPr>
            <w:r>
              <w:rPr>
                <w:rFonts w:ascii="Arial" w:cs="Arial" w:eastAsia="Arial" w:hAnsi="Arial"/>
                <w:sz w:val="14"/>
                <w:szCs w:val="14"/>
                <w:b w:val="1"/>
                <w:bCs w:val="1"/>
                <w:color w:val="FFFFFF"/>
              </w:rPr>
              <w:t>Short-term</w:t>
            </w:r>
          </w:p>
        </w:tc>
      </w:tr>
      <w:tr>
        <w:trPr>
          <w:trHeight w:val="165"/>
        </w:trPr>
        <w:tc>
          <w:tcPr>
            <w:tcW w:w="6080" w:type="dxa"/>
            <w:vAlign w:val="bottom"/>
            <w:shd w:val="clear" w:color="auto" w:fill="939598"/>
          </w:tcPr>
          <w:p>
            <w:pPr>
              <w:spacing w:after="0"/>
              <w:rPr>
                <w:sz w:val="20"/>
                <w:szCs w:val="20"/>
                <w:color w:val="auto"/>
              </w:rPr>
            </w:pPr>
            <w:r>
              <w:rPr>
                <w:rFonts w:ascii="Arial" w:cs="Arial" w:eastAsia="Arial" w:hAnsi="Arial"/>
                <w:sz w:val="14"/>
                <w:szCs w:val="14"/>
                <w:b w:val="1"/>
                <w:bCs w:val="1"/>
                <w:color w:val="FFFFFF"/>
              </w:rPr>
              <w:t>Cash Investments</w:t>
            </w:r>
          </w:p>
        </w:tc>
        <w:tc>
          <w:tcPr>
            <w:tcW w:w="340" w:type="dxa"/>
            <w:vAlign w:val="bottom"/>
            <w:shd w:val="clear" w:color="auto" w:fill="939598"/>
          </w:tcPr>
          <w:p>
            <w:pPr>
              <w:spacing w:after="0"/>
              <w:rPr>
                <w:sz w:val="14"/>
                <w:szCs w:val="14"/>
                <w:color w:val="auto"/>
              </w:rPr>
            </w:pPr>
          </w:p>
        </w:tc>
        <w:tc>
          <w:tcPr>
            <w:tcW w:w="940" w:type="dxa"/>
            <w:vAlign w:val="bottom"/>
            <w:gridSpan w:val="3"/>
            <w:shd w:val="clear" w:color="auto" w:fill="939598"/>
          </w:tcPr>
          <w:p>
            <w:pPr>
              <w:spacing w:after="0"/>
              <w:rPr>
                <w:sz w:val="20"/>
                <w:szCs w:val="20"/>
                <w:color w:val="auto"/>
              </w:rPr>
            </w:pPr>
            <w:r>
              <w:rPr>
                <w:rFonts w:ascii="Arial" w:cs="Arial" w:eastAsia="Arial" w:hAnsi="Arial"/>
                <w:sz w:val="14"/>
                <w:szCs w:val="14"/>
                <w:b w:val="1"/>
                <w:bCs w:val="1"/>
                <w:color w:val="FFFFFF"/>
              </w:rPr>
              <w:t>Equivalents</w:t>
            </w:r>
          </w:p>
        </w:tc>
        <w:tc>
          <w:tcPr>
            <w:tcW w:w="1180" w:type="dxa"/>
            <w:vAlign w:val="bottom"/>
            <w:gridSpan w:val="2"/>
            <w:shd w:val="clear" w:color="auto" w:fill="939598"/>
          </w:tcPr>
          <w:p>
            <w:pPr>
              <w:ind w:left="180"/>
              <w:spacing w:after="0"/>
              <w:rPr>
                <w:sz w:val="20"/>
                <w:szCs w:val="20"/>
                <w:color w:val="auto"/>
              </w:rPr>
            </w:pPr>
            <w:r>
              <w:rPr>
                <w:rFonts w:ascii="Arial" w:cs="Arial" w:eastAsia="Arial" w:hAnsi="Arial"/>
                <w:sz w:val="14"/>
                <w:szCs w:val="14"/>
                <w:b w:val="1"/>
                <w:bCs w:val="1"/>
                <w:color w:val="FFFFFF"/>
              </w:rPr>
              <w:t>Investments</w:t>
            </w:r>
          </w:p>
        </w:tc>
        <w:tc>
          <w:tcPr>
            <w:tcW w:w="1140" w:type="dxa"/>
            <w:vAlign w:val="bottom"/>
            <w:gridSpan w:val="2"/>
            <w:shd w:val="clear" w:color="auto" w:fill="939598"/>
          </w:tcPr>
          <w:p>
            <w:pPr>
              <w:ind w:left="200"/>
              <w:spacing w:after="0"/>
              <w:rPr>
                <w:sz w:val="20"/>
                <w:szCs w:val="20"/>
                <w:color w:val="auto"/>
              </w:rPr>
            </w:pPr>
            <w:r>
              <w:rPr>
                <w:rFonts w:ascii="Arial" w:cs="Arial" w:eastAsia="Arial" w:hAnsi="Arial"/>
                <w:sz w:val="14"/>
                <w:szCs w:val="14"/>
                <w:b w:val="1"/>
                <w:bCs w:val="1"/>
                <w:color w:val="FFFFFF"/>
              </w:rPr>
              <w:t>Equivalents</w:t>
            </w:r>
          </w:p>
        </w:tc>
        <w:tc>
          <w:tcPr>
            <w:tcW w:w="1040" w:type="dxa"/>
            <w:vAlign w:val="bottom"/>
            <w:gridSpan w:val="3"/>
            <w:shd w:val="clear" w:color="auto" w:fill="939598"/>
          </w:tcPr>
          <w:p>
            <w:pPr>
              <w:ind w:left="180"/>
              <w:spacing w:after="0"/>
              <w:rPr>
                <w:sz w:val="20"/>
                <w:szCs w:val="20"/>
                <w:color w:val="auto"/>
              </w:rPr>
            </w:pPr>
            <w:r>
              <w:rPr>
                <w:rFonts w:ascii="Arial" w:cs="Arial" w:eastAsia="Arial" w:hAnsi="Arial"/>
                <w:sz w:val="14"/>
                <w:szCs w:val="14"/>
                <w:b w:val="1"/>
                <w:bCs w:val="1"/>
                <w:color w:val="FFFFFF"/>
              </w:rPr>
              <w:t>Investments</w:t>
            </w:r>
          </w:p>
        </w:tc>
      </w:tr>
      <w:tr>
        <w:trPr>
          <w:trHeight w:val="203"/>
        </w:trPr>
        <w:tc>
          <w:tcPr>
            <w:tcW w:w="6080" w:type="dxa"/>
            <w:vAlign w:val="bottom"/>
          </w:tcPr>
          <w:p>
            <w:pPr>
              <w:ind w:left="140"/>
              <w:spacing w:after="0" w:line="202" w:lineRule="exact"/>
              <w:rPr>
                <w:sz w:val="20"/>
                <w:szCs w:val="20"/>
                <w:color w:val="auto"/>
              </w:rPr>
            </w:pPr>
            <w:r>
              <w:rPr>
                <w:rFonts w:ascii="Arial" w:cs="Arial" w:eastAsia="Arial" w:hAnsi="Arial"/>
                <w:sz w:val="18"/>
                <w:szCs w:val="18"/>
                <w:color w:val="auto"/>
              </w:rPr>
              <w:t>Corporate securities</w:t>
            </w:r>
          </w:p>
        </w:tc>
        <w:tc>
          <w:tcPr>
            <w:tcW w:w="460" w:type="dxa"/>
            <w:vAlign w:val="bottom"/>
            <w:gridSpan w:val="3"/>
          </w:tcPr>
          <w:p>
            <w:pPr>
              <w:ind w:left="340"/>
              <w:spacing w:after="0" w:line="202" w:lineRule="exact"/>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77"/>
              <w:spacing w:after="0" w:line="202" w:lineRule="exact"/>
              <w:rPr>
                <w:sz w:val="20"/>
                <w:szCs w:val="20"/>
                <w:color w:val="auto"/>
              </w:rPr>
            </w:pPr>
            <w:r>
              <w:rPr>
                <w:rFonts w:ascii="Arial" w:cs="Arial" w:eastAsia="Arial" w:hAnsi="Arial"/>
                <w:sz w:val="18"/>
                <w:szCs w:val="18"/>
                <w:b w:val="1"/>
                <w:bCs w:val="1"/>
                <w:color w:val="auto"/>
              </w:rPr>
              <w:t>41</w:t>
            </w:r>
          </w:p>
        </w:tc>
        <w:tc>
          <w:tcPr>
            <w:tcW w:w="40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ind w:left="20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77"/>
              <w:spacing w:after="0" w:line="202" w:lineRule="exact"/>
              <w:rPr>
                <w:sz w:val="20"/>
                <w:szCs w:val="20"/>
                <w:color w:val="auto"/>
              </w:rPr>
            </w:pPr>
            <w:r>
              <w:rPr>
                <w:rFonts w:ascii="Arial" w:cs="Arial" w:eastAsia="Arial" w:hAnsi="Arial"/>
                <w:sz w:val="18"/>
                <w:szCs w:val="18"/>
                <w:color w:val="auto"/>
              </w:rPr>
              <w:t>61</w:t>
            </w:r>
          </w:p>
        </w:tc>
        <w:tc>
          <w:tcPr>
            <w:tcW w:w="42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c>
          <w:tcPr>
            <w:tcW w:w="60" w:type="dxa"/>
            <w:vAlign w:val="bottom"/>
          </w:tcPr>
          <w:p>
            <w:pPr>
              <w:spacing w:after="0"/>
              <w:rPr>
                <w:sz w:val="17"/>
                <w:szCs w:val="17"/>
                <w:color w:val="auto"/>
              </w:rPr>
            </w:pPr>
          </w:p>
        </w:tc>
      </w:tr>
      <w:tr>
        <w:trPr>
          <w:trHeight w:val="203"/>
        </w:trPr>
        <w:tc>
          <w:tcPr>
            <w:tcW w:w="6080" w:type="dxa"/>
            <w:vAlign w:val="bottom"/>
            <w:shd w:val="clear" w:color="auto" w:fill="E6E7E7"/>
          </w:tcPr>
          <w:p>
            <w:pPr>
              <w:ind w:left="140"/>
              <w:spacing w:after="0" w:line="202" w:lineRule="exact"/>
              <w:rPr>
                <w:sz w:val="20"/>
                <w:szCs w:val="20"/>
                <w:color w:val="auto"/>
              </w:rPr>
            </w:pPr>
            <w:r>
              <w:rPr>
                <w:rFonts w:ascii="Arial" w:cs="Arial" w:eastAsia="Arial" w:hAnsi="Arial"/>
                <w:sz w:val="18"/>
                <w:szCs w:val="18"/>
                <w:color w:val="auto"/>
              </w:rPr>
              <w:t>Asset-backed fixed income securities</w:t>
            </w:r>
          </w:p>
        </w:tc>
        <w:tc>
          <w:tcPr>
            <w:tcW w:w="34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100" w:type="dxa"/>
            <w:vAlign w:val="bottom"/>
            <w:shd w:val="clear" w:color="auto" w:fill="E6E7E7"/>
          </w:tcPr>
          <w:p>
            <w:pPr>
              <w:spacing w:after="0"/>
              <w:rPr>
                <w:sz w:val="17"/>
                <w:szCs w:val="17"/>
                <w:color w:val="auto"/>
              </w:rPr>
            </w:pPr>
          </w:p>
        </w:tc>
        <w:tc>
          <w:tcPr>
            <w:tcW w:w="820" w:type="dxa"/>
            <w:vAlign w:val="bottom"/>
            <w:shd w:val="clear" w:color="auto" w:fill="E6E7E7"/>
          </w:tcPr>
          <w:p>
            <w:pPr>
              <w:jc w:val="right"/>
              <w:ind w:right="77"/>
              <w:spacing w:after="0" w:line="202" w:lineRule="exact"/>
              <w:rPr>
                <w:sz w:val="20"/>
                <w:szCs w:val="20"/>
                <w:color w:val="auto"/>
              </w:rPr>
            </w:pPr>
            <w:r>
              <w:rPr>
                <w:rFonts w:ascii="Arial" w:cs="Arial" w:eastAsia="Arial" w:hAnsi="Arial"/>
                <w:sz w:val="18"/>
                <w:szCs w:val="18"/>
                <w:b w:val="1"/>
                <w:bCs w:val="1"/>
                <w:color w:val="auto"/>
              </w:rPr>
              <w:t>543</w:t>
            </w:r>
          </w:p>
        </w:tc>
        <w:tc>
          <w:tcPr>
            <w:tcW w:w="400" w:type="dxa"/>
            <w:vAlign w:val="bottom"/>
            <w:shd w:val="clear" w:color="auto" w:fill="E6E7E7"/>
          </w:tcPr>
          <w:p>
            <w:pPr>
              <w:spacing w:after="0"/>
              <w:rPr>
                <w:sz w:val="17"/>
                <w:szCs w:val="17"/>
                <w:color w:val="auto"/>
              </w:rPr>
            </w:pPr>
          </w:p>
        </w:tc>
        <w:tc>
          <w:tcPr>
            <w:tcW w:w="780" w:type="dxa"/>
            <w:vAlign w:val="bottom"/>
            <w:shd w:val="clear" w:color="auto" w:fill="E6E7E7"/>
          </w:tcPr>
          <w:p>
            <w:pPr>
              <w:jc w:val="right"/>
              <w:ind w:right="112"/>
              <w:spacing w:after="0" w:line="202" w:lineRule="exact"/>
              <w:rPr>
                <w:sz w:val="20"/>
                <w:szCs w:val="20"/>
                <w:color w:val="auto"/>
              </w:rPr>
            </w:pPr>
            <w:r>
              <w:rPr>
                <w:rFonts w:ascii="Arial" w:cs="Arial" w:eastAsia="Arial" w:hAnsi="Arial"/>
                <w:sz w:val="18"/>
                <w:szCs w:val="18"/>
                <w:b w:val="1"/>
                <w:bCs w:val="1"/>
                <w:color w:val="auto"/>
              </w:rPr>
              <w:t>729</w:t>
            </w:r>
          </w:p>
        </w:tc>
        <w:tc>
          <w:tcPr>
            <w:tcW w:w="320" w:type="dxa"/>
            <w:vAlign w:val="bottom"/>
            <w:shd w:val="clear" w:color="auto" w:fill="E6E7E7"/>
          </w:tcPr>
          <w:p>
            <w:pPr>
              <w:spacing w:after="0"/>
              <w:rPr>
                <w:sz w:val="17"/>
                <w:szCs w:val="17"/>
                <w:color w:val="auto"/>
              </w:rPr>
            </w:pPr>
          </w:p>
        </w:tc>
        <w:tc>
          <w:tcPr>
            <w:tcW w:w="820" w:type="dxa"/>
            <w:vAlign w:val="bottom"/>
            <w:shd w:val="clear" w:color="auto" w:fill="E6E7E7"/>
          </w:tcPr>
          <w:p>
            <w:pPr>
              <w:jc w:val="right"/>
              <w:ind w:right="77"/>
              <w:spacing w:after="0" w:line="202" w:lineRule="exact"/>
              <w:rPr>
                <w:sz w:val="20"/>
                <w:szCs w:val="20"/>
                <w:color w:val="auto"/>
              </w:rPr>
            </w:pPr>
            <w:r>
              <w:rPr>
                <w:rFonts w:ascii="Arial" w:cs="Arial" w:eastAsia="Arial" w:hAnsi="Arial"/>
                <w:sz w:val="18"/>
                <w:szCs w:val="18"/>
                <w:color w:val="auto"/>
              </w:rPr>
              <w:t>252</w:t>
            </w:r>
          </w:p>
        </w:tc>
        <w:tc>
          <w:tcPr>
            <w:tcW w:w="420" w:type="dxa"/>
            <w:vAlign w:val="bottom"/>
            <w:shd w:val="clear" w:color="auto" w:fill="E6E7E7"/>
          </w:tcPr>
          <w:p>
            <w:pPr>
              <w:spacing w:after="0"/>
              <w:rPr>
                <w:sz w:val="17"/>
                <w:szCs w:val="17"/>
                <w:color w:val="auto"/>
              </w:rPr>
            </w:pPr>
          </w:p>
        </w:tc>
        <w:tc>
          <w:tcPr>
            <w:tcW w:w="5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1,121</w:t>
            </w:r>
          </w:p>
        </w:tc>
        <w:tc>
          <w:tcPr>
            <w:tcW w:w="60" w:type="dxa"/>
            <w:vAlign w:val="bottom"/>
            <w:shd w:val="clear" w:color="auto" w:fill="E6E7E7"/>
          </w:tcPr>
          <w:p>
            <w:pPr>
              <w:spacing w:after="0"/>
              <w:rPr>
                <w:sz w:val="17"/>
                <w:szCs w:val="17"/>
                <w:color w:val="auto"/>
              </w:rPr>
            </w:pPr>
          </w:p>
        </w:tc>
      </w:tr>
      <w:tr>
        <w:trPr>
          <w:trHeight w:val="203"/>
        </w:trPr>
        <w:tc>
          <w:tcPr>
            <w:tcW w:w="6080" w:type="dxa"/>
            <w:vAlign w:val="bottom"/>
          </w:tcPr>
          <w:p>
            <w:pPr>
              <w:ind w:left="140"/>
              <w:spacing w:after="0" w:line="202" w:lineRule="exact"/>
              <w:rPr>
                <w:sz w:val="20"/>
                <w:szCs w:val="20"/>
                <w:color w:val="auto"/>
              </w:rPr>
            </w:pPr>
            <w:r>
              <w:rPr>
                <w:rFonts w:ascii="Arial" w:cs="Arial" w:eastAsia="Arial" w:hAnsi="Arial"/>
                <w:sz w:val="18"/>
                <w:szCs w:val="18"/>
                <w:color w:val="auto"/>
              </w:rPr>
              <w:t>Investment funds with constant net asset values</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77"/>
              <w:spacing w:after="0" w:line="202" w:lineRule="exact"/>
              <w:rPr>
                <w:sz w:val="20"/>
                <w:szCs w:val="20"/>
                <w:color w:val="auto"/>
              </w:rPr>
            </w:pPr>
            <w:r>
              <w:rPr>
                <w:rFonts w:ascii="Arial" w:cs="Arial" w:eastAsia="Arial" w:hAnsi="Arial"/>
                <w:sz w:val="18"/>
                <w:szCs w:val="18"/>
                <w:b w:val="1"/>
                <w:bCs w:val="1"/>
                <w:color w:val="auto"/>
              </w:rPr>
              <w:t>395</w:t>
            </w:r>
          </w:p>
        </w:tc>
        <w:tc>
          <w:tcPr>
            <w:tcW w:w="400" w:type="dxa"/>
            <w:vAlign w:val="bottom"/>
          </w:tcPr>
          <w:p>
            <w:pPr>
              <w:spacing w:after="0"/>
              <w:rPr>
                <w:sz w:val="17"/>
                <w:szCs w:val="17"/>
                <w:color w:val="auto"/>
              </w:rPr>
            </w:pPr>
          </w:p>
        </w:tc>
        <w:tc>
          <w:tcPr>
            <w:tcW w:w="78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820" w:type="dxa"/>
            <w:vAlign w:val="bottom"/>
          </w:tcPr>
          <w:p>
            <w:pPr>
              <w:jc w:val="right"/>
              <w:ind w:right="77"/>
              <w:spacing w:after="0" w:line="202" w:lineRule="exact"/>
              <w:rPr>
                <w:sz w:val="20"/>
                <w:szCs w:val="20"/>
                <w:color w:val="auto"/>
              </w:rPr>
            </w:pPr>
            <w:r>
              <w:rPr>
                <w:rFonts w:ascii="Arial" w:cs="Arial" w:eastAsia="Arial" w:hAnsi="Arial"/>
                <w:sz w:val="18"/>
                <w:szCs w:val="18"/>
                <w:color w:val="auto"/>
              </w:rPr>
              <w:t>468</w:t>
            </w:r>
          </w:p>
        </w:tc>
        <w:tc>
          <w:tcPr>
            <w:tcW w:w="42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080" w:type="dxa"/>
            <w:vAlign w:val="bottom"/>
            <w:shd w:val="clear" w:color="auto" w:fill="E6E7E7"/>
          </w:tcPr>
          <w:p>
            <w:pPr>
              <w:ind w:left="140"/>
              <w:spacing w:after="0" w:line="202" w:lineRule="exact"/>
              <w:rPr>
                <w:sz w:val="20"/>
                <w:szCs w:val="20"/>
                <w:color w:val="auto"/>
              </w:rPr>
            </w:pPr>
            <w:r>
              <w:rPr>
                <w:rFonts w:ascii="Arial" w:cs="Arial" w:eastAsia="Arial" w:hAnsi="Arial"/>
                <w:sz w:val="18"/>
                <w:szCs w:val="18"/>
                <w:color w:val="auto"/>
              </w:rPr>
              <w:t>U.S. government agency securities</w:t>
            </w:r>
          </w:p>
        </w:tc>
        <w:tc>
          <w:tcPr>
            <w:tcW w:w="34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100" w:type="dxa"/>
            <w:vAlign w:val="bottom"/>
            <w:shd w:val="clear" w:color="auto" w:fill="E6E7E7"/>
          </w:tcPr>
          <w:p>
            <w:pPr>
              <w:spacing w:after="0"/>
              <w:rPr>
                <w:sz w:val="17"/>
                <w:szCs w:val="17"/>
                <w:color w:val="auto"/>
              </w:rPr>
            </w:pPr>
          </w:p>
        </w:tc>
        <w:tc>
          <w:tcPr>
            <w:tcW w:w="820" w:type="dxa"/>
            <w:vAlign w:val="bottom"/>
            <w:shd w:val="clear" w:color="auto" w:fill="E6E7E7"/>
          </w:tcPr>
          <w:p>
            <w:pPr>
              <w:jc w:val="right"/>
              <w:ind w:right="77"/>
              <w:spacing w:after="0" w:line="202" w:lineRule="exact"/>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6E7E7"/>
          </w:tcPr>
          <w:p>
            <w:pPr>
              <w:spacing w:after="0"/>
              <w:rPr>
                <w:sz w:val="17"/>
                <w:szCs w:val="17"/>
                <w:color w:val="auto"/>
              </w:rPr>
            </w:pPr>
          </w:p>
        </w:tc>
        <w:tc>
          <w:tcPr>
            <w:tcW w:w="780" w:type="dxa"/>
            <w:vAlign w:val="bottom"/>
            <w:shd w:val="clear" w:color="auto" w:fill="E6E7E7"/>
          </w:tcPr>
          <w:p>
            <w:pPr>
              <w:jc w:val="right"/>
              <w:ind w:right="112"/>
              <w:spacing w:after="0" w:line="202" w:lineRule="exact"/>
              <w:rPr>
                <w:sz w:val="20"/>
                <w:szCs w:val="20"/>
                <w:color w:val="auto"/>
              </w:rPr>
            </w:pPr>
            <w:r>
              <w:rPr>
                <w:rFonts w:ascii="Arial" w:cs="Arial" w:eastAsia="Arial" w:hAnsi="Arial"/>
                <w:sz w:val="18"/>
                <w:szCs w:val="18"/>
                <w:b w:val="1"/>
                <w:bCs w:val="1"/>
                <w:color w:val="auto"/>
              </w:rPr>
              <w:t>30</w:t>
            </w:r>
          </w:p>
        </w:tc>
        <w:tc>
          <w:tcPr>
            <w:tcW w:w="320" w:type="dxa"/>
            <w:vAlign w:val="bottom"/>
            <w:shd w:val="clear" w:color="auto" w:fill="E6E7E7"/>
          </w:tcPr>
          <w:p>
            <w:pPr>
              <w:spacing w:after="0"/>
              <w:rPr>
                <w:sz w:val="17"/>
                <w:szCs w:val="17"/>
                <w:color w:val="auto"/>
              </w:rPr>
            </w:pPr>
          </w:p>
        </w:tc>
        <w:tc>
          <w:tcPr>
            <w:tcW w:w="820" w:type="dxa"/>
            <w:vAlign w:val="bottom"/>
            <w:shd w:val="clear" w:color="auto" w:fill="E6E7E7"/>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E6E7E7"/>
          </w:tcPr>
          <w:p>
            <w:pPr>
              <w:spacing w:after="0"/>
              <w:rPr>
                <w:sz w:val="17"/>
                <w:szCs w:val="17"/>
                <w:color w:val="auto"/>
              </w:rPr>
            </w:pPr>
          </w:p>
        </w:tc>
        <w:tc>
          <w:tcPr>
            <w:tcW w:w="5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84</w:t>
            </w:r>
          </w:p>
        </w:tc>
        <w:tc>
          <w:tcPr>
            <w:tcW w:w="60" w:type="dxa"/>
            <w:vAlign w:val="bottom"/>
            <w:shd w:val="clear" w:color="auto" w:fill="E6E7E7"/>
          </w:tcPr>
          <w:p>
            <w:pPr>
              <w:spacing w:after="0"/>
              <w:rPr>
                <w:sz w:val="17"/>
                <w:szCs w:val="17"/>
                <w:color w:val="auto"/>
              </w:rPr>
            </w:pPr>
          </w:p>
        </w:tc>
      </w:tr>
      <w:tr>
        <w:trPr>
          <w:trHeight w:val="203"/>
        </w:trPr>
        <w:tc>
          <w:tcPr>
            <w:tcW w:w="6080" w:type="dxa"/>
            <w:vAlign w:val="bottom"/>
          </w:tcPr>
          <w:p>
            <w:pPr>
              <w:ind w:left="140"/>
              <w:spacing w:after="0" w:line="202" w:lineRule="exact"/>
              <w:rPr>
                <w:sz w:val="20"/>
                <w:szCs w:val="20"/>
                <w:color w:val="auto"/>
              </w:rPr>
            </w:pPr>
            <w:r>
              <w:rPr>
                <w:rFonts w:ascii="Arial" w:cs="Arial" w:eastAsia="Arial" w:hAnsi="Arial"/>
                <w:sz w:val="18"/>
                <w:szCs w:val="18"/>
                <w:color w:val="auto"/>
              </w:rPr>
              <w:t>Tax-exempt/municipal securities:</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08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Auction-rate securities</w:t>
            </w:r>
          </w:p>
        </w:tc>
        <w:tc>
          <w:tcPr>
            <w:tcW w:w="34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100" w:type="dxa"/>
            <w:vAlign w:val="bottom"/>
            <w:shd w:val="clear" w:color="auto" w:fill="E6E7E7"/>
          </w:tcPr>
          <w:p>
            <w:pPr>
              <w:spacing w:after="0"/>
              <w:rPr>
                <w:sz w:val="17"/>
                <w:szCs w:val="17"/>
                <w:color w:val="auto"/>
              </w:rPr>
            </w:pPr>
          </w:p>
        </w:tc>
        <w:tc>
          <w:tcPr>
            <w:tcW w:w="820" w:type="dxa"/>
            <w:vAlign w:val="bottom"/>
            <w:shd w:val="clear" w:color="auto" w:fill="E6E7E7"/>
          </w:tcPr>
          <w:p>
            <w:pPr>
              <w:jc w:val="right"/>
              <w:ind w:right="77"/>
              <w:spacing w:after="0" w:line="202" w:lineRule="exact"/>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6E7E7"/>
          </w:tcPr>
          <w:p>
            <w:pPr>
              <w:spacing w:after="0"/>
              <w:rPr>
                <w:sz w:val="17"/>
                <w:szCs w:val="17"/>
                <w:color w:val="auto"/>
              </w:rPr>
            </w:pPr>
          </w:p>
        </w:tc>
        <w:tc>
          <w:tcPr>
            <w:tcW w:w="780" w:type="dxa"/>
            <w:vAlign w:val="bottom"/>
            <w:shd w:val="clear" w:color="auto" w:fill="E6E7E7"/>
          </w:tcPr>
          <w:p>
            <w:pPr>
              <w:jc w:val="right"/>
              <w:ind w:right="112"/>
              <w:spacing w:after="0" w:line="202" w:lineRule="exact"/>
              <w:rPr>
                <w:sz w:val="20"/>
                <w:szCs w:val="20"/>
                <w:color w:val="auto"/>
              </w:rPr>
            </w:pPr>
            <w:r>
              <w:rPr>
                <w:rFonts w:ascii="Arial" w:cs="Arial" w:eastAsia="Arial" w:hAnsi="Arial"/>
                <w:sz w:val="18"/>
                <w:szCs w:val="18"/>
                <w:b w:val="1"/>
                <w:bCs w:val="1"/>
                <w:color w:val="auto"/>
              </w:rPr>
              <w:t>1,680</w:t>
            </w:r>
          </w:p>
        </w:tc>
        <w:tc>
          <w:tcPr>
            <w:tcW w:w="320" w:type="dxa"/>
            <w:vAlign w:val="bottom"/>
            <w:shd w:val="clear" w:color="auto" w:fill="E6E7E7"/>
          </w:tcPr>
          <w:p>
            <w:pPr>
              <w:spacing w:after="0"/>
              <w:rPr>
                <w:sz w:val="17"/>
                <w:szCs w:val="17"/>
                <w:color w:val="auto"/>
              </w:rPr>
            </w:pPr>
          </w:p>
        </w:tc>
        <w:tc>
          <w:tcPr>
            <w:tcW w:w="820" w:type="dxa"/>
            <w:vAlign w:val="bottom"/>
            <w:shd w:val="clear" w:color="auto" w:fill="E6E7E7"/>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E6E7E7"/>
          </w:tcPr>
          <w:p>
            <w:pPr>
              <w:spacing w:after="0"/>
              <w:rPr>
                <w:sz w:val="17"/>
                <w:szCs w:val="17"/>
                <w:color w:val="auto"/>
              </w:rPr>
            </w:pPr>
          </w:p>
        </w:tc>
        <w:tc>
          <w:tcPr>
            <w:tcW w:w="5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2,191</w:t>
            </w:r>
          </w:p>
        </w:tc>
        <w:tc>
          <w:tcPr>
            <w:tcW w:w="60" w:type="dxa"/>
            <w:vAlign w:val="bottom"/>
            <w:shd w:val="clear" w:color="auto" w:fill="E6E7E7"/>
          </w:tcPr>
          <w:p>
            <w:pPr>
              <w:spacing w:after="0"/>
              <w:rPr>
                <w:sz w:val="17"/>
                <w:szCs w:val="17"/>
                <w:color w:val="auto"/>
              </w:rPr>
            </w:pPr>
          </w:p>
        </w:tc>
      </w:tr>
      <w:tr>
        <w:trPr>
          <w:trHeight w:val="203"/>
        </w:trPr>
        <w:tc>
          <w:tcPr>
            <w:tcW w:w="6080" w:type="dxa"/>
            <w:vAlign w:val="bottom"/>
          </w:tcPr>
          <w:p>
            <w:pPr>
              <w:ind w:left="420"/>
              <w:spacing w:after="0" w:line="202" w:lineRule="exact"/>
              <w:rPr>
                <w:sz w:val="20"/>
                <w:szCs w:val="20"/>
                <w:color w:val="auto"/>
              </w:rPr>
            </w:pPr>
            <w:r>
              <w:rPr>
                <w:rFonts w:ascii="Arial" w:cs="Arial" w:eastAsia="Arial" w:hAnsi="Arial"/>
                <w:sz w:val="18"/>
                <w:szCs w:val="18"/>
                <w:color w:val="auto"/>
              </w:rPr>
              <w:t>Variable-rate demand notes</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77"/>
              <w:spacing w:after="0" w:line="202" w:lineRule="exact"/>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7"/>
                <w:szCs w:val="17"/>
                <w:color w:val="auto"/>
              </w:rPr>
            </w:pPr>
          </w:p>
        </w:tc>
        <w:tc>
          <w:tcPr>
            <w:tcW w:w="78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30</w:t>
            </w:r>
          </w:p>
        </w:tc>
        <w:tc>
          <w:tcPr>
            <w:tcW w:w="320" w:type="dxa"/>
            <w:vAlign w:val="bottom"/>
          </w:tcPr>
          <w:p>
            <w:pPr>
              <w:spacing w:after="0"/>
              <w:rPr>
                <w:sz w:val="17"/>
                <w:szCs w:val="17"/>
                <w:color w:val="auto"/>
              </w:rPr>
            </w:pPr>
          </w:p>
        </w:tc>
        <w:tc>
          <w:tcPr>
            <w:tcW w:w="820" w:type="dxa"/>
            <w:vAlign w:val="bottom"/>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595</w:t>
            </w:r>
          </w:p>
        </w:tc>
        <w:tc>
          <w:tcPr>
            <w:tcW w:w="60" w:type="dxa"/>
            <w:vAlign w:val="bottom"/>
          </w:tcPr>
          <w:p>
            <w:pPr>
              <w:spacing w:after="0"/>
              <w:rPr>
                <w:sz w:val="17"/>
                <w:szCs w:val="17"/>
                <w:color w:val="auto"/>
              </w:rPr>
            </w:pPr>
          </w:p>
        </w:tc>
      </w:tr>
      <w:tr>
        <w:trPr>
          <w:trHeight w:val="203"/>
        </w:trPr>
        <w:tc>
          <w:tcPr>
            <w:tcW w:w="608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Tax-exempt bonds</w:t>
            </w:r>
          </w:p>
        </w:tc>
        <w:tc>
          <w:tcPr>
            <w:tcW w:w="34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100" w:type="dxa"/>
            <w:vAlign w:val="bottom"/>
            <w:shd w:val="clear" w:color="auto" w:fill="E6E7E7"/>
          </w:tcPr>
          <w:p>
            <w:pPr>
              <w:spacing w:after="0"/>
              <w:rPr>
                <w:sz w:val="17"/>
                <w:szCs w:val="17"/>
                <w:color w:val="auto"/>
              </w:rPr>
            </w:pPr>
          </w:p>
        </w:tc>
        <w:tc>
          <w:tcPr>
            <w:tcW w:w="820" w:type="dxa"/>
            <w:vAlign w:val="bottom"/>
            <w:shd w:val="clear" w:color="auto" w:fill="E6E7E7"/>
          </w:tcPr>
          <w:p>
            <w:pPr>
              <w:jc w:val="right"/>
              <w:ind w:right="77"/>
              <w:spacing w:after="0" w:line="202" w:lineRule="exact"/>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6E7E7"/>
          </w:tcPr>
          <w:p>
            <w:pPr>
              <w:spacing w:after="0"/>
              <w:rPr>
                <w:sz w:val="17"/>
                <w:szCs w:val="17"/>
                <w:color w:val="auto"/>
              </w:rPr>
            </w:pPr>
          </w:p>
        </w:tc>
        <w:tc>
          <w:tcPr>
            <w:tcW w:w="780" w:type="dxa"/>
            <w:vAlign w:val="bottom"/>
            <w:shd w:val="clear" w:color="auto" w:fill="E6E7E7"/>
          </w:tcPr>
          <w:p>
            <w:pPr>
              <w:jc w:val="right"/>
              <w:ind w:right="112"/>
              <w:spacing w:after="0" w:line="202" w:lineRule="exact"/>
              <w:rPr>
                <w:sz w:val="20"/>
                <w:szCs w:val="20"/>
                <w:color w:val="auto"/>
              </w:rPr>
            </w:pPr>
            <w:r>
              <w:rPr>
                <w:rFonts w:ascii="Arial" w:cs="Arial" w:eastAsia="Arial" w:hAnsi="Arial"/>
                <w:sz w:val="18"/>
                <w:szCs w:val="18"/>
                <w:b w:val="1"/>
                <w:bCs w:val="1"/>
                <w:color w:val="auto"/>
              </w:rPr>
              <w:t>65</w:t>
            </w:r>
          </w:p>
        </w:tc>
        <w:tc>
          <w:tcPr>
            <w:tcW w:w="320" w:type="dxa"/>
            <w:vAlign w:val="bottom"/>
            <w:shd w:val="clear" w:color="auto" w:fill="E6E7E7"/>
          </w:tcPr>
          <w:p>
            <w:pPr>
              <w:spacing w:after="0"/>
              <w:rPr>
                <w:sz w:val="17"/>
                <w:szCs w:val="17"/>
                <w:color w:val="auto"/>
              </w:rPr>
            </w:pPr>
          </w:p>
        </w:tc>
        <w:tc>
          <w:tcPr>
            <w:tcW w:w="820" w:type="dxa"/>
            <w:vAlign w:val="bottom"/>
            <w:shd w:val="clear" w:color="auto" w:fill="E6E7E7"/>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E6E7E7"/>
          </w:tcPr>
          <w:p>
            <w:pPr>
              <w:spacing w:after="0"/>
              <w:rPr>
                <w:sz w:val="17"/>
                <w:szCs w:val="17"/>
                <w:color w:val="auto"/>
              </w:rPr>
            </w:pPr>
          </w:p>
        </w:tc>
        <w:tc>
          <w:tcPr>
            <w:tcW w:w="620" w:type="dxa"/>
            <w:vAlign w:val="bottom"/>
            <w:gridSpan w:val="2"/>
            <w:shd w:val="clear" w:color="auto" w:fill="E6E7E7"/>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080" w:type="dxa"/>
            <w:vAlign w:val="bottom"/>
          </w:tcPr>
          <w:p>
            <w:pPr>
              <w:ind w:left="420"/>
              <w:spacing w:after="0" w:line="202" w:lineRule="exact"/>
              <w:rPr>
                <w:sz w:val="20"/>
                <w:szCs w:val="20"/>
                <w:color w:val="auto"/>
              </w:rPr>
            </w:pPr>
            <w:r>
              <w:rPr>
                <w:rFonts w:ascii="Arial" w:cs="Arial" w:eastAsia="Arial" w:hAnsi="Arial"/>
                <w:sz w:val="18"/>
                <w:szCs w:val="18"/>
                <w:color w:val="auto"/>
              </w:rPr>
              <w:t>Tax-exempt commercial paper</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77"/>
              <w:spacing w:after="0" w:line="202" w:lineRule="exact"/>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7"/>
                <w:szCs w:val="17"/>
                <w:color w:val="auto"/>
              </w:rPr>
            </w:pPr>
          </w:p>
        </w:tc>
        <w:tc>
          <w:tcPr>
            <w:tcW w:w="78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820" w:type="dxa"/>
            <w:vAlign w:val="bottom"/>
          </w:tcPr>
          <w:p>
            <w:pPr>
              <w:jc w:val="right"/>
              <w:ind w:right="77"/>
              <w:spacing w:after="0" w:line="202" w:lineRule="exact"/>
              <w:rPr>
                <w:sz w:val="20"/>
                <w:szCs w:val="20"/>
                <w:color w:val="auto"/>
              </w:rPr>
            </w:pPr>
            <w:r>
              <w:rPr>
                <w:rFonts w:ascii="Arial" w:cs="Arial" w:eastAsia="Arial" w:hAnsi="Arial"/>
                <w:sz w:val="18"/>
                <w:szCs w:val="18"/>
                <w:color w:val="auto"/>
              </w:rPr>
              <w:t>202</w:t>
            </w:r>
          </w:p>
        </w:tc>
        <w:tc>
          <w:tcPr>
            <w:tcW w:w="4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60" w:type="dxa"/>
            <w:vAlign w:val="bottom"/>
          </w:tcPr>
          <w:p>
            <w:pPr>
              <w:spacing w:after="0"/>
              <w:rPr>
                <w:sz w:val="17"/>
                <w:szCs w:val="17"/>
                <w:color w:val="auto"/>
              </w:rPr>
            </w:pPr>
          </w:p>
        </w:tc>
      </w:tr>
      <w:tr>
        <w:trPr>
          <w:trHeight w:val="203"/>
        </w:trPr>
        <w:tc>
          <w:tcPr>
            <w:tcW w:w="6080" w:type="dxa"/>
            <w:vAlign w:val="bottom"/>
            <w:shd w:val="clear" w:color="auto" w:fill="E6E7E7"/>
          </w:tcPr>
          <w:p>
            <w:pPr>
              <w:ind w:left="140"/>
              <w:spacing w:after="0" w:line="202" w:lineRule="exact"/>
              <w:rPr>
                <w:sz w:val="20"/>
                <w:szCs w:val="20"/>
                <w:color w:val="auto"/>
              </w:rPr>
            </w:pPr>
            <w:r>
              <w:rPr>
                <w:rFonts w:ascii="Arial" w:cs="Arial" w:eastAsia="Arial" w:hAnsi="Arial"/>
                <w:sz w:val="18"/>
                <w:szCs w:val="18"/>
                <w:color w:val="auto"/>
              </w:rPr>
              <w:t>Cash on hand</w:t>
            </w:r>
          </w:p>
        </w:tc>
        <w:tc>
          <w:tcPr>
            <w:tcW w:w="34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100" w:type="dxa"/>
            <w:vAlign w:val="bottom"/>
            <w:shd w:val="clear" w:color="auto" w:fill="E6E7E7"/>
          </w:tcPr>
          <w:p>
            <w:pPr>
              <w:spacing w:after="0"/>
              <w:rPr>
                <w:sz w:val="17"/>
                <w:szCs w:val="17"/>
                <w:color w:val="auto"/>
              </w:rPr>
            </w:pPr>
          </w:p>
        </w:tc>
        <w:tc>
          <w:tcPr>
            <w:tcW w:w="820" w:type="dxa"/>
            <w:vAlign w:val="bottom"/>
            <w:shd w:val="clear" w:color="auto" w:fill="E6E7E7"/>
          </w:tcPr>
          <w:p>
            <w:pPr>
              <w:jc w:val="right"/>
              <w:ind w:right="77"/>
              <w:spacing w:after="0" w:line="202" w:lineRule="exact"/>
              <w:rPr>
                <w:sz w:val="20"/>
                <w:szCs w:val="20"/>
                <w:color w:val="auto"/>
              </w:rPr>
            </w:pPr>
            <w:r>
              <w:rPr>
                <w:rFonts w:ascii="Arial" w:cs="Arial" w:eastAsia="Arial" w:hAnsi="Arial"/>
                <w:sz w:val="18"/>
                <w:szCs w:val="18"/>
                <w:b w:val="1"/>
                <w:bCs w:val="1"/>
                <w:color w:val="auto"/>
              </w:rPr>
              <w:t>204</w:t>
            </w:r>
          </w:p>
        </w:tc>
        <w:tc>
          <w:tcPr>
            <w:tcW w:w="400" w:type="dxa"/>
            <w:vAlign w:val="bottom"/>
            <w:shd w:val="clear" w:color="auto" w:fill="E6E7E7"/>
          </w:tcPr>
          <w:p>
            <w:pPr>
              <w:spacing w:after="0"/>
              <w:rPr>
                <w:sz w:val="17"/>
                <w:szCs w:val="17"/>
                <w:color w:val="auto"/>
              </w:rPr>
            </w:pPr>
          </w:p>
        </w:tc>
        <w:tc>
          <w:tcPr>
            <w:tcW w:w="780" w:type="dxa"/>
            <w:vAlign w:val="bottom"/>
            <w:shd w:val="clear" w:color="auto" w:fill="E6E7E7"/>
          </w:tcPr>
          <w:p>
            <w:pPr>
              <w:jc w:val="right"/>
              <w:ind w:right="112"/>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E6E7E7"/>
          </w:tcPr>
          <w:p>
            <w:pPr>
              <w:spacing w:after="0"/>
              <w:rPr>
                <w:sz w:val="17"/>
                <w:szCs w:val="17"/>
                <w:color w:val="auto"/>
              </w:rPr>
            </w:pPr>
          </w:p>
        </w:tc>
        <w:tc>
          <w:tcPr>
            <w:tcW w:w="820" w:type="dxa"/>
            <w:vAlign w:val="bottom"/>
            <w:shd w:val="clear" w:color="auto" w:fill="E6E7E7"/>
          </w:tcPr>
          <w:p>
            <w:pPr>
              <w:jc w:val="right"/>
              <w:ind w:right="77"/>
              <w:spacing w:after="0" w:line="202" w:lineRule="exact"/>
              <w:rPr>
                <w:sz w:val="20"/>
                <w:szCs w:val="20"/>
                <w:color w:val="auto"/>
              </w:rPr>
            </w:pPr>
            <w:r>
              <w:rPr>
                <w:rFonts w:ascii="Arial" w:cs="Arial" w:eastAsia="Arial" w:hAnsi="Arial"/>
                <w:sz w:val="18"/>
                <w:szCs w:val="18"/>
                <w:color w:val="auto"/>
              </w:rPr>
              <w:t>231</w:t>
            </w:r>
          </w:p>
        </w:tc>
        <w:tc>
          <w:tcPr>
            <w:tcW w:w="420" w:type="dxa"/>
            <w:vAlign w:val="bottom"/>
            <w:shd w:val="clear" w:color="auto" w:fill="E6E7E7"/>
          </w:tcPr>
          <w:p>
            <w:pPr>
              <w:spacing w:after="0"/>
              <w:rPr>
                <w:sz w:val="17"/>
                <w:szCs w:val="17"/>
                <w:color w:val="auto"/>
              </w:rPr>
            </w:pPr>
          </w:p>
        </w:tc>
        <w:tc>
          <w:tcPr>
            <w:tcW w:w="620" w:type="dxa"/>
            <w:vAlign w:val="bottom"/>
            <w:gridSpan w:val="2"/>
            <w:shd w:val="clear" w:color="auto" w:fill="E6E7E7"/>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0"/>
        </w:trPr>
        <w:tc>
          <w:tcPr>
            <w:tcW w:w="6080" w:type="dxa"/>
            <w:vAlign w:val="bottom"/>
          </w:tcPr>
          <w:p>
            <w:pPr>
              <w:ind w:left="14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1,183</w:t>
            </w:r>
          </w:p>
        </w:tc>
        <w:tc>
          <w:tcPr>
            <w:tcW w:w="4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2,534</w:t>
            </w:r>
          </w:p>
        </w:tc>
        <w:tc>
          <w:tcPr>
            <w:tcW w:w="3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8"/>
                <w:szCs w:val="18"/>
                <w:color w:val="auto"/>
              </w:rPr>
              <w:t>1,214</w:t>
            </w:r>
          </w:p>
        </w:tc>
        <w:tc>
          <w:tcPr>
            <w:tcW w:w="4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4,116</w:t>
            </w:r>
          </w:p>
        </w:tc>
        <w:tc>
          <w:tcPr>
            <w:tcW w:w="60" w:type="dxa"/>
            <w:vAlign w:val="bottom"/>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following table presents the aggregate maturities or average lives of cash equivalents and short-term investments at year-end 2006:</w:t>
      </w:r>
    </w:p>
    <w:p>
      <w:pPr>
        <w:spacing w:after="0" w:line="166" w:lineRule="exact"/>
        <w:rPr>
          <w:sz w:val="20"/>
          <w:szCs w:val="20"/>
          <w:color w:val="auto"/>
        </w:rPr>
      </w:pPr>
    </w:p>
    <w:tbl>
      <w:tblPr>
        <w:tblLayout w:type="fixed"/>
        <w:tblInd w:w="352" w:type="dxa"/>
        <w:tblCellMar>
          <w:top w:w="0" w:type="dxa"/>
          <w:left w:w="0" w:type="dxa"/>
          <w:bottom w:w="0" w:type="dxa"/>
          <w:right w:w="0" w:type="dxa"/>
        </w:tblCellMar>
      </w:tblPr>
      <w:tr>
        <w:trPr>
          <w:trHeight w:val="161"/>
        </w:trPr>
        <w:tc>
          <w:tcPr>
            <w:tcW w:w="5780" w:type="dxa"/>
            <w:vAlign w:val="bottom"/>
            <w:shd w:val="clear" w:color="auto" w:fill="939598"/>
          </w:tcPr>
          <w:p>
            <w:pPr>
              <w:spacing w:after="0"/>
              <w:rPr>
                <w:sz w:val="14"/>
                <w:szCs w:val="14"/>
                <w:color w:val="auto"/>
              </w:rPr>
            </w:pPr>
          </w:p>
        </w:tc>
        <w:tc>
          <w:tcPr>
            <w:tcW w:w="4940" w:type="dxa"/>
            <w:vAlign w:val="bottom"/>
            <w:shd w:val="clear" w:color="auto" w:fill="939598"/>
          </w:tcPr>
          <w:p>
            <w:pPr>
              <w:jc w:val="right"/>
              <w:ind w:right="19"/>
              <w:spacing w:after="0"/>
              <w:rPr>
                <w:sz w:val="20"/>
                <w:szCs w:val="20"/>
                <w:color w:val="auto"/>
              </w:rPr>
            </w:pPr>
            <w:r>
              <w:rPr>
                <w:rFonts w:ascii="Arial" w:cs="Arial" w:eastAsia="Arial" w:hAnsi="Arial"/>
                <w:sz w:val="14"/>
                <w:szCs w:val="14"/>
                <w:b w:val="1"/>
                <w:bCs w:val="1"/>
                <w:color w:val="FFFFFF"/>
              </w:rPr>
              <w:t>Market</w:t>
            </w:r>
          </w:p>
        </w:tc>
      </w:tr>
      <w:tr>
        <w:trPr>
          <w:trHeight w:val="165"/>
        </w:trPr>
        <w:tc>
          <w:tcPr>
            <w:tcW w:w="5780" w:type="dxa"/>
            <w:vAlign w:val="bottom"/>
            <w:shd w:val="clear" w:color="auto" w:fill="939598"/>
          </w:tcPr>
          <w:p>
            <w:pPr>
              <w:spacing w:after="0"/>
              <w:rPr>
                <w:sz w:val="20"/>
                <w:szCs w:val="20"/>
                <w:color w:val="auto"/>
              </w:rPr>
            </w:pPr>
            <w:r>
              <w:rPr>
                <w:rFonts w:ascii="Arial" w:cs="Arial" w:eastAsia="Arial" w:hAnsi="Arial"/>
                <w:sz w:val="14"/>
                <w:szCs w:val="14"/>
                <w:b w:val="1"/>
                <w:bCs w:val="1"/>
                <w:color w:val="FFFFFF"/>
              </w:rPr>
              <w:t>Due</w:t>
            </w:r>
          </w:p>
        </w:tc>
        <w:tc>
          <w:tcPr>
            <w:tcW w:w="4940" w:type="dxa"/>
            <w:vAlign w:val="bottom"/>
            <w:shd w:val="clear" w:color="auto" w:fill="939598"/>
          </w:tcPr>
          <w:p>
            <w:pPr>
              <w:jc w:val="right"/>
              <w:ind w:right="59"/>
              <w:spacing w:after="0"/>
              <w:rPr>
                <w:sz w:val="20"/>
                <w:szCs w:val="20"/>
                <w:color w:val="auto"/>
              </w:rPr>
            </w:pPr>
            <w:r>
              <w:rPr>
                <w:rFonts w:ascii="Arial" w:cs="Arial" w:eastAsia="Arial" w:hAnsi="Arial"/>
                <w:sz w:val="14"/>
                <w:szCs w:val="14"/>
                <w:b w:val="1"/>
                <w:bCs w:val="1"/>
                <w:color w:val="FFFFFF"/>
              </w:rPr>
              <w:t>Value</w:t>
            </w: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One year or less</w:t>
            </w:r>
          </w:p>
        </w:tc>
        <w:tc>
          <w:tcPr>
            <w:tcW w:w="4940" w:type="dxa"/>
            <w:vAlign w:val="bottom"/>
          </w:tcPr>
          <w:p>
            <w:pPr>
              <w:jc w:val="right"/>
              <w:spacing w:after="0" w:line="202" w:lineRule="exact"/>
              <w:rPr>
                <w:sz w:val="20"/>
                <w:szCs w:val="20"/>
                <w:color w:val="auto"/>
              </w:rPr>
            </w:pPr>
            <w:r>
              <w:rPr>
                <w:rFonts w:ascii="Arial" w:cs="Arial" w:eastAsia="Arial" w:hAnsi="Arial"/>
                <w:sz w:val="18"/>
                <w:szCs w:val="18"/>
                <w:color w:val="auto"/>
              </w:rPr>
              <w:t>$ 1,155</w:t>
            </w:r>
          </w:p>
        </w:tc>
      </w:tr>
      <w:tr>
        <w:trPr>
          <w:trHeight w:val="203"/>
        </w:trPr>
        <w:tc>
          <w:tcPr>
            <w:tcW w:w="5780" w:type="dxa"/>
            <w:vAlign w:val="bottom"/>
            <w:shd w:val="clear" w:color="auto" w:fill="E6E7E7"/>
          </w:tcPr>
          <w:p>
            <w:pPr>
              <w:spacing w:after="0" w:line="202" w:lineRule="exact"/>
              <w:rPr>
                <w:sz w:val="20"/>
                <w:szCs w:val="20"/>
                <w:color w:val="auto"/>
              </w:rPr>
            </w:pPr>
            <w:r>
              <w:rPr>
                <w:rFonts w:ascii="Arial" w:cs="Arial" w:eastAsia="Arial" w:hAnsi="Arial"/>
                <w:sz w:val="18"/>
                <w:szCs w:val="18"/>
                <w:color w:val="auto"/>
              </w:rPr>
              <w:t>Two to three years</w:t>
            </w:r>
          </w:p>
        </w:tc>
        <w:tc>
          <w:tcPr>
            <w:tcW w:w="49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360</w:t>
            </w: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Three to ten years</w:t>
            </w:r>
          </w:p>
        </w:tc>
        <w:tc>
          <w:tcPr>
            <w:tcW w:w="4940" w:type="dxa"/>
            <w:vAlign w:val="bottom"/>
          </w:tcPr>
          <w:p>
            <w:pPr>
              <w:jc w:val="right"/>
              <w:spacing w:after="0" w:line="202" w:lineRule="exact"/>
              <w:rPr>
                <w:sz w:val="20"/>
                <w:szCs w:val="20"/>
                <w:color w:val="auto"/>
              </w:rPr>
            </w:pPr>
            <w:r>
              <w:rPr>
                <w:rFonts w:ascii="Arial" w:cs="Arial" w:eastAsia="Arial" w:hAnsi="Arial"/>
                <w:sz w:val="18"/>
                <w:szCs w:val="18"/>
                <w:color w:val="auto"/>
              </w:rPr>
              <w:t>393</w:t>
            </w:r>
          </w:p>
        </w:tc>
      </w:tr>
      <w:tr>
        <w:trPr>
          <w:trHeight w:val="203"/>
        </w:trPr>
        <w:tc>
          <w:tcPr>
            <w:tcW w:w="5780" w:type="dxa"/>
            <w:vAlign w:val="bottom"/>
            <w:shd w:val="clear" w:color="auto" w:fill="E6E7E7"/>
          </w:tcPr>
          <w:p>
            <w:pPr>
              <w:spacing w:after="0" w:line="202" w:lineRule="exact"/>
              <w:rPr>
                <w:sz w:val="20"/>
                <w:szCs w:val="20"/>
                <w:color w:val="auto"/>
              </w:rPr>
            </w:pPr>
            <w:r>
              <w:rPr>
                <w:rFonts w:ascii="Arial" w:cs="Arial" w:eastAsia="Arial" w:hAnsi="Arial"/>
                <w:sz w:val="18"/>
                <w:szCs w:val="18"/>
                <w:color w:val="auto"/>
              </w:rPr>
              <w:t>Thereafter (a)</w:t>
            </w:r>
          </w:p>
        </w:tc>
        <w:tc>
          <w:tcPr>
            <w:tcW w:w="49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1,605</w:t>
            </w:r>
          </w:p>
        </w:tc>
      </w:tr>
    </w:tbl>
    <w:p>
      <w:pPr>
        <w:spacing w:after="0" w:line="202" w:lineRule="exact"/>
        <w:rPr>
          <w:sz w:val="20"/>
          <w:szCs w:val="20"/>
          <w:color w:val="auto"/>
        </w:rPr>
      </w:pPr>
    </w:p>
    <w:p>
      <w:pPr>
        <w:ind w:left="792" w:hanging="346"/>
        <w:spacing w:after="0"/>
        <w:tabs>
          <w:tab w:leader="none" w:pos="792" w:val="left"/>
        </w:tabs>
        <w:numPr>
          <w:ilvl w:val="0"/>
          <w:numId w:val="84"/>
        </w:numPr>
        <w:rPr>
          <w:rFonts w:ascii="Arial" w:cs="Arial" w:eastAsia="Arial" w:hAnsi="Arial"/>
          <w:sz w:val="14"/>
          <w:szCs w:val="14"/>
          <w:color w:val="auto"/>
        </w:rPr>
      </w:pPr>
      <w:r>
        <w:rPr>
          <w:rFonts w:ascii="Arial" w:cs="Arial" w:eastAsia="Arial" w:hAnsi="Arial"/>
          <w:sz w:val="14"/>
          <w:szCs w:val="14"/>
          <w:color w:val="auto"/>
        </w:rPr>
        <w:t>Maturities over 10 years are primarily auction-rate securities.</w:t>
      </w:r>
    </w:p>
    <w:p>
      <w:pPr>
        <w:spacing w:after="0" w:line="153" w:lineRule="exact"/>
        <w:rPr>
          <w:sz w:val="20"/>
          <w:szCs w:val="20"/>
          <w:color w:val="auto"/>
        </w:rPr>
      </w:pPr>
    </w:p>
    <w:p>
      <w:pPr>
        <w:ind w:left="452" w:right="200"/>
        <w:spacing w:after="0" w:line="237" w:lineRule="auto"/>
        <w:rPr>
          <w:sz w:val="20"/>
          <w:szCs w:val="20"/>
          <w:color w:val="auto"/>
        </w:rPr>
      </w:pPr>
      <w:r>
        <w:rPr>
          <w:rFonts w:ascii="Arial" w:cs="Arial" w:eastAsia="Arial" w:hAnsi="Arial"/>
          <w:sz w:val="18"/>
          <w:szCs w:val="18"/>
          <w:color w:val="auto"/>
        </w:rPr>
        <w:t>Unrealized holding gains for these securities were zero at the end of both 2006 and 2005, and $1 million at the end of 2004. Unrealized holding losses for these securities were $23 million, $25 million and $27 million at the end of 2006, 2005 and 2004. Proceeds from sales of these securities before their maturity were $5.34 billion, $4.18 billion and $1.95 billion in 2006, 2005 and 2004. Gross realized gains and losses from the sales of these securities were immaterial for all periods presented.</w:t>
      </w:r>
    </w:p>
    <w:p>
      <w:pPr>
        <w:sectPr>
          <w:pgSz w:w="11900" w:h="16838" w:orient="portrait"/>
          <w:cols w:equalWidth="0" w:num="1">
            <w:col w:w="11392"/>
          </w:cols>
          <w:pgMar w:left="248" w:top="287" w:right="259" w:bottom="1440" w:gutter="0" w:footer="0" w:header="0"/>
        </w:sectPr>
      </w:pPr>
    </w:p>
    <w:bookmarkStart w:id="68" w:name="page69"/>
    <w:bookmarkEnd w:id="68"/>
    <w:p>
      <w:pPr>
        <w:jc w:val="right"/>
        <w:spacing w:after="0"/>
        <w:tabs>
          <w:tab w:leader="none" w:pos="12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2006 ANNUAL REPORT</w:t>
      </w:r>
      <w:r>
        <w:rPr>
          <w:sz w:val="20"/>
          <w:szCs w:val="20"/>
          <w:color w:val="auto"/>
        </w:rPr>
        <w:tab/>
      </w:r>
      <w:r>
        <w:rPr>
          <w:rFonts w:ascii="Arial" w:cs="Arial" w:eastAsia="Arial" w:hAnsi="Arial"/>
          <w:sz w:val="12"/>
          <w:szCs w:val="12"/>
          <w:color w:val="939598"/>
        </w:rPr>
        <w:t>19</w:t>
      </w:r>
    </w:p>
    <w:p>
      <w:pPr>
        <w:spacing w:after="0" w:line="11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4. Equity and Other Long-term Investments</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Following is information on the investments at December 31, 2006 and 2005: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shd w:val="clear" w:color="auto" w:fill="939598"/>
          </w:tcPr>
          <w:p>
            <w:pPr>
              <w:spacing w:after="0"/>
              <w:rPr>
                <w:sz w:val="14"/>
                <w:szCs w:val="14"/>
                <w:color w:val="auto"/>
              </w:rPr>
            </w:pPr>
          </w:p>
        </w:tc>
        <w:tc>
          <w:tcPr>
            <w:tcW w:w="380" w:type="dxa"/>
            <w:vAlign w:val="bottom"/>
            <w:shd w:val="clear" w:color="auto" w:fill="939598"/>
          </w:tcPr>
          <w:p>
            <w:pPr>
              <w:spacing w:after="0"/>
              <w:rPr>
                <w:sz w:val="14"/>
                <w:szCs w:val="14"/>
                <w:color w:val="auto"/>
              </w:rPr>
            </w:pPr>
          </w:p>
        </w:tc>
        <w:tc>
          <w:tcPr>
            <w:tcW w:w="100" w:type="dxa"/>
            <w:vAlign w:val="bottom"/>
            <w:shd w:val="clear" w:color="auto" w:fill="939598"/>
          </w:tcPr>
          <w:p>
            <w:pPr>
              <w:spacing w:after="0"/>
              <w:rPr>
                <w:sz w:val="14"/>
                <w:szCs w:val="14"/>
                <w:color w:val="auto"/>
              </w:rPr>
            </w:pPr>
          </w:p>
        </w:tc>
        <w:tc>
          <w:tcPr>
            <w:tcW w:w="480" w:type="dxa"/>
            <w:vAlign w:val="bottom"/>
            <w:shd w:val="clear" w:color="auto" w:fill="939598"/>
          </w:tcPr>
          <w:p>
            <w:pPr>
              <w:spacing w:after="0"/>
              <w:rPr>
                <w:sz w:val="14"/>
                <w:szCs w:val="14"/>
                <w:color w:val="auto"/>
              </w:rPr>
            </w:pPr>
          </w:p>
        </w:tc>
        <w:tc>
          <w:tcPr>
            <w:tcW w:w="340" w:type="dxa"/>
            <w:vAlign w:val="bottom"/>
            <w:shd w:val="clear" w:color="auto" w:fill="939598"/>
          </w:tcPr>
          <w:p>
            <w:pPr>
              <w:spacing w:after="0"/>
              <w:rPr>
                <w:sz w:val="14"/>
                <w:szCs w:val="14"/>
                <w:color w:val="auto"/>
              </w:rPr>
            </w:pPr>
          </w:p>
        </w:tc>
        <w:tc>
          <w:tcPr>
            <w:tcW w:w="920" w:type="dxa"/>
            <w:vAlign w:val="bottom"/>
            <w:gridSpan w:val="2"/>
            <w:shd w:val="clear" w:color="auto" w:fill="939598"/>
          </w:tcPr>
          <w:p>
            <w:pPr>
              <w:ind w:left="180"/>
              <w:spacing w:after="0"/>
              <w:rPr>
                <w:sz w:val="20"/>
                <w:szCs w:val="20"/>
                <w:color w:val="auto"/>
              </w:rPr>
            </w:pPr>
            <w:r>
              <w:rPr>
                <w:rFonts w:ascii="Arial" w:cs="Arial" w:eastAsia="Arial" w:hAnsi="Arial"/>
                <w:sz w:val="14"/>
                <w:szCs w:val="14"/>
                <w:b w:val="1"/>
                <w:bCs w:val="1"/>
                <w:color w:val="FFFFFF"/>
              </w:rPr>
              <w:t>Unrealized</w:t>
            </w:r>
          </w:p>
        </w:tc>
        <w:tc>
          <w:tcPr>
            <w:tcW w:w="440" w:type="dxa"/>
            <w:vAlign w:val="bottom"/>
            <w:shd w:val="clear" w:color="auto" w:fill="939598"/>
          </w:tcPr>
          <w:p>
            <w:pPr>
              <w:spacing w:after="0"/>
              <w:rPr>
                <w:sz w:val="14"/>
                <w:szCs w:val="14"/>
                <w:color w:val="auto"/>
              </w:rPr>
            </w:pPr>
          </w:p>
        </w:tc>
        <w:tc>
          <w:tcPr>
            <w:tcW w:w="660" w:type="dxa"/>
            <w:vAlign w:val="bottom"/>
            <w:shd w:val="clear" w:color="auto" w:fill="939598"/>
          </w:tcPr>
          <w:p>
            <w:pPr>
              <w:spacing w:after="0"/>
              <w:rPr>
                <w:sz w:val="14"/>
                <w:szCs w:val="14"/>
                <w:color w:val="auto"/>
              </w:rPr>
            </w:pPr>
          </w:p>
        </w:tc>
        <w:tc>
          <w:tcPr>
            <w:tcW w:w="660" w:type="dxa"/>
            <w:vAlign w:val="bottom"/>
            <w:gridSpan w:val="3"/>
            <w:shd w:val="clear" w:color="auto" w:fill="939598"/>
          </w:tcPr>
          <w:p>
            <w:pPr>
              <w:ind w:left="280"/>
              <w:spacing w:after="0"/>
              <w:rPr>
                <w:sz w:val="20"/>
                <w:szCs w:val="20"/>
                <w:color w:val="auto"/>
              </w:rPr>
            </w:pPr>
            <w:r>
              <w:rPr>
                <w:rFonts w:ascii="Arial" w:cs="Arial" w:eastAsia="Arial" w:hAnsi="Arial"/>
                <w:sz w:val="14"/>
                <w:szCs w:val="14"/>
                <w:b w:val="1"/>
                <w:bCs w:val="1"/>
                <w:color w:val="FFFFFF"/>
              </w:rPr>
              <w:t>Fair</w:t>
            </w:r>
          </w:p>
        </w:tc>
        <w:tc>
          <w:tcPr>
            <w:tcW w:w="0" w:type="dxa"/>
            <w:vAlign w:val="bottom"/>
          </w:tcPr>
          <w:p>
            <w:pPr>
              <w:spacing w:after="0"/>
              <w:rPr>
                <w:sz w:val="1"/>
                <w:szCs w:val="1"/>
                <w:color w:val="auto"/>
              </w:rPr>
            </w:pPr>
          </w:p>
        </w:tc>
      </w:tr>
      <w:tr>
        <w:trPr>
          <w:trHeight w:val="165"/>
        </w:trPr>
        <w:tc>
          <w:tcPr>
            <w:tcW w:w="6740" w:type="dxa"/>
            <w:vAlign w:val="bottom"/>
            <w:shd w:val="clear" w:color="auto" w:fill="939598"/>
          </w:tcPr>
          <w:p>
            <w:pPr>
              <w:spacing w:after="0"/>
              <w:rPr>
                <w:sz w:val="14"/>
                <w:szCs w:val="14"/>
                <w:color w:val="auto"/>
              </w:rPr>
            </w:pPr>
          </w:p>
        </w:tc>
        <w:tc>
          <w:tcPr>
            <w:tcW w:w="380" w:type="dxa"/>
            <w:vAlign w:val="bottom"/>
            <w:shd w:val="clear" w:color="auto" w:fill="939598"/>
          </w:tcPr>
          <w:p>
            <w:pPr>
              <w:spacing w:after="0"/>
              <w:rPr>
                <w:sz w:val="14"/>
                <w:szCs w:val="14"/>
                <w:color w:val="auto"/>
              </w:rPr>
            </w:pPr>
          </w:p>
        </w:tc>
        <w:tc>
          <w:tcPr>
            <w:tcW w:w="580" w:type="dxa"/>
            <w:vAlign w:val="bottom"/>
            <w:gridSpan w:val="2"/>
            <w:shd w:val="clear" w:color="auto" w:fill="939598"/>
          </w:tcPr>
          <w:p>
            <w:pPr>
              <w:jc w:val="right"/>
              <w:ind w:right="152"/>
              <w:spacing w:after="0"/>
              <w:rPr>
                <w:sz w:val="20"/>
                <w:szCs w:val="20"/>
                <w:color w:val="auto"/>
              </w:rPr>
            </w:pPr>
            <w:r>
              <w:rPr>
                <w:rFonts w:ascii="Arial" w:cs="Arial" w:eastAsia="Arial" w:hAnsi="Arial"/>
                <w:sz w:val="14"/>
                <w:szCs w:val="14"/>
                <w:b w:val="1"/>
                <w:bCs w:val="1"/>
                <w:color w:val="FFFFFF"/>
              </w:rPr>
              <w:t>Cost</w:t>
            </w:r>
          </w:p>
        </w:tc>
        <w:tc>
          <w:tcPr>
            <w:tcW w:w="760" w:type="dxa"/>
            <w:vAlign w:val="bottom"/>
            <w:gridSpan w:val="2"/>
            <w:shd w:val="clear" w:color="auto" w:fill="939598"/>
          </w:tcPr>
          <w:p>
            <w:pPr>
              <w:ind w:left="200"/>
              <w:spacing w:after="0"/>
              <w:rPr>
                <w:sz w:val="20"/>
                <w:szCs w:val="20"/>
                <w:color w:val="auto"/>
              </w:rPr>
            </w:pPr>
            <w:r>
              <w:rPr>
                <w:rFonts w:ascii="Arial" w:cs="Arial" w:eastAsia="Arial" w:hAnsi="Arial"/>
                <w:sz w:val="14"/>
                <w:szCs w:val="14"/>
                <w:b w:val="1"/>
                <w:bCs w:val="1"/>
                <w:color w:val="FFFFFF"/>
              </w:rPr>
              <w:t>Gains</w:t>
            </w:r>
          </w:p>
        </w:tc>
        <w:tc>
          <w:tcPr>
            <w:tcW w:w="940" w:type="dxa"/>
            <w:vAlign w:val="bottom"/>
            <w:gridSpan w:val="2"/>
            <w:shd w:val="clear" w:color="auto" w:fill="939598"/>
          </w:tcPr>
          <w:p>
            <w:pPr>
              <w:ind w:left="200"/>
              <w:spacing w:after="0"/>
              <w:rPr>
                <w:sz w:val="20"/>
                <w:szCs w:val="20"/>
                <w:color w:val="auto"/>
              </w:rPr>
            </w:pPr>
            <w:r>
              <w:rPr>
                <w:rFonts w:ascii="Arial" w:cs="Arial" w:eastAsia="Arial" w:hAnsi="Arial"/>
                <w:sz w:val="14"/>
                <w:szCs w:val="14"/>
                <w:b w:val="1"/>
                <w:bCs w:val="1"/>
                <w:color w:val="FFFFFF"/>
              </w:rPr>
              <w:t>(Losses)</w:t>
            </w:r>
          </w:p>
        </w:tc>
        <w:tc>
          <w:tcPr>
            <w:tcW w:w="660" w:type="dxa"/>
            <w:vAlign w:val="bottom"/>
            <w:shd w:val="clear" w:color="auto" w:fill="939598"/>
          </w:tcPr>
          <w:p>
            <w:pPr>
              <w:jc w:val="right"/>
              <w:ind w:right="134"/>
              <w:spacing w:after="0"/>
              <w:rPr>
                <w:sz w:val="20"/>
                <w:szCs w:val="20"/>
                <w:color w:val="auto"/>
              </w:rPr>
            </w:pPr>
            <w:r>
              <w:rPr>
                <w:rFonts w:ascii="Arial" w:cs="Arial" w:eastAsia="Arial" w:hAnsi="Arial"/>
                <w:sz w:val="14"/>
                <w:szCs w:val="14"/>
                <w:b w:val="1"/>
                <w:bCs w:val="1"/>
                <w:color w:val="FFFFFF"/>
              </w:rPr>
              <w:t>Net</w:t>
            </w:r>
          </w:p>
        </w:tc>
        <w:tc>
          <w:tcPr>
            <w:tcW w:w="660" w:type="dxa"/>
            <w:vAlign w:val="bottom"/>
            <w:gridSpan w:val="3"/>
            <w:shd w:val="clear" w:color="auto" w:fill="939598"/>
          </w:tcPr>
          <w:p>
            <w:pPr>
              <w:ind w:left="220"/>
              <w:spacing w:after="0"/>
              <w:rPr>
                <w:sz w:val="20"/>
                <w:szCs w:val="20"/>
                <w:color w:val="auto"/>
              </w:rPr>
            </w:pPr>
            <w:r>
              <w:rPr>
                <w:rFonts w:ascii="Arial" w:cs="Arial" w:eastAsia="Arial" w:hAnsi="Arial"/>
                <w:sz w:val="14"/>
                <w:szCs w:val="14"/>
                <w:b w:val="1"/>
                <w:bCs w:val="1"/>
                <w:color w:val="FFFFFF"/>
              </w:rPr>
              <w:t>Value</w:t>
            </w:r>
          </w:p>
        </w:tc>
        <w:tc>
          <w:tcPr>
            <w:tcW w:w="0" w:type="dxa"/>
            <w:vAlign w:val="bottom"/>
          </w:tcPr>
          <w:p>
            <w:pPr>
              <w:spacing w:after="0"/>
              <w:rPr>
                <w:sz w:val="1"/>
                <w:szCs w:val="1"/>
                <w:color w:val="auto"/>
              </w:rPr>
            </w:pPr>
          </w:p>
        </w:tc>
      </w:tr>
      <w:tr>
        <w:trPr>
          <w:trHeight w:val="203"/>
        </w:trPr>
        <w:tc>
          <w:tcPr>
            <w:tcW w:w="674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December 31, 2006</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E6E7E7"/>
          </w:tcPr>
          <w:p>
            <w:pPr>
              <w:ind w:left="140"/>
              <w:spacing w:after="0" w:line="202" w:lineRule="exact"/>
              <w:rPr>
                <w:sz w:val="20"/>
                <w:szCs w:val="20"/>
                <w:color w:val="auto"/>
              </w:rPr>
            </w:pPr>
            <w:r>
              <w:rPr>
                <w:rFonts w:ascii="Arial" w:cs="Arial" w:eastAsia="Arial" w:hAnsi="Arial"/>
                <w:sz w:val="18"/>
                <w:szCs w:val="18"/>
                <w:b w:val="1"/>
                <w:bCs w:val="1"/>
                <w:color w:val="auto"/>
              </w:rPr>
              <w:t>Equity investments:</w:t>
            </w:r>
          </w:p>
        </w:tc>
        <w:tc>
          <w:tcPr>
            <w:tcW w:w="380" w:type="dxa"/>
            <w:vAlign w:val="bottom"/>
            <w:shd w:val="clear" w:color="auto" w:fill="E6E7E7"/>
          </w:tcPr>
          <w:p>
            <w:pPr>
              <w:spacing w:after="0"/>
              <w:rPr>
                <w:sz w:val="17"/>
                <w:szCs w:val="17"/>
                <w:color w:val="auto"/>
              </w:rPr>
            </w:pPr>
          </w:p>
        </w:tc>
        <w:tc>
          <w:tcPr>
            <w:tcW w:w="100" w:type="dxa"/>
            <w:vAlign w:val="bottom"/>
            <w:shd w:val="clear" w:color="auto" w:fill="E6E7E7"/>
          </w:tcPr>
          <w:p>
            <w:pPr>
              <w:spacing w:after="0"/>
              <w:rPr>
                <w:sz w:val="17"/>
                <w:szCs w:val="17"/>
                <w:color w:val="auto"/>
              </w:rPr>
            </w:pPr>
          </w:p>
        </w:tc>
        <w:tc>
          <w:tcPr>
            <w:tcW w:w="480" w:type="dxa"/>
            <w:vAlign w:val="bottom"/>
            <w:shd w:val="clear" w:color="auto" w:fill="E6E7E7"/>
          </w:tcPr>
          <w:p>
            <w:pPr>
              <w:spacing w:after="0"/>
              <w:rPr>
                <w:sz w:val="17"/>
                <w:szCs w:val="17"/>
                <w:color w:val="auto"/>
              </w:rPr>
            </w:pPr>
          </w:p>
        </w:tc>
        <w:tc>
          <w:tcPr>
            <w:tcW w:w="340" w:type="dxa"/>
            <w:vAlign w:val="bottom"/>
            <w:shd w:val="clear" w:color="auto" w:fill="E6E7E7"/>
          </w:tcPr>
          <w:p>
            <w:pPr>
              <w:spacing w:after="0"/>
              <w:rPr>
                <w:sz w:val="17"/>
                <w:szCs w:val="17"/>
                <w:color w:val="auto"/>
              </w:rPr>
            </w:pPr>
          </w:p>
        </w:tc>
        <w:tc>
          <w:tcPr>
            <w:tcW w:w="420" w:type="dxa"/>
            <w:vAlign w:val="bottom"/>
            <w:shd w:val="clear" w:color="auto" w:fill="E6E7E7"/>
          </w:tcPr>
          <w:p>
            <w:pPr>
              <w:spacing w:after="0"/>
              <w:rPr>
                <w:sz w:val="17"/>
                <w:szCs w:val="17"/>
                <w:color w:val="auto"/>
              </w:rPr>
            </w:pPr>
          </w:p>
        </w:tc>
        <w:tc>
          <w:tcPr>
            <w:tcW w:w="500" w:type="dxa"/>
            <w:vAlign w:val="bottom"/>
            <w:shd w:val="clear" w:color="auto" w:fill="E6E7E7"/>
          </w:tcPr>
          <w:p>
            <w:pPr>
              <w:spacing w:after="0"/>
              <w:rPr>
                <w:sz w:val="17"/>
                <w:szCs w:val="17"/>
                <w:color w:val="auto"/>
              </w:rPr>
            </w:pPr>
          </w:p>
        </w:tc>
        <w:tc>
          <w:tcPr>
            <w:tcW w:w="440" w:type="dxa"/>
            <w:vAlign w:val="bottom"/>
            <w:shd w:val="clear" w:color="auto" w:fill="E6E7E7"/>
          </w:tcPr>
          <w:p>
            <w:pPr>
              <w:spacing w:after="0"/>
              <w:rPr>
                <w:sz w:val="17"/>
                <w:szCs w:val="17"/>
                <w:color w:val="auto"/>
              </w:rPr>
            </w:pPr>
          </w:p>
        </w:tc>
        <w:tc>
          <w:tcPr>
            <w:tcW w:w="660" w:type="dxa"/>
            <w:vAlign w:val="bottom"/>
            <w:shd w:val="clear" w:color="auto" w:fill="E6E7E7"/>
          </w:tcPr>
          <w:p>
            <w:pPr>
              <w:spacing w:after="0"/>
              <w:rPr>
                <w:sz w:val="17"/>
                <w:szCs w:val="17"/>
                <w:color w:val="auto"/>
              </w:rPr>
            </w:pPr>
          </w:p>
        </w:tc>
        <w:tc>
          <w:tcPr>
            <w:tcW w:w="300" w:type="dxa"/>
            <w:vAlign w:val="bottom"/>
            <w:shd w:val="clear" w:color="auto" w:fill="E6E7E7"/>
          </w:tcPr>
          <w:p>
            <w:pPr>
              <w:spacing w:after="0"/>
              <w:rPr>
                <w:sz w:val="17"/>
                <w:szCs w:val="17"/>
                <w:color w:val="auto"/>
              </w:rPr>
            </w:pPr>
          </w:p>
        </w:tc>
        <w:tc>
          <w:tcPr>
            <w:tcW w:w="30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400"/>
              <w:spacing w:after="0" w:line="202" w:lineRule="exact"/>
              <w:rPr>
                <w:sz w:val="20"/>
                <w:szCs w:val="20"/>
                <w:color w:val="auto"/>
              </w:rPr>
            </w:pPr>
            <w:r>
              <w:rPr>
                <w:rFonts w:ascii="Arial" w:cs="Arial" w:eastAsia="Arial" w:hAnsi="Arial"/>
                <w:sz w:val="18"/>
                <w:szCs w:val="18"/>
                <w:b w:val="1"/>
                <w:bCs w:val="1"/>
                <w:color w:val="auto"/>
              </w:rPr>
              <w:t>Marketable</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2</w:t>
            </w:r>
          </w:p>
        </w:tc>
        <w:tc>
          <w:tcPr>
            <w:tcW w:w="34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3</w:t>
            </w:r>
          </w:p>
        </w:tc>
        <w:tc>
          <w:tcPr>
            <w:tcW w:w="50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tcPr>
          <w:p>
            <w:pPr>
              <w:ind w:left="80"/>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$ 3</w:t>
            </w:r>
          </w:p>
        </w:tc>
        <w:tc>
          <w:tcPr>
            <w:tcW w:w="300" w:type="dxa"/>
            <w:vAlign w:val="bottom"/>
          </w:tcPr>
          <w:p>
            <w:pPr>
              <w:ind w:left="200"/>
              <w:spacing w:after="0" w:line="202" w:lineRule="exact"/>
              <w:rPr>
                <w:sz w:val="20"/>
                <w:szCs w:val="20"/>
                <w:color w:val="auto"/>
              </w:rPr>
            </w:pPr>
            <w:r>
              <w:rPr>
                <w:rFonts w:ascii="Arial" w:cs="Arial" w:eastAsia="Arial" w:hAnsi="Arial"/>
                <w:sz w:val="18"/>
                <w:szCs w:val="18"/>
                <w:b w:val="1"/>
                <w:bCs w:val="1"/>
                <w:color w:val="auto"/>
                <w:w w:val="79"/>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E6E7E7"/>
          </w:tcPr>
          <w:p>
            <w:pPr>
              <w:ind w:left="400"/>
              <w:spacing w:after="0" w:line="202" w:lineRule="exact"/>
              <w:rPr>
                <w:sz w:val="20"/>
                <w:szCs w:val="20"/>
                <w:color w:val="auto"/>
              </w:rPr>
            </w:pPr>
            <w:r>
              <w:rPr>
                <w:rFonts w:ascii="Arial" w:cs="Arial" w:eastAsia="Arial" w:hAnsi="Arial"/>
                <w:sz w:val="18"/>
                <w:szCs w:val="18"/>
                <w:b w:val="1"/>
                <w:bCs w:val="1"/>
                <w:color w:val="auto"/>
              </w:rPr>
              <w:t>Non-marketable</w:t>
            </w:r>
          </w:p>
        </w:tc>
        <w:tc>
          <w:tcPr>
            <w:tcW w:w="380" w:type="dxa"/>
            <w:vAlign w:val="bottom"/>
            <w:shd w:val="clear" w:color="auto" w:fill="E6E7E7"/>
          </w:tcPr>
          <w:p>
            <w:pPr>
              <w:spacing w:after="0"/>
              <w:rPr>
                <w:sz w:val="17"/>
                <w:szCs w:val="17"/>
                <w:color w:val="auto"/>
              </w:rPr>
            </w:pPr>
          </w:p>
        </w:tc>
        <w:tc>
          <w:tcPr>
            <w:tcW w:w="100" w:type="dxa"/>
            <w:vAlign w:val="bottom"/>
            <w:shd w:val="clear" w:color="auto" w:fill="E6E7E7"/>
          </w:tcPr>
          <w:p>
            <w:pPr>
              <w:spacing w:after="0"/>
              <w:rPr>
                <w:sz w:val="17"/>
                <w:szCs w:val="17"/>
                <w:color w:val="auto"/>
              </w:rPr>
            </w:pPr>
          </w:p>
        </w:tc>
        <w:tc>
          <w:tcPr>
            <w:tcW w:w="480" w:type="dxa"/>
            <w:vAlign w:val="bottom"/>
            <w:shd w:val="clear" w:color="auto" w:fill="E6E7E7"/>
          </w:tcPr>
          <w:p>
            <w:pPr>
              <w:jc w:val="right"/>
              <w:ind w:right="92"/>
              <w:spacing w:after="0" w:line="202" w:lineRule="exact"/>
              <w:rPr>
                <w:sz w:val="20"/>
                <w:szCs w:val="20"/>
                <w:color w:val="auto"/>
              </w:rPr>
            </w:pPr>
            <w:r>
              <w:rPr>
                <w:rFonts w:ascii="Arial" w:cs="Arial" w:eastAsia="Arial" w:hAnsi="Arial"/>
                <w:sz w:val="18"/>
                <w:szCs w:val="18"/>
                <w:b w:val="1"/>
                <w:bCs w:val="1"/>
                <w:color w:val="auto"/>
                <w:w w:val="93"/>
              </w:rPr>
              <w:t>110</w:t>
            </w:r>
          </w:p>
        </w:tc>
        <w:tc>
          <w:tcPr>
            <w:tcW w:w="340" w:type="dxa"/>
            <w:vAlign w:val="bottom"/>
            <w:shd w:val="clear" w:color="auto" w:fill="E6E7E7"/>
          </w:tcPr>
          <w:p>
            <w:pPr>
              <w:spacing w:after="0"/>
              <w:rPr>
                <w:sz w:val="17"/>
                <w:szCs w:val="17"/>
                <w:color w:val="auto"/>
              </w:rPr>
            </w:pPr>
          </w:p>
        </w:tc>
        <w:tc>
          <w:tcPr>
            <w:tcW w:w="420" w:type="dxa"/>
            <w:vAlign w:val="bottom"/>
            <w:shd w:val="clear" w:color="auto" w:fill="E6E7E7"/>
          </w:tcPr>
          <w:p>
            <w:pPr>
              <w:jc w:val="right"/>
              <w:ind w:right="94"/>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E6E7E7"/>
          </w:tcPr>
          <w:p>
            <w:pPr>
              <w:spacing w:after="0"/>
              <w:rPr>
                <w:sz w:val="17"/>
                <w:szCs w:val="17"/>
                <w:color w:val="auto"/>
              </w:rPr>
            </w:pPr>
          </w:p>
        </w:tc>
        <w:tc>
          <w:tcPr>
            <w:tcW w:w="440" w:type="dxa"/>
            <w:vAlign w:val="bottom"/>
            <w:shd w:val="clear" w:color="auto" w:fill="E6E7E7"/>
          </w:tcPr>
          <w:p>
            <w:pPr>
              <w:ind w:left="80"/>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E6E7E7"/>
          </w:tcPr>
          <w:p>
            <w:pPr>
              <w:jc w:val="right"/>
              <w:ind w:right="94"/>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E6E7E7"/>
          </w:tcPr>
          <w:p>
            <w:pPr>
              <w:spacing w:after="0"/>
              <w:rPr>
                <w:sz w:val="17"/>
                <w:szCs w:val="17"/>
                <w:color w:val="auto"/>
              </w:rPr>
            </w:pPr>
          </w:p>
        </w:tc>
        <w:tc>
          <w:tcPr>
            <w:tcW w:w="3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w w:val="93"/>
              </w:rPr>
              <w:t>110</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4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Mutual funds and other</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b w:val="1"/>
                <w:bCs w:val="1"/>
                <w:color w:val="auto"/>
                <w:w w:val="93"/>
              </w:rPr>
              <w:t>172</w:t>
            </w:r>
          </w:p>
        </w:tc>
        <w:tc>
          <w:tcPr>
            <w:tcW w:w="3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94"/>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80"/>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94"/>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w w:val="93"/>
              </w:rPr>
              <w:t>172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E6E7E7"/>
          </w:tcPr>
          <w:p>
            <w:pPr>
              <w:ind w:left="140"/>
              <w:spacing w:after="0" w:line="202" w:lineRule="exact"/>
              <w:rPr>
                <w:sz w:val="20"/>
                <w:szCs w:val="20"/>
                <w:color w:val="auto"/>
              </w:rPr>
            </w:pPr>
            <w:r>
              <w:rPr>
                <w:rFonts w:ascii="Arial" w:cs="Arial" w:eastAsia="Arial" w:hAnsi="Arial"/>
                <w:sz w:val="18"/>
                <w:szCs w:val="18"/>
                <w:b w:val="1"/>
                <w:bCs w:val="1"/>
                <w:color w:val="auto"/>
              </w:rPr>
              <w:t>Total</w:t>
            </w:r>
          </w:p>
        </w:tc>
        <w:tc>
          <w:tcPr>
            <w:tcW w:w="380" w:type="dxa"/>
            <w:vAlign w:val="bottom"/>
            <w:shd w:val="clear" w:color="auto" w:fill="E6E7E7"/>
          </w:tcPr>
          <w:p>
            <w:pPr>
              <w:spacing w:after="0"/>
              <w:rPr>
                <w:sz w:val="17"/>
                <w:szCs w:val="17"/>
                <w:color w:val="auto"/>
              </w:rPr>
            </w:pPr>
          </w:p>
        </w:tc>
        <w:tc>
          <w:tcPr>
            <w:tcW w:w="100" w:type="dxa"/>
            <w:vAlign w:val="bottom"/>
            <w:tcBorders>
              <w:bottom w:val="single" w:sz="8" w:color="auto"/>
            </w:tcBorders>
            <w:shd w:val="clear" w:color="auto" w:fill="E6E7E7"/>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80" w:type="dxa"/>
            <w:vAlign w:val="bottom"/>
            <w:tcBorders>
              <w:bottom w:val="single" w:sz="8" w:color="auto"/>
            </w:tcBorders>
            <w:shd w:val="clear" w:color="auto" w:fill="E6E7E7"/>
          </w:tcPr>
          <w:p>
            <w:pPr>
              <w:jc w:val="right"/>
              <w:ind w:right="92"/>
              <w:spacing w:after="0" w:line="202" w:lineRule="exact"/>
              <w:rPr>
                <w:sz w:val="20"/>
                <w:szCs w:val="20"/>
                <w:color w:val="auto"/>
              </w:rPr>
            </w:pPr>
            <w:r>
              <w:rPr>
                <w:rFonts w:ascii="Arial" w:cs="Arial" w:eastAsia="Arial" w:hAnsi="Arial"/>
                <w:sz w:val="18"/>
                <w:szCs w:val="18"/>
                <w:b w:val="1"/>
                <w:bCs w:val="1"/>
                <w:color w:val="auto"/>
                <w:w w:val="93"/>
              </w:rPr>
              <w:t>284</w:t>
            </w:r>
          </w:p>
        </w:tc>
        <w:tc>
          <w:tcPr>
            <w:tcW w:w="340" w:type="dxa"/>
            <w:vAlign w:val="bottom"/>
            <w:tcBorders>
              <w:bottom w:val="single" w:sz="8" w:color="auto"/>
            </w:tcBorders>
            <w:shd w:val="clear" w:color="auto" w:fill="E6E7E7"/>
          </w:tcPr>
          <w:p>
            <w:pPr>
              <w:ind w:left="200"/>
              <w:spacing w:after="0" w:line="202" w:lineRule="exact"/>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E6E7E7"/>
          </w:tcPr>
          <w:p>
            <w:pPr>
              <w:jc w:val="right"/>
              <w:ind w:right="94"/>
              <w:spacing w:after="0" w:line="202" w:lineRule="exact"/>
              <w:rPr>
                <w:sz w:val="20"/>
                <w:szCs w:val="20"/>
                <w:color w:val="auto"/>
              </w:rPr>
            </w:pPr>
            <w:r>
              <w:rPr>
                <w:rFonts w:ascii="Arial" w:cs="Arial" w:eastAsia="Arial" w:hAnsi="Arial"/>
                <w:sz w:val="18"/>
                <w:szCs w:val="18"/>
                <w:b w:val="1"/>
                <w:bCs w:val="1"/>
                <w:color w:val="auto"/>
              </w:rPr>
              <w:t>3</w:t>
            </w:r>
          </w:p>
        </w:tc>
        <w:tc>
          <w:tcPr>
            <w:tcW w:w="500" w:type="dxa"/>
            <w:vAlign w:val="bottom"/>
            <w:tcBorders>
              <w:bottom w:val="single" w:sz="8" w:color="auto"/>
            </w:tcBorders>
            <w:shd w:val="clear" w:color="auto" w:fill="E6E7E7"/>
          </w:tcPr>
          <w:p>
            <w:pPr>
              <w:ind w:left="180"/>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E6E7E7"/>
          </w:tcPr>
          <w:p>
            <w:pPr>
              <w:ind w:left="80"/>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6E7E7"/>
          </w:tcPr>
          <w:p>
            <w:pPr>
              <w:jc w:val="right"/>
              <w:ind w:right="94"/>
              <w:spacing w:after="0" w:line="202" w:lineRule="exact"/>
              <w:rPr>
                <w:sz w:val="20"/>
                <w:szCs w:val="20"/>
                <w:color w:val="auto"/>
              </w:rPr>
            </w:pPr>
            <w:r>
              <w:rPr>
                <w:rFonts w:ascii="Arial" w:cs="Arial" w:eastAsia="Arial" w:hAnsi="Arial"/>
                <w:sz w:val="18"/>
                <w:szCs w:val="18"/>
                <w:b w:val="1"/>
                <w:bCs w:val="1"/>
                <w:color w:val="auto"/>
              </w:rPr>
              <w:t>$ 3</w:t>
            </w:r>
          </w:p>
        </w:tc>
        <w:tc>
          <w:tcPr>
            <w:tcW w:w="300" w:type="dxa"/>
            <w:vAlign w:val="bottom"/>
            <w:tcBorders>
              <w:bottom w:val="single" w:sz="8" w:color="auto"/>
            </w:tcBorders>
            <w:shd w:val="clear" w:color="auto" w:fill="E6E7E7"/>
          </w:tcPr>
          <w:p>
            <w:pPr>
              <w:ind w:left="200"/>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30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w w:val="93"/>
              </w:rPr>
              <w:t>287</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140"/>
              <w:spacing w:after="0"/>
              <w:rPr>
                <w:sz w:val="20"/>
                <w:szCs w:val="20"/>
                <w:color w:val="auto"/>
              </w:rPr>
            </w:pPr>
            <w:r>
              <w:rPr>
                <w:rFonts w:ascii="Arial" w:cs="Arial" w:eastAsia="Arial" w:hAnsi="Arial"/>
                <w:sz w:val="18"/>
                <w:szCs w:val="18"/>
                <w:color w:val="auto"/>
              </w:rPr>
              <w:t>December 31, 2005</w:t>
            </w: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E6E7E7"/>
          </w:tcPr>
          <w:p>
            <w:pPr>
              <w:ind w:left="140"/>
              <w:spacing w:after="0" w:line="202" w:lineRule="exact"/>
              <w:rPr>
                <w:sz w:val="20"/>
                <w:szCs w:val="20"/>
                <w:color w:val="auto"/>
              </w:rPr>
            </w:pPr>
            <w:r>
              <w:rPr>
                <w:rFonts w:ascii="Arial" w:cs="Arial" w:eastAsia="Arial" w:hAnsi="Arial"/>
                <w:sz w:val="18"/>
                <w:szCs w:val="18"/>
                <w:color w:val="auto"/>
              </w:rPr>
              <w:t>Equity investments:</w:t>
            </w:r>
          </w:p>
        </w:tc>
        <w:tc>
          <w:tcPr>
            <w:tcW w:w="380" w:type="dxa"/>
            <w:vAlign w:val="bottom"/>
            <w:shd w:val="clear" w:color="auto" w:fill="E6E7E7"/>
          </w:tcPr>
          <w:p>
            <w:pPr>
              <w:spacing w:after="0"/>
              <w:rPr>
                <w:sz w:val="17"/>
                <w:szCs w:val="17"/>
                <w:color w:val="auto"/>
              </w:rPr>
            </w:pPr>
          </w:p>
        </w:tc>
        <w:tc>
          <w:tcPr>
            <w:tcW w:w="100" w:type="dxa"/>
            <w:vAlign w:val="bottom"/>
            <w:shd w:val="clear" w:color="auto" w:fill="E6E7E7"/>
          </w:tcPr>
          <w:p>
            <w:pPr>
              <w:spacing w:after="0"/>
              <w:rPr>
                <w:sz w:val="17"/>
                <w:szCs w:val="17"/>
                <w:color w:val="auto"/>
              </w:rPr>
            </w:pPr>
          </w:p>
        </w:tc>
        <w:tc>
          <w:tcPr>
            <w:tcW w:w="480" w:type="dxa"/>
            <w:vAlign w:val="bottom"/>
            <w:shd w:val="clear" w:color="auto" w:fill="E6E7E7"/>
          </w:tcPr>
          <w:p>
            <w:pPr>
              <w:spacing w:after="0"/>
              <w:rPr>
                <w:sz w:val="17"/>
                <w:szCs w:val="17"/>
                <w:color w:val="auto"/>
              </w:rPr>
            </w:pPr>
          </w:p>
        </w:tc>
        <w:tc>
          <w:tcPr>
            <w:tcW w:w="340" w:type="dxa"/>
            <w:vAlign w:val="bottom"/>
            <w:shd w:val="clear" w:color="auto" w:fill="E6E7E7"/>
          </w:tcPr>
          <w:p>
            <w:pPr>
              <w:spacing w:after="0"/>
              <w:rPr>
                <w:sz w:val="17"/>
                <w:szCs w:val="17"/>
                <w:color w:val="auto"/>
              </w:rPr>
            </w:pPr>
          </w:p>
        </w:tc>
        <w:tc>
          <w:tcPr>
            <w:tcW w:w="420" w:type="dxa"/>
            <w:vAlign w:val="bottom"/>
            <w:shd w:val="clear" w:color="auto" w:fill="E6E7E7"/>
          </w:tcPr>
          <w:p>
            <w:pPr>
              <w:spacing w:after="0"/>
              <w:rPr>
                <w:sz w:val="17"/>
                <w:szCs w:val="17"/>
                <w:color w:val="auto"/>
              </w:rPr>
            </w:pPr>
          </w:p>
        </w:tc>
        <w:tc>
          <w:tcPr>
            <w:tcW w:w="500" w:type="dxa"/>
            <w:vAlign w:val="bottom"/>
            <w:shd w:val="clear" w:color="auto" w:fill="E6E7E7"/>
          </w:tcPr>
          <w:p>
            <w:pPr>
              <w:spacing w:after="0"/>
              <w:rPr>
                <w:sz w:val="17"/>
                <w:szCs w:val="17"/>
                <w:color w:val="auto"/>
              </w:rPr>
            </w:pPr>
          </w:p>
        </w:tc>
        <w:tc>
          <w:tcPr>
            <w:tcW w:w="440" w:type="dxa"/>
            <w:vAlign w:val="bottom"/>
            <w:shd w:val="clear" w:color="auto" w:fill="E6E7E7"/>
          </w:tcPr>
          <w:p>
            <w:pPr>
              <w:spacing w:after="0"/>
              <w:rPr>
                <w:sz w:val="17"/>
                <w:szCs w:val="17"/>
                <w:color w:val="auto"/>
              </w:rPr>
            </w:pPr>
          </w:p>
        </w:tc>
        <w:tc>
          <w:tcPr>
            <w:tcW w:w="660" w:type="dxa"/>
            <w:vAlign w:val="bottom"/>
            <w:shd w:val="clear" w:color="auto" w:fill="E6E7E7"/>
          </w:tcPr>
          <w:p>
            <w:pPr>
              <w:spacing w:after="0"/>
              <w:rPr>
                <w:sz w:val="17"/>
                <w:szCs w:val="17"/>
                <w:color w:val="auto"/>
              </w:rPr>
            </w:pPr>
          </w:p>
        </w:tc>
        <w:tc>
          <w:tcPr>
            <w:tcW w:w="300" w:type="dxa"/>
            <w:vAlign w:val="bottom"/>
            <w:shd w:val="clear" w:color="auto" w:fill="E6E7E7"/>
          </w:tcPr>
          <w:p>
            <w:pPr>
              <w:spacing w:after="0"/>
              <w:rPr>
                <w:sz w:val="17"/>
                <w:szCs w:val="17"/>
                <w:color w:val="auto"/>
              </w:rPr>
            </w:pPr>
          </w:p>
        </w:tc>
        <w:tc>
          <w:tcPr>
            <w:tcW w:w="30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400"/>
              <w:spacing w:after="0" w:line="202" w:lineRule="exact"/>
              <w:rPr>
                <w:sz w:val="20"/>
                <w:szCs w:val="20"/>
                <w:color w:val="auto"/>
              </w:rPr>
            </w:pPr>
            <w:r>
              <w:rPr>
                <w:rFonts w:ascii="Arial" w:cs="Arial" w:eastAsia="Arial" w:hAnsi="Arial"/>
                <w:sz w:val="18"/>
                <w:szCs w:val="18"/>
                <w:color w:val="auto"/>
              </w:rPr>
              <w:t>Marketable</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4</w:t>
            </w:r>
          </w:p>
        </w:tc>
        <w:tc>
          <w:tcPr>
            <w:tcW w:w="34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1</w:t>
            </w:r>
          </w:p>
        </w:tc>
        <w:tc>
          <w:tcPr>
            <w:tcW w:w="50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$ 1</w:t>
            </w:r>
          </w:p>
        </w:tc>
        <w:tc>
          <w:tcPr>
            <w:tcW w:w="300" w:type="dxa"/>
            <w:vAlign w:val="bottom"/>
          </w:tcPr>
          <w:p>
            <w:pPr>
              <w:ind w:left="200"/>
              <w:spacing w:after="0" w:line="202" w:lineRule="exact"/>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E6E7E7"/>
          </w:tcPr>
          <w:p>
            <w:pPr>
              <w:ind w:left="400"/>
              <w:spacing w:after="0" w:line="202" w:lineRule="exact"/>
              <w:rPr>
                <w:sz w:val="20"/>
                <w:szCs w:val="20"/>
                <w:color w:val="auto"/>
              </w:rPr>
            </w:pPr>
            <w:r>
              <w:rPr>
                <w:rFonts w:ascii="Arial" w:cs="Arial" w:eastAsia="Arial" w:hAnsi="Arial"/>
                <w:sz w:val="18"/>
                <w:szCs w:val="18"/>
                <w:color w:val="auto"/>
              </w:rPr>
              <w:t>Non-marketable</w:t>
            </w:r>
          </w:p>
        </w:tc>
        <w:tc>
          <w:tcPr>
            <w:tcW w:w="380" w:type="dxa"/>
            <w:vAlign w:val="bottom"/>
            <w:shd w:val="clear" w:color="auto" w:fill="E6E7E7"/>
          </w:tcPr>
          <w:p>
            <w:pPr>
              <w:spacing w:after="0"/>
              <w:rPr>
                <w:sz w:val="17"/>
                <w:szCs w:val="17"/>
                <w:color w:val="auto"/>
              </w:rPr>
            </w:pPr>
          </w:p>
        </w:tc>
        <w:tc>
          <w:tcPr>
            <w:tcW w:w="100" w:type="dxa"/>
            <w:vAlign w:val="bottom"/>
            <w:shd w:val="clear" w:color="auto" w:fill="E6E7E7"/>
          </w:tcPr>
          <w:p>
            <w:pPr>
              <w:spacing w:after="0"/>
              <w:rPr>
                <w:sz w:val="17"/>
                <w:szCs w:val="17"/>
                <w:color w:val="auto"/>
              </w:rPr>
            </w:pPr>
          </w:p>
        </w:tc>
        <w:tc>
          <w:tcPr>
            <w:tcW w:w="480" w:type="dxa"/>
            <w:vAlign w:val="bottom"/>
            <w:shd w:val="clear" w:color="auto" w:fill="E6E7E7"/>
          </w:tcPr>
          <w:p>
            <w:pPr>
              <w:jc w:val="right"/>
              <w:ind w:right="92"/>
              <w:spacing w:after="0" w:line="202" w:lineRule="exact"/>
              <w:rPr>
                <w:sz w:val="20"/>
                <w:szCs w:val="20"/>
                <w:color w:val="auto"/>
              </w:rPr>
            </w:pPr>
            <w:r>
              <w:rPr>
                <w:rFonts w:ascii="Arial" w:cs="Arial" w:eastAsia="Arial" w:hAnsi="Arial"/>
                <w:sz w:val="18"/>
                <w:szCs w:val="18"/>
                <w:color w:val="auto"/>
              </w:rPr>
              <w:t>82</w:t>
            </w:r>
          </w:p>
        </w:tc>
        <w:tc>
          <w:tcPr>
            <w:tcW w:w="340" w:type="dxa"/>
            <w:vAlign w:val="bottom"/>
            <w:shd w:val="clear" w:color="auto" w:fill="E6E7E7"/>
          </w:tcPr>
          <w:p>
            <w:pPr>
              <w:spacing w:after="0"/>
              <w:rPr>
                <w:sz w:val="17"/>
                <w:szCs w:val="17"/>
                <w:color w:val="auto"/>
              </w:rPr>
            </w:pPr>
          </w:p>
        </w:tc>
        <w:tc>
          <w:tcPr>
            <w:tcW w:w="420" w:type="dxa"/>
            <w:vAlign w:val="bottom"/>
            <w:shd w:val="clear" w:color="auto" w:fill="E6E7E7"/>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E6E7E7"/>
          </w:tcPr>
          <w:p>
            <w:pPr>
              <w:spacing w:after="0"/>
              <w:rPr>
                <w:sz w:val="17"/>
                <w:szCs w:val="17"/>
                <w:color w:val="auto"/>
              </w:rPr>
            </w:pPr>
          </w:p>
        </w:tc>
        <w:tc>
          <w:tcPr>
            <w:tcW w:w="440" w:type="dxa"/>
            <w:vAlign w:val="bottom"/>
            <w:shd w:val="clear" w:color="auto" w:fill="E6E7E7"/>
          </w:tcPr>
          <w:p>
            <w:pPr>
              <w:ind w:left="8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6E7E7"/>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7E7"/>
          </w:tcPr>
          <w:p>
            <w:pPr>
              <w:spacing w:after="0"/>
              <w:rPr>
                <w:sz w:val="17"/>
                <w:szCs w:val="17"/>
                <w:color w:val="auto"/>
              </w:rPr>
            </w:pPr>
          </w:p>
        </w:tc>
        <w:tc>
          <w:tcPr>
            <w:tcW w:w="3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82</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40" w:type="dxa"/>
            <w:vAlign w:val="bottom"/>
          </w:tcPr>
          <w:p>
            <w:pPr>
              <w:ind w:left="140"/>
              <w:spacing w:after="0" w:line="202" w:lineRule="exact"/>
              <w:rPr>
                <w:sz w:val="20"/>
                <w:szCs w:val="20"/>
                <w:color w:val="auto"/>
              </w:rPr>
            </w:pPr>
            <w:r>
              <w:rPr>
                <w:rFonts w:ascii="Arial" w:cs="Arial" w:eastAsia="Arial" w:hAnsi="Arial"/>
                <w:sz w:val="18"/>
                <w:szCs w:val="18"/>
                <w:color w:val="auto"/>
              </w:rPr>
              <w:t>Mutual funds and other</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w w:val="93"/>
              </w:rPr>
              <w:t>149</w:t>
            </w:r>
          </w:p>
        </w:tc>
        <w:tc>
          <w:tcPr>
            <w:tcW w:w="3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80"/>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3"/>
              </w:rPr>
              <w:t>149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E6E7E7"/>
          </w:tcPr>
          <w:p>
            <w:pPr>
              <w:ind w:left="140"/>
              <w:spacing w:after="0" w:line="202" w:lineRule="exact"/>
              <w:rPr>
                <w:sz w:val="20"/>
                <w:szCs w:val="20"/>
                <w:color w:val="auto"/>
              </w:rPr>
            </w:pPr>
            <w:r>
              <w:rPr>
                <w:rFonts w:ascii="Arial" w:cs="Arial" w:eastAsia="Arial" w:hAnsi="Arial"/>
                <w:sz w:val="18"/>
                <w:szCs w:val="18"/>
                <w:color w:val="auto"/>
              </w:rPr>
              <w:t>Total</w:t>
            </w:r>
          </w:p>
        </w:tc>
        <w:tc>
          <w:tcPr>
            <w:tcW w:w="480" w:type="dxa"/>
            <w:vAlign w:val="bottom"/>
            <w:gridSpan w:val="2"/>
            <w:shd w:val="clear" w:color="auto" w:fill="E6E7E7"/>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E6E7E7"/>
          </w:tcPr>
          <w:p>
            <w:pPr>
              <w:jc w:val="right"/>
              <w:ind w:right="92"/>
              <w:spacing w:after="0" w:line="202" w:lineRule="exact"/>
              <w:rPr>
                <w:sz w:val="20"/>
                <w:szCs w:val="20"/>
                <w:color w:val="auto"/>
              </w:rPr>
            </w:pPr>
            <w:r>
              <w:rPr>
                <w:rFonts w:ascii="Arial" w:cs="Arial" w:eastAsia="Arial" w:hAnsi="Arial"/>
                <w:sz w:val="18"/>
                <w:szCs w:val="18"/>
                <w:color w:val="auto"/>
                <w:w w:val="93"/>
              </w:rPr>
              <w:t>235</w:t>
            </w:r>
          </w:p>
        </w:tc>
        <w:tc>
          <w:tcPr>
            <w:tcW w:w="34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E6E7E7"/>
          </w:tcPr>
          <w:p>
            <w:pPr>
              <w:jc w:val="right"/>
              <w:ind w:right="94"/>
              <w:spacing w:after="0" w:line="202" w:lineRule="exact"/>
              <w:rPr>
                <w:sz w:val="20"/>
                <w:szCs w:val="20"/>
                <w:color w:val="auto"/>
              </w:rPr>
            </w:pPr>
            <w:r>
              <w:rPr>
                <w:rFonts w:ascii="Arial" w:cs="Arial" w:eastAsia="Arial" w:hAnsi="Arial"/>
                <w:sz w:val="18"/>
                <w:szCs w:val="18"/>
                <w:color w:val="auto"/>
              </w:rPr>
              <w:t>1</w:t>
            </w:r>
          </w:p>
        </w:tc>
        <w:tc>
          <w:tcPr>
            <w:tcW w:w="500" w:type="dxa"/>
            <w:vAlign w:val="bottom"/>
            <w:shd w:val="clear" w:color="auto" w:fill="E6E7E7"/>
          </w:tcPr>
          <w:p>
            <w:pPr>
              <w:ind w:left="18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E6E7E7"/>
          </w:tcPr>
          <w:p>
            <w:pPr>
              <w:ind w:left="8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6E7E7"/>
          </w:tcPr>
          <w:p>
            <w:pPr>
              <w:jc w:val="right"/>
              <w:ind w:right="94"/>
              <w:spacing w:after="0" w:line="202" w:lineRule="exact"/>
              <w:rPr>
                <w:sz w:val="20"/>
                <w:szCs w:val="20"/>
                <w:color w:val="auto"/>
              </w:rPr>
            </w:pPr>
            <w:r>
              <w:rPr>
                <w:rFonts w:ascii="Arial" w:cs="Arial" w:eastAsia="Arial" w:hAnsi="Arial"/>
                <w:sz w:val="18"/>
                <w:szCs w:val="18"/>
                <w:color w:val="auto"/>
              </w:rPr>
              <w:t>$ 1</w:t>
            </w:r>
          </w:p>
        </w:tc>
        <w:tc>
          <w:tcPr>
            <w:tcW w:w="30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u w:val="single" w:color="auto"/>
                <w:color w:val="auto"/>
                <w:w w:val="79"/>
              </w:rPr>
              <w:t>$</w:t>
            </w:r>
          </w:p>
        </w:tc>
        <w:tc>
          <w:tcPr>
            <w:tcW w:w="3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w w:val="93"/>
              </w:rPr>
              <w:t>236</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100" w:right="60"/>
        <w:spacing w:after="0" w:line="238" w:lineRule="auto"/>
        <w:rPr>
          <w:sz w:val="20"/>
          <w:szCs w:val="20"/>
          <w:color w:val="auto"/>
        </w:rPr>
      </w:pPr>
      <w:r>
        <w:rPr>
          <w:rFonts w:ascii="Arial" w:cs="Arial" w:eastAsia="Arial" w:hAnsi="Arial"/>
          <w:sz w:val="18"/>
          <w:szCs w:val="18"/>
          <w:color w:val="auto"/>
        </w:rPr>
        <w:t>There were $6 million, $13 million and $12 million of gross realized gains and zero, $3 million and zero of gross realized losses from sales of these investments in 2006, 2005 and 2004. Other-than-temporary declines and impairments in the values of available-for-sale investments recognized in the income statement were $8 million, $8 million and $13 million in 2006, 2005 and 2004.</w:t>
      </w:r>
    </w:p>
    <w:p>
      <w:pPr>
        <w:spacing w:after="0" w:line="13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5. Goodwill and Other Acquisition-related Intangibles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6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5"/>
          </w:tcPr>
          <w:p>
            <w:pPr>
              <w:ind w:left="40"/>
              <w:spacing w:after="0"/>
              <w:rPr>
                <w:sz w:val="20"/>
                <w:szCs w:val="20"/>
                <w:color w:val="auto"/>
              </w:rPr>
            </w:pPr>
            <w:r>
              <w:rPr>
                <w:rFonts w:ascii="Arial" w:cs="Arial" w:eastAsia="Arial" w:hAnsi="Arial"/>
                <w:sz w:val="14"/>
                <w:szCs w:val="14"/>
                <w:b w:val="1"/>
                <w:bCs w:val="1"/>
                <w:color w:val="939598"/>
              </w:rPr>
              <w:t>DECEMBER 31,</w:t>
            </w:r>
          </w:p>
        </w:tc>
      </w:tr>
      <w:tr>
        <w:trPr>
          <w:trHeight w:val="257"/>
        </w:trPr>
        <w:tc>
          <w:tcPr>
            <w:tcW w:w="7620" w:type="dxa"/>
            <w:vAlign w:val="bottom"/>
            <w:shd w:val="clear" w:color="auto" w:fill="939598"/>
          </w:tcPr>
          <w:p>
            <w:pPr>
              <w:spacing w:after="0"/>
              <w:rPr>
                <w:sz w:val="22"/>
                <w:szCs w:val="22"/>
                <w:color w:val="auto"/>
              </w:rPr>
            </w:pPr>
          </w:p>
        </w:tc>
        <w:tc>
          <w:tcPr>
            <w:tcW w:w="1920" w:type="dxa"/>
            <w:vAlign w:val="bottom"/>
            <w:shd w:val="clear" w:color="auto" w:fill="939598"/>
          </w:tcPr>
          <w:p>
            <w:pPr>
              <w:ind w:left="320"/>
              <w:spacing w:after="0"/>
              <w:rPr>
                <w:sz w:val="20"/>
                <w:szCs w:val="20"/>
                <w:color w:val="auto"/>
              </w:rPr>
            </w:pPr>
            <w:r>
              <w:rPr>
                <w:rFonts w:ascii="Arial" w:cs="Arial" w:eastAsia="Arial" w:hAnsi="Arial"/>
                <w:sz w:val="14"/>
                <w:szCs w:val="14"/>
                <w:b w:val="1"/>
                <w:bCs w:val="1"/>
                <w:color w:val="FFFFFF"/>
              </w:rPr>
              <w:t>Amortization Period</w:t>
            </w:r>
          </w:p>
        </w:tc>
        <w:tc>
          <w:tcPr>
            <w:tcW w:w="560" w:type="dxa"/>
            <w:vAlign w:val="bottom"/>
            <w:gridSpan w:val="3"/>
            <w:shd w:val="clear" w:color="auto" w:fill="939598"/>
          </w:tcPr>
          <w:p>
            <w:pPr>
              <w:jc w:val="right"/>
              <w:ind w:right="112"/>
              <w:spacing w:after="0"/>
              <w:rPr>
                <w:sz w:val="20"/>
                <w:szCs w:val="20"/>
                <w:color w:val="auto"/>
              </w:rPr>
            </w:pPr>
            <w:r>
              <w:rPr>
                <w:rFonts w:ascii="Arial" w:cs="Arial" w:eastAsia="Arial" w:hAnsi="Arial"/>
                <w:sz w:val="14"/>
                <w:szCs w:val="14"/>
                <w:b w:val="1"/>
                <w:bCs w:val="1"/>
                <w:color w:val="FFFFFF"/>
              </w:rPr>
              <w:t>2006</w:t>
            </w:r>
          </w:p>
        </w:tc>
        <w:tc>
          <w:tcPr>
            <w:tcW w:w="560" w:type="dxa"/>
            <w:vAlign w:val="bottom"/>
            <w:gridSpan w:val="2"/>
            <w:shd w:val="clear" w:color="auto" w:fill="939598"/>
          </w:tcPr>
          <w:p>
            <w:pPr>
              <w:jc w:val="right"/>
              <w:spacing w:after="0"/>
              <w:rPr>
                <w:sz w:val="20"/>
                <w:szCs w:val="20"/>
                <w:color w:val="auto"/>
              </w:rPr>
            </w:pPr>
            <w:r>
              <w:rPr>
                <w:rFonts w:ascii="Arial" w:cs="Arial" w:eastAsia="Arial" w:hAnsi="Arial"/>
                <w:sz w:val="14"/>
                <w:szCs w:val="14"/>
                <w:b w:val="1"/>
                <w:bCs w:val="1"/>
                <w:color w:val="FFFFFF"/>
              </w:rPr>
              <w:t>2005</w:t>
            </w:r>
          </w:p>
        </w:tc>
        <w:tc>
          <w:tcPr>
            <w:tcW w:w="60" w:type="dxa"/>
            <w:vAlign w:val="bottom"/>
            <w:shd w:val="clear" w:color="auto" w:fill="939598"/>
          </w:tcPr>
          <w:p>
            <w:pPr>
              <w:spacing w:after="0"/>
              <w:rPr>
                <w:sz w:val="22"/>
                <w:szCs w:val="22"/>
                <w:color w:val="auto"/>
              </w:rPr>
            </w:pPr>
          </w:p>
        </w:tc>
      </w:tr>
      <w:tr>
        <w:trPr>
          <w:trHeight w:val="203"/>
        </w:trPr>
        <w:tc>
          <w:tcPr>
            <w:tcW w:w="7620" w:type="dxa"/>
            <w:vAlign w:val="bottom"/>
          </w:tcPr>
          <w:p>
            <w:pPr>
              <w:ind w:left="140"/>
              <w:spacing w:after="0" w:line="202" w:lineRule="exact"/>
              <w:rPr>
                <w:sz w:val="20"/>
                <w:szCs w:val="20"/>
                <w:color w:val="auto"/>
              </w:rPr>
            </w:pPr>
            <w:r>
              <w:rPr>
                <w:rFonts w:ascii="Arial" w:cs="Arial" w:eastAsia="Arial" w:hAnsi="Arial"/>
                <w:sz w:val="18"/>
                <w:szCs w:val="18"/>
                <w:color w:val="auto"/>
              </w:rPr>
              <w:t>Goodwill – net</w:t>
            </w:r>
          </w:p>
        </w:tc>
        <w:tc>
          <w:tcPr>
            <w:tcW w:w="1920" w:type="dxa"/>
            <w:vAlign w:val="bottom"/>
          </w:tcPr>
          <w:p>
            <w:pPr>
              <w:ind w:left="520"/>
              <w:spacing w:after="0" w:line="202" w:lineRule="exact"/>
              <w:rPr>
                <w:sz w:val="20"/>
                <w:szCs w:val="20"/>
                <w:color w:val="auto"/>
              </w:rPr>
            </w:pPr>
            <w:r>
              <w:rPr>
                <w:rFonts w:ascii="Arial" w:cs="Arial" w:eastAsia="Arial" w:hAnsi="Arial"/>
                <w:sz w:val="18"/>
                <w:szCs w:val="18"/>
                <w:color w:val="auto"/>
              </w:rPr>
              <w:t>Not amortized</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w w:val="93"/>
              </w:rPr>
              <w:t>792</w:t>
            </w:r>
          </w:p>
        </w:tc>
        <w:tc>
          <w:tcPr>
            <w:tcW w:w="260" w:type="dxa"/>
            <w:vAlign w:val="bottom"/>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w w:val="93"/>
              </w:rPr>
              <w:t>677</w:t>
            </w:r>
          </w:p>
        </w:tc>
        <w:tc>
          <w:tcPr>
            <w:tcW w:w="60" w:type="dxa"/>
            <w:vAlign w:val="bottom"/>
          </w:tcPr>
          <w:p>
            <w:pPr>
              <w:spacing w:after="0"/>
              <w:rPr>
                <w:sz w:val="17"/>
                <w:szCs w:val="17"/>
                <w:color w:val="auto"/>
              </w:rPr>
            </w:pPr>
          </w:p>
        </w:tc>
      </w:tr>
      <w:tr>
        <w:trPr>
          <w:trHeight w:val="20"/>
        </w:trPr>
        <w:tc>
          <w:tcPr>
            <w:tcW w:w="76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7620" w:type="dxa"/>
            <w:vAlign w:val="bottom"/>
            <w:shd w:val="clear" w:color="auto" w:fill="E6E7E7"/>
          </w:tcPr>
          <w:p>
            <w:pPr>
              <w:ind w:left="140"/>
              <w:spacing w:after="0" w:line="196" w:lineRule="exact"/>
              <w:rPr>
                <w:sz w:val="20"/>
                <w:szCs w:val="20"/>
                <w:color w:val="auto"/>
              </w:rPr>
            </w:pPr>
            <w:r>
              <w:rPr>
                <w:rFonts w:ascii="Arial" w:cs="Arial" w:eastAsia="Arial" w:hAnsi="Arial"/>
                <w:sz w:val="18"/>
                <w:szCs w:val="18"/>
                <w:color w:val="auto"/>
              </w:rPr>
              <w:t>Acquisition-related intangibles – net:</w:t>
            </w:r>
          </w:p>
        </w:tc>
        <w:tc>
          <w:tcPr>
            <w:tcW w:w="192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80" w:type="dxa"/>
            <w:vAlign w:val="bottom"/>
            <w:shd w:val="clear" w:color="auto" w:fill="E6E7E7"/>
          </w:tcPr>
          <w:p>
            <w:pPr>
              <w:spacing w:after="0"/>
              <w:rPr>
                <w:sz w:val="17"/>
                <w:szCs w:val="17"/>
                <w:color w:val="auto"/>
              </w:rPr>
            </w:pPr>
          </w:p>
        </w:tc>
        <w:tc>
          <w:tcPr>
            <w:tcW w:w="460" w:type="dxa"/>
            <w:vAlign w:val="bottom"/>
            <w:shd w:val="clear" w:color="auto" w:fill="E6E7E7"/>
          </w:tcPr>
          <w:p>
            <w:pPr>
              <w:spacing w:after="0"/>
              <w:rPr>
                <w:sz w:val="17"/>
                <w:szCs w:val="17"/>
                <w:color w:val="auto"/>
              </w:rPr>
            </w:pPr>
          </w:p>
        </w:tc>
        <w:tc>
          <w:tcPr>
            <w:tcW w:w="260" w:type="dxa"/>
            <w:vAlign w:val="bottom"/>
            <w:shd w:val="clear" w:color="auto" w:fill="E6E7E7"/>
          </w:tcPr>
          <w:p>
            <w:pPr>
              <w:spacing w:after="0"/>
              <w:rPr>
                <w:sz w:val="17"/>
                <w:szCs w:val="17"/>
                <w:color w:val="auto"/>
              </w:rPr>
            </w:pPr>
          </w:p>
        </w:tc>
        <w:tc>
          <w:tcPr>
            <w:tcW w:w="30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r>
      <w:tr>
        <w:trPr>
          <w:trHeight w:val="203"/>
        </w:trPr>
        <w:tc>
          <w:tcPr>
            <w:tcW w:w="7620" w:type="dxa"/>
            <w:vAlign w:val="bottom"/>
          </w:tcPr>
          <w:p>
            <w:pPr>
              <w:ind w:left="400"/>
              <w:spacing w:after="0" w:line="202" w:lineRule="exact"/>
              <w:rPr>
                <w:sz w:val="20"/>
                <w:szCs w:val="20"/>
                <w:color w:val="auto"/>
              </w:rPr>
            </w:pPr>
            <w:r>
              <w:rPr>
                <w:rFonts w:ascii="Arial" w:cs="Arial" w:eastAsia="Arial" w:hAnsi="Arial"/>
                <w:sz w:val="18"/>
                <w:szCs w:val="18"/>
                <w:color w:val="auto"/>
              </w:rPr>
              <w:t>Developed technology</w:t>
            </w:r>
          </w:p>
        </w:tc>
        <w:tc>
          <w:tcPr>
            <w:tcW w:w="1920" w:type="dxa"/>
            <w:vAlign w:val="bottom"/>
          </w:tcPr>
          <w:p>
            <w:pPr>
              <w:ind w:left="520"/>
              <w:spacing w:after="0" w:line="202" w:lineRule="exact"/>
              <w:rPr>
                <w:sz w:val="20"/>
                <w:szCs w:val="20"/>
                <w:color w:val="auto"/>
              </w:rPr>
            </w:pPr>
            <w:r>
              <w:rPr>
                <w:rFonts w:ascii="Arial" w:cs="Arial" w:eastAsia="Arial" w:hAnsi="Arial"/>
                <w:sz w:val="18"/>
                <w:szCs w:val="18"/>
                <w:color w:val="auto"/>
              </w:rPr>
              <w:t>3–10 years</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72</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60" w:type="dxa"/>
            <w:vAlign w:val="bottom"/>
          </w:tcPr>
          <w:p>
            <w:pPr>
              <w:spacing w:after="0"/>
              <w:rPr>
                <w:sz w:val="17"/>
                <w:szCs w:val="17"/>
                <w:color w:val="auto"/>
              </w:rPr>
            </w:pPr>
          </w:p>
        </w:tc>
      </w:tr>
      <w:tr>
        <w:trPr>
          <w:trHeight w:val="203"/>
        </w:trPr>
        <w:tc>
          <w:tcPr>
            <w:tcW w:w="7620" w:type="dxa"/>
            <w:vAlign w:val="bottom"/>
            <w:shd w:val="clear" w:color="auto" w:fill="E6E7E7"/>
          </w:tcPr>
          <w:p>
            <w:pPr>
              <w:ind w:left="400"/>
              <w:spacing w:after="0" w:line="202" w:lineRule="exact"/>
              <w:rPr>
                <w:sz w:val="20"/>
                <w:szCs w:val="20"/>
                <w:color w:val="auto"/>
              </w:rPr>
            </w:pPr>
            <w:r>
              <w:rPr>
                <w:rFonts w:ascii="Arial" w:cs="Arial" w:eastAsia="Arial" w:hAnsi="Arial"/>
                <w:sz w:val="18"/>
                <w:szCs w:val="18"/>
                <w:color w:val="auto"/>
              </w:rPr>
              <w:t>Other intangibles</w:t>
            </w:r>
          </w:p>
        </w:tc>
        <w:tc>
          <w:tcPr>
            <w:tcW w:w="1920" w:type="dxa"/>
            <w:vAlign w:val="bottom"/>
            <w:shd w:val="clear" w:color="auto" w:fill="E6E7E7"/>
          </w:tcPr>
          <w:p>
            <w:pPr>
              <w:ind w:left="520"/>
              <w:spacing w:after="0" w:line="202" w:lineRule="exact"/>
              <w:rPr>
                <w:sz w:val="20"/>
                <w:szCs w:val="20"/>
                <w:color w:val="auto"/>
              </w:rPr>
            </w:pPr>
            <w:r>
              <w:rPr>
                <w:rFonts w:ascii="Arial" w:cs="Arial" w:eastAsia="Arial" w:hAnsi="Arial"/>
                <w:sz w:val="18"/>
                <w:szCs w:val="18"/>
                <w:color w:val="auto"/>
              </w:rPr>
              <w:t>2–10 years</w:t>
            </w:r>
          </w:p>
        </w:tc>
        <w:tc>
          <w:tcPr>
            <w:tcW w:w="20" w:type="dxa"/>
            <w:vAlign w:val="bottom"/>
            <w:shd w:val="clear" w:color="auto" w:fill="E6E7E7"/>
          </w:tcPr>
          <w:p>
            <w:pPr>
              <w:spacing w:after="0"/>
              <w:rPr>
                <w:sz w:val="17"/>
                <w:szCs w:val="17"/>
                <w:color w:val="auto"/>
              </w:rPr>
            </w:pPr>
          </w:p>
        </w:tc>
        <w:tc>
          <w:tcPr>
            <w:tcW w:w="80" w:type="dxa"/>
            <w:vAlign w:val="bottom"/>
            <w:tcBorders>
              <w:bottom w:val="single" w:sz="8" w:color="auto"/>
            </w:tcBorders>
            <w:shd w:val="clear" w:color="auto" w:fill="E6E7E7"/>
          </w:tcPr>
          <w:p>
            <w:pPr>
              <w:spacing w:after="0"/>
              <w:rPr>
                <w:sz w:val="17"/>
                <w:szCs w:val="17"/>
                <w:color w:val="auto"/>
              </w:rPr>
            </w:pPr>
          </w:p>
        </w:tc>
        <w:tc>
          <w:tcPr>
            <w:tcW w:w="460" w:type="dxa"/>
            <w:vAlign w:val="bottom"/>
            <w:tcBorders>
              <w:bottom w:val="single" w:sz="8" w:color="auto"/>
            </w:tcBorders>
            <w:shd w:val="clear" w:color="auto" w:fill="E6E7E7"/>
          </w:tcPr>
          <w:p>
            <w:pPr>
              <w:jc w:val="right"/>
              <w:ind w:right="72"/>
              <w:spacing w:after="0" w:line="202" w:lineRule="exact"/>
              <w:rPr>
                <w:sz w:val="20"/>
                <w:szCs w:val="20"/>
                <w:color w:val="auto"/>
              </w:rPr>
            </w:pPr>
            <w:r>
              <w:rPr>
                <w:rFonts w:ascii="Arial" w:cs="Arial" w:eastAsia="Arial" w:hAnsi="Arial"/>
                <w:sz w:val="18"/>
                <w:szCs w:val="18"/>
                <w:b w:val="1"/>
                <w:bCs w:val="1"/>
                <w:color w:val="auto"/>
              </w:rPr>
              <w:t>46</w:t>
            </w:r>
          </w:p>
        </w:tc>
        <w:tc>
          <w:tcPr>
            <w:tcW w:w="260" w:type="dxa"/>
            <w:vAlign w:val="bottom"/>
            <w:tcBorders>
              <w:bottom w:val="single" w:sz="8" w:color="auto"/>
            </w:tcBorders>
            <w:shd w:val="clear" w:color="auto" w:fill="E6E7E7"/>
          </w:tcPr>
          <w:p>
            <w:pPr>
              <w:spacing w:after="0"/>
              <w:rPr>
                <w:sz w:val="17"/>
                <w:szCs w:val="17"/>
                <w:color w:val="auto"/>
              </w:rPr>
            </w:pPr>
          </w:p>
        </w:tc>
        <w:tc>
          <w:tcPr>
            <w:tcW w:w="30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12</w:t>
            </w:r>
          </w:p>
        </w:tc>
        <w:tc>
          <w:tcPr>
            <w:tcW w:w="60" w:type="dxa"/>
            <w:vAlign w:val="bottom"/>
            <w:shd w:val="clear" w:color="auto" w:fill="E6E7E7"/>
          </w:tcPr>
          <w:p>
            <w:pPr>
              <w:spacing w:after="0"/>
              <w:rPr>
                <w:sz w:val="17"/>
                <w:szCs w:val="17"/>
                <w:color w:val="auto"/>
              </w:rPr>
            </w:pPr>
          </w:p>
        </w:tc>
      </w:tr>
      <w:tr>
        <w:trPr>
          <w:trHeight w:val="210"/>
        </w:trPr>
        <w:tc>
          <w:tcPr>
            <w:tcW w:w="7620" w:type="dxa"/>
            <w:vAlign w:val="bottom"/>
          </w:tcPr>
          <w:p>
            <w:pPr>
              <w:ind w:left="400"/>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3"/>
              </w:rPr>
              <w:t>118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left="100" w:right="60"/>
        <w:spacing w:after="0" w:line="238" w:lineRule="auto"/>
        <w:rPr>
          <w:sz w:val="20"/>
          <w:szCs w:val="20"/>
          <w:color w:val="auto"/>
        </w:rPr>
      </w:pPr>
      <w:r>
        <w:rPr>
          <w:rFonts w:ascii="Arial" w:cs="Arial" w:eastAsia="Arial" w:hAnsi="Arial"/>
          <w:sz w:val="18"/>
          <w:szCs w:val="18"/>
          <w:color w:val="auto"/>
        </w:rPr>
        <w:t>All of our goodwill is attributable to our Semiconductor segment. Goodwill is reviewed for impairment annually, or more frequently if certain impairment indicators arise. There was no impairment of goodwill indicated during 2006, 2005 or 2004. The goodwill balances shown are net of total accumulated amortization of $221 million at year-end 2006 and 2005.</w:t>
      </w:r>
    </w:p>
    <w:p>
      <w:pPr>
        <w:spacing w:after="0" w:line="154" w:lineRule="exact"/>
        <w:rPr>
          <w:sz w:val="20"/>
          <w:szCs w:val="20"/>
          <w:color w:val="auto"/>
        </w:rPr>
      </w:pPr>
    </w:p>
    <w:p>
      <w:pPr>
        <w:ind w:left="100" w:right="200"/>
        <w:spacing w:after="0" w:line="239" w:lineRule="auto"/>
        <w:rPr>
          <w:sz w:val="20"/>
          <w:szCs w:val="20"/>
          <w:color w:val="auto"/>
        </w:rPr>
      </w:pPr>
      <w:r>
        <w:rPr>
          <w:rFonts w:ascii="Arial" w:cs="Arial" w:eastAsia="Arial" w:hAnsi="Arial"/>
          <w:sz w:val="18"/>
          <w:szCs w:val="18"/>
          <w:color w:val="auto"/>
        </w:rPr>
        <w:t>In January 2006, we recognized $115 million of goodwill and $86 million of other acquisition-related intangible assets due to the acquisition of Chipcon. The following table contains a summary of the other intangible assets acquired: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shd w:val="clear" w:color="auto" w:fill="939598"/>
          </w:tcPr>
          <w:p>
            <w:pPr>
              <w:spacing w:after="0"/>
              <w:rPr>
                <w:sz w:val="14"/>
                <w:szCs w:val="14"/>
                <w:color w:val="auto"/>
              </w:rPr>
            </w:pPr>
          </w:p>
        </w:tc>
        <w:tc>
          <w:tcPr>
            <w:tcW w:w="20" w:type="dxa"/>
            <w:vAlign w:val="bottom"/>
            <w:shd w:val="clear" w:color="auto" w:fill="939598"/>
          </w:tcPr>
          <w:p>
            <w:pPr>
              <w:spacing w:after="0"/>
              <w:rPr>
                <w:sz w:val="14"/>
                <w:szCs w:val="14"/>
                <w:color w:val="auto"/>
              </w:rPr>
            </w:pPr>
          </w:p>
        </w:tc>
        <w:tc>
          <w:tcPr>
            <w:tcW w:w="180" w:type="dxa"/>
            <w:vAlign w:val="bottom"/>
            <w:shd w:val="clear" w:color="auto" w:fill="939598"/>
          </w:tcPr>
          <w:p>
            <w:pPr>
              <w:spacing w:after="0"/>
              <w:rPr>
                <w:sz w:val="14"/>
                <w:szCs w:val="14"/>
                <w:color w:val="auto"/>
              </w:rPr>
            </w:pPr>
          </w:p>
        </w:tc>
        <w:tc>
          <w:tcPr>
            <w:tcW w:w="320" w:type="dxa"/>
            <w:vAlign w:val="bottom"/>
            <w:shd w:val="clear" w:color="auto" w:fill="939598"/>
          </w:tcPr>
          <w:p>
            <w:pPr>
              <w:spacing w:after="0"/>
              <w:rPr>
                <w:sz w:val="14"/>
                <w:szCs w:val="14"/>
                <w:color w:val="auto"/>
              </w:rPr>
            </w:pPr>
          </w:p>
        </w:tc>
        <w:tc>
          <w:tcPr>
            <w:tcW w:w="1220" w:type="dxa"/>
            <w:vAlign w:val="bottom"/>
            <w:shd w:val="clear" w:color="auto" w:fill="939598"/>
          </w:tcPr>
          <w:p>
            <w:pPr>
              <w:jc w:val="center"/>
              <w:ind w:left="279"/>
              <w:spacing w:after="0"/>
              <w:rPr>
                <w:sz w:val="20"/>
                <w:szCs w:val="20"/>
                <w:color w:val="auto"/>
              </w:rPr>
            </w:pPr>
            <w:r>
              <w:rPr>
                <w:rFonts w:ascii="Arial" w:cs="Arial" w:eastAsia="Arial" w:hAnsi="Arial"/>
                <w:sz w:val="14"/>
                <w:szCs w:val="14"/>
                <w:b w:val="1"/>
                <w:bCs w:val="1"/>
                <w:color w:val="FFFFFF"/>
                <w:w w:val="95"/>
              </w:rPr>
              <w:t>Amortization</w:t>
            </w:r>
          </w:p>
        </w:tc>
      </w:tr>
      <w:tr>
        <w:trPr>
          <w:trHeight w:val="165"/>
        </w:trPr>
        <w:tc>
          <w:tcPr>
            <w:tcW w:w="8980" w:type="dxa"/>
            <w:vAlign w:val="bottom"/>
            <w:shd w:val="clear" w:color="auto" w:fill="939598"/>
          </w:tcPr>
          <w:p>
            <w:pPr>
              <w:spacing w:after="0"/>
              <w:rPr>
                <w:sz w:val="20"/>
                <w:szCs w:val="20"/>
                <w:color w:val="auto"/>
              </w:rPr>
            </w:pPr>
            <w:r>
              <w:rPr>
                <w:rFonts w:ascii="Arial" w:cs="Arial" w:eastAsia="Arial" w:hAnsi="Arial"/>
                <w:sz w:val="14"/>
                <w:szCs w:val="14"/>
                <w:b w:val="1"/>
                <w:bCs w:val="1"/>
                <w:color w:val="FFFFFF"/>
              </w:rPr>
              <w:t>Acquired Intangible Assets</w:t>
            </w:r>
          </w:p>
        </w:tc>
        <w:tc>
          <w:tcPr>
            <w:tcW w:w="520" w:type="dxa"/>
            <w:vAlign w:val="bottom"/>
            <w:gridSpan w:val="3"/>
            <w:shd w:val="clear" w:color="auto" w:fill="939598"/>
          </w:tcPr>
          <w:p>
            <w:pPr>
              <w:spacing w:after="0"/>
              <w:rPr>
                <w:sz w:val="20"/>
                <w:szCs w:val="20"/>
                <w:color w:val="auto"/>
              </w:rPr>
            </w:pPr>
            <w:r>
              <w:rPr>
                <w:rFonts w:ascii="Arial" w:cs="Arial" w:eastAsia="Arial" w:hAnsi="Arial"/>
                <w:sz w:val="14"/>
                <w:szCs w:val="14"/>
                <w:b w:val="1"/>
                <w:bCs w:val="1"/>
                <w:color w:val="FFFFFF"/>
                <w:w w:val="94"/>
              </w:rPr>
              <w:t>Amount</w:t>
            </w:r>
          </w:p>
        </w:tc>
        <w:tc>
          <w:tcPr>
            <w:tcW w:w="1220" w:type="dxa"/>
            <w:vAlign w:val="bottom"/>
            <w:shd w:val="clear" w:color="auto" w:fill="939598"/>
          </w:tcPr>
          <w:p>
            <w:pPr>
              <w:jc w:val="center"/>
              <w:ind w:left="279"/>
              <w:spacing w:after="0"/>
              <w:rPr>
                <w:sz w:val="20"/>
                <w:szCs w:val="20"/>
                <w:color w:val="auto"/>
              </w:rPr>
            </w:pPr>
            <w:r>
              <w:rPr>
                <w:rFonts w:ascii="Arial" w:cs="Arial" w:eastAsia="Arial" w:hAnsi="Arial"/>
                <w:sz w:val="14"/>
                <w:szCs w:val="14"/>
                <w:b w:val="1"/>
                <w:bCs w:val="1"/>
                <w:color w:val="FFFFFF"/>
                <w:w w:val="96"/>
              </w:rPr>
              <w:t>Period</w:t>
            </w:r>
          </w:p>
        </w:tc>
      </w:tr>
      <w:tr>
        <w:trPr>
          <w:trHeight w:val="203"/>
        </w:trPr>
        <w:tc>
          <w:tcPr>
            <w:tcW w:w="898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Developed technology</w:t>
            </w:r>
          </w:p>
        </w:tc>
        <w:tc>
          <w:tcPr>
            <w:tcW w:w="2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65</w:t>
            </w:r>
          </w:p>
        </w:tc>
        <w:tc>
          <w:tcPr>
            <w:tcW w:w="1220" w:type="dxa"/>
            <w:vAlign w:val="bottom"/>
          </w:tcPr>
          <w:p>
            <w:pPr>
              <w:jc w:val="center"/>
              <w:ind w:left="299"/>
              <w:spacing w:after="0" w:line="202" w:lineRule="exact"/>
              <w:rPr>
                <w:sz w:val="20"/>
                <w:szCs w:val="20"/>
                <w:color w:val="auto"/>
              </w:rPr>
            </w:pPr>
            <w:r>
              <w:rPr>
                <w:rFonts w:ascii="Arial" w:cs="Arial" w:eastAsia="Arial" w:hAnsi="Arial"/>
                <w:sz w:val="18"/>
                <w:szCs w:val="18"/>
                <w:b w:val="1"/>
                <w:bCs w:val="1"/>
                <w:color w:val="auto"/>
                <w:w w:val="96"/>
              </w:rPr>
              <w:t>5 years</w:t>
            </w:r>
          </w:p>
        </w:tc>
      </w:tr>
      <w:tr>
        <w:trPr>
          <w:trHeight w:val="203"/>
        </w:trPr>
        <w:tc>
          <w:tcPr>
            <w:tcW w:w="8980" w:type="dxa"/>
            <w:vAlign w:val="bottom"/>
            <w:shd w:val="clear" w:color="auto" w:fill="E6E7E7"/>
          </w:tcPr>
          <w:p>
            <w:pPr>
              <w:ind w:left="140"/>
              <w:spacing w:after="0" w:line="202" w:lineRule="exact"/>
              <w:rPr>
                <w:sz w:val="20"/>
                <w:szCs w:val="20"/>
                <w:color w:val="auto"/>
              </w:rPr>
            </w:pPr>
            <w:r>
              <w:rPr>
                <w:rFonts w:ascii="Arial" w:cs="Arial" w:eastAsia="Arial" w:hAnsi="Arial"/>
                <w:sz w:val="18"/>
                <w:szCs w:val="18"/>
                <w:b w:val="1"/>
                <w:bCs w:val="1"/>
                <w:color w:val="auto"/>
              </w:rPr>
              <w:t>Customer relationships</w:t>
            </w:r>
          </w:p>
        </w:tc>
        <w:tc>
          <w:tcPr>
            <w:tcW w:w="20" w:type="dxa"/>
            <w:vAlign w:val="bottom"/>
            <w:shd w:val="clear" w:color="auto" w:fill="E6E7E7"/>
          </w:tcPr>
          <w:p>
            <w:pPr>
              <w:spacing w:after="0"/>
              <w:rPr>
                <w:sz w:val="17"/>
                <w:szCs w:val="17"/>
                <w:color w:val="auto"/>
              </w:rPr>
            </w:pPr>
          </w:p>
        </w:tc>
        <w:tc>
          <w:tcPr>
            <w:tcW w:w="180" w:type="dxa"/>
            <w:vAlign w:val="bottom"/>
            <w:shd w:val="clear" w:color="auto" w:fill="E6E7E7"/>
          </w:tcPr>
          <w:p>
            <w:pPr>
              <w:spacing w:after="0"/>
              <w:rPr>
                <w:sz w:val="17"/>
                <w:szCs w:val="17"/>
                <w:color w:val="auto"/>
              </w:rPr>
            </w:pPr>
          </w:p>
        </w:tc>
        <w:tc>
          <w:tcPr>
            <w:tcW w:w="3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13</w:t>
            </w:r>
          </w:p>
        </w:tc>
        <w:tc>
          <w:tcPr>
            <w:tcW w:w="1220" w:type="dxa"/>
            <w:vAlign w:val="bottom"/>
            <w:shd w:val="clear" w:color="auto" w:fill="E6E7E7"/>
          </w:tcPr>
          <w:p>
            <w:pPr>
              <w:jc w:val="center"/>
              <w:ind w:left="299"/>
              <w:spacing w:after="0" w:line="202" w:lineRule="exact"/>
              <w:rPr>
                <w:sz w:val="20"/>
                <w:szCs w:val="20"/>
                <w:color w:val="auto"/>
              </w:rPr>
            </w:pPr>
            <w:r>
              <w:rPr>
                <w:rFonts w:ascii="Arial" w:cs="Arial" w:eastAsia="Arial" w:hAnsi="Arial"/>
                <w:sz w:val="18"/>
                <w:szCs w:val="18"/>
                <w:b w:val="1"/>
                <w:bCs w:val="1"/>
                <w:color w:val="auto"/>
                <w:w w:val="96"/>
              </w:rPr>
              <w:t>5 years</w:t>
            </w:r>
          </w:p>
        </w:tc>
      </w:tr>
      <w:tr>
        <w:trPr>
          <w:trHeight w:val="203"/>
        </w:trPr>
        <w:tc>
          <w:tcPr>
            <w:tcW w:w="898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Non-compete agreements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w:t>
            </w:r>
          </w:p>
        </w:tc>
        <w:tc>
          <w:tcPr>
            <w:tcW w:w="1220" w:type="dxa"/>
            <w:vAlign w:val="bottom"/>
          </w:tcPr>
          <w:p>
            <w:pPr>
              <w:jc w:val="center"/>
              <w:ind w:left="299"/>
              <w:spacing w:after="0" w:line="202" w:lineRule="exact"/>
              <w:rPr>
                <w:sz w:val="20"/>
                <w:szCs w:val="20"/>
                <w:color w:val="auto"/>
              </w:rPr>
            </w:pPr>
            <w:r>
              <w:rPr>
                <w:rFonts w:ascii="Arial" w:cs="Arial" w:eastAsia="Arial" w:hAnsi="Arial"/>
                <w:sz w:val="18"/>
                <w:szCs w:val="18"/>
                <w:b w:val="1"/>
                <w:bCs w:val="1"/>
                <w:color w:val="auto"/>
                <w:w w:val="96"/>
              </w:rPr>
              <w:t>2 years</w:t>
            </w:r>
          </w:p>
        </w:tc>
      </w:tr>
      <w:tr>
        <w:trPr>
          <w:trHeight w:val="203"/>
        </w:trPr>
        <w:tc>
          <w:tcPr>
            <w:tcW w:w="8980" w:type="dxa"/>
            <w:vAlign w:val="bottom"/>
            <w:shd w:val="clear" w:color="auto" w:fill="E6E7E7"/>
          </w:tcPr>
          <w:p>
            <w:pPr>
              <w:ind w:left="140"/>
              <w:spacing w:after="0" w:line="202" w:lineRule="exact"/>
              <w:rPr>
                <w:sz w:val="20"/>
                <w:szCs w:val="20"/>
                <w:color w:val="auto"/>
              </w:rPr>
            </w:pPr>
            <w:r>
              <w:rPr>
                <w:rFonts w:ascii="Arial" w:cs="Arial" w:eastAsia="Arial" w:hAnsi="Arial"/>
                <w:sz w:val="18"/>
                <w:szCs w:val="18"/>
                <w:b w:val="1"/>
                <w:bCs w:val="1"/>
                <w:color w:val="auto"/>
              </w:rPr>
              <w:t>Trademark/trade name</w:t>
            </w:r>
          </w:p>
        </w:tc>
        <w:tc>
          <w:tcPr>
            <w:tcW w:w="20" w:type="dxa"/>
            <w:vAlign w:val="bottom"/>
            <w:shd w:val="clear" w:color="auto" w:fill="E6E7E7"/>
          </w:tcPr>
          <w:p>
            <w:pPr>
              <w:spacing w:after="0"/>
              <w:rPr>
                <w:sz w:val="17"/>
                <w:szCs w:val="17"/>
                <w:color w:val="auto"/>
              </w:rPr>
            </w:pPr>
          </w:p>
        </w:tc>
        <w:tc>
          <w:tcPr>
            <w:tcW w:w="180" w:type="dxa"/>
            <w:vAlign w:val="bottom"/>
            <w:tcBorders>
              <w:bottom w:val="single" w:sz="8" w:color="auto"/>
            </w:tcBorders>
            <w:shd w:val="clear" w:color="auto" w:fill="E6E7E7"/>
          </w:tcPr>
          <w:p>
            <w:pPr>
              <w:spacing w:after="0"/>
              <w:rPr>
                <w:sz w:val="17"/>
                <w:szCs w:val="17"/>
                <w:color w:val="auto"/>
              </w:rPr>
            </w:pPr>
          </w:p>
        </w:tc>
        <w:tc>
          <w:tcPr>
            <w:tcW w:w="32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1220" w:type="dxa"/>
            <w:vAlign w:val="bottom"/>
            <w:shd w:val="clear" w:color="auto" w:fill="E6E7E7"/>
          </w:tcPr>
          <w:p>
            <w:pPr>
              <w:jc w:val="center"/>
              <w:ind w:left="299"/>
              <w:spacing w:after="0" w:line="202" w:lineRule="exact"/>
              <w:rPr>
                <w:sz w:val="20"/>
                <w:szCs w:val="20"/>
                <w:color w:val="auto"/>
              </w:rPr>
            </w:pPr>
            <w:r>
              <w:rPr>
                <w:rFonts w:ascii="Arial" w:cs="Arial" w:eastAsia="Arial" w:hAnsi="Arial"/>
                <w:sz w:val="18"/>
                <w:szCs w:val="18"/>
                <w:b w:val="1"/>
                <w:bCs w:val="1"/>
                <w:color w:val="auto"/>
                <w:w w:val="96"/>
              </w:rPr>
              <w:t>3 years</w:t>
            </w:r>
          </w:p>
        </w:tc>
      </w:tr>
      <w:tr>
        <w:trPr>
          <w:trHeight w:val="210"/>
        </w:trPr>
        <w:tc>
          <w:tcPr>
            <w:tcW w:w="8980" w:type="dxa"/>
            <w:vAlign w:val="bottom"/>
          </w:tcPr>
          <w:p>
            <w:pPr>
              <w:ind w:left="14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w:t>
            </w:r>
          </w:p>
        </w:tc>
        <w:tc>
          <w:tcPr>
            <w:tcW w:w="1220" w:type="dxa"/>
            <w:vAlign w:val="bottom"/>
          </w:tcPr>
          <w:p>
            <w:pPr>
              <w:spacing w:after="0"/>
              <w:rPr>
                <w:sz w:val="18"/>
                <w:szCs w:val="18"/>
                <w:color w:val="auto"/>
              </w:rPr>
            </w:pPr>
          </w:p>
        </w:tc>
      </w:tr>
      <w:tr>
        <w:trPr>
          <w:trHeight w:val="20"/>
        </w:trPr>
        <w:tc>
          <w:tcPr>
            <w:tcW w:w="8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ectPr>
          <w:pgSz w:w="11900" w:h="16838" w:orient="portrait"/>
          <w:cols w:equalWidth="0" w:num="1">
            <w:col w:w="11060"/>
          </w:cols>
          <w:pgMar w:left="600" w:top="287" w:right="239" w:bottom="1440" w:gutter="0" w:footer="0" w:header="0"/>
        </w:sectPr>
      </w:pPr>
    </w:p>
    <w:bookmarkStart w:id="69" w:name="page70"/>
    <w:bookmarkEnd w:id="69"/>
    <w:p>
      <w:pPr>
        <w:spacing w:after="0"/>
        <w:tabs>
          <w:tab w:leader="none" w:pos="36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w:t>
        <w:tab/>
        <w:t>TEXAS INSTRUMENTS 2006 ANNUAL REPORT</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 reflects the components of acquisition-related intangible assets, excluding goodwill, that are subject to amortization:</w:t>
      </w:r>
    </w:p>
    <w:p>
      <w:pPr>
        <w:spacing w:after="0" w:line="178" w:lineRule="exact"/>
        <w:rPr>
          <w:sz w:val="20"/>
          <w:szCs w:val="20"/>
          <w:color w:val="auto"/>
        </w:rPr>
      </w:pPr>
    </w:p>
    <w:tbl>
      <w:tblPr>
        <w:tblLayout w:type="fixed"/>
        <w:tblInd w:w="360" w:type="dxa"/>
        <w:tblCellMar>
          <w:top w:w="0" w:type="dxa"/>
          <w:left w:w="0" w:type="dxa"/>
          <w:bottom w:w="0" w:type="dxa"/>
          <w:right w:w="0" w:type="dxa"/>
        </w:tblCellMar>
      </w:tblPr>
      <w:tr>
        <w:trPr>
          <w:trHeight w:val="165"/>
        </w:trPr>
        <w:tc>
          <w:tcPr>
            <w:tcW w:w="6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939598"/>
                <w:w w:val="99"/>
              </w:rPr>
              <w:t>DECEMBER 31, 2006</w:t>
            </w:r>
          </w:p>
        </w:tc>
        <w:tc>
          <w:tcPr>
            <w:tcW w:w="340" w:type="dxa"/>
            <w:vAlign w:val="bottom"/>
          </w:tcPr>
          <w:p>
            <w:pPr>
              <w:spacing w:after="0"/>
              <w:rPr>
                <w:sz w:val="14"/>
                <w:szCs w:val="14"/>
                <w:color w:val="auto"/>
              </w:rPr>
            </w:pPr>
          </w:p>
        </w:tc>
        <w:tc>
          <w:tcPr>
            <w:tcW w:w="1660" w:type="dxa"/>
            <w:vAlign w:val="bottom"/>
            <w:gridSpan w:val="4"/>
          </w:tcPr>
          <w:p>
            <w:pPr>
              <w:ind w:left="60"/>
              <w:spacing w:after="0"/>
              <w:rPr>
                <w:sz w:val="20"/>
                <w:szCs w:val="20"/>
                <w:color w:val="auto"/>
              </w:rPr>
            </w:pPr>
            <w:r>
              <w:rPr>
                <w:rFonts w:ascii="Arial" w:cs="Arial" w:eastAsia="Arial" w:hAnsi="Arial"/>
                <w:sz w:val="14"/>
                <w:szCs w:val="14"/>
                <w:b w:val="1"/>
                <w:bCs w:val="1"/>
                <w:color w:val="939598"/>
              </w:rPr>
              <w:t>DECEMBER 31, 2005</w:t>
            </w:r>
          </w:p>
        </w:tc>
      </w:tr>
      <w:tr>
        <w:trPr>
          <w:trHeight w:val="240"/>
        </w:trPr>
        <w:tc>
          <w:tcPr>
            <w:tcW w:w="6380" w:type="dxa"/>
            <w:vAlign w:val="bottom"/>
            <w:shd w:val="clear" w:color="auto" w:fill="939598"/>
          </w:tcPr>
          <w:p>
            <w:pPr>
              <w:spacing w:after="0"/>
              <w:rPr>
                <w:sz w:val="20"/>
                <w:szCs w:val="20"/>
                <w:color w:val="auto"/>
              </w:rPr>
            </w:pPr>
          </w:p>
        </w:tc>
        <w:tc>
          <w:tcPr>
            <w:tcW w:w="340" w:type="dxa"/>
            <w:vAlign w:val="bottom"/>
            <w:shd w:val="clear" w:color="auto" w:fill="939598"/>
          </w:tcPr>
          <w:p>
            <w:pPr>
              <w:spacing w:after="0"/>
              <w:rPr>
                <w:sz w:val="20"/>
                <w:szCs w:val="20"/>
                <w:color w:val="auto"/>
              </w:rPr>
            </w:pPr>
          </w:p>
        </w:tc>
        <w:tc>
          <w:tcPr>
            <w:tcW w:w="740" w:type="dxa"/>
            <w:vAlign w:val="bottom"/>
            <w:gridSpan w:val="2"/>
            <w:shd w:val="clear" w:color="auto" w:fill="939598"/>
          </w:tcPr>
          <w:p>
            <w:pPr>
              <w:jc w:val="center"/>
              <w:ind w:right="115"/>
              <w:spacing w:after="0"/>
              <w:rPr>
                <w:sz w:val="20"/>
                <w:szCs w:val="20"/>
                <w:color w:val="auto"/>
              </w:rPr>
            </w:pPr>
            <w:r>
              <w:rPr>
                <w:rFonts w:ascii="Arial" w:cs="Arial" w:eastAsia="Arial" w:hAnsi="Arial"/>
                <w:sz w:val="14"/>
                <w:szCs w:val="14"/>
                <w:b w:val="1"/>
                <w:bCs w:val="1"/>
                <w:color w:val="FFFFFF"/>
                <w:w w:val="93"/>
              </w:rPr>
              <w:t>Gross</w:t>
            </w:r>
          </w:p>
        </w:tc>
        <w:tc>
          <w:tcPr>
            <w:tcW w:w="540" w:type="dxa"/>
            <w:vAlign w:val="bottom"/>
            <w:shd w:val="clear" w:color="auto" w:fill="939598"/>
          </w:tcPr>
          <w:p>
            <w:pPr>
              <w:spacing w:after="0"/>
              <w:rPr>
                <w:sz w:val="20"/>
                <w:szCs w:val="20"/>
                <w:color w:val="auto"/>
              </w:rPr>
            </w:pPr>
          </w:p>
        </w:tc>
        <w:tc>
          <w:tcPr>
            <w:tcW w:w="720" w:type="dxa"/>
            <w:vAlign w:val="bottom"/>
            <w:shd w:val="clear" w:color="auto" w:fill="939598"/>
          </w:tcPr>
          <w:p>
            <w:pPr>
              <w:spacing w:after="0"/>
              <w:rPr>
                <w:sz w:val="20"/>
                <w:szCs w:val="20"/>
                <w:color w:val="auto"/>
              </w:rPr>
            </w:pPr>
          </w:p>
        </w:tc>
        <w:tc>
          <w:tcPr>
            <w:tcW w:w="920" w:type="dxa"/>
            <w:vAlign w:val="bottom"/>
            <w:gridSpan w:val="2"/>
            <w:shd w:val="clear" w:color="auto" w:fill="939598"/>
          </w:tcPr>
          <w:p>
            <w:pPr>
              <w:jc w:val="right"/>
              <w:ind w:right="175"/>
              <w:spacing w:after="0"/>
              <w:rPr>
                <w:sz w:val="20"/>
                <w:szCs w:val="20"/>
                <w:color w:val="auto"/>
              </w:rPr>
            </w:pPr>
            <w:r>
              <w:rPr>
                <w:rFonts w:ascii="Arial" w:cs="Arial" w:eastAsia="Arial" w:hAnsi="Arial"/>
                <w:sz w:val="14"/>
                <w:szCs w:val="14"/>
                <w:b w:val="1"/>
                <w:bCs w:val="1"/>
                <w:color w:val="FFFFFF"/>
              </w:rPr>
              <w:t>Gross</w:t>
            </w:r>
          </w:p>
        </w:tc>
        <w:tc>
          <w:tcPr>
            <w:tcW w:w="500" w:type="dxa"/>
            <w:vAlign w:val="bottom"/>
            <w:shd w:val="clear" w:color="auto" w:fill="939598"/>
          </w:tcPr>
          <w:p>
            <w:pPr>
              <w:spacing w:after="0"/>
              <w:rPr>
                <w:sz w:val="20"/>
                <w:szCs w:val="20"/>
                <w:color w:val="auto"/>
              </w:rPr>
            </w:pPr>
          </w:p>
        </w:tc>
        <w:tc>
          <w:tcPr>
            <w:tcW w:w="520" w:type="dxa"/>
            <w:vAlign w:val="bottom"/>
            <w:shd w:val="clear" w:color="auto" w:fill="939598"/>
          </w:tcPr>
          <w:p>
            <w:pPr>
              <w:spacing w:after="0"/>
              <w:rPr>
                <w:sz w:val="20"/>
                <w:szCs w:val="20"/>
                <w:color w:val="auto"/>
              </w:rPr>
            </w:pPr>
          </w:p>
        </w:tc>
        <w:tc>
          <w:tcPr>
            <w:tcW w:w="60" w:type="dxa"/>
            <w:vAlign w:val="bottom"/>
            <w:shd w:val="clear" w:color="auto" w:fill="939598"/>
          </w:tcPr>
          <w:p>
            <w:pPr>
              <w:spacing w:after="0"/>
              <w:rPr>
                <w:sz w:val="20"/>
                <w:szCs w:val="20"/>
                <w:color w:val="auto"/>
              </w:rPr>
            </w:pPr>
          </w:p>
        </w:tc>
      </w:tr>
      <w:tr>
        <w:trPr>
          <w:trHeight w:val="149"/>
        </w:trPr>
        <w:tc>
          <w:tcPr>
            <w:tcW w:w="6380" w:type="dxa"/>
            <w:vAlign w:val="bottom"/>
            <w:shd w:val="clear" w:color="auto" w:fill="939598"/>
          </w:tcPr>
          <w:p>
            <w:pPr>
              <w:spacing w:after="0"/>
              <w:rPr>
                <w:sz w:val="12"/>
                <w:szCs w:val="12"/>
                <w:color w:val="auto"/>
              </w:rPr>
            </w:pPr>
          </w:p>
        </w:tc>
        <w:tc>
          <w:tcPr>
            <w:tcW w:w="1080" w:type="dxa"/>
            <w:vAlign w:val="bottom"/>
            <w:gridSpan w:val="3"/>
            <w:shd w:val="clear" w:color="auto" w:fill="939598"/>
          </w:tcPr>
          <w:p>
            <w:pPr>
              <w:jc w:val="center"/>
              <w:ind w:left="62"/>
              <w:spacing w:after="0" w:line="149" w:lineRule="exact"/>
              <w:rPr>
                <w:sz w:val="20"/>
                <w:szCs w:val="20"/>
                <w:color w:val="auto"/>
              </w:rPr>
            </w:pPr>
            <w:r>
              <w:rPr>
                <w:rFonts w:ascii="Arial" w:cs="Arial" w:eastAsia="Arial" w:hAnsi="Arial"/>
                <w:sz w:val="14"/>
                <w:szCs w:val="14"/>
                <w:b w:val="1"/>
                <w:bCs w:val="1"/>
                <w:color w:val="FFFFFF"/>
                <w:w w:val="93"/>
              </w:rPr>
              <w:t>Carrying</w:t>
            </w:r>
          </w:p>
        </w:tc>
        <w:tc>
          <w:tcPr>
            <w:tcW w:w="1260" w:type="dxa"/>
            <w:vAlign w:val="bottom"/>
            <w:gridSpan w:val="2"/>
            <w:shd w:val="clear" w:color="auto" w:fill="939598"/>
          </w:tcPr>
          <w:p>
            <w:pPr>
              <w:ind w:left="200"/>
              <w:spacing w:after="0" w:line="149" w:lineRule="exact"/>
              <w:rPr>
                <w:sz w:val="20"/>
                <w:szCs w:val="20"/>
                <w:color w:val="auto"/>
              </w:rPr>
            </w:pPr>
            <w:r>
              <w:rPr>
                <w:rFonts w:ascii="Arial" w:cs="Arial" w:eastAsia="Arial" w:hAnsi="Arial"/>
                <w:sz w:val="14"/>
                <w:szCs w:val="14"/>
                <w:b w:val="1"/>
                <w:bCs w:val="1"/>
                <w:color w:val="FFFFFF"/>
              </w:rPr>
              <w:t>Accumulated</w:t>
            </w:r>
          </w:p>
        </w:tc>
        <w:tc>
          <w:tcPr>
            <w:tcW w:w="920" w:type="dxa"/>
            <w:vAlign w:val="bottom"/>
            <w:gridSpan w:val="2"/>
            <w:shd w:val="clear" w:color="auto" w:fill="939598"/>
          </w:tcPr>
          <w:p>
            <w:pPr>
              <w:ind w:left="200"/>
              <w:spacing w:after="0" w:line="149" w:lineRule="exact"/>
              <w:rPr>
                <w:sz w:val="20"/>
                <w:szCs w:val="20"/>
                <w:color w:val="auto"/>
              </w:rPr>
            </w:pPr>
            <w:r>
              <w:rPr>
                <w:rFonts w:ascii="Arial" w:cs="Arial" w:eastAsia="Arial" w:hAnsi="Arial"/>
                <w:sz w:val="14"/>
                <w:szCs w:val="14"/>
                <w:b w:val="1"/>
                <w:bCs w:val="1"/>
                <w:color w:val="FFFFFF"/>
              </w:rPr>
              <w:t>Carrying</w:t>
            </w:r>
          </w:p>
        </w:tc>
        <w:tc>
          <w:tcPr>
            <w:tcW w:w="1080" w:type="dxa"/>
            <w:vAlign w:val="bottom"/>
            <w:gridSpan w:val="3"/>
            <w:shd w:val="clear" w:color="auto" w:fill="939598"/>
          </w:tcPr>
          <w:p>
            <w:pPr>
              <w:ind w:left="180"/>
              <w:spacing w:after="0" w:line="149" w:lineRule="exact"/>
              <w:rPr>
                <w:sz w:val="20"/>
                <w:szCs w:val="20"/>
                <w:color w:val="auto"/>
              </w:rPr>
            </w:pPr>
            <w:r>
              <w:rPr>
                <w:rFonts w:ascii="Arial" w:cs="Arial" w:eastAsia="Arial" w:hAnsi="Arial"/>
                <w:sz w:val="14"/>
                <w:szCs w:val="14"/>
                <w:b w:val="1"/>
                <w:bCs w:val="1"/>
                <w:color w:val="FFFFFF"/>
              </w:rPr>
              <w:t>Accumulated</w:t>
            </w:r>
          </w:p>
        </w:tc>
      </w:tr>
      <w:tr>
        <w:trPr>
          <w:trHeight w:val="165"/>
        </w:trPr>
        <w:tc>
          <w:tcPr>
            <w:tcW w:w="6380" w:type="dxa"/>
            <w:vAlign w:val="bottom"/>
            <w:shd w:val="clear" w:color="auto" w:fill="939598"/>
          </w:tcPr>
          <w:p>
            <w:pPr>
              <w:spacing w:after="0"/>
              <w:rPr>
                <w:sz w:val="20"/>
                <w:szCs w:val="20"/>
                <w:color w:val="auto"/>
              </w:rPr>
            </w:pPr>
            <w:r>
              <w:rPr>
                <w:rFonts w:ascii="Arial" w:cs="Arial" w:eastAsia="Arial" w:hAnsi="Arial"/>
                <w:sz w:val="14"/>
                <w:szCs w:val="14"/>
                <w:b w:val="1"/>
                <w:bCs w:val="1"/>
                <w:color w:val="FFFFFF"/>
              </w:rPr>
              <w:t>Amortized Intangible Assets</w:t>
            </w:r>
          </w:p>
        </w:tc>
        <w:tc>
          <w:tcPr>
            <w:tcW w:w="340" w:type="dxa"/>
            <w:vAlign w:val="bottom"/>
            <w:shd w:val="clear" w:color="auto" w:fill="939598"/>
          </w:tcPr>
          <w:p>
            <w:pPr>
              <w:spacing w:after="0"/>
              <w:rPr>
                <w:sz w:val="14"/>
                <w:szCs w:val="14"/>
                <w:color w:val="auto"/>
              </w:rPr>
            </w:pPr>
          </w:p>
        </w:tc>
        <w:tc>
          <w:tcPr>
            <w:tcW w:w="740" w:type="dxa"/>
            <w:vAlign w:val="bottom"/>
            <w:gridSpan w:val="2"/>
            <w:shd w:val="clear" w:color="auto" w:fill="939598"/>
          </w:tcPr>
          <w:p>
            <w:pPr>
              <w:jc w:val="center"/>
              <w:ind w:right="115"/>
              <w:spacing w:after="0"/>
              <w:rPr>
                <w:sz w:val="20"/>
                <w:szCs w:val="20"/>
                <w:color w:val="auto"/>
              </w:rPr>
            </w:pPr>
            <w:r>
              <w:rPr>
                <w:rFonts w:ascii="Arial" w:cs="Arial" w:eastAsia="Arial" w:hAnsi="Arial"/>
                <w:sz w:val="14"/>
                <w:szCs w:val="14"/>
                <w:b w:val="1"/>
                <w:bCs w:val="1"/>
                <w:color w:val="FFFFFF"/>
                <w:w w:val="94"/>
              </w:rPr>
              <w:t>Amount</w:t>
            </w:r>
          </w:p>
        </w:tc>
        <w:tc>
          <w:tcPr>
            <w:tcW w:w="1260" w:type="dxa"/>
            <w:vAlign w:val="bottom"/>
            <w:gridSpan w:val="2"/>
            <w:shd w:val="clear" w:color="auto" w:fill="939598"/>
          </w:tcPr>
          <w:p>
            <w:pPr>
              <w:ind w:left="220"/>
              <w:spacing w:after="0"/>
              <w:rPr>
                <w:sz w:val="20"/>
                <w:szCs w:val="20"/>
                <w:color w:val="auto"/>
              </w:rPr>
            </w:pPr>
            <w:r>
              <w:rPr>
                <w:rFonts w:ascii="Arial" w:cs="Arial" w:eastAsia="Arial" w:hAnsi="Arial"/>
                <w:sz w:val="14"/>
                <w:szCs w:val="14"/>
                <w:b w:val="1"/>
                <w:bCs w:val="1"/>
                <w:color w:val="FFFFFF"/>
              </w:rPr>
              <w:t>Amortization</w:t>
            </w:r>
          </w:p>
        </w:tc>
        <w:tc>
          <w:tcPr>
            <w:tcW w:w="920" w:type="dxa"/>
            <w:vAlign w:val="bottom"/>
            <w:gridSpan w:val="2"/>
            <w:shd w:val="clear" w:color="auto" w:fill="939598"/>
          </w:tcPr>
          <w:p>
            <w:pPr>
              <w:ind w:left="220"/>
              <w:spacing w:after="0"/>
              <w:rPr>
                <w:sz w:val="20"/>
                <w:szCs w:val="20"/>
                <w:color w:val="auto"/>
              </w:rPr>
            </w:pPr>
            <w:r>
              <w:rPr>
                <w:rFonts w:ascii="Arial" w:cs="Arial" w:eastAsia="Arial" w:hAnsi="Arial"/>
                <w:sz w:val="14"/>
                <w:szCs w:val="14"/>
                <w:b w:val="1"/>
                <w:bCs w:val="1"/>
                <w:color w:val="FFFFFF"/>
              </w:rPr>
              <w:t>Amount</w:t>
            </w:r>
          </w:p>
        </w:tc>
        <w:tc>
          <w:tcPr>
            <w:tcW w:w="1080" w:type="dxa"/>
            <w:vAlign w:val="bottom"/>
            <w:gridSpan w:val="3"/>
            <w:shd w:val="clear" w:color="auto" w:fill="939598"/>
          </w:tcPr>
          <w:p>
            <w:pPr>
              <w:ind w:left="180"/>
              <w:spacing w:after="0"/>
              <w:rPr>
                <w:sz w:val="20"/>
                <w:szCs w:val="20"/>
                <w:color w:val="auto"/>
              </w:rPr>
            </w:pPr>
            <w:r>
              <w:rPr>
                <w:rFonts w:ascii="Arial" w:cs="Arial" w:eastAsia="Arial" w:hAnsi="Arial"/>
                <w:sz w:val="14"/>
                <w:szCs w:val="14"/>
                <w:b w:val="1"/>
                <w:bCs w:val="1"/>
                <w:color w:val="FFFFFF"/>
              </w:rPr>
              <w:t>Amortization</w:t>
            </w:r>
          </w:p>
        </w:tc>
      </w:tr>
      <w:tr>
        <w:trPr>
          <w:trHeight w:val="270"/>
        </w:trPr>
        <w:tc>
          <w:tcPr>
            <w:tcW w:w="6380" w:type="dxa"/>
            <w:vAlign w:val="bottom"/>
          </w:tcPr>
          <w:p>
            <w:pPr>
              <w:spacing w:after="0"/>
              <w:rPr>
                <w:sz w:val="20"/>
                <w:szCs w:val="20"/>
                <w:color w:val="auto"/>
              </w:rPr>
            </w:pPr>
            <w:r>
              <w:rPr>
                <w:rFonts w:ascii="Arial" w:cs="Arial" w:eastAsia="Arial" w:hAnsi="Arial"/>
                <w:sz w:val="18"/>
                <w:szCs w:val="18"/>
                <w:color w:val="auto"/>
              </w:rPr>
              <w:t>Developed and core technology</w:t>
            </w:r>
          </w:p>
        </w:tc>
        <w:tc>
          <w:tcPr>
            <w:tcW w:w="500" w:type="dxa"/>
            <w:vAlign w:val="bottom"/>
            <w:gridSpan w:val="2"/>
          </w:tcPr>
          <w:p>
            <w:pPr>
              <w:jc w:val="right"/>
              <w:ind w:right="9"/>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95"/>
              <w:spacing w:after="0"/>
              <w:rPr>
                <w:sz w:val="20"/>
                <w:szCs w:val="20"/>
                <w:color w:val="auto"/>
              </w:rPr>
            </w:pPr>
            <w:r>
              <w:rPr>
                <w:rFonts w:ascii="Arial" w:cs="Arial" w:eastAsia="Arial" w:hAnsi="Arial"/>
                <w:sz w:val="18"/>
                <w:szCs w:val="18"/>
                <w:b w:val="1"/>
                <w:bCs w:val="1"/>
                <w:color w:val="auto"/>
              </w:rPr>
              <w:t>209</w:t>
            </w:r>
          </w:p>
        </w:tc>
        <w:tc>
          <w:tcPr>
            <w:tcW w:w="54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12"/>
              <w:spacing w:after="0"/>
              <w:rPr>
                <w:sz w:val="20"/>
                <w:szCs w:val="20"/>
                <w:color w:val="auto"/>
              </w:rPr>
            </w:pPr>
            <w:r>
              <w:rPr>
                <w:rFonts w:ascii="Arial" w:cs="Arial" w:eastAsia="Arial" w:hAnsi="Arial"/>
                <w:sz w:val="18"/>
                <w:szCs w:val="18"/>
                <w:b w:val="1"/>
                <w:bCs w:val="1"/>
                <w:color w:val="auto"/>
              </w:rPr>
              <w:t>137</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5"/>
              <w:spacing w:after="0"/>
              <w:rPr>
                <w:sz w:val="20"/>
                <w:szCs w:val="20"/>
                <w:color w:val="auto"/>
              </w:rPr>
            </w:pPr>
            <w:r>
              <w:rPr>
                <w:rFonts w:ascii="Arial" w:cs="Arial" w:eastAsia="Arial" w:hAnsi="Arial"/>
                <w:sz w:val="18"/>
                <w:szCs w:val="18"/>
                <w:color w:val="auto"/>
              </w:rPr>
              <w:t>202</w:t>
            </w:r>
          </w:p>
        </w:tc>
        <w:tc>
          <w:tcPr>
            <w:tcW w:w="500" w:type="dxa"/>
            <w:vAlign w:val="bottom"/>
          </w:tcPr>
          <w:p>
            <w:pPr>
              <w:ind w:left="1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156</w:t>
            </w:r>
          </w:p>
        </w:tc>
        <w:tc>
          <w:tcPr>
            <w:tcW w:w="60" w:type="dxa"/>
            <w:vAlign w:val="bottom"/>
          </w:tcPr>
          <w:p>
            <w:pPr>
              <w:spacing w:after="0"/>
              <w:rPr>
                <w:sz w:val="23"/>
                <w:szCs w:val="23"/>
                <w:color w:val="auto"/>
              </w:rPr>
            </w:pPr>
          </w:p>
        </w:tc>
      </w:tr>
      <w:tr>
        <w:trPr>
          <w:trHeight w:val="203"/>
        </w:trPr>
        <w:tc>
          <w:tcPr>
            <w:tcW w:w="6380" w:type="dxa"/>
            <w:vAlign w:val="bottom"/>
            <w:shd w:val="clear" w:color="auto" w:fill="E6E7E7"/>
          </w:tcPr>
          <w:p>
            <w:pPr>
              <w:spacing w:after="0" w:line="202" w:lineRule="exact"/>
              <w:rPr>
                <w:sz w:val="20"/>
                <w:szCs w:val="20"/>
                <w:color w:val="auto"/>
              </w:rPr>
            </w:pPr>
            <w:r>
              <w:rPr>
                <w:rFonts w:ascii="Arial" w:cs="Arial" w:eastAsia="Arial" w:hAnsi="Arial"/>
                <w:sz w:val="18"/>
                <w:szCs w:val="18"/>
                <w:color w:val="auto"/>
              </w:rPr>
              <w:t>Customer relationships</w:t>
            </w:r>
          </w:p>
        </w:tc>
        <w:tc>
          <w:tcPr>
            <w:tcW w:w="340" w:type="dxa"/>
            <w:vAlign w:val="bottom"/>
            <w:shd w:val="clear" w:color="auto" w:fill="E6E7E7"/>
          </w:tcPr>
          <w:p>
            <w:pPr>
              <w:spacing w:after="0"/>
              <w:rPr>
                <w:sz w:val="17"/>
                <w:szCs w:val="17"/>
                <w:color w:val="auto"/>
              </w:rPr>
            </w:pPr>
          </w:p>
        </w:tc>
        <w:tc>
          <w:tcPr>
            <w:tcW w:w="160" w:type="dxa"/>
            <w:vAlign w:val="bottom"/>
            <w:shd w:val="clear" w:color="auto" w:fill="E6E7E7"/>
          </w:tcPr>
          <w:p>
            <w:pPr>
              <w:spacing w:after="0"/>
              <w:rPr>
                <w:sz w:val="17"/>
                <w:szCs w:val="17"/>
                <w:color w:val="auto"/>
              </w:rPr>
            </w:pPr>
          </w:p>
        </w:tc>
        <w:tc>
          <w:tcPr>
            <w:tcW w:w="580" w:type="dxa"/>
            <w:vAlign w:val="bottom"/>
            <w:shd w:val="clear" w:color="auto" w:fill="E6E7E7"/>
          </w:tcPr>
          <w:p>
            <w:pPr>
              <w:jc w:val="right"/>
              <w:ind w:right="95"/>
              <w:spacing w:after="0" w:line="202" w:lineRule="exact"/>
              <w:rPr>
                <w:sz w:val="20"/>
                <w:szCs w:val="20"/>
                <w:color w:val="auto"/>
              </w:rPr>
            </w:pPr>
            <w:r>
              <w:rPr>
                <w:rFonts w:ascii="Arial" w:cs="Arial" w:eastAsia="Arial" w:hAnsi="Arial"/>
                <w:sz w:val="18"/>
                <w:szCs w:val="18"/>
                <w:b w:val="1"/>
                <w:bCs w:val="1"/>
                <w:color w:val="auto"/>
              </w:rPr>
              <w:t>45</w:t>
            </w:r>
          </w:p>
        </w:tc>
        <w:tc>
          <w:tcPr>
            <w:tcW w:w="540" w:type="dxa"/>
            <w:vAlign w:val="bottom"/>
            <w:shd w:val="clear" w:color="auto" w:fill="E6E7E7"/>
          </w:tcPr>
          <w:p>
            <w:pPr>
              <w:spacing w:after="0"/>
              <w:rPr>
                <w:sz w:val="17"/>
                <w:szCs w:val="17"/>
                <w:color w:val="auto"/>
              </w:rPr>
            </w:pPr>
          </w:p>
        </w:tc>
        <w:tc>
          <w:tcPr>
            <w:tcW w:w="720" w:type="dxa"/>
            <w:vAlign w:val="bottom"/>
            <w:shd w:val="clear" w:color="auto" w:fill="E6E7E7"/>
          </w:tcPr>
          <w:p>
            <w:pPr>
              <w:jc w:val="right"/>
              <w:ind w:right="112"/>
              <w:spacing w:after="0" w:line="202" w:lineRule="exact"/>
              <w:rPr>
                <w:sz w:val="20"/>
                <w:szCs w:val="20"/>
                <w:color w:val="auto"/>
              </w:rPr>
            </w:pPr>
            <w:r>
              <w:rPr>
                <w:rFonts w:ascii="Arial" w:cs="Arial" w:eastAsia="Arial" w:hAnsi="Arial"/>
                <w:sz w:val="18"/>
                <w:szCs w:val="18"/>
                <w:b w:val="1"/>
                <w:bCs w:val="1"/>
                <w:color w:val="auto"/>
              </w:rPr>
              <w:t>30</w:t>
            </w:r>
          </w:p>
        </w:tc>
        <w:tc>
          <w:tcPr>
            <w:tcW w:w="340" w:type="dxa"/>
            <w:vAlign w:val="bottom"/>
            <w:shd w:val="clear" w:color="auto" w:fill="E6E7E7"/>
          </w:tcPr>
          <w:p>
            <w:pPr>
              <w:spacing w:after="0"/>
              <w:rPr>
                <w:sz w:val="17"/>
                <w:szCs w:val="17"/>
                <w:color w:val="auto"/>
              </w:rPr>
            </w:pPr>
          </w:p>
        </w:tc>
        <w:tc>
          <w:tcPr>
            <w:tcW w:w="580" w:type="dxa"/>
            <w:vAlign w:val="bottom"/>
            <w:shd w:val="clear" w:color="auto" w:fill="E6E7E7"/>
          </w:tcPr>
          <w:p>
            <w:pPr>
              <w:jc w:val="right"/>
              <w:ind w:right="75"/>
              <w:spacing w:after="0" w:line="202" w:lineRule="exact"/>
              <w:rPr>
                <w:sz w:val="20"/>
                <w:szCs w:val="20"/>
                <w:color w:val="auto"/>
              </w:rPr>
            </w:pPr>
            <w:r>
              <w:rPr>
                <w:rFonts w:ascii="Arial" w:cs="Arial" w:eastAsia="Arial" w:hAnsi="Arial"/>
                <w:sz w:val="18"/>
                <w:szCs w:val="18"/>
                <w:color w:val="auto"/>
              </w:rPr>
              <w:t>32</w:t>
            </w:r>
          </w:p>
        </w:tc>
        <w:tc>
          <w:tcPr>
            <w:tcW w:w="500" w:type="dxa"/>
            <w:vAlign w:val="bottom"/>
            <w:shd w:val="clear" w:color="auto" w:fill="E6E7E7"/>
          </w:tcPr>
          <w:p>
            <w:pPr>
              <w:spacing w:after="0"/>
              <w:rPr>
                <w:sz w:val="17"/>
                <w:szCs w:val="17"/>
                <w:color w:val="auto"/>
              </w:rPr>
            </w:pPr>
          </w:p>
        </w:tc>
        <w:tc>
          <w:tcPr>
            <w:tcW w:w="5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24</w:t>
            </w:r>
          </w:p>
        </w:tc>
        <w:tc>
          <w:tcPr>
            <w:tcW w:w="60" w:type="dxa"/>
            <w:vAlign w:val="bottom"/>
            <w:shd w:val="clear" w:color="auto" w:fill="E6E7E7"/>
          </w:tcPr>
          <w:p>
            <w:pPr>
              <w:spacing w:after="0"/>
              <w:rPr>
                <w:sz w:val="17"/>
                <w:szCs w:val="17"/>
                <w:color w:val="auto"/>
              </w:rPr>
            </w:pP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Patents and trademarks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ind w:right="95"/>
              <w:spacing w:after="0" w:line="202" w:lineRule="exact"/>
              <w:rPr>
                <w:sz w:val="20"/>
                <w:szCs w:val="20"/>
                <w:color w:val="auto"/>
              </w:rPr>
            </w:pPr>
            <w:r>
              <w:rPr>
                <w:rFonts w:ascii="Arial" w:cs="Arial" w:eastAsia="Arial" w:hAnsi="Arial"/>
                <w:sz w:val="18"/>
                <w:szCs w:val="18"/>
                <w:b w:val="1"/>
                <w:bCs w:val="1"/>
                <w:color w:val="auto"/>
              </w:rPr>
              <w:t>32</w:t>
            </w:r>
          </w:p>
        </w:tc>
        <w:tc>
          <w:tcPr>
            <w:tcW w:w="540" w:type="dxa"/>
            <w:vAlign w:val="bottom"/>
          </w:tcPr>
          <w:p>
            <w:pPr>
              <w:spacing w:after="0"/>
              <w:rPr>
                <w:sz w:val="17"/>
                <w:szCs w:val="17"/>
                <w:color w:val="auto"/>
              </w:rPr>
            </w:pPr>
          </w:p>
        </w:tc>
        <w:tc>
          <w:tcPr>
            <w:tcW w:w="72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4</w:t>
            </w:r>
          </w:p>
        </w:tc>
        <w:tc>
          <w:tcPr>
            <w:tcW w:w="340" w:type="dxa"/>
            <w:vAlign w:val="bottom"/>
          </w:tcPr>
          <w:p>
            <w:pPr>
              <w:spacing w:after="0"/>
              <w:rPr>
                <w:sz w:val="17"/>
                <w:szCs w:val="17"/>
                <w:color w:val="auto"/>
              </w:rPr>
            </w:pPr>
          </w:p>
        </w:tc>
        <w:tc>
          <w:tcPr>
            <w:tcW w:w="5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2</w:t>
            </w:r>
          </w:p>
        </w:tc>
        <w:tc>
          <w:tcPr>
            <w:tcW w:w="5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7"/>
                <w:szCs w:val="17"/>
                <w:color w:val="auto"/>
              </w:rPr>
            </w:pPr>
          </w:p>
        </w:tc>
      </w:tr>
      <w:tr>
        <w:trPr>
          <w:trHeight w:val="203"/>
        </w:trPr>
        <w:tc>
          <w:tcPr>
            <w:tcW w:w="6380" w:type="dxa"/>
            <w:vAlign w:val="bottom"/>
            <w:shd w:val="clear" w:color="auto" w:fill="E6E7E7"/>
          </w:tcPr>
          <w:p>
            <w:pPr>
              <w:spacing w:after="0" w:line="202" w:lineRule="exact"/>
              <w:rPr>
                <w:sz w:val="20"/>
                <w:szCs w:val="20"/>
                <w:color w:val="auto"/>
              </w:rPr>
            </w:pPr>
            <w:r>
              <w:rPr>
                <w:rFonts w:ascii="Arial" w:cs="Arial" w:eastAsia="Arial" w:hAnsi="Arial"/>
                <w:sz w:val="18"/>
                <w:szCs w:val="18"/>
                <w:color w:val="auto"/>
              </w:rPr>
              <w:t>Non-compete agreements</w:t>
            </w:r>
          </w:p>
        </w:tc>
        <w:tc>
          <w:tcPr>
            <w:tcW w:w="340" w:type="dxa"/>
            <w:vAlign w:val="bottom"/>
            <w:shd w:val="clear" w:color="auto" w:fill="E6E7E7"/>
          </w:tcPr>
          <w:p>
            <w:pPr>
              <w:spacing w:after="0"/>
              <w:rPr>
                <w:sz w:val="17"/>
                <w:szCs w:val="17"/>
                <w:color w:val="auto"/>
              </w:rPr>
            </w:pPr>
          </w:p>
        </w:tc>
        <w:tc>
          <w:tcPr>
            <w:tcW w:w="160" w:type="dxa"/>
            <w:vAlign w:val="bottom"/>
            <w:shd w:val="clear" w:color="auto" w:fill="E6E7E7"/>
          </w:tcPr>
          <w:p>
            <w:pPr>
              <w:spacing w:after="0"/>
              <w:rPr>
                <w:sz w:val="17"/>
                <w:szCs w:val="17"/>
                <w:color w:val="auto"/>
              </w:rPr>
            </w:pPr>
          </w:p>
        </w:tc>
        <w:tc>
          <w:tcPr>
            <w:tcW w:w="580" w:type="dxa"/>
            <w:vAlign w:val="bottom"/>
            <w:shd w:val="clear" w:color="auto" w:fill="E6E7E7"/>
          </w:tcPr>
          <w:p>
            <w:pPr>
              <w:jc w:val="right"/>
              <w:ind w:right="95"/>
              <w:spacing w:after="0" w:line="202" w:lineRule="exact"/>
              <w:rPr>
                <w:sz w:val="20"/>
                <w:szCs w:val="20"/>
                <w:color w:val="auto"/>
              </w:rPr>
            </w:pPr>
            <w:r>
              <w:rPr>
                <w:rFonts w:ascii="Arial" w:cs="Arial" w:eastAsia="Arial" w:hAnsi="Arial"/>
                <w:sz w:val="18"/>
                <w:szCs w:val="18"/>
                <w:b w:val="1"/>
                <w:bCs w:val="1"/>
                <w:color w:val="auto"/>
              </w:rPr>
              <w:t>6</w:t>
            </w:r>
          </w:p>
        </w:tc>
        <w:tc>
          <w:tcPr>
            <w:tcW w:w="540" w:type="dxa"/>
            <w:vAlign w:val="bottom"/>
            <w:shd w:val="clear" w:color="auto" w:fill="E6E7E7"/>
          </w:tcPr>
          <w:p>
            <w:pPr>
              <w:spacing w:after="0"/>
              <w:rPr>
                <w:sz w:val="17"/>
                <w:szCs w:val="17"/>
                <w:color w:val="auto"/>
              </w:rPr>
            </w:pPr>
          </w:p>
        </w:tc>
        <w:tc>
          <w:tcPr>
            <w:tcW w:w="720" w:type="dxa"/>
            <w:vAlign w:val="bottom"/>
            <w:shd w:val="clear" w:color="auto" w:fill="E6E7E7"/>
          </w:tcPr>
          <w:p>
            <w:pPr>
              <w:jc w:val="right"/>
              <w:ind w:right="112"/>
              <w:spacing w:after="0" w:line="202" w:lineRule="exact"/>
              <w:rPr>
                <w:sz w:val="20"/>
                <w:szCs w:val="20"/>
                <w:color w:val="auto"/>
              </w:rPr>
            </w:pPr>
            <w:r>
              <w:rPr>
                <w:rFonts w:ascii="Arial" w:cs="Arial" w:eastAsia="Arial" w:hAnsi="Arial"/>
                <w:sz w:val="18"/>
                <w:szCs w:val="18"/>
                <w:b w:val="1"/>
                <w:bCs w:val="1"/>
                <w:color w:val="auto"/>
              </w:rPr>
              <w:t>3</w:t>
            </w:r>
          </w:p>
        </w:tc>
        <w:tc>
          <w:tcPr>
            <w:tcW w:w="340" w:type="dxa"/>
            <w:vAlign w:val="bottom"/>
            <w:shd w:val="clear" w:color="auto" w:fill="E6E7E7"/>
          </w:tcPr>
          <w:p>
            <w:pPr>
              <w:spacing w:after="0"/>
              <w:rPr>
                <w:sz w:val="17"/>
                <w:szCs w:val="17"/>
                <w:color w:val="auto"/>
              </w:rPr>
            </w:pPr>
          </w:p>
        </w:tc>
        <w:tc>
          <w:tcPr>
            <w:tcW w:w="580" w:type="dxa"/>
            <w:vAlign w:val="bottom"/>
            <w:shd w:val="clear" w:color="auto" w:fill="E6E7E7"/>
          </w:tcPr>
          <w:p>
            <w:pPr>
              <w:jc w:val="right"/>
              <w:ind w:right="75"/>
              <w:spacing w:after="0" w:line="202" w:lineRule="exact"/>
              <w:rPr>
                <w:sz w:val="20"/>
                <w:szCs w:val="20"/>
                <w:color w:val="auto"/>
              </w:rPr>
            </w:pPr>
            <w:r>
              <w:rPr>
                <w:rFonts w:ascii="Arial" w:cs="Arial" w:eastAsia="Arial" w:hAnsi="Arial"/>
                <w:sz w:val="18"/>
                <w:szCs w:val="18"/>
                <w:color w:val="auto"/>
              </w:rPr>
              <w:t>57</w:t>
            </w:r>
          </w:p>
        </w:tc>
        <w:tc>
          <w:tcPr>
            <w:tcW w:w="500" w:type="dxa"/>
            <w:vAlign w:val="bottom"/>
            <w:shd w:val="clear" w:color="auto" w:fill="E6E7E7"/>
          </w:tcPr>
          <w:p>
            <w:pPr>
              <w:spacing w:after="0"/>
              <w:rPr>
                <w:sz w:val="17"/>
                <w:szCs w:val="17"/>
                <w:color w:val="auto"/>
              </w:rPr>
            </w:pPr>
          </w:p>
        </w:tc>
        <w:tc>
          <w:tcPr>
            <w:tcW w:w="5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53</w:t>
            </w:r>
          </w:p>
        </w:tc>
        <w:tc>
          <w:tcPr>
            <w:tcW w:w="60" w:type="dxa"/>
            <w:vAlign w:val="bottom"/>
            <w:shd w:val="clear" w:color="auto" w:fill="E6E7E7"/>
          </w:tcPr>
          <w:p>
            <w:pPr>
              <w:spacing w:after="0"/>
              <w:rPr>
                <w:sz w:val="17"/>
                <w:szCs w:val="17"/>
                <w:color w:val="auto"/>
              </w:rPr>
            </w:pPr>
          </w:p>
        </w:tc>
      </w:tr>
      <w:tr>
        <w:trPr>
          <w:trHeight w:val="210"/>
        </w:trPr>
        <w:tc>
          <w:tcPr>
            <w:tcW w:w="63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5"/>
              <w:spacing w:after="0" w:line="202" w:lineRule="exact"/>
              <w:rPr>
                <w:sz w:val="20"/>
                <w:szCs w:val="20"/>
                <w:color w:val="auto"/>
              </w:rPr>
            </w:pPr>
            <w:r>
              <w:rPr>
                <w:rFonts w:ascii="Arial" w:cs="Arial" w:eastAsia="Arial" w:hAnsi="Arial"/>
                <w:sz w:val="18"/>
                <w:szCs w:val="18"/>
                <w:b w:val="1"/>
                <w:bCs w:val="1"/>
                <w:color w:val="auto"/>
              </w:rPr>
              <w:t>1</w:t>
            </w: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b w:val="1"/>
                <w:bCs w:val="1"/>
                <w:color w:val="auto"/>
              </w:rPr>
              <w:t>1</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5"/>
              <w:spacing w:after="0" w:line="202" w:lineRule="exact"/>
              <w:rPr>
                <w:sz w:val="20"/>
                <w:szCs w:val="20"/>
                <w:color w:val="auto"/>
              </w:rPr>
            </w:pPr>
            <w:r>
              <w:rPr>
                <w:rFonts w:ascii="Arial" w:cs="Arial" w:eastAsia="Arial" w:hAnsi="Arial"/>
                <w:sz w:val="18"/>
                <w:szCs w:val="18"/>
                <w:color w:val="auto"/>
              </w:rPr>
              <w:t>2</w:t>
            </w: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r>
      <w:tr>
        <w:trPr>
          <w:trHeight w:val="203"/>
        </w:trPr>
        <w:tc>
          <w:tcPr>
            <w:tcW w:w="6380" w:type="dxa"/>
            <w:vAlign w:val="bottom"/>
            <w:shd w:val="clear" w:color="auto" w:fill="E6E7E7"/>
          </w:tcPr>
          <w:p>
            <w:pPr>
              <w:spacing w:after="0" w:line="202" w:lineRule="exact"/>
              <w:rPr>
                <w:sz w:val="20"/>
                <w:szCs w:val="20"/>
                <w:color w:val="auto"/>
              </w:rPr>
            </w:pPr>
            <w:r>
              <w:rPr>
                <w:rFonts w:ascii="Arial" w:cs="Arial" w:eastAsia="Arial" w:hAnsi="Arial"/>
                <w:sz w:val="18"/>
                <w:szCs w:val="18"/>
                <w:color w:val="auto"/>
              </w:rPr>
              <w:t>Total</w:t>
            </w:r>
          </w:p>
        </w:tc>
        <w:tc>
          <w:tcPr>
            <w:tcW w:w="340" w:type="dxa"/>
            <w:vAlign w:val="bottom"/>
            <w:shd w:val="clear" w:color="auto" w:fill="E6E7E7"/>
          </w:tcPr>
          <w:p>
            <w:pPr>
              <w:spacing w:after="0"/>
              <w:rPr>
                <w:sz w:val="17"/>
                <w:szCs w:val="17"/>
                <w:color w:val="auto"/>
              </w:rPr>
            </w:pPr>
          </w:p>
        </w:tc>
        <w:tc>
          <w:tcPr>
            <w:tcW w:w="160" w:type="dxa"/>
            <w:vAlign w:val="bottom"/>
            <w:tcBorders>
              <w:bottom w:val="single" w:sz="8" w:color="auto"/>
            </w:tcBorders>
            <w:shd w:val="clear" w:color="auto" w:fill="E6E7E7"/>
          </w:tcPr>
          <w:p>
            <w:pPr>
              <w:jc w:val="right"/>
              <w:ind w:right="9"/>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shd w:val="clear" w:color="auto" w:fill="E6E7E7"/>
          </w:tcPr>
          <w:p>
            <w:pPr>
              <w:jc w:val="right"/>
              <w:ind w:right="95"/>
              <w:spacing w:after="0" w:line="202" w:lineRule="exact"/>
              <w:rPr>
                <w:sz w:val="20"/>
                <w:szCs w:val="20"/>
                <w:color w:val="auto"/>
              </w:rPr>
            </w:pPr>
            <w:r>
              <w:rPr>
                <w:rFonts w:ascii="Arial" w:cs="Arial" w:eastAsia="Arial" w:hAnsi="Arial"/>
                <w:sz w:val="18"/>
                <w:szCs w:val="18"/>
                <w:b w:val="1"/>
                <w:bCs w:val="1"/>
                <w:color w:val="auto"/>
              </w:rPr>
              <w:t>293</w:t>
            </w:r>
          </w:p>
        </w:tc>
        <w:tc>
          <w:tcPr>
            <w:tcW w:w="540" w:type="dxa"/>
            <w:vAlign w:val="bottom"/>
            <w:tcBorders>
              <w:bottom w:val="single" w:sz="8" w:color="auto"/>
            </w:tcBorders>
            <w:shd w:val="clear" w:color="auto" w:fill="E6E7E7"/>
          </w:tcPr>
          <w:p>
            <w:pPr>
              <w:ind w:left="20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6E7E7"/>
          </w:tcPr>
          <w:p>
            <w:pPr>
              <w:jc w:val="right"/>
              <w:ind w:right="112"/>
              <w:spacing w:after="0" w:line="202" w:lineRule="exact"/>
              <w:rPr>
                <w:sz w:val="20"/>
                <w:szCs w:val="20"/>
                <w:color w:val="auto"/>
              </w:rPr>
            </w:pPr>
            <w:r>
              <w:rPr>
                <w:rFonts w:ascii="Arial" w:cs="Arial" w:eastAsia="Arial" w:hAnsi="Arial"/>
                <w:sz w:val="18"/>
                <w:szCs w:val="18"/>
                <w:b w:val="1"/>
                <w:bCs w:val="1"/>
                <w:color w:val="auto"/>
              </w:rPr>
              <w:t>175</w:t>
            </w:r>
          </w:p>
        </w:tc>
        <w:tc>
          <w:tcPr>
            <w:tcW w:w="340" w:type="dxa"/>
            <w:vAlign w:val="bottom"/>
            <w:tcBorders>
              <w:bottom w:val="single" w:sz="8" w:color="auto"/>
            </w:tcBorders>
            <w:shd w:val="clear" w:color="auto" w:fill="E6E7E7"/>
          </w:tcPr>
          <w:p>
            <w:pPr>
              <w:ind w:left="180"/>
              <w:spacing w:after="0" w:line="202"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E6E7E7"/>
          </w:tcPr>
          <w:p>
            <w:pPr>
              <w:jc w:val="right"/>
              <w:ind w:right="75"/>
              <w:spacing w:after="0" w:line="202" w:lineRule="exact"/>
              <w:rPr>
                <w:sz w:val="20"/>
                <w:szCs w:val="20"/>
                <w:color w:val="auto"/>
              </w:rPr>
            </w:pPr>
            <w:r>
              <w:rPr>
                <w:rFonts w:ascii="Arial" w:cs="Arial" w:eastAsia="Arial" w:hAnsi="Arial"/>
                <w:sz w:val="18"/>
                <w:szCs w:val="18"/>
                <w:color w:val="auto"/>
              </w:rPr>
              <w:t>295</w:t>
            </w:r>
          </w:p>
        </w:tc>
        <w:tc>
          <w:tcPr>
            <w:tcW w:w="500" w:type="dxa"/>
            <w:vAlign w:val="bottom"/>
            <w:tcBorders>
              <w:bottom w:val="single" w:sz="8" w:color="auto"/>
            </w:tcBorders>
            <w:shd w:val="clear" w:color="auto" w:fill="E6E7E7"/>
          </w:tcPr>
          <w:p>
            <w:pPr>
              <w:ind w:left="180"/>
              <w:spacing w:after="0" w:line="202"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235</w:t>
            </w:r>
          </w:p>
        </w:tc>
        <w:tc>
          <w:tcPr>
            <w:tcW w:w="60" w:type="dxa"/>
            <w:vAlign w:val="bottom"/>
            <w:shd w:val="clear" w:color="auto" w:fill="E6E7E7"/>
          </w:tcPr>
          <w:p>
            <w:pPr>
              <w:spacing w:after="0"/>
              <w:rPr>
                <w:sz w:val="17"/>
                <w:szCs w:val="17"/>
                <w:color w:val="auto"/>
              </w:rPr>
            </w:pPr>
          </w:p>
        </w:tc>
      </w:tr>
      <w:tr>
        <w:trPr>
          <w:trHeight w:val="20"/>
        </w:trPr>
        <w:tc>
          <w:tcPr>
            <w:tcW w:w="6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left="460" w:right="500"/>
        <w:spacing w:after="0" w:line="239" w:lineRule="auto"/>
        <w:rPr>
          <w:sz w:val="20"/>
          <w:szCs w:val="20"/>
          <w:color w:val="auto"/>
        </w:rPr>
      </w:pPr>
      <w:r>
        <w:rPr>
          <w:rFonts w:ascii="Arial" w:cs="Arial" w:eastAsia="Arial" w:hAnsi="Arial"/>
          <w:sz w:val="18"/>
          <w:szCs w:val="18"/>
          <w:color w:val="auto"/>
        </w:rPr>
        <w:t>Amortization of acquisition-related intangibles was $59 million, $55 million and $69 million for 2006, 2005 and 2004, primarily related to developed technology. Fully amortized assets are written off against accumulated amortization.</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estimated amortization of acquisition-related intangibles for the years ended December 31:</w:t>
      </w:r>
    </w:p>
    <w:p>
      <w:pPr>
        <w:spacing w:after="0" w:line="191"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680" w:type="dxa"/>
            <w:vAlign w:val="bottom"/>
            <w:shd w:val="clear" w:color="auto" w:fill="E5E5E5"/>
          </w:tcPr>
          <w:p>
            <w:pPr>
              <w:spacing w:after="0"/>
              <w:rPr>
                <w:sz w:val="20"/>
                <w:szCs w:val="20"/>
                <w:color w:val="auto"/>
              </w:rPr>
            </w:pPr>
            <w:r>
              <w:rPr>
                <w:rFonts w:ascii="Arial" w:cs="Arial" w:eastAsia="Arial" w:hAnsi="Arial"/>
                <w:sz w:val="18"/>
                <w:szCs w:val="18"/>
                <w:color w:val="auto"/>
              </w:rPr>
              <w:t>2007</w:t>
            </w:r>
          </w:p>
        </w:tc>
        <w:tc>
          <w:tcPr>
            <w:tcW w:w="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3"/>
        </w:trPr>
        <w:tc>
          <w:tcPr>
            <w:tcW w:w="9700" w:type="dxa"/>
            <w:vAlign w:val="bottom"/>
            <w:gridSpan w:val="2"/>
          </w:tcPr>
          <w:p>
            <w:pPr>
              <w:spacing w:after="0" w:line="202" w:lineRule="exact"/>
              <w:rPr>
                <w:sz w:val="20"/>
                <w:szCs w:val="20"/>
                <w:color w:val="auto"/>
              </w:rPr>
            </w:pPr>
            <w:r>
              <w:rPr>
                <w:rFonts w:ascii="Arial" w:cs="Arial" w:eastAsia="Arial" w:hAnsi="Arial"/>
                <w:sz w:val="18"/>
                <w:szCs w:val="18"/>
                <w:color w:val="auto"/>
              </w:rPr>
              <w:t>2008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2009</w:t>
            </w:r>
          </w:p>
        </w:tc>
        <w:tc>
          <w:tcPr>
            <w:tcW w:w="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9700" w:type="dxa"/>
            <w:vAlign w:val="bottom"/>
            <w:gridSpan w:val="2"/>
          </w:tcPr>
          <w:p>
            <w:pPr>
              <w:spacing w:after="0" w:line="202" w:lineRule="exact"/>
              <w:rPr>
                <w:sz w:val="20"/>
                <w:szCs w:val="20"/>
                <w:color w:val="auto"/>
              </w:rPr>
            </w:pPr>
            <w:r>
              <w:rPr>
                <w:rFonts w:ascii="Arial" w:cs="Arial" w:eastAsia="Arial" w:hAnsi="Arial"/>
                <w:sz w:val="18"/>
                <w:szCs w:val="18"/>
                <w:color w:val="auto"/>
              </w:rPr>
              <w:t>2010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2011</w:t>
            </w:r>
          </w:p>
        </w:tc>
        <w:tc>
          <w:tcPr>
            <w:tcW w:w="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4"/>
        </w:trPr>
        <w:tc>
          <w:tcPr>
            <w:tcW w:w="97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680" w:type="dxa"/>
            <w:vAlign w:val="bottom"/>
          </w:tcPr>
          <w:p>
            <w:pPr>
              <w:ind w:left="80"/>
              <w:spacing w:after="0"/>
              <w:rPr>
                <w:sz w:val="20"/>
                <w:szCs w:val="20"/>
                <w:color w:val="auto"/>
              </w:rPr>
            </w:pPr>
            <w:r>
              <w:rPr>
                <w:rFonts w:ascii="Arial" w:cs="Arial" w:eastAsia="Arial" w:hAnsi="Arial"/>
                <w:sz w:val="18"/>
                <w:szCs w:val="18"/>
                <w:b w:val="1"/>
                <w:bCs w:val="1"/>
                <w:color w:val="auto"/>
              </w:rPr>
              <w:t>6. Debt and Lines of Credit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5"/>
          </w:tcPr>
          <w:p>
            <w:pPr>
              <w:spacing w:after="0"/>
              <w:rPr>
                <w:sz w:val="20"/>
                <w:szCs w:val="20"/>
                <w:color w:val="auto"/>
              </w:rPr>
            </w:pPr>
            <w:r>
              <w:rPr>
                <w:rFonts w:ascii="Arial" w:cs="Arial" w:eastAsia="Arial" w:hAnsi="Arial"/>
                <w:sz w:val="14"/>
                <w:szCs w:val="14"/>
                <w:b w:val="1"/>
                <w:bCs w:val="1"/>
                <w:color w:val="939598"/>
                <w:w w:val="94"/>
              </w:rPr>
              <w:t>DECEMBER 31,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80" w:type="dxa"/>
            <w:vAlign w:val="bottom"/>
            <w:shd w:val="clear" w:color="auto" w:fill="939598"/>
          </w:tcPr>
          <w:p>
            <w:pPr>
              <w:spacing w:after="0" w:line="149" w:lineRule="exact"/>
              <w:rPr>
                <w:sz w:val="20"/>
                <w:szCs w:val="20"/>
                <w:color w:val="auto"/>
              </w:rPr>
            </w:pPr>
            <w:r>
              <w:rPr>
                <w:rFonts w:ascii="Arial" w:cs="Arial" w:eastAsia="Arial" w:hAnsi="Arial"/>
                <w:sz w:val="14"/>
                <w:szCs w:val="14"/>
                <w:b w:val="1"/>
                <w:bCs w:val="1"/>
                <w:color w:val="FFFFFF"/>
              </w:rPr>
              <w:t>Long-term Debt</w:t>
            </w:r>
          </w:p>
        </w:tc>
        <w:tc>
          <w:tcPr>
            <w:tcW w:w="420" w:type="dxa"/>
            <w:vAlign w:val="bottom"/>
            <w:gridSpan w:val="3"/>
            <w:shd w:val="clear" w:color="auto" w:fill="939598"/>
          </w:tcPr>
          <w:p>
            <w:pPr>
              <w:jc w:val="right"/>
              <w:spacing w:after="0" w:line="149" w:lineRule="exact"/>
              <w:rPr>
                <w:sz w:val="20"/>
                <w:szCs w:val="20"/>
                <w:color w:val="auto"/>
              </w:rPr>
            </w:pPr>
            <w:r>
              <w:rPr>
                <w:rFonts w:ascii="Arial" w:cs="Arial" w:eastAsia="Arial" w:hAnsi="Arial"/>
                <w:sz w:val="14"/>
                <w:szCs w:val="14"/>
                <w:b w:val="1"/>
                <w:bCs w:val="1"/>
                <w:color w:val="FFFFFF"/>
              </w:rPr>
              <w:t>2006</w:t>
            </w:r>
          </w:p>
        </w:tc>
        <w:tc>
          <w:tcPr>
            <w:tcW w:w="100" w:type="dxa"/>
            <w:vAlign w:val="bottom"/>
            <w:shd w:val="clear" w:color="auto" w:fill="939598"/>
          </w:tcPr>
          <w:p>
            <w:pPr>
              <w:spacing w:after="0"/>
              <w:rPr>
                <w:sz w:val="12"/>
                <w:szCs w:val="12"/>
                <w:color w:val="auto"/>
              </w:rPr>
            </w:pPr>
          </w:p>
        </w:tc>
        <w:tc>
          <w:tcPr>
            <w:tcW w:w="100" w:type="dxa"/>
            <w:vAlign w:val="bottom"/>
            <w:shd w:val="clear" w:color="auto" w:fill="939598"/>
          </w:tcPr>
          <w:p>
            <w:pPr>
              <w:spacing w:after="0"/>
              <w:rPr>
                <w:sz w:val="12"/>
                <w:szCs w:val="12"/>
                <w:color w:val="auto"/>
              </w:rPr>
            </w:pPr>
          </w:p>
        </w:tc>
        <w:tc>
          <w:tcPr>
            <w:tcW w:w="400" w:type="dxa"/>
            <w:vAlign w:val="bottom"/>
            <w:shd w:val="clear" w:color="auto" w:fill="939598"/>
          </w:tcPr>
          <w:p>
            <w:pPr>
              <w:jc w:val="right"/>
              <w:ind w:right="14"/>
              <w:spacing w:after="0" w:line="149" w:lineRule="exact"/>
              <w:rPr>
                <w:sz w:val="20"/>
                <w:szCs w:val="20"/>
                <w:color w:val="auto"/>
              </w:rPr>
            </w:pPr>
            <w:r>
              <w:rPr>
                <w:rFonts w:ascii="Arial" w:cs="Arial" w:eastAsia="Arial" w:hAnsi="Arial"/>
                <w:sz w:val="14"/>
                <w:szCs w:val="14"/>
                <w:b w:val="1"/>
                <w:bCs w:val="1"/>
                <w:color w:val="FFFFFF"/>
                <w:w w:val="89"/>
              </w:rPr>
              <w:t>2005</w:t>
            </w:r>
          </w:p>
        </w:tc>
        <w:tc>
          <w:tcPr>
            <w:tcW w:w="0" w:type="dxa"/>
            <w:vAlign w:val="bottom"/>
          </w:tcPr>
          <w:p>
            <w:pPr>
              <w:spacing w:after="0"/>
              <w:rPr>
                <w:sz w:val="1"/>
                <w:szCs w:val="1"/>
                <w:color w:val="auto"/>
              </w:rPr>
            </w:pPr>
          </w:p>
        </w:tc>
      </w:tr>
      <w:tr>
        <w:trPr>
          <w:trHeight w:val="270"/>
        </w:trPr>
        <w:tc>
          <w:tcPr>
            <w:tcW w:w="9700" w:type="dxa"/>
            <w:vAlign w:val="bottom"/>
            <w:gridSpan w:val="2"/>
          </w:tcPr>
          <w:p>
            <w:pPr>
              <w:spacing w:after="0"/>
              <w:rPr>
                <w:sz w:val="20"/>
                <w:szCs w:val="20"/>
                <w:color w:val="auto"/>
              </w:rPr>
            </w:pPr>
            <w:r>
              <w:rPr>
                <w:rFonts w:ascii="Arial" w:cs="Arial" w:eastAsia="Arial" w:hAnsi="Arial"/>
                <w:sz w:val="18"/>
                <w:szCs w:val="18"/>
                <w:color w:val="auto"/>
              </w:rPr>
              <w:t>8.75% notes due 2007</w:t>
            </w:r>
          </w:p>
        </w:tc>
        <w:tc>
          <w:tcPr>
            <w:tcW w:w="16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80" w:type="dxa"/>
            <w:vAlign w:val="bottom"/>
            <w:shd w:val="clear" w:color="auto" w:fill="E6E7E7"/>
          </w:tcPr>
          <w:p>
            <w:pPr>
              <w:spacing w:after="0" w:line="202" w:lineRule="exact"/>
              <w:rPr>
                <w:sz w:val="20"/>
                <w:szCs w:val="20"/>
                <w:color w:val="auto"/>
              </w:rPr>
            </w:pPr>
            <w:r>
              <w:rPr>
                <w:rFonts w:ascii="Arial" w:cs="Arial" w:eastAsia="Arial" w:hAnsi="Arial"/>
                <w:sz w:val="18"/>
                <w:szCs w:val="18"/>
                <w:color w:val="auto"/>
              </w:rPr>
              <w:t>6.125% notes due 2006</w:t>
            </w:r>
          </w:p>
        </w:tc>
        <w:tc>
          <w:tcPr>
            <w:tcW w:w="20" w:type="dxa"/>
            <w:vAlign w:val="bottom"/>
            <w:shd w:val="clear" w:color="auto" w:fill="E6E7E7"/>
          </w:tcPr>
          <w:p>
            <w:pPr>
              <w:spacing w:after="0"/>
              <w:rPr>
                <w:sz w:val="17"/>
                <w:szCs w:val="17"/>
                <w:color w:val="auto"/>
              </w:rPr>
            </w:pPr>
          </w:p>
        </w:tc>
        <w:tc>
          <w:tcPr>
            <w:tcW w:w="140" w:type="dxa"/>
            <w:vAlign w:val="bottom"/>
            <w:shd w:val="clear" w:color="auto" w:fill="E6E7E7"/>
          </w:tcPr>
          <w:p>
            <w:pPr>
              <w:spacing w:after="0"/>
              <w:rPr>
                <w:sz w:val="17"/>
                <w:szCs w:val="17"/>
                <w:color w:val="auto"/>
              </w:rPr>
            </w:pPr>
          </w:p>
        </w:tc>
        <w:tc>
          <w:tcPr>
            <w:tcW w:w="2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E6E7E7"/>
          </w:tcPr>
          <w:p>
            <w:pPr>
              <w:spacing w:after="0"/>
              <w:rPr>
                <w:sz w:val="17"/>
                <w:szCs w:val="17"/>
                <w:color w:val="auto"/>
              </w:rPr>
            </w:pPr>
          </w:p>
        </w:tc>
        <w:tc>
          <w:tcPr>
            <w:tcW w:w="100" w:type="dxa"/>
            <w:vAlign w:val="bottom"/>
            <w:shd w:val="clear" w:color="auto" w:fill="E6E7E7"/>
          </w:tcPr>
          <w:p>
            <w:pPr>
              <w:spacing w:after="0"/>
              <w:rPr>
                <w:sz w:val="17"/>
                <w:szCs w:val="17"/>
                <w:color w:val="auto"/>
              </w:rPr>
            </w:pPr>
          </w:p>
        </w:tc>
        <w:tc>
          <w:tcPr>
            <w:tcW w:w="4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3"/>
        </w:trPr>
        <w:tc>
          <w:tcPr>
            <w:tcW w:w="9700" w:type="dxa"/>
            <w:vAlign w:val="bottom"/>
            <w:gridSpan w:val="2"/>
          </w:tcPr>
          <w:p>
            <w:pPr>
              <w:spacing w:after="0" w:line="202" w:lineRule="exact"/>
              <w:rPr>
                <w:sz w:val="20"/>
                <w:szCs w:val="20"/>
                <w:color w:val="auto"/>
              </w:rPr>
            </w:pPr>
            <w:r>
              <w:rPr>
                <w:rFonts w:ascii="Arial" w:cs="Arial" w:eastAsia="Arial" w:hAnsi="Arial"/>
                <w:sz w:val="18"/>
                <w:szCs w:val="18"/>
                <w:color w:val="auto"/>
              </w:rPr>
              <w:t>Variable-rate bank notes due 2008/2010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80" w:type="dxa"/>
            <w:vAlign w:val="bottom"/>
            <w:shd w:val="clear" w:color="auto" w:fill="E6E7E7"/>
          </w:tcPr>
          <w:p>
            <w:pPr>
              <w:spacing w:after="0" w:line="202" w:lineRule="exact"/>
              <w:rPr>
                <w:sz w:val="20"/>
                <w:szCs w:val="20"/>
                <w:color w:val="auto"/>
              </w:rPr>
            </w:pPr>
            <w:r>
              <w:rPr>
                <w:rFonts w:ascii="Arial" w:cs="Arial" w:eastAsia="Arial" w:hAnsi="Arial"/>
                <w:sz w:val="18"/>
                <w:szCs w:val="18"/>
                <w:color w:val="auto"/>
              </w:rPr>
              <w:t>Other</w:t>
            </w:r>
          </w:p>
        </w:tc>
        <w:tc>
          <w:tcPr>
            <w:tcW w:w="20" w:type="dxa"/>
            <w:vAlign w:val="bottom"/>
            <w:shd w:val="clear" w:color="auto" w:fill="E6E7E7"/>
          </w:tcPr>
          <w:p>
            <w:pPr>
              <w:spacing w:after="0"/>
              <w:rPr>
                <w:sz w:val="17"/>
                <w:szCs w:val="17"/>
                <w:color w:val="auto"/>
              </w:rPr>
            </w:pPr>
          </w:p>
        </w:tc>
        <w:tc>
          <w:tcPr>
            <w:tcW w:w="140" w:type="dxa"/>
            <w:vAlign w:val="bottom"/>
            <w:tcBorders>
              <w:bottom w:val="single" w:sz="8" w:color="auto"/>
            </w:tcBorders>
            <w:shd w:val="clear" w:color="auto" w:fill="E6E7E7"/>
          </w:tcPr>
          <w:p>
            <w:pPr>
              <w:spacing w:after="0"/>
              <w:rPr>
                <w:sz w:val="17"/>
                <w:szCs w:val="17"/>
                <w:color w:val="auto"/>
              </w:rPr>
            </w:pPr>
          </w:p>
        </w:tc>
        <w:tc>
          <w:tcPr>
            <w:tcW w:w="26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E6E7E7"/>
          </w:tcPr>
          <w:p>
            <w:pPr>
              <w:spacing w:after="0"/>
              <w:rPr>
                <w:sz w:val="17"/>
                <w:szCs w:val="17"/>
                <w:color w:val="auto"/>
              </w:rPr>
            </w:pPr>
          </w:p>
        </w:tc>
        <w:tc>
          <w:tcPr>
            <w:tcW w:w="100" w:type="dxa"/>
            <w:vAlign w:val="bottom"/>
            <w:tcBorders>
              <w:bottom w:val="single" w:sz="8" w:color="auto"/>
            </w:tcBorders>
            <w:shd w:val="clear" w:color="auto" w:fill="E6E7E7"/>
          </w:tcPr>
          <w:p>
            <w:pPr>
              <w:spacing w:after="0"/>
              <w:rPr>
                <w:sz w:val="17"/>
                <w:szCs w:val="17"/>
                <w:color w:val="auto"/>
              </w:rPr>
            </w:pPr>
          </w:p>
        </w:tc>
        <w:tc>
          <w:tcPr>
            <w:tcW w:w="40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80" w:type="dxa"/>
            <w:vAlign w:val="bottom"/>
            <w:shd w:val="clear" w:color="auto" w:fill="E6E7E7"/>
          </w:tcPr>
          <w:p>
            <w:pPr>
              <w:spacing w:after="0" w:line="202" w:lineRule="exact"/>
              <w:rPr>
                <w:sz w:val="20"/>
                <w:szCs w:val="20"/>
                <w:color w:val="auto"/>
              </w:rPr>
            </w:pPr>
            <w:r>
              <w:rPr>
                <w:rFonts w:ascii="Arial" w:cs="Arial" w:eastAsia="Arial" w:hAnsi="Arial"/>
                <w:sz w:val="18"/>
                <w:szCs w:val="18"/>
                <w:color w:val="auto"/>
              </w:rPr>
              <w:t>Less current portion long-term debt</w:t>
            </w:r>
          </w:p>
        </w:tc>
        <w:tc>
          <w:tcPr>
            <w:tcW w:w="20" w:type="dxa"/>
            <w:vAlign w:val="bottom"/>
            <w:shd w:val="clear" w:color="auto" w:fill="E6E7E7"/>
          </w:tcPr>
          <w:p>
            <w:pPr>
              <w:spacing w:after="0"/>
              <w:rPr>
                <w:sz w:val="17"/>
                <w:szCs w:val="17"/>
                <w:color w:val="auto"/>
              </w:rPr>
            </w:pPr>
          </w:p>
        </w:tc>
        <w:tc>
          <w:tcPr>
            <w:tcW w:w="140" w:type="dxa"/>
            <w:vAlign w:val="bottom"/>
            <w:tcBorders>
              <w:bottom w:val="single" w:sz="8" w:color="auto"/>
            </w:tcBorders>
            <w:shd w:val="clear" w:color="auto" w:fill="E6E7E7"/>
          </w:tcPr>
          <w:p>
            <w:pPr>
              <w:spacing w:after="0"/>
              <w:rPr>
                <w:sz w:val="17"/>
                <w:szCs w:val="17"/>
                <w:color w:val="auto"/>
              </w:rPr>
            </w:pPr>
          </w:p>
        </w:tc>
        <w:tc>
          <w:tcPr>
            <w:tcW w:w="26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43</w:t>
            </w:r>
          </w:p>
        </w:tc>
        <w:tc>
          <w:tcPr>
            <w:tcW w:w="100" w:type="dxa"/>
            <w:vAlign w:val="bottom"/>
            <w:shd w:val="clear" w:color="auto" w:fill="E6E7E7"/>
          </w:tcPr>
          <w:p>
            <w:pPr>
              <w:spacing w:after="0"/>
              <w:rPr>
                <w:sz w:val="17"/>
                <w:szCs w:val="17"/>
                <w:color w:val="auto"/>
              </w:rPr>
            </w:pPr>
          </w:p>
        </w:tc>
        <w:tc>
          <w:tcPr>
            <w:tcW w:w="100" w:type="dxa"/>
            <w:vAlign w:val="bottom"/>
            <w:tcBorders>
              <w:bottom w:val="single" w:sz="8" w:color="auto"/>
            </w:tcBorders>
            <w:shd w:val="clear" w:color="auto" w:fill="E6E7E7"/>
          </w:tcPr>
          <w:p>
            <w:pPr>
              <w:spacing w:after="0"/>
              <w:rPr>
                <w:sz w:val="17"/>
                <w:szCs w:val="17"/>
                <w:color w:val="auto"/>
              </w:rPr>
            </w:pPr>
          </w:p>
        </w:tc>
        <w:tc>
          <w:tcPr>
            <w:tcW w:w="40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0"/>
        </w:trPr>
        <w:tc>
          <w:tcPr>
            <w:tcW w:w="9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left="460"/>
        <w:spacing w:after="0" w:line="264" w:lineRule="auto"/>
        <w:rPr>
          <w:sz w:val="20"/>
          <w:szCs w:val="20"/>
          <w:color w:val="auto"/>
        </w:rPr>
      </w:pPr>
      <w:r>
        <w:rPr>
          <w:rFonts w:ascii="Arial" w:cs="Arial" w:eastAsia="Arial" w:hAnsi="Arial"/>
          <w:sz w:val="16"/>
          <w:szCs w:val="16"/>
          <w:color w:val="auto"/>
        </w:rPr>
        <w:t>In 1996, the coupon rates for the notes due 2006 were swapped for LIBOR-based variable rates through 2006, for an effective interest rate of approximately 3.61% as of December 31, 2005. This swap expired in 2006 at the maturity of the related notes. In 2001, the coupon rates for the notes due 2007 were swapped for LIBOR-based variable rates through 2007, for an effective interest rate of approximately 9.10% and</w:t>
      </w:r>
    </w:p>
    <w:p>
      <w:pPr>
        <w:spacing w:after="0" w:line="1" w:lineRule="exact"/>
        <w:rPr>
          <w:sz w:val="20"/>
          <w:szCs w:val="20"/>
          <w:color w:val="auto"/>
        </w:rPr>
      </w:pPr>
    </w:p>
    <w:p>
      <w:pPr>
        <w:ind w:left="460" w:right="200"/>
        <w:spacing w:after="0" w:line="239" w:lineRule="auto"/>
        <w:rPr>
          <w:sz w:val="20"/>
          <w:szCs w:val="20"/>
          <w:color w:val="auto"/>
        </w:rPr>
      </w:pPr>
      <w:r>
        <w:rPr>
          <w:rFonts w:ascii="Arial" w:cs="Arial" w:eastAsia="Arial" w:hAnsi="Arial"/>
          <w:sz w:val="18"/>
          <w:szCs w:val="18"/>
          <w:color w:val="auto"/>
        </w:rPr>
        <w:t>8.27% as of December 31, 2006 and 2005. The effect of these interest rate swaps was to reduce interest expense by zero, $11 million and $19 million in 2006, 2005 and 2004.</w:t>
      </w:r>
    </w:p>
    <w:p>
      <w:pPr>
        <w:spacing w:after="0" w:line="155" w:lineRule="exact"/>
        <w:rPr>
          <w:sz w:val="20"/>
          <w:szCs w:val="20"/>
          <w:color w:val="auto"/>
        </w:rPr>
      </w:pPr>
    </w:p>
    <w:p>
      <w:pPr>
        <w:ind w:left="460" w:right="340"/>
        <w:spacing w:after="0" w:line="237" w:lineRule="auto"/>
        <w:rPr>
          <w:sz w:val="20"/>
          <w:szCs w:val="20"/>
          <w:color w:val="auto"/>
        </w:rPr>
      </w:pPr>
      <w:r>
        <w:rPr>
          <w:rFonts w:ascii="Arial" w:cs="Arial" w:eastAsia="Arial" w:hAnsi="Arial"/>
          <w:sz w:val="18"/>
          <w:szCs w:val="18"/>
          <w:color w:val="auto"/>
        </w:rPr>
        <w:t>In November 2005, in connection with the repatriation of non-U.S. earnings under provisions of the American Jobs Creation Act of 2004 (AJCA), our Japan subsidiary entered into a five-year syndicated credit agreement with a consortium of banks to borrow $275 million at a LIBOR-based variable rate. During the second quarter of 2006, the $275 million was prepaid. The agreement continues to provide a revolving credit facility for an additional $175 million that would carry a variable rate of interest, if drawn.</w:t>
      </w:r>
    </w:p>
    <w:p>
      <w:pPr>
        <w:spacing w:after="0" w:line="155" w:lineRule="exact"/>
        <w:rPr>
          <w:sz w:val="20"/>
          <w:szCs w:val="20"/>
          <w:color w:val="auto"/>
        </w:rPr>
      </w:pPr>
    </w:p>
    <w:p>
      <w:pPr>
        <w:ind w:left="460" w:right="120"/>
        <w:spacing w:after="0" w:line="238" w:lineRule="auto"/>
        <w:rPr>
          <w:sz w:val="20"/>
          <w:szCs w:val="20"/>
          <w:color w:val="auto"/>
        </w:rPr>
      </w:pPr>
      <w:r>
        <w:rPr>
          <w:rFonts w:ascii="Arial" w:cs="Arial" w:eastAsia="Arial" w:hAnsi="Arial"/>
          <w:sz w:val="18"/>
          <w:szCs w:val="18"/>
          <w:color w:val="auto"/>
        </w:rPr>
        <w:t>We also maintain lines of credit to support commercial paper borrowings and to provide additional liquidity through short-term bank loans. In August 2006, we replaced our 364-day $500 million revolving credit facility with a five-year $1 billion facility. These lines of credit were not used in 2006 or 2005. The new facility would carry a variable rate, if drawn.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2006, both revolving credit facilities remained undrawn and no commercial paper was outstanding.</w:t>
      </w:r>
    </w:p>
    <w:p>
      <w:pPr>
        <w:sectPr>
          <w:pgSz w:w="11900" w:h="16838" w:orient="portrait"/>
          <w:cols w:equalWidth="0" w:num="1">
            <w:col w:w="11420"/>
          </w:cols>
          <w:pgMar w:left="240" w:top="287" w:right="239" w:bottom="1440" w:gutter="0" w:footer="0" w:header="0"/>
        </w:sectPr>
      </w:pPr>
    </w:p>
    <w:bookmarkStart w:id="70" w:name="page71"/>
    <w:bookmarkEnd w:id="70"/>
    <w:p>
      <w:pPr>
        <w:ind w:left="7700"/>
        <w:spacing w:after="0"/>
        <w:tabs>
          <w:tab w:leader="none" w:pos="1090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2006 ANNUAL REPORT</w:t>
      </w:r>
      <w:r>
        <w:rPr>
          <w:sz w:val="20"/>
          <w:szCs w:val="20"/>
          <w:color w:val="auto"/>
        </w:rPr>
        <w:tab/>
      </w:r>
      <w:r>
        <w:rPr>
          <w:rFonts w:ascii="Arial" w:cs="Arial" w:eastAsia="Arial" w:hAnsi="Arial"/>
          <w:sz w:val="12"/>
          <w:szCs w:val="12"/>
          <w:color w:val="939598"/>
        </w:rPr>
        <w:t>21</w:t>
      </w:r>
    </w:p>
    <w:p>
      <w:pPr>
        <w:spacing w:after="0" w:line="140" w:lineRule="exact"/>
        <w:rPr>
          <w:sz w:val="20"/>
          <w:szCs w:val="20"/>
          <w:color w:val="auto"/>
        </w:rPr>
      </w:pPr>
    </w:p>
    <w:p>
      <w:pPr>
        <w:ind w:left="100" w:right="420"/>
        <w:spacing w:after="0" w:line="239" w:lineRule="auto"/>
        <w:rPr>
          <w:sz w:val="20"/>
          <w:szCs w:val="20"/>
          <w:color w:val="auto"/>
        </w:rPr>
      </w:pPr>
      <w:r>
        <w:rPr>
          <w:rFonts w:ascii="Arial" w:cs="Arial" w:eastAsia="Arial" w:hAnsi="Arial"/>
          <w:sz w:val="18"/>
          <w:szCs w:val="18"/>
          <w:color w:val="auto"/>
        </w:rPr>
        <w:t>Interest incurred on loans in 2006, 2005 and 2004 was $12 million, $14 million and $24 million. Of these amounts, $5 million in 2006, $5 million in 2005 and $3 million in 2004 were capitalized as a component of capital asset construction costs.</w:t>
      </w:r>
    </w:p>
    <w:p>
      <w:pPr>
        <w:spacing w:after="0" w:line="15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Our remaining long-term debt as of December 31, 2006, of $43 million matures April 1, 2007.</w:t>
      </w:r>
    </w:p>
    <w:p>
      <w:pPr>
        <w:spacing w:after="0" w:line="21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7. Financial Instruments and Risk Concentration</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Financial Instruments</w:t>
      </w:r>
      <w:r>
        <w:rPr>
          <w:rFonts w:ascii="Arial" w:cs="Arial" w:eastAsia="Arial" w:hAnsi="Arial"/>
          <w:sz w:val="18"/>
          <w:szCs w:val="18"/>
          <w:color w:val="auto"/>
        </w:rPr>
        <w:t>: The carrying amounts and related estimated fair values at December 31 of our long-term debt were $43 million and</w:t>
      </w:r>
    </w:p>
    <w:p>
      <w:pPr>
        <w:ind w:left="100"/>
        <w:spacing w:after="0" w:line="239" w:lineRule="auto"/>
        <w:rPr>
          <w:sz w:val="20"/>
          <w:szCs w:val="20"/>
          <w:color w:val="auto"/>
        </w:rPr>
      </w:pPr>
      <w:r>
        <w:rPr>
          <w:rFonts w:ascii="Arial" w:cs="Arial" w:eastAsia="Arial" w:hAnsi="Arial"/>
          <w:sz w:val="18"/>
          <w:szCs w:val="18"/>
          <w:color w:val="auto"/>
        </w:rPr>
        <w:t>$44 million for 2006 and $630 million and $634 million for 2005. The fair value of long-term debt was based primarily on the net present value of the expected cash flows using current market interest rates.</w:t>
      </w:r>
    </w:p>
    <w:p>
      <w:pPr>
        <w:spacing w:after="0" w:line="155" w:lineRule="exact"/>
        <w:rPr>
          <w:sz w:val="20"/>
          <w:szCs w:val="20"/>
          <w:color w:val="auto"/>
        </w:rPr>
      </w:pPr>
    </w:p>
    <w:p>
      <w:pPr>
        <w:ind w:left="100" w:right="60"/>
        <w:spacing w:after="0" w:line="236" w:lineRule="auto"/>
        <w:rPr>
          <w:sz w:val="20"/>
          <w:szCs w:val="20"/>
          <w:color w:val="auto"/>
        </w:rPr>
      </w:pPr>
      <w:r>
        <w:rPr>
          <w:rFonts w:ascii="Arial" w:cs="Arial" w:eastAsia="Arial" w:hAnsi="Arial"/>
          <w:sz w:val="18"/>
          <w:szCs w:val="18"/>
          <w:color w:val="auto"/>
        </w:rPr>
        <w:t>We have derivative financial instruments such as interest rate swaps, forward purchase contracts, investment warrants and forward currency exchange contracts, the carrying value and fair values of which were not significant as of December 31, 2006 or 2005. Our forward currency exchange contracts outstanding at December 31, 2006, had a face value of $268 million to hedge net balance sheet exposures (including $85 million to sell euros, $82 million to sell British pounds and $48 million to sell Japanese yen). Our forward currency exchange contracts outstanding at December 31, 2005, had a face value of $191 million to hedge net balance sheet exposures (including $67 million to sell euros, $41 million to sell Japanese yen and $17 million to buy Korean won).</w:t>
      </w:r>
    </w:p>
    <w:p>
      <w:pPr>
        <w:spacing w:after="0" w:line="156" w:lineRule="exact"/>
        <w:rPr>
          <w:sz w:val="20"/>
          <w:szCs w:val="20"/>
          <w:color w:val="auto"/>
        </w:rPr>
      </w:pPr>
    </w:p>
    <w:p>
      <w:pPr>
        <w:ind w:left="100" w:right="620"/>
        <w:spacing w:after="0" w:line="239" w:lineRule="auto"/>
        <w:rPr>
          <w:sz w:val="20"/>
          <w:szCs w:val="20"/>
          <w:color w:val="auto"/>
        </w:rPr>
      </w:pPr>
      <w:r>
        <w:rPr>
          <w:rFonts w:ascii="Arial" w:cs="Arial" w:eastAsia="Arial" w:hAnsi="Arial"/>
          <w:sz w:val="18"/>
          <w:szCs w:val="18"/>
          <w:color w:val="auto"/>
        </w:rPr>
        <w:t>Short-term investments are carried at fair value. The carrying values for other current financial assets and liabilities, such as accounts receivable and accounts payable, approximate fair value due to the short maturity of such instruments.</w:t>
      </w:r>
    </w:p>
    <w:p>
      <w:pPr>
        <w:spacing w:after="0" w:line="155" w:lineRule="exact"/>
        <w:rPr>
          <w:sz w:val="20"/>
          <w:szCs w:val="20"/>
          <w:color w:val="auto"/>
        </w:rPr>
      </w:pPr>
    </w:p>
    <w:p>
      <w:pPr>
        <w:ind w:left="100"/>
        <w:spacing w:after="0" w:line="237" w:lineRule="auto"/>
        <w:rPr>
          <w:sz w:val="20"/>
          <w:szCs w:val="20"/>
          <w:color w:val="auto"/>
        </w:rPr>
      </w:pPr>
      <w:r>
        <w:rPr>
          <w:rFonts w:ascii="Arial" w:cs="Arial" w:eastAsia="Arial" w:hAnsi="Arial"/>
          <w:sz w:val="18"/>
          <w:szCs w:val="18"/>
          <w:u w:val="single" w:color="auto"/>
          <w:color w:val="auto"/>
        </w:rPr>
        <w:t>Risk Concentration</w:t>
      </w:r>
      <w:r>
        <w:rPr>
          <w:rFonts w:ascii="Arial" w:cs="Arial" w:eastAsia="Arial" w:hAnsi="Arial"/>
          <w:sz w:val="18"/>
          <w:szCs w:val="18"/>
          <w:color w:val="auto"/>
        </w:rPr>
        <w:t>: Financial instruments that potentially subject us to concentrations of credit risk are primarily cash investments, accounts receivable and equity investments. In order to manage our exposure to credit risk, we place cash investments in investment-grade debt securities and limit the amount of credit exposure to any one issuer. We also limit counterparties on forward currency exchange contracts and interest rate swaps to investment-grade-rated financial institutions.</w:t>
      </w:r>
    </w:p>
    <w:p>
      <w:pPr>
        <w:spacing w:after="0" w:line="155" w:lineRule="exact"/>
        <w:rPr>
          <w:sz w:val="20"/>
          <w:szCs w:val="20"/>
          <w:color w:val="auto"/>
        </w:rPr>
      </w:pPr>
    </w:p>
    <w:p>
      <w:pPr>
        <w:jc w:val="both"/>
        <w:ind w:left="100" w:right="80"/>
        <w:spacing w:after="0" w:line="237" w:lineRule="auto"/>
        <w:rPr>
          <w:sz w:val="20"/>
          <w:szCs w:val="20"/>
          <w:color w:val="auto"/>
        </w:rPr>
      </w:pPr>
      <w:r>
        <w:rPr>
          <w:rFonts w:ascii="Arial" w:cs="Arial" w:eastAsia="Arial" w:hAnsi="Arial"/>
          <w:sz w:val="18"/>
          <w:szCs w:val="18"/>
          <w:color w:val="auto"/>
        </w:rPr>
        <w:t>Concentrations of credit risk with respect to accounts receivable are limited due to the large number of customers in our customer base and their dispersion across different industries and geographic areas. We maintain an allowance for losses based upon the expected collectibility of accounts receivable. These allowances are deducted from accounts receivable in the balance sheets. Details of these allowances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shd w:val="clear" w:color="auto" w:fill="939598"/>
          </w:tcPr>
          <w:p>
            <w:pPr>
              <w:spacing w:after="0"/>
              <w:rPr>
                <w:sz w:val="14"/>
                <w:szCs w:val="14"/>
                <w:color w:val="auto"/>
              </w:rPr>
            </w:pPr>
          </w:p>
        </w:tc>
        <w:tc>
          <w:tcPr>
            <w:tcW w:w="100" w:type="dxa"/>
            <w:vAlign w:val="bottom"/>
            <w:shd w:val="clear" w:color="auto" w:fill="939598"/>
          </w:tcPr>
          <w:p>
            <w:pPr>
              <w:spacing w:after="0"/>
              <w:rPr>
                <w:sz w:val="14"/>
                <w:szCs w:val="14"/>
                <w:color w:val="auto"/>
              </w:rPr>
            </w:pPr>
          </w:p>
        </w:tc>
        <w:tc>
          <w:tcPr>
            <w:tcW w:w="800" w:type="dxa"/>
            <w:vAlign w:val="bottom"/>
            <w:shd w:val="clear" w:color="auto" w:fill="939598"/>
          </w:tcPr>
          <w:p>
            <w:pPr>
              <w:spacing w:after="0"/>
              <w:rPr>
                <w:sz w:val="14"/>
                <w:szCs w:val="14"/>
                <w:color w:val="auto"/>
              </w:rPr>
            </w:pPr>
          </w:p>
        </w:tc>
        <w:tc>
          <w:tcPr>
            <w:tcW w:w="1140" w:type="dxa"/>
            <w:vAlign w:val="bottom"/>
            <w:gridSpan w:val="2"/>
            <w:shd w:val="clear" w:color="auto" w:fill="939598"/>
          </w:tcPr>
          <w:p>
            <w:pPr>
              <w:jc w:val="center"/>
              <w:spacing w:after="0"/>
              <w:rPr>
                <w:sz w:val="20"/>
                <w:szCs w:val="20"/>
                <w:color w:val="auto"/>
              </w:rPr>
            </w:pPr>
            <w:r>
              <w:rPr>
                <w:rFonts w:ascii="Arial" w:cs="Arial" w:eastAsia="Arial" w:hAnsi="Arial"/>
                <w:sz w:val="14"/>
                <w:szCs w:val="14"/>
                <w:b w:val="1"/>
                <w:bCs w:val="1"/>
                <w:color w:val="FFFFFF"/>
                <w:w w:val="95"/>
              </w:rPr>
              <w:t>Additions</w:t>
            </w:r>
          </w:p>
        </w:tc>
        <w:tc>
          <w:tcPr>
            <w:tcW w:w="500" w:type="dxa"/>
            <w:vAlign w:val="bottom"/>
            <w:shd w:val="clear" w:color="auto" w:fill="939598"/>
          </w:tcPr>
          <w:p>
            <w:pPr>
              <w:spacing w:after="0"/>
              <w:rPr>
                <w:sz w:val="14"/>
                <w:szCs w:val="14"/>
                <w:color w:val="auto"/>
              </w:rPr>
            </w:pPr>
          </w:p>
        </w:tc>
        <w:tc>
          <w:tcPr>
            <w:tcW w:w="720" w:type="dxa"/>
            <w:vAlign w:val="bottom"/>
            <w:shd w:val="clear" w:color="auto" w:fill="939598"/>
          </w:tcPr>
          <w:p>
            <w:pPr>
              <w:spacing w:after="0"/>
              <w:rPr>
                <w:sz w:val="14"/>
                <w:szCs w:val="14"/>
                <w:color w:val="auto"/>
              </w:rPr>
            </w:pPr>
          </w:p>
        </w:tc>
        <w:tc>
          <w:tcPr>
            <w:tcW w:w="420" w:type="dxa"/>
            <w:vAlign w:val="bottom"/>
            <w:shd w:val="clear" w:color="auto" w:fill="939598"/>
          </w:tcPr>
          <w:p>
            <w:pPr>
              <w:spacing w:after="0"/>
              <w:rPr>
                <w:sz w:val="14"/>
                <w:szCs w:val="14"/>
                <w:color w:val="auto"/>
              </w:rPr>
            </w:pPr>
          </w:p>
        </w:tc>
        <w:tc>
          <w:tcPr>
            <w:tcW w:w="320" w:type="dxa"/>
            <w:vAlign w:val="bottom"/>
            <w:shd w:val="clear" w:color="auto" w:fill="939598"/>
          </w:tcPr>
          <w:p>
            <w:pPr>
              <w:spacing w:after="0"/>
              <w:rPr>
                <w:sz w:val="14"/>
                <w:szCs w:val="14"/>
                <w:color w:val="auto"/>
              </w:rPr>
            </w:pPr>
          </w:p>
        </w:tc>
        <w:tc>
          <w:tcPr>
            <w:tcW w:w="60" w:type="dxa"/>
            <w:vAlign w:val="bottom"/>
            <w:shd w:val="clear" w:color="auto" w:fill="939598"/>
          </w:tcPr>
          <w:p>
            <w:pPr>
              <w:spacing w:after="0"/>
              <w:rPr>
                <w:sz w:val="14"/>
                <w:szCs w:val="14"/>
                <w:color w:val="auto"/>
              </w:rPr>
            </w:pPr>
          </w:p>
        </w:tc>
      </w:tr>
      <w:tr>
        <w:trPr>
          <w:trHeight w:val="149"/>
        </w:trPr>
        <w:tc>
          <w:tcPr>
            <w:tcW w:w="6660" w:type="dxa"/>
            <w:vAlign w:val="bottom"/>
            <w:shd w:val="clear" w:color="auto" w:fill="939598"/>
          </w:tcPr>
          <w:p>
            <w:pPr>
              <w:spacing w:after="0"/>
              <w:rPr>
                <w:sz w:val="12"/>
                <w:szCs w:val="12"/>
                <w:color w:val="auto"/>
              </w:rPr>
            </w:pPr>
          </w:p>
        </w:tc>
        <w:tc>
          <w:tcPr>
            <w:tcW w:w="900" w:type="dxa"/>
            <w:vAlign w:val="bottom"/>
            <w:gridSpan w:val="2"/>
            <w:shd w:val="clear" w:color="auto" w:fill="939598"/>
          </w:tcPr>
          <w:p>
            <w:pPr>
              <w:spacing w:after="0" w:line="149" w:lineRule="exact"/>
              <w:rPr>
                <w:sz w:val="20"/>
                <w:szCs w:val="20"/>
                <w:color w:val="auto"/>
              </w:rPr>
            </w:pPr>
            <w:r>
              <w:rPr>
                <w:rFonts w:ascii="Arial" w:cs="Arial" w:eastAsia="Arial" w:hAnsi="Arial"/>
                <w:sz w:val="14"/>
                <w:szCs w:val="14"/>
                <w:b w:val="1"/>
                <w:bCs w:val="1"/>
                <w:color w:val="FFFFFF"/>
              </w:rPr>
              <w:t>Balance at</w:t>
            </w:r>
          </w:p>
        </w:tc>
        <w:tc>
          <w:tcPr>
            <w:tcW w:w="1140" w:type="dxa"/>
            <w:vAlign w:val="bottom"/>
            <w:gridSpan w:val="2"/>
            <w:shd w:val="clear" w:color="auto" w:fill="939598"/>
          </w:tcPr>
          <w:p>
            <w:pPr>
              <w:ind w:left="220"/>
              <w:spacing w:after="0" w:line="149" w:lineRule="exact"/>
              <w:rPr>
                <w:sz w:val="20"/>
                <w:szCs w:val="20"/>
                <w:color w:val="auto"/>
              </w:rPr>
            </w:pPr>
            <w:r>
              <w:rPr>
                <w:rFonts w:ascii="Arial" w:cs="Arial" w:eastAsia="Arial" w:hAnsi="Arial"/>
                <w:sz w:val="14"/>
                <w:szCs w:val="14"/>
                <w:b w:val="1"/>
                <w:bCs w:val="1"/>
                <w:color w:val="FFFFFF"/>
              </w:rPr>
              <w:t>Charged to</w:t>
            </w:r>
          </w:p>
        </w:tc>
        <w:tc>
          <w:tcPr>
            <w:tcW w:w="1220" w:type="dxa"/>
            <w:vAlign w:val="bottom"/>
            <w:gridSpan w:val="2"/>
            <w:shd w:val="clear" w:color="auto" w:fill="939598"/>
          </w:tcPr>
          <w:p>
            <w:pPr>
              <w:ind w:left="220"/>
              <w:spacing w:after="0" w:line="149" w:lineRule="exact"/>
              <w:rPr>
                <w:sz w:val="20"/>
                <w:szCs w:val="20"/>
                <w:color w:val="auto"/>
              </w:rPr>
            </w:pPr>
            <w:r>
              <w:rPr>
                <w:rFonts w:ascii="Arial" w:cs="Arial" w:eastAsia="Arial" w:hAnsi="Arial"/>
                <w:sz w:val="14"/>
                <w:szCs w:val="14"/>
                <w:b w:val="1"/>
                <w:bCs w:val="1"/>
                <w:color w:val="FFFFFF"/>
              </w:rPr>
              <w:t>Recoveries</w:t>
            </w:r>
          </w:p>
        </w:tc>
        <w:tc>
          <w:tcPr>
            <w:tcW w:w="800" w:type="dxa"/>
            <w:vAlign w:val="bottom"/>
            <w:gridSpan w:val="3"/>
            <w:shd w:val="clear" w:color="auto" w:fill="939598"/>
          </w:tcPr>
          <w:p>
            <w:pPr>
              <w:ind w:left="220"/>
              <w:spacing w:after="0" w:line="149" w:lineRule="exact"/>
              <w:rPr>
                <w:sz w:val="20"/>
                <w:szCs w:val="20"/>
                <w:color w:val="auto"/>
              </w:rPr>
            </w:pPr>
            <w:r>
              <w:rPr>
                <w:rFonts w:ascii="Arial" w:cs="Arial" w:eastAsia="Arial" w:hAnsi="Arial"/>
                <w:sz w:val="14"/>
                <w:szCs w:val="14"/>
                <w:b w:val="1"/>
                <w:bCs w:val="1"/>
                <w:color w:val="FFFFFF"/>
              </w:rPr>
              <w:t>Balance</w:t>
            </w:r>
          </w:p>
        </w:tc>
      </w:tr>
      <w:tr>
        <w:trPr>
          <w:trHeight w:val="149"/>
        </w:trPr>
        <w:tc>
          <w:tcPr>
            <w:tcW w:w="6660" w:type="dxa"/>
            <w:vAlign w:val="bottom"/>
            <w:shd w:val="clear" w:color="auto" w:fill="939598"/>
          </w:tcPr>
          <w:p>
            <w:pPr>
              <w:spacing w:after="0"/>
              <w:rPr>
                <w:sz w:val="12"/>
                <w:szCs w:val="12"/>
                <w:color w:val="auto"/>
              </w:rPr>
            </w:pPr>
          </w:p>
        </w:tc>
        <w:tc>
          <w:tcPr>
            <w:tcW w:w="900" w:type="dxa"/>
            <w:vAlign w:val="bottom"/>
            <w:gridSpan w:val="2"/>
            <w:shd w:val="clear" w:color="auto" w:fill="939598"/>
          </w:tcPr>
          <w:p>
            <w:pPr>
              <w:spacing w:after="0" w:line="149" w:lineRule="exact"/>
              <w:rPr>
                <w:sz w:val="20"/>
                <w:szCs w:val="20"/>
                <w:color w:val="auto"/>
              </w:rPr>
            </w:pPr>
            <w:r>
              <w:rPr>
                <w:rFonts w:ascii="Arial" w:cs="Arial" w:eastAsia="Arial" w:hAnsi="Arial"/>
                <w:sz w:val="14"/>
                <w:szCs w:val="14"/>
                <w:b w:val="1"/>
                <w:bCs w:val="1"/>
                <w:color w:val="FFFFFF"/>
              </w:rPr>
              <w:t>Beginning</w:t>
            </w:r>
          </w:p>
        </w:tc>
        <w:tc>
          <w:tcPr>
            <w:tcW w:w="1140" w:type="dxa"/>
            <w:vAlign w:val="bottom"/>
            <w:gridSpan w:val="2"/>
            <w:shd w:val="clear" w:color="auto" w:fill="939598"/>
          </w:tcPr>
          <w:p>
            <w:pPr>
              <w:jc w:val="center"/>
              <w:spacing w:after="0" w:line="149" w:lineRule="exact"/>
              <w:rPr>
                <w:sz w:val="20"/>
                <w:szCs w:val="20"/>
                <w:color w:val="auto"/>
              </w:rPr>
            </w:pPr>
            <w:r>
              <w:rPr>
                <w:rFonts w:ascii="Arial" w:cs="Arial" w:eastAsia="Arial" w:hAnsi="Arial"/>
                <w:sz w:val="14"/>
                <w:szCs w:val="14"/>
                <w:b w:val="1"/>
                <w:bCs w:val="1"/>
                <w:color w:val="FFFFFF"/>
                <w:w w:val="93"/>
              </w:rPr>
              <w:t>Operating</w:t>
            </w:r>
          </w:p>
        </w:tc>
        <w:tc>
          <w:tcPr>
            <w:tcW w:w="1220" w:type="dxa"/>
            <w:vAlign w:val="bottom"/>
            <w:gridSpan w:val="2"/>
            <w:shd w:val="clear" w:color="auto" w:fill="939598"/>
          </w:tcPr>
          <w:p>
            <w:pPr>
              <w:jc w:val="center"/>
              <w:spacing w:after="0" w:line="149" w:lineRule="exact"/>
              <w:rPr>
                <w:sz w:val="20"/>
                <w:szCs w:val="20"/>
                <w:color w:val="auto"/>
              </w:rPr>
            </w:pPr>
            <w:r>
              <w:rPr>
                <w:rFonts w:ascii="Arial" w:cs="Arial" w:eastAsia="Arial" w:hAnsi="Arial"/>
                <w:sz w:val="14"/>
                <w:szCs w:val="14"/>
                <w:b w:val="1"/>
                <w:bCs w:val="1"/>
                <w:color w:val="FFFFFF"/>
                <w:w w:val="96"/>
              </w:rPr>
              <w:t>and Write-</w:t>
            </w:r>
          </w:p>
        </w:tc>
        <w:tc>
          <w:tcPr>
            <w:tcW w:w="800" w:type="dxa"/>
            <w:vAlign w:val="bottom"/>
            <w:gridSpan w:val="3"/>
            <w:shd w:val="clear" w:color="auto" w:fill="939598"/>
          </w:tcPr>
          <w:p>
            <w:pPr>
              <w:ind w:left="280"/>
              <w:spacing w:after="0" w:line="149" w:lineRule="exact"/>
              <w:rPr>
                <w:sz w:val="20"/>
                <w:szCs w:val="20"/>
                <w:color w:val="auto"/>
              </w:rPr>
            </w:pPr>
            <w:r>
              <w:rPr>
                <w:rFonts w:ascii="Arial" w:cs="Arial" w:eastAsia="Arial" w:hAnsi="Arial"/>
                <w:sz w:val="14"/>
                <w:szCs w:val="14"/>
                <w:b w:val="1"/>
                <w:bCs w:val="1"/>
                <w:color w:val="FFFFFF"/>
              </w:rPr>
              <w:t>at End</w:t>
            </w:r>
          </w:p>
        </w:tc>
      </w:tr>
      <w:tr>
        <w:trPr>
          <w:trHeight w:val="165"/>
        </w:trPr>
        <w:tc>
          <w:tcPr>
            <w:tcW w:w="6660" w:type="dxa"/>
            <w:vAlign w:val="bottom"/>
            <w:shd w:val="clear" w:color="auto" w:fill="939598"/>
          </w:tcPr>
          <w:p>
            <w:pPr>
              <w:spacing w:after="0"/>
              <w:rPr>
                <w:sz w:val="20"/>
                <w:szCs w:val="20"/>
                <w:color w:val="auto"/>
              </w:rPr>
            </w:pPr>
            <w:r>
              <w:rPr>
                <w:rFonts w:ascii="Arial" w:cs="Arial" w:eastAsia="Arial" w:hAnsi="Arial"/>
                <w:sz w:val="14"/>
                <w:szCs w:val="14"/>
                <w:b w:val="1"/>
                <w:bCs w:val="1"/>
                <w:color w:val="FFFFFF"/>
              </w:rPr>
              <w:t>Accounts Receivable Allowances</w:t>
            </w:r>
          </w:p>
        </w:tc>
        <w:tc>
          <w:tcPr>
            <w:tcW w:w="100" w:type="dxa"/>
            <w:vAlign w:val="bottom"/>
            <w:shd w:val="clear" w:color="auto" w:fill="939598"/>
          </w:tcPr>
          <w:p>
            <w:pPr>
              <w:spacing w:after="0"/>
              <w:rPr>
                <w:sz w:val="14"/>
                <w:szCs w:val="14"/>
                <w:color w:val="auto"/>
              </w:rPr>
            </w:pPr>
          </w:p>
        </w:tc>
        <w:tc>
          <w:tcPr>
            <w:tcW w:w="800" w:type="dxa"/>
            <w:vAlign w:val="bottom"/>
            <w:shd w:val="clear" w:color="auto" w:fill="939598"/>
          </w:tcPr>
          <w:p>
            <w:pPr>
              <w:jc w:val="right"/>
              <w:ind w:right="257"/>
              <w:spacing w:after="0"/>
              <w:rPr>
                <w:sz w:val="20"/>
                <w:szCs w:val="20"/>
                <w:color w:val="auto"/>
              </w:rPr>
            </w:pPr>
            <w:r>
              <w:rPr>
                <w:rFonts w:ascii="Arial" w:cs="Arial" w:eastAsia="Arial" w:hAnsi="Arial"/>
                <w:sz w:val="14"/>
                <w:szCs w:val="14"/>
                <w:b w:val="1"/>
                <w:bCs w:val="1"/>
                <w:color w:val="FFFFFF"/>
                <w:w w:val="92"/>
              </w:rPr>
              <w:t>of Year</w:t>
            </w:r>
          </w:p>
        </w:tc>
        <w:tc>
          <w:tcPr>
            <w:tcW w:w="320" w:type="dxa"/>
            <w:vAlign w:val="bottom"/>
            <w:shd w:val="clear" w:color="auto" w:fill="939598"/>
          </w:tcPr>
          <w:p>
            <w:pPr>
              <w:spacing w:after="0"/>
              <w:rPr>
                <w:sz w:val="14"/>
                <w:szCs w:val="14"/>
                <w:color w:val="auto"/>
              </w:rPr>
            </w:pPr>
          </w:p>
        </w:tc>
        <w:tc>
          <w:tcPr>
            <w:tcW w:w="820" w:type="dxa"/>
            <w:vAlign w:val="bottom"/>
            <w:shd w:val="clear" w:color="auto" w:fill="939598"/>
          </w:tcPr>
          <w:p>
            <w:pPr>
              <w:jc w:val="center"/>
              <w:ind w:right="237"/>
              <w:spacing w:after="0"/>
              <w:rPr>
                <w:sz w:val="20"/>
                <w:szCs w:val="20"/>
                <w:color w:val="auto"/>
              </w:rPr>
            </w:pPr>
            <w:r>
              <w:rPr>
                <w:rFonts w:ascii="Arial" w:cs="Arial" w:eastAsia="Arial" w:hAnsi="Arial"/>
                <w:sz w:val="14"/>
                <w:szCs w:val="14"/>
                <w:b w:val="1"/>
                <w:bCs w:val="1"/>
                <w:color w:val="FFFFFF"/>
                <w:w w:val="98"/>
              </w:rPr>
              <w:t>Results</w:t>
            </w:r>
          </w:p>
        </w:tc>
        <w:tc>
          <w:tcPr>
            <w:tcW w:w="1220" w:type="dxa"/>
            <w:vAlign w:val="bottom"/>
            <w:gridSpan w:val="2"/>
            <w:shd w:val="clear" w:color="auto" w:fill="939598"/>
          </w:tcPr>
          <w:p>
            <w:pPr>
              <w:jc w:val="center"/>
              <w:spacing w:after="0"/>
              <w:rPr>
                <w:sz w:val="20"/>
                <w:szCs w:val="20"/>
                <w:color w:val="auto"/>
              </w:rPr>
            </w:pPr>
            <w:r>
              <w:rPr>
                <w:rFonts w:ascii="Arial" w:cs="Arial" w:eastAsia="Arial" w:hAnsi="Arial"/>
                <w:sz w:val="14"/>
                <w:szCs w:val="14"/>
                <w:b w:val="1"/>
                <w:bCs w:val="1"/>
                <w:color w:val="FFFFFF"/>
                <w:w w:val="96"/>
              </w:rPr>
              <w:t>offs, Net</w:t>
            </w:r>
          </w:p>
        </w:tc>
        <w:tc>
          <w:tcPr>
            <w:tcW w:w="800" w:type="dxa"/>
            <w:vAlign w:val="bottom"/>
            <w:gridSpan w:val="3"/>
            <w:shd w:val="clear" w:color="auto" w:fill="939598"/>
          </w:tcPr>
          <w:p>
            <w:pPr>
              <w:ind w:left="260"/>
              <w:spacing w:after="0"/>
              <w:rPr>
                <w:sz w:val="20"/>
                <w:szCs w:val="20"/>
                <w:color w:val="auto"/>
              </w:rPr>
            </w:pPr>
            <w:r>
              <w:rPr>
                <w:rFonts w:ascii="Arial" w:cs="Arial" w:eastAsia="Arial" w:hAnsi="Arial"/>
                <w:sz w:val="14"/>
                <w:szCs w:val="14"/>
                <w:b w:val="1"/>
                <w:bCs w:val="1"/>
                <w:color w:val="FFFFFF"/>
              </w:rPr>
              <w:t>of Year</w:t>
            </w:r>
          </w:p>
        </w:tc>
      </w:tr>
      <w:tr>
        <w:trPr>
          <w:trHeight w:val="270"/>
        </w:trPr>
        <w:tc>
          <w:tcPr>
            <w:tcW w:w="6660" w:type="dxa"/>
            <w:vAlign w:val="bottom"/>
          </w:tcPr>
          <w:p>
            <w:pPr>
              <w:spacing w:after="0"/>
              <w:rPr>
                <w:sz w:val="20"/>
                <w:szCs w:val="20"/>
                <w:color w:val="auto"/>
              </w:rPr>
            </w:pPr>
            <w:r>
              <w:rPr>
                <w:rFonts w:ascii="Arial" w:cs="Arial" w:eastAsia="Arial" w:hAnsi="Arial"/>
                <w:sz w:val="18"/>
                <w:szCs w:val="18"/>
                <w:b w:val="1"/>
                <w:bCs w:val="1"/>
                <w:color w:val="auto"/>
              </w:rPr>
              <w:t>2006</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34</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2</w:t>
            </w: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(10)</w:t>
            </w: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60" w:type="dxa"/>
            <w:vAlign w:val="bottom"/>
          </w:tcPr>
          <w:p>
            <w:pPr>
              <w:spacing w:after="0"/>
              <w:rPr>
                <w:sz w:val="23"/>
                <w:szCs w:val="23"/>
                <w:color w:val="auto"/>
              </w:rPr>
            </w:pPr>
          </w:p>
        </w:tc>
      </w:tr>
      <w:tr>
        <w:trPr>
          <w:trHeight w:val="20"/>
        </w:trPr>
        <w:tc>
          <w:tcPr>
            <w:tcW w:w="6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660" w:type="dxa"/>
            <w:vAlign w:val="bottom"/>
            <w:shd w:val="clear" w:color="auto" w:fill="E6E7E7"/>
          </w:tcPr>
          <w:p>
            <w:pPr>
              <w:spacing w:after="0" w:line="196" w:lineRule="exact"/>
              <w:rPr>
                <w:sz w:val="20"/>
                <w:szCs w:val="20"/>
                <w:color w:val="auto"/>
              </w:rPr>
            </w:pPr>
            <w:r>
              <w:rPr>
                <w:rFonts w:ascii="Arial" w:cs="Arial" w:eastAsia="Arial" w:hAnsi="Arial"/>
                <w:sz w:val="18"/>
                <w:szCs w:val="18"/>
                <w:color w:val="auto"/>
              </w:rPr>
              <w:t>2005</w:t>
            </w:r>
          </w:p>
        </w:tc>
        <w:tc>
          <w:tcPr>
            <w:tcW w:w="100" w:type="dxa"/>
            <w:vAlign w:val="bottom"/>
            <w:tcBorders>
              <w:bottom w:val="single" w:sz="8" w:color="auto"/>
            </w:tcBorders>
            <w:shd w:val="clear" w:color="auto" w:fill="E6E7E7"/>
          </w:tcPr>
          <w:p>
            <w:pPr>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E6E7E7"/>
          </w:tcPr>
          <w:p>
            <w:pPr>
              <w:jc w:val="right"/>
              <w:ind w:right="137"/>
              <w:spacing w:after="0" w:line="196" w:lineRule="exact"/>
              <w:rPr>
                <w:sz w:val="20"/>
                <w:szCs w:val="20"/>
                <w:color w:val="auto"/>
              </w:rPr>
            </w:pPr>
            <w:r>
              <w:rPr>
                <w:rFonts w:ascii="Arial" w:cs="Arial" w:eastAsia="Arial" w:hAnsi="Arial"/>
                <w:sz w:val="18"/>
                <w:szCs w:val="18"/>
                <w:color w:val="auto"/>
              </w:rPr>
              <w:t>36</w:t>
            </w:r>
          </w:p>
        </w:tc>
        <w:tc>
          <w:tcPr>
            <w:tcW w:w="320" w:type="dxa"/>
            <w:vAlign w:val="bottom"/>
            <w:tcBorders>
              <w:bottom w:val="single" w:sz="8" w:color="auto"/>
            </w:tcBorders>
            <w:shd w:val="clear" w:color="auto" w:fill="E6E7E7"/>
          </w:tcPr>
          <w:p>
            <w:pPr>
              <w:ind w:left="22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E6E7E7"/>
          </w:tcPr>
          <w:p>
            <w:pPr>
              <w:jc w:val="right"/>
              <w:ind w:right="137"/>
              <w:spacing w:after="0" w:line="196" w:lineRule="exact"/>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shd w:val="clear" w:color="auto" w:fill="E6E7E7"/>
          </w:tcPr>
          <w:p>
            <w:pPr>
              <w:ind w:left="22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E6E7E7"/>
          </w:tcPr>
          <w:p>
            <w:pPr>
              <w:jc w:val="right"/>
              <w:ind w:right="132"/>
              <w:spacing w:after="0" w:line="196" w:lineRule="exact"/>
              <w:rPr>
                <w:sz w:val="20"/>
                <w:szCs w:val="20"/>
                <w:color w:val="auto"/>
              </w:rPr>
            </w:pPr>
            <w:r>
              <w:rPr>
                <w:rFonts w:ascii="Arial" w:cs="Arial" w:eastAsia="Arial" w:hAnsi="Arial"/>
                <w:sz w:val="18"/>
                <w:szCs w:val="18"/>
                <w:color w:val="auto"/>
              </w:rPr>
              <w:t>(3)</w:t>
            </w:r>
          </w:p>
        </w:tc>
        <w:tc>
          <w:tcPr>
            <w:tcW w:w="420" w:type="dxa"/>
            <w:vAlign w:val="bottom"/>
            <w:tcBorders>
              <w:bottom w:val="single" w:sz="8" w:color="auto"/>
            </w:tcBorders>
            <w:shd w:val="clear" w:color="auto" w:fill="E6E7E7"/>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6E7E7"/>
          </w:tcPr>
          <w:p>
            <w:pPr>
              <w:jc w:val="right"/>
              <w:spacing w:after="0" w:line="196" w:lineRule="exact"/>
              <w:rPr>
                <w:sz w:val="20"/>
                <w:szCs w:val="20"/>
                <w:color w:val="auto"/>
              </w:rPr>
            </w:pPr>
            <w:r>
              <w:rPr>
                <w:rFonts w:ascii="Arial" w:cs="Arial" w:eastAsia="Arial" w:hAnsi="Arial"/>
                <w:sz w:val="18"/>
                <w:szCs w:val="18"/>
                <w:color w:val="auto"/>
              </w:rPr>
              <w:t>34</w:t>
            </w:r>
          </w:p>
        </w:tc>
        <w:tc>
          <w:tcPr>
            <w:tcW w:w="60" w:type="dxa"/>
            <w:vAlign w:val="bottom"/>
            <w:shd w:val="clear" w:color="auto" w:fill="E6E7E7"/>
          </w:tcPr>
          <w:p>
            <w:pPr>
              <w:spacing w:after="0"/>
              <w:rPr>
                <w:sz w:val="17"/>
                <w:szCs w:val="17"/>
                <w:color w:val="auto"/>
              </w:rPr>
            </w:pPr>
          </w:p>
        </w:tc>
      </w:tr>
      <w:tr>
        <w:trPr>
          <w:trHeight w:val="20"/>
        </w:trPr>
        <w:tc>
          <w:tcPr>
            <w:tcW w:w="6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660" w:type="dxa"/>
            <w:vAlign w:val="bottom"/>
          </w:tcPr>
          <w:p>
            <w:pPr>
              <w:spacing w:after="0" w:line="196" w:lineRule="exact"/>
              <w:rPr>
                <w:sz w:val="20"/>
                <w:szCs w:val="20"/>
                <w:color w:val="auto"/>
              </w:rPr>
            </w:pPr>
            <w:r>
              <w:rPr>
                <w:rFonts w:ascii="Arial" w:cs="Arial" w:eastAsia="Arial" w:hAnsi="Arial"/>
                <w:sz w:val="18"/>
                <w:szCs w:val="18"/>
                <w:color w:val="auto"/>
              </w:rPr>
              <w:t>2004</w:t>
            </w: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37"/>
              <w:spacing w:after="0" w:line="196" w:lineRule="exact"/>
              <w:rPr>
                <w:sz w:val="20"/>
                <w:szCs w:val="20"/>
                <w:color w:val="auto"/>
              </w:rPr>
            </w:pPr>
            <w:r>
              <w:rPr>
                <w:rFonts w:ascii="Arial" w:cs="Arial" w:eastAsia="Arial" w:hAnsi="Arial"/>
                <w:sz w:val="18"/>
                <w:szCs w:val="18"/>
                <w:color w:val="auto"/>
              </w:rPr>
              <w:t>42</w:t>
            </w:r>
          </w:p>
        </w:tc>
        <w:tc>
          <w:tcPr>
            <w:tcW w:w="32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37"/>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color w:val="auto"/>
              </w:rPr>
              <w:t>(6)</w:t>
            </w:r>
          </w:p>
        </w:tc>
        <w:tc>
          <w:tcPr>
            <w:tcW w:w="42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w:t>
            </w:r>
          </w:p>
        </w:tc>
        <w:tc>
          <w:tcPr>
            <w:tcW w:w="60" w:type="dxa"/>
            <w:vAlign w:val="bottom"/>
          </w:tcPr>
          <w:p>
            <w:pPr>
              <w:spacing w:after="0"/>
              <w:rPr>
                <w:sz w:val="17"/>
                <w:szCs w:val="17"/>
                <w:color w:val="auto"/>
              </w:rPr>
            </w:pPr>
          </w:p>
        </w:tc>
      </w:tr>
      <w:tr>
        <w:trPr>
          <w:trHeight w:val="20"/>
        </w:trPr>
        <w:tc>
          <w:tcPr>
            <w:tcW w:w="6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8. Stockholders’ Equity</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We are authorized to issue 10,000,000 shares of preferred stock; however, no preferred stock is currently outstanding.</w:t>
      </w:r>
    </w:p>
    <w:p>
      <w:pPr>
        <w:spacing w:after="0" w:line="158" w:lineRule="exact"/>
        <w:rPr>
          <w:sz w:val="20"/>
          <w:szCs w:val="20"/>
          <w:color w:val="auto"/>
        </w:rPr>
      </w:pPr>
    </w:p>
    <w:p>
      <w:pPr>
        <w:ind w:left="100" w:right="140"/>
        <w:spacing w:after="0" w:line="273" w:lineRule="auto"/>
        <w:rPr>
          <w:sz w:val="20"/>
          <w:szCs w:val="20"/>
          <w:color w:val="auto"/>
        </w:rPr>
      </w:pPr>
      <w:r>
        <w:rPr>
          <w:rFonts w:ascii="Arial" w:cs="Arial" w:eastAsia="Arial" w:hAnsi="Arial"/>
          <w:sz w:val="16"/>
          <w:szCs w:val="16"/>
          <w:color w:val="auto"/>
        </w:rPr>
        <w:t>Each outstanding share of TI common stock carries one-fourth of a stock purchase right. Under certain circumstances, each right may be exercised to purchase one one-thousandth of a share of TI participating cumulative preferred stock for $200. Under certain circumstances following the acquisition of 20 percent or more of outstanding TI common stock by an acquiring person (as defined in the rights agreement), each right (other than rights held by an acquiring person) may be exercised to purchase the common stock of TI or a successor company with a market value of twice the $200 exercise price. The rights, which are redeemable by us at one cent per right, expire in June 2008.</w:t>
      </w:r>
    </w:p>
    <w:p>
      <w:pPr>
        <w:spacing w:after="0" w:line="129" w:lineRule="exact"/>
        <w:rPr>
          <w:sz w:val="20"/>
          <w:szCs w:val="20"/>
          <w:color w:val="auto"/>
        </w:rPr>
      </w:pPr>
    </w:p>
    <w:p>
      <w:pPr>
        <w:ind w:left="100" w:right="60"/>
        <w:spacing w:after="0" w:line="236" w:lineRule="auto"/>
        <w:rPr>
          <w:sz w:val="20"/>
          <w:szCs w:val="20"/>
          <w:color w:val="auto"/>
        </w:rPr>
      </w:pPr>
      <w:r>
        <w:rPr>
          <w:rFonts w:ascii="Arial" w:cs="Arial" w:eastAsia="Arial" w:hAnsi="Arial"/>
          <w:sz w:val="18"/>
          <w:szCs w:val="18"/>
          <w:color w:val="auto"/>
        </w:rPr>
        <w:t>In 2004, the TI board of directors approved the repurchases of up to 21 million shares and an additional $1 billion of TI common stock under our stock repurchase program. In 2005, the board of directors authorized the repurchase of $4 billion of TI common stock in addition to previous authorizations. In January 2006, the board of directors authorized additional repurchases of up to $5 billion of TI common stock and in September 2006, the board of directors added a new authorization to repurchase up to $5 billion of TI common stock. These authorizations were in addition to previously announced stock repurchase authorizations.</w:t>
      </w:r>
    </w:p>
    <w:p>
      <w:pPr>
        <w:sectPr>
          <w:pgSz w:w="11900" w:h="16838" w:orient="portrait"/>
          <w:cols w:equalWidth="0" w:num="1">
            <w:col w:w="11060"/>
          </w:cols>
          <w:pgMar w:left="600" w:top="287" w:right="239" w:bottom="1440" w:gutter="0" w:footer="0" w:header="0"/>
        </w:sectPr>
      </w:pPr>
    </w:p>
    <w:bookmarkStart w:id="71" w:name="page72"/>
    <w:bookmarkEnd w:id="71"/>
    <w:p>
      <w:pPr>
        <w:spacing w:after="0"/>
        <w:tabs>
          <w:tab w:leader="none" w:pos="36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22</w:t>
        <w:tab/>
        <w:t>TEXAS INSTRUMENTS 2006 ANNUAL REPORT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expiration date has been specified for these authorizations. As of December 31, 2006, $5.49 billion of these authorizations remain.</w:t>
      </w:r>
    </w:p>
    <w:p>
      <w:pPr>
        <w:spacing w:after="0" w:line="158" w:lineRule="exact"/>
        <w:rPr>
          <w:sz w:val="20"/>
          <w:szCs w:val="20"/>
          <w:color w:val="auto"/>
        </w:rPr>
      </w:pPr>
    </w:p>
    <w:p>
      <w:pPr>
        <w:ind w:left="460" w:right="400"/>
        <w:spacing w:after="0" w:line="239" w:lineRule="auto"/>
        <w:rPr>
          <w:sz w:val="20"/>
          <w:szCs w:val="20"/>
          <w:color w:val="auto"/>
        </w:rPr>
      </w:pPr>
      <w:r>
        <w:rPr>
          <w:rFonts w:ascii="Arial" w:cs="Arial" w:eastAsia="Arial" w:hAnsi="Arial"/>
          <w:sz w:val="18"/>
          <w:szCs w:val="18"/>
          <w:color w:val="auto"/>
        </w:rPr>
        <w:t>Treasury shares acquired in connection with the board-authorized stock repurchase program in 2006, 2005 and 2004 were 173,580,794 shares; 154,143,706 shares; and 30,102,546 shares.</w:t>
      </w:r>
    </w:p>
    <w:p>
      <w:pPr>
        <w:spacing w:after="0" w:line="155" w:lineRule="exact"/>
        <w:rPr>
          <w:sz w:val="20"/>
          <w:szCs w:val="20"/>
          <w:color w:val="auto"/>
        </w:rPr>
      </w:pPr>
    </w:p>
    <w:p>
      <w:pPr>
        <w:ind w:left="460" w:right="220"/>
        <w:spacing w:after="0" w:line="238" w:lineRule="auto"/>
        <w:rPr>
          <w:sz w:val="20"/>
          <w:szCs w:val="20"/>
          <w:color w:val="auto"/>
        </w:rPr>
      </w:pPr>
      <w:r>
        <w:rPr>
          <w:rFonts w:ascii="Arial" w:cs="Arial" w:eastAsia="Arial" w:hAnsi="Arial"/>
          <w:sz w:val="18"/>
          <w:szCs w:val="18"/>
          <w:color w:val="auto"/>
        </w:rPr>
        <w:t>In the third quarter of 2005, the board of directors approved an increase in our quarterly cash dividend (to $0.03 per share from $0.025 per share). In the third quarter of 2006, the board of directors increased our quarterly cash dividend (to $0.04 per share), and, on October 19, 2006, declared a dividend at the new quarterly rate.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 Stock-based Compensation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in this note is inclusive of both continuing and discontinued operations, except as noted.</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Long-term Incentive and Director Compensation Plans</w:t>
      </w:r>
    </w:p>
    <w:p>
      <w:pPr>
        <w:spacing w:after="0" w:line="158" w:lineRule="exact"/>
        <w:rPr>
          <w:sz w:val="20"/>
          <w:szCs w:val="20"/>
          <w:color w:val="auto"/>
        </w:rPr>
      </w:pPr>
    </w:p>
    <w:p>
      <w:pPr>
        <w:ind w:left="460" w:right="220"/>
        <w:spacing w:after="0" w:line="236" w:lineRule="auto"/>
        <w:rPr>
          <w:sz w:val="20"/>
          <w:szCs w:val="20"/>
          <w:color w:val="auto"/>
        </w:rPr>
      </w:pPr>
      <w:r>
        <w:rPr>
          <w:rFonts w:ascii="Arial" w:cs="Arial" w:eastAsia="Arial" w:hAnsi="Arial"/>
          <w:sz w:val="18"/>
          <w:szCs w:val="18"/>
          <w:color w:val="auto"/>
        </w:rPr>
        <w:t>We have stock options outstanding to participants under the Texas Instruments 2000 Long-Term Incentive Plan and the Texas Instruments 2003 Long-Term Incentive Plan. Options are also outstanding under the 1996 Long-Term Incentive Plan, but no further options may be granted under this plan. We also assumed stock options granted under the Burr-Brown 1993 Stock Incentive Plan and the Radia Communications, Inc. 2000 Stock Option/Stock Issuance Plan. Unless the options are acquisition-related replacement options, the option price per share may not be less than 100 percent of the fair market value on the date of the grant. Substantially all the options have a 10-year term. Except for options granted as part of a special retention grant in February 2003 (which vest beginning in the second year after grant at a rate of 50%/25%/25% per year), options granted subsequent to 1996 generally vest ratably over four years. Options generally provide for the continuation of vesting after the option recipient retires.</w:t>
      </w:r>
    </w:p>
    <w:p>
      <w:pPr>
        <w:spacing w:after="0" w:line="154" w:lineRule="exact"/>
        <w:rPr>
          <w:sz w:val="20"/>
          <w:szCs w:val="20"/>
          <w:color w:val="auto"/>
        </w:rPr>
      </w:pPr>
    </w:p>
    <w:p>
      <w:pPr>
        <w:jc w:val="both"/>
        <w:ind w:left="460" w:right="320"/>
        <w:spacing w:after="0" w:line="238" w:lineRule="auto"/>
        <w:rPr>
          <w:sz w:val="20"/>
          <w:szCs w:val="20"/>
          <w:color w:val="auto"/>
        </w:rPr>
      </w:pPr>
      <w:r>
        <w:rPr>
          <w:rFonts w:ascii="Arial" w:cs="Arial" w:eastAsia="Arial" w:hAnsi="Arial"/>
          <w:sz w:val="18"/>
          <w:szCs w:val="18"/>
          <w:color w:val="auto"/>
        </w:rPr>
        <w:t>We have RSUs outstanding under the 2000 Long-Term Incentive Plan and the 2003 Long-Term Incentive Plan. Each RSU represents the right to receive one share of TI common stock on the vesting date, which is generally four years after the date of grant. Upon vesting, the shares are subject to issuance without payment by the grantee.</w:t>
      </w:r>
    </w:p>
    <w:p>
      <w:pPr>
        <w:spacing w:after="0" w:line="154" w:lineRule="exact"/>
        <w:rPr>
          <w:sz w:val="20"/>
          <w:szCs w:val="20"/>
          <w:color w:val="auto"/>
        </w:rPr>
      </w:pPr>
    </w:p>
    <w:p>
      <w:pPr>
        <w:ind w:left="460" w:right="20"/>
        <w:spacing w:after="0" w:line="236" w:lineRule="auto"/>
        <w:rPr>
          <w:sz w:val="20"/>
          <w:szCs w:val="20"/>
          <w:color w:val="auto"/>
        </w:rPr>
      </w:pPr>
      <w:r>
        <w:rPr>
          <w:rFonts w:ascii="Arial" w:cs="Arial" w:eastAsia="Arial" w:hAnsi="Arial"/>
          <w:sz w:val="18"/>
          <w:szCs w:val="18"/>
          <w:color w:val="auto"/>
        </w:rPr>
        <w:t>Under the 2000 Long-Term Incentive Plan, we may grant stock options, including incentive stock options, restricted stock and RSUs, performance units and other stock-based awards. The plan provides for the issuance of 120,000,000 shares of TI common stock. In addition, if any stock-based award under the 1996 Long-Term Incentive Plan terminates, then any unissued shares subject to the terminated award become available for granting awards under the 2000 Long-Term Incentive Plan. No more than 13,400,000 shares of common stock may be awarded as restricted stock, RSUs or other stock-based awards under the plan.</w:t>
      </w:r>
    </w:p>
    <w:p>
      <w:pPr>
        <w:spacing w:after="0" w:line="157" w:lineRule="exact"/>
        <w:rPr>
          <w:sz w:val="20"/>
          <w:szCs w:val="20"/>
          <w:color w:val="auto"/>
        </w:rPr>
      </w:pPr>
    </w:p>
    <w:p>
      <w:pPr>
        <w:ind w:left="460" w:right="40"/>
        <w:spacing w:after="0" w:line="238" w:lineRule="auto"/>
        <w:rPr>
          <w:sz w:val="20"/>
          <w:szCs w:val="20"/>
          <w:color w:val="auto"/>
        </w:rPr>
      </w:pPr>
      <w:r>
        <w:rPr>
          <w:rFonts w:ascii="Arial" w:cs="Arial" w:eastAsia="Arial" w:hAnsi="Arial"/>
          <w:sz w:val="18"/>
          <w:szCs w:val="18"/>
          <w:color w:val="auto"/>
        </w:rPr>
        <w:t>Under the 2003 Long-Term Incentive Plan, we may grant stock options (other than incentive stock options), restricted stock and RSUs, performance units and other stock-based awards to non-management employees. The plan provides for the issuance of 240,000,000 shares of TI common stock. Executive officers and approximately 250 managers are ineligible to receive awards under this plan.</w:t>
      </w:r>
    </w:p>
    <w:p>
      <w:pPr>
        <w:spacing w:after="0" w:line="154" w:lineRule="exact"/>
        <w:rPr>
          <w:sz w:val="20"/>
          <w:szCs w:val="20"/>
          <w:color w:val="auto"/>
        </w:rPr>
      </w:pPr>
    </w:p>
    <w:p>
      <w:pPr>
        <w:ind w:left="460"/>
        <w:spacing w:after="0" w:line="267" w:lineRule="auto"/>
        <w:rPr>
          <w:sz w:val="20"/>
          <w:szCs w:val="20"/>
          <w:color w:val="auto"/>
        </w:rPr>
      </w:pPr>
      <w:r>
        <w:rPr>
          <w:rFonts w:ascii="Arial" w:cs="Arial" w:eastAsia="Arial" w:hAnsi="Arial"/>
          <w:sz w:val="16"/>
          <w:szCs w:val="16"/>
          <w:color w:val="auto"/>
        </w:rPr>
        <w:t>Under the Texas Instruments Stock Option Plan for Non-Employee Directors adopted in April 1998, we granted stock options to each non-employee director once per year, in the period beginning January 1999 and extending through January 2003. Each grant under the plan was an option to purchase 5,000 shares (10,000 shares beginning January 2001) with an option price equal to fair market value on the date of grant. In April 2003, the plan, together with the Texas Instruments Restricted Stock Unit Plan for Directors and the Texas Instruments Directors Deferred Compensation Plan, was replaced by the Texas Instruments 2003 Director Compensation Plan. Under this plan, we may grant stock options, RSUs and other stock-based awards to non-employee directors, as well as issue TI common stock upon the distribution of stock units credited to deferred-compensation accounts established for such directors. The plan provides for the grant of a stock option to each non-employee director once per year in the period from January 2004 through 2010. Each grant is an option to purchase 15,000 shares with an option price equal to fair market value on the date of grant. Under the plan, we also make a one-time grant of 2,000 RSUs to each new non-employee director of TI. The plan provides for the issuance of 2,000,000 shares of TI common stock. Effective in 2007, the plan reduces to 7,000 shares the annual stock option grant and includes an annual grant of 2,500 RSUs to each non-employee director.</w:t>
      </w:r>
    </w:p>
    <w:p>
      <w:pPr>
        <w:sectPr>
          <w:pgSz w:w="11900" w:h="16838" w:orient="portrait"/>
          <w:cols w:equalWidth="0" w:num="1">
            <w:col w:w="11400"/>
          </w:cols>
          <w:pgMar w:left="240" w:top="287" w:right="259" w:bottom="1440" w:gutter="0" w:footer="0" w:header="0"/>
        </w:sectPr>
      </w:pPr>
    </w:p>
    <w:bookmarkStart w:id="72" w:name="page73"/>
    <w:bookmarkEnd w:id="72"/>
    <w:p>
      <w:pPr>
        <w:ind w:left="7700"/>
        <w:spacing w:after="0"/>
        <w:tabs>
          <w:tab w:leader="none" w:pos="1090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2006 ANNUAL REPORT</w:t>
      </w:r>
      <w:r>
        <w:rPr>
          <w:sz w:val="20"/>
          <w:szCs w:val="20"/>
          <w:color w:val="auto"/>
        </w:rPr>
        <w:tab/>
      </w:r>
      <w:r>
        <w:rPr>
          <w:rFonts w:ascii="Arial" w:cs="Arial" w:eastAsia="Arial" w:hAnsi="Arial"/>
          <w:sz w:val="12"/>
          <w:szCs w:val="12"/>
          <w:color w:val="939598"/>
        </w:rPr>
        <w:t>23</w:t>
      </w:r>
    </w:p>
    <w:p>
      <w:pPr>
        <w:spacing w:after="0" w:line="140" w:lineRule="exact"/>
        <w:rPr>
          <w:sz w:val="20"/>
          <w:szCs w:val="20"/>
          <w:color w:val="auto"/>
        </w:rPr>
      </w:pPr>
    </w:p>
    <w:p>
      <w:pPr>
        <w:ind w:left="100" w:right="280"/>
        <w:spacing w:after="0" w:line="239" w:lineRule="auto"/>
        <w:rPr>
          <w:sz w:val="20"/>
          <w:szCs w:val="20"/>
          <w:color w:val="auto"/>
        </w:rPr>
      </w:pPr>
      <w:r>
        <w:rPr>
          <w:rFonts w:ascii="Arial" w:cs="Arial" w:eastAsia="Arial" w:hAnsi="Arial"/>
          <w:sz w:val="18"/>
          <w:szCs w:val="18"/>
          <w:color w:val="auto"/>
        </w:rPr>
        <w:t>Stock option and RSU transactions under the above mentioned long-term incentive and director compensation plans during 2006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2"/>
          </w:tcPr>
          <w:p>
            <w:pPr>
              <w:jc w:val="right"/>
              <w:ind w:right="421"/>
              <w:spacing w:after="0"/>
              <w:rPr>
                <w:sz w:val="20"/>
                <w:szCs w:val="20"/>
                <w:color w:val="auto"/>
              </w:rPr>
            </w:pPr>
            <w:r>
              <w:rPr>
                <w:rFonts w:ascii="Arial" w:cs="Arial" w:eastAsia="Arial" w:hAnsi="Arial"/>
                <w:sz w:val="14"/>
                <w:szCs w:val="14"/>
                <w:b w:val="1"/>
                <w:bCs w:val="1"/>
                <w:color w:val="939598"/>
              </w:rPr>
              <w:t>STOCK OPTIONS</w:t>
            </w:r>
          </w:p>
        </w:tc>
        <w:tc>
          <w:tcPr>
            <w:tcW w:w="20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939598"/>
              </w:rPr>
              <w:t>RESTRICTED STOCK UNITS</w:t>
            </w:r>
          </w:p>
        </w:tc>
      </w:tr>
      <w:tr>
        <w:trPr>
          <w:trHeight w:val="28"/>
        </w:trPr>
        <w:tc>
          <w:tcPr>
            <w:tcW w:w="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0"/>
        </w:trPr>
        <w:tc>
          <w:tcPr>
            <w:tcW w:w="20" w:type="dxa"/>
            <w:vAlign w:val="bottom"/>
          </w:tcPr>
          <w:p>
            <w:pPr>
              <w:spacing w:after="0"/>
              <w:rPr>
                <w:sz w:val="20"/>
                <w:szCs w:val="20"/>
                <w:color w:val="auto"/>
              </w:rPr>
            </w:pPr>
          </w:p>
        </w:tc>
        <w:tc>
          <w:tcPr>
            <w:tcW w:w="6440" w:type="dxa"/>
            <w:vAlign w:val="bottom"/>
            <w:shd w:val="clear" w:color="auto" w:fill="939598"/>
          </w:tcPr>
          <w:p>
            <w:pPr>
              <w:spacing w:after="0"/>
              <w:rPr>
                <w:sz w:val="20"/>
                <w:szCs w:val="20"/>
                <w:color w:val="auto"/>
              </w:rPr>
            </w:pPr>
          </w:p>
        </w:tc>
        <w:tc>
          <w:tcPr>
            <w:tcW w:w="200" w:type="dxa"/>
            <w:vAlign w:val="bottom"/>
            <w:shd w:val="clear" w:color="auto" w:fill="939598"/>
          </w:tcPr>
          <w:p>
            <w:pPr>
              <w:spacing w:after="0"/>
              <w:rPr>
                <w:sz w:val="20"/>
                <w:szCs w:val="20"/>
                <w:color w:val="auto"/>
              </w:rPr>
            </w:pPr>
          </w:p>
        </w:tc>
        <w:tc>
          <w:tcPr>
            <w:tcW w:w="1140" w:type="dxa"/>
            <w:vAlign w:val="bottom"/>
            <w:shd w:val="clear" w:color="auto" w:fill="939598"/>
          </w:tcPr>
          <w:p>
            <w:pPr>
              <w:spacing w:after="0"/>
              <w:rPr>
                <w:sz w:val="20"/>
                <w:szCs w:val="20"/>
                <w:color w:val="auto"/>
              </w:rPr>
            </w:pPr>
          </w:p>
        </w:tc>
        <w:tc>
          <w:tcPr>
            <w:tcW w:w="840" w:type="dxa"/>
            <w:vAlign w:val="bottom"/>
            <w:shd w:val="clear" w:color="auto" w:fill="939598"/>
          </w:tcPr>
          <w:p>
            <w:pPr>
              <w:jc w:val="center"/>
              <w:spacing w:after="0"/>
              <w:rPr>
                <w:sz w:val="20"/>
                <w:szCs w:val="20"/>
                <w:color w:val="auto"/>
              </w:rPr>
            </w:pPr>
            <w:r>
              <w:rPr>
                <w:rFonts w:ascii="Arial" w:cs="Arial" w:eastAsia="Arial" w:hAnsi="Arial"/>
                <w:sz w:val="14"/>
                <w:szCs w:val="14"/>
                <w:b w:val="1"/>
                <w:bCs w:val="1"/>
                <w:color w:val="FFFFFF"/>
                <w:w w:val="95"/>
              </w:rPr>
              <w:t>Weighted</w:t>
            </w:r>
          </w:p>
        </w:tc>
        <w:tc>
          <w:tcPr>
            <w:tcW w:w="1100" w:type="dxa"/>
            <w:vAlign w:val="bottom"/>
            <w:shd w:val="clear" w:color="auto" w:fill="939598"/>
          </w:tcPr>
          <w:p>
            <w:pPr>
              <w:spacing w:after="0"/>
              <w:rPr>
                <w:sz w:val="20"/>
                <w:szCs w:val="20"/>
                <w:color w:val="auto"/>
              </w:rPr>
            </w:pPr>
          </w:p>
        </w:tc>
        <w:tc>
          <w:tcPr>
            <w:tcW w:w="200" w:type="dxa"/>
            <w:vAlign w:val="bottom"/>
            <w:shd w:val="clear" w:color="auto" w:fill="939598"/>
          </w:tcPr>
          <w:p>
            <w:pPr>
              <w:spacing w:after="0"/>
              <w:rPr>
                <w:sz w:val="20"/>
                <w:szCs w:val="20"/>
                <w:color w:val="auto"/>
              </w:rPr>
            </w:pPr>
          </w:p>
        </w:tc>
        <w:tc>
          <w:tcPr>
            <w:tcW w:w="780" w:type="dxa"/>
            <w:vAlign w:val="bottom"/>
            <w:gridSpan w:val="2"/>
            <w:shd w:val="clear" w:color="auto" w:fill="939598"/>
          </w:tcPr>
          <w:p>
            <w:pPr>
              <w:jc w:val="center"/>
              <w:ind w:right="160"/>
              <w:spacing w:after="0"/>
              <w:rPr>
                <w:sz w:val="20"/>
                <w:szCs w:val="20"/>
                <w:color w:val="auto"/>
              </w:rPr>
            </w:pPr>
            <w:r>
              <w:rPr>
                <w:rFonts w:ascii="Arial" w:cs="Arial" w:eastAsia="Arial" w:hAnsi="Arial"/>
                <w:sz w:val="14"/>
                <w:szCs w:val="14"/>
                <w:b w:val="1"/>
                <w:bCs w:val="1"/>
                <w:color w:val="FFFFFF"/>
                <w:w w:val="98"/>
              </w:rPr>
              <w:t>Weighted</w:t>
            </w:r>
          </w:p>
        </w:tc>
      </w:tr>
      <w:tr>
        <w:trPr>
          <w:trHeight w:val="149"/>
        </w:trPr>
        <w:tc>
          <w:tcPr>
            <w:tcW w:w="20" w:type="dxa"/>
            <w:vAlign w:val="bottom"/>
          </w:tcPr>
          <w:p>
            <w:pPr>
              <w:spacing w:after="0"/>
              <w:rPr>
                <w:sz w:val="12"/>
                <w:szCs w:val="12"/>
                <w:color w:val="auto"/>
              </w:rPr>
            </w:pPr>
          </w:p>
        </w:tc>
        <w:tc>
          <w:tcPr>
            <w:tcW w:w="6440" w:type="dxa"/>
            <w:vAlign w:val="bottom"/>
            <w:shd w:val="clear" w:color="auto" w:fill="939598"/>
          </w:tcPr>
          <w:p>
            <w:pPr>
              <w:spacing w:after="0"/>
              <w:rPr>
                <w:sz w:val="12"/>
                <w:szCs w:val="12"/>
                <w:color w:val="auto"/>
              </w:rPr>
            </w:pPr>
          </w:p>
        </w:tc>
        <w:tc>
          <w:tcPr>
            <w:tcW w:w="200" w:type="dxa"/>
            <w:vAlign w:val="bottom"/>
            <w:shd w:val="clear" w:color="auto" w:fill="939598"/>
          </w:tcPr>
          <w:p>
            <w:pPr>
              <w:spacing w:after="0"/>
              <w:rPr>
                <w:sz w:val="12"/>
                <w:szCs w:val="12"/>
                <w:color w:val="auto"/>
              </w:rPr>
            </w:pPr>
          </w:p>
        </w:tc>
        <w:tc>
          <w:tcPr>
            <w:tcW w:w="1140" w:type="dxa"/>
            <w:vAlign w:val="bottom"/>
            <w:shd w:val="clear" w:color="auto" w:fill="939598"/>
          </w:tcPr>
          <w:p>
            <w:pPr>
              <w:spacing w:after="0"/>
              <w:rPr>
                <w:sz w:val="12"/>
                <w:szCs w:val="12"/>
                <w:color w:val="auto"/>
              </w:rPr>
            </w:pPr>
          </w:p>
        </w:tc>
        <w:tc>
          <w:tcPr>
            <w:tcW w:w="840" w:type="dxa"/>
            <w:vAlign w:val="bottom"/>
            <w:shd w:val="clear" w:color="auto" w:fill="939598"/>
          </w:tcPr>
          <w:p>
            <w:pPr>
              <w:jc w:val="center"/>
              <w:spacing w:after="0" w:line="149" w:lineRule="exact"/>
              <w:rPr>
                <w:sz w:val="20"/>
                <w:szCs w:val="20"/>
                <w:color w:val="auto"/>
              </w:rPr>
            </w:pPr>
            <w:r>
              <w:rPr>
                <w:rFonts w:ascii="Arial" w:cs="Arial" w:eastAsia="Arial" w:hAnsi="Arial"/>
                <w:sz w:val="14"/>
                <w:szCs w:val="14"/>
                <w:b w:val="1"/>
                <w:bCs w:val="1"/>
                <w:color w:val="FFFFFF"/>
                <w:w w:val="94"/>
              </w:rPr>
              <w:t>Average</w:t>
            </w:r>
          </w:p>
        </w:tc>
        <w:tc>
          <w:tcPr>
            <w:tcW w:w="1100" w:type="dxa"/>
            <w:vAlign w:val="bottom"/>
            <w:shd w:val="clear" w:color="auto" w:fill="939598"/>
          </w:tcPr>
          <w:p>
            <w:pPr>
              <w:spacing w:after="0"/>
              <w:rPr>
                <w:sz w:val="12"/>
                <w:szCs w:val="12"/>
                <w:color w:val="auto"/>
              </w:rPr>
            </w:pPr>
          </w:p>
        </w:tc>
        <w:tc>
          <w:tcPr>
            <w:tcW w:w="200" w:type="dxa"/>
            <w:vAlign w:val="bottom"/>
            <w:shd w:val="clear" w:color="auto" w:fill="939598"/>
          </w:tcPr>
          <w:p>
            <w:pPr>
              <w:spacing w:after="0"/>
              <w:rPr>
                <w:sz w:val="12"/>
                <w:szCs w:val="12"/>
                <w:color w:val="auto"/>
              </w:rPr>
            </w:pPr>
          </w:p>
        </w:tc>
        <w:tc>
          <w:tcPr>
            <w:tcW w:w="780" w:type="dxa"/>
            <w:vAlign w:val="bottom"/>
            <w:gridSpan w:val="2"/>
            <w:shd w:val="clear" w:color="auto" w:fill="939598"/>
          </w:tcPr>
          <w:p>
            <w:pPr>
              <w:jc w:val="center"/>
              <w:ind w:right="160"/>
              <w:spacing w:after="0" w:line="149" w:lineRule="exact"/>
              <w:rPr>
                <w:sz w:val="20"/>
                <w:szCs w:val="20"/>
                <w:color w:val="auto"/>
              </w:rPr>
            </w:pPr>
            <w:r>
              <w:rPr>
                <w:rFonts w:ascii="Arial" w:cs="Arial" w:eastAsia="Arial" w:hAnsi="Arial"/>
                <w:sz w:val="14"/>
                <w:szCs w:val="14"/>
                <w:b w:val="1"/>
                <w:bCs w:val="1"/>
                <w:color w:val="FFFFFF"/>
                <w:w w:val="97"/>
              </w:rPr>
              <w:t>Average</w:t>
            </w:r>
          </w:p>
        </w:tc>
      </w:tr>
      <w:tr>
        <w:trPr>
          <w:trHeight w:val="149"/>
        </w:trPr>
        <w:tc>
          <w:tcPr>
            <w:tcW w:w="20" w:type="dxa"/>
            <w:vAlign w:val="bottom"/>
          </w:tcPr>
          <w:p>
            <w:pPr>
              <w:spacing w:after="0"/>
              <w:rPr>
                <w:sz w:val="12"/>
                <w:szCs w:val="12"/>
                <w:color w:val="auto"/>
              </w:rPr>
            </w:pPr>
          </w:p>
        </w:tc>
        <w:tc>
          <w:tcPr>
            <w:tcW w:w="6440" w:type="dxa"/>
            <w:vAlign w:val="bottom"/>
            <w:shd w:val="clear" w:color="auto" w:fill="939598"/>
          </w:tcPr>
          <w:p>
            <w:pPr>
              <w:spacing w:after="0"/>
              <w:rPr>
                <w:sz w:val="12"/>
                <w:szCs w:val="12"/>
                <w:color w:val="auto"/>
              </w:rPr>
            </w:pPr>
          </w:p>
        </w:tc>
        <w:tc>
          <w:tcPr>
            <w:tcW w:w="200" w:type="dxa"/>
            <w:vAlign w:val="bottom"/>
            <w:shd w:val="clear" w:color="auto" w:fill="939598"/>
          </w:tcPr>
          <w:p>
            <w:pPr>
              <w:spacing w:after="0"/>
              <w:rPr>
                <w:sz w:val="12"/>
                <w:szCs w:val="12"/>
                <w:color w:val="auto"/>
              </w:rPr>
            </w:pPr>
          </w:p>
        </w:tc>
        <w:tc>
          <w:tcPr>
            <w:tcW w:w="1140" w:type="dxa"/>
            <w:vAlign w:val="bottom"/>
            <w:shd w:val="clear" w:color="auto" w:fill="939598"/>
          </w:tcPr>
          <w:p>
            <w:pPr>
              <w:spacing w:after="0"/>
              <w:rPr>
                <w:sz w:val="12"/>
                <w:szCs w:val="12"/>
                <w:color w:val="auto"/>
              </w:rPr>
            </w:pPr>
          </w:p>
        </w:tc>
        <w:tc>
          <w:tcPr>
            <w:tcW w:w="840" w:type="dxa"/>
            <w:vAlign w:val="bottom"/>
            <w:shd w:val="clear" w:color="auto" w:fill="939598"/>
          </w:tcPr>
          <w:p>
            <w:pPr>
              <w:jc w:val="center"/>
              <w:spacing w:after="0" w:line="149" w:lineRule="exact"/>
              <w:rPr>
                <w:sz w:val="20"/>
                <w:szCs w:val="20"/>
                <w:color w:val="auto"/>
              </w:rPr>
            </w:pPr>
            <w:r>
              <w:rPr>
                <w:rFonts w:ascii="Arial" w:cs="Arial" w:eastAsia="Arial" w:hAnsi="Arial"/>
                <w:sz w:val="14"/>
                <w:szCs w:val="14"/>
                <w:b w:val="1"/>
                <w:bCs w:val="1"/>
                <w:color w:val="FFFFFF"/>
                <w:w w:val="97"/>
              </w:rPr>
              <w:t>Exercise</w:t>
            </w:r>
          </w:p>
        </w:tc>
        <w:tc>
          <w:tcPr>
            <w:tcW w:w="1100" w:type="dxa"/>
            <w:vAlign w:val="bottom"/>
            <w:shd w:val="clear" w:color="auto" w:fill="939598"/>
          </w:tcPr>
          <w:p>
            <w:pPr>
              <w:spacing w:after="0"/>
              <w:rPr>
                <w:sz w:val="12"/>
                <w:szCs w:val="12"/>
                <w:color w:val="auto"/>
              </w:rPr>
            </w:pPr>
          </w:p>
        </w:tc>
        <w:tc>
          <w:tcPr>
            <w:tcW w:w="980" w:type="dxa"/>
            <w:vAlign w:val="bottom"/>
            <w:gridSpan w:val="3"/>
            <w:shd w:val="clear" w:color="auto" w:fill="939598"/>
          </w:tcPr>
          <w:p>
            <w:pPr>
              <w:jc w:val="center"/>
              <w:spacing w:after="0" w:line="149" w:lineRule="exact"/>
              <w:rPr>
                <w:sz w:val="20"/>
                <w:szCs w:val="20"/>
                <w:color w:val="auto"/>
              </w:rPr>
            </w:pPr>
            <w:r>
              <w:rPr>
                <w:rFonts w:ascii="Arial" w:cs="Arial" w:eastAsia="Arial" w:hAnsi="Arial"/>
                <w:sz w:val="14"/>
                <w:szCs w:val="14"/>
                <w:b w:val="1"/>
                <w:bCs w:val="1"/>
                <w:color w:val="FFFFFF"/>
                <w:w w:val="96"/>
              </w:rPr>
              <w:t>Grant-Date</w:t>
            </w:r>
          </w:p>
        </w:tc>
      </w:tr>
      <w:tr>
        <w:trPr>
          <w:trHeight w:val="149"/>
        </w:trPr>
        <w:tc>
          <w:tcPr>
            <w:tcW w:w="20" w:type="dxa"/>
            <w:vAlign w:val="bottom"/>
          </w:tcPr>
          <w:p>
            <w:pPr>
              <w:spacing w:after="0"/>
              <w:rPr>
                <w:sz w:val="12"/>
                <w:szCs w:val="12"/>
                <w:color w:val="auto"/>
              </w:rPr>
            </w:pPr>
          </w:p>
        </w:tc>
        <w:tc>
          <w:tcPr>
            <w:tcW w:w="6440" w:type="dxa"/>
            <w:vAlign w:val="bottom"/>
            <w:shd w:val="clear" w:color="auto" w:fill="939598"/>
          </w:tcPr>
          <w:p>
            <w:pPr>
              <w:spacing w:after="0"/>
              <w:rPr>
                <w:sz w:val="12"/>
                <w:szCs w:val="12"/>
                <w:color w:val="auto"/>
              </w:rPr>
            </w:pPr>
          </w:p>
        </w:tc>
        <w:tc>
          <w:tcPr>
            <w:tcW w:w="200" w:type="dxa"/>
            <w:vAlign w:val="bottom"/>
            <w:shd w:val="clear" w:color="auto" w:fill="939598"/>
          </w:tcPr>
          <w:p>
            <w:pPr>
              <w:spacing w:after="0"/>
              <w:rPr>
                <w:sz w:val="12"/>
                <w:szCs w:val="12"/>
                <w:color w:val="auto"/>
              </w:rPr>
            </w:pPr>
          </w:p>
        </w:tc>
        <w:tc>
          <w:tcPr>
            <w:tcW w:w="1140" w:type="dxa"/>
            <w:vAlign w:val="bottom"/>
            <w:shd w:val="clear" w:color="auto" w:fill="939598"/>
          </w:tcPr>
          <w:p>
            <w:pPr>
              <w:spacing w:after="0"/>
              <w:rPr>
                <w:sz w:val="12"/>
                <w:szCs w:val="12"/>
                <w:color w:val="auto"/>
              </w:rPr>
            </w:pPr>
          </w:p>
        </w:tc>
        <w:tc>
          <w:tcPr>
            <w:tcW w:w="840" w:type="dxa"/>
            <w:vAlign w:val="bottom"/>
            <w:shd w:val="clear" w:color="auto" w:fill="939598"/>
          </w:tcPr>
          <w:p>
            <w:pPr>
              <w:jc w:val="center"/>
              <w:spacing w:after="0" w:line="149" w:lineRule="exact"/>
              <w:rPr>
                <w:sz w:val="20"/>
                <w:szCs w:val="20"/>
                <w:color w:val="auto"/>
              </w:rPr>
            </w:pPr>
            <w:r>
              <w:rPr>
                <w:rFonts w:ascii="Arial" w:cs="Arial" w:eastAsia="Arial" w:hAnsi="Arial"/>
                <w:sz w:val="14"/>
                <w:szCs w:val="14"/>
                <w:b w:val="1"/>
                <w:bCs w:val="1"/>
                <w:color w:val="FFFFFF"/>
                <w:w w:val="96"/>
              </w:rPr>
              <w:t>Price per</w:t>
            </w:r>
          </w:p>
        </w:tc>
        <w:tc>
          <w:tcPr>
            <w:tcW w:w="1100" w:type="dxa"/>
            <w:vAlign w:val="bottom"/>
            <w:shd w:val="clear" w:color="auto" w:fill="939598"/>
          </w:tcPr>
          <w:p>
            <w:pPr>
              <w:spacing w:after="0"/>
              <w:rPr>
                <w:sz w:val="12"/>
                <w:szCs w:val="12"/>
                <w:color w:val="auto"/>
              </w:rPr>
            </w:pPr>
          </w:p>
        </w:tc>
        <w:tc>
          <w:tcPr>
            <w:tcW w:w="980" w:type="dxa"/>
            <w:vAlign w:val="bottom"/>
            <w:gridSpan w:val="3"/>
            <w:shd w:val="clear" w:color="auto" w:fill="939598"/>
          </w:tcPr>
          <w:p>
            <w:pPr>
              <w:jc w:val="center"/>
              <w:spacing w:after="0" w:line="149" w:lineRule="exact"/>
              <w:rPr>
                <w:sz w:val="20"/>
                <w:szCs w:val="20"/>
                <w:color w:val="auto"/>
              </w:rPr>
            </w:pPr>
            <w:r>
              <w:rPr>
                <w:rFonts w:ascii="Arial" w:cs="Arial" w:eastAsia="Arial" w:hAnsi="Arial"/>
                <w:sz w:val="14"/>
                <w:szCs w:val="14"/>
                <w:b w:val="1"/>
                <w:bCs w:val="1"/>
                <w:color w:val="FFFFFF"/>
                <w:w w:val="92"/>
              </w:rPr>
              <w:t>Fair Value</w:t>
            </w:r>
          </w:p>
        </w:tc>
      </w:tr>
      <w:tr>
        <w:trPr>
          <w:trHeight w:val="165"/>
        </w:trPr>
        <w:tc>
          <w:tcPr>
            <w:tcW w:w="20" w:type="dxa"/>
            <w:vAlign w:val="bottom"/>
          </w:tcPr>
          <w:p>
            <w:pPr>
              <w:spacing w:after="0"/>
              <w:rPr>
                <w:sz w:val="14"/>
                <w:szCs w:val="14"/>
                <w:color w:val="auto"/>
              </w:rPr>
            </w:pPr>
          </w:p>
        </w:tc>
        <w:tc>
          <w:tcPr>
            <w:tcW w:w="6440" w:type="dxa"/>
            <w:vAlign w:val="bottom"/>
            <w:shd w:val="clear" w:color="auto" w:fill="939598"/>
          </w:tcPr>
          <w:p>
            <w:pPr>
              <w:spacing w:after="0"/>
              <w:rPr>
                <w:sz w:val="14"/>
                <w:szCs w:val="14"/>
                <w:color w:val="auto"/>
              </w:rPr>
            </w:pPr>
          </w:p>
        </w:tc>
        <w:tc>
          <w:tcPr>
            <w:tcW w:w="200" w:type="dxa"/>
            <w:vAlign w:val="bottom"/>
            <w:shd w:val="clear" w:color="auto" w:fill="939598"/>
          </w:tcPr>
          <w:p>
            <w:pPr>
              <w:spacing w:after="0"/>
              <w:rPr>
                <w:sz w:val="14"/>
                <w:szCs w:val="14"/>
                <w:color w:val="auto"/>
              </w:rPr>
            </w:pPr>
          </w:p>
        </w:tc>
        <w:tc>
          <w:tcPr>
            <w:tcW w:w="1140" w:type="dxa"/>
            <w:vAlign w:val="bottom"/>
            <w:shd w:val="clear" w:color="auto" w:fill="939598"/>
          </w:tcPr>
          <w:p>
            <w:pPr>
              <w:jc w:val="right"/>
              <w:ind w:right="362"/>
              <w:spacing w:after="0"/>
              <w:rPr>
                <w:sz w:val="20"/>
                <w:szCs w:val="20"/>
                <w:color w:val="auto"/>
              </w:rPr>
            </w:pPr>
            <w:r>
              <w:rPr>
                <w:rFonts w:ascii="Arial" w:cs="Arial" w:eastAsia="Arial" w:hAnsi="Arial"/>
                <w:sz w:val="14"/>
                <w:szCs w:val="14"/>
                <w:b w:val="1"/>
                <w:bCs w:val="1"/>
                <w:color w:val="FFFFFF"/>
              </w:rPr>
              <w:t>Shares</w:t>
            </w:r>
          </w:p>
        </w:tc>
        <w:tc>
          <w:tcPr>
            <w:tcW w:w="840" w:type="dxa"/>
            <w:vAlign w:val="bottom"/>
            <w:shd w:val="clear" w:color="auto" w:fill="939598"/>
          </w:tcPr>
          <w:p>
            <w:pPr>
              <w:jc w:val="center"/>
              <w:spacing w:after="0"/>
              <w:rPr>
                <w:sz w:val="20"/>
                <w:szCs w:val="20"/>
                <w:color w:val="auto"/>
              </w:rPr>
            </w:pPr>
            <w:r>
              <w:rPr>
                <w:rFonts w:ascii="Arial" w:cs="Arial" w:eastAsia="Arial" w:hAnsi="Arial"/>
                <w:sz w:val="14"/>
                <w:szCs w:val="14"/>
                <w:b w:val="1"/>
                <w:bCs w:val="1"/>
                <w:color w:val="FFFFFF"/>
                <w:w w:val="97"/>
              </w:rPr>
              <w:t>Share</w:t>
            </w:r>
          </w:p>
        </w:tc>
        <w:tc>
          <w:tcPr>
            <w:tcW w:w="1100" w:type="dxa"/>
            <w:vAlign w:val="bottom"/>
            <w:shd w:val="clear" w:color="auto" w:fill="939598"/>
          </w:tcPr>
          <w:p>
            <w:pPr>
              <w:jc w:val="right"/>
              <w:ind w:right="297"/>
              <w:spacing w:after="0"/>
              <w:rPr>
                <w:sz w:val="20"/>
                <w:szCs w:val="20"/>
                <w:color w:val="auto"/>
              </w:rPr>
            </w:pPr>
            <w:r>
              <w:rPr>
                <w:rFonts w:ascii="Arial" w:cs="Arial" w:eastAsia="Arial" w:hAnsi="Arial"/>
                <w:sz w:val="14"/>
                <w:szCs w:val="14"/>
                <w:b w:val="1"/>
                <w:bCs w:val="1"/>
                <w:color w:val="FFFFFF"/>
              </w:rPr>
              <w:t>Shares</w:t>
            </w:r>
          </w:p>
        </w:tc>
        <w:tc>
          <w:tcPr>
            <w:tcW w:w="200" w:type="dxa"/>
            <w:vAlign w:val="bottom"/>
            <w:shd w:val="clear" w:color="auto" w:fill="939598"/>
          </w:tcPr>
          <w:p>
            <w:pPr>
              <w:spacing w:after="0"/>
              <w:rPr>
                <w:sz w:val="14"/>
                <w:szCs w:val="14"/>
                <w:color w:val="auto"/>
              </w:rPr>
            </w:pPr>
          </w:p>
        </w:tc>
        <w:tc>
          <w:tcPr>
            <w:tcW w:w="780" w:type="dxa"/>
            <w:vAlign w:val="bottom"/>
            <w:gridSpan w:val="2"/>
            <w:shd w:val="clear" w:color="auto" w:fill="939598"/>
          </w:tcPr>
          <w:p>
            <w:pPr>
              <w:jc w:val="center"/>
              <w:ind w:right="160"/>
              <w:spacing w:after="0"/>
              <w:rPr>
                <w:sz w:val="20"/>
                <w:szCs w:val="20"/>
                <w:color w:val="auto"/>
              </w:rPr>
            </w:pPr>
            <w:r>
              <w:rPr>
                <w:rFonts w:ascii="Arial" w:cs="Arial" w:eastAsia="Arial" w:hAnsi="Arial"/>
                <w:sz w:val="14"/>
                <w:szCs w:val="14"/>
                <w:b w:val="1"/>
                <w:bCs w:val="1"/>
                <w:color w:val="FFFFFF"/>
                <w:w w:val="95"/>
              </w:rPr>
              <w:t>per Share</w:t>
            </w:r>
          </w:p>
        </w:tc>
      </w:tr>
      <w:tr>
        <w:trPr>
          <w:trHeight w:val="270"/>
        </w:trPr>
        <w:tc>
          <w:tcPr>
            <w:tcW w:w="6460" w:type="dxa"/>
            <w:vAlign w:val="bottom"/>
            <w:gridSpan w:val="2"/>
          </w:tcPr>
          <w:p>
            <w:pPr>
              <w:spacing w:after="0"/>
              <w:rPr>
                <w:sz w:val="20"/>
                <w:szCs w:val="20"/>
                <w:color w:val="auto"/>
              </w:rPr>
            </w:pPr>
            <w:r>
              <w:rPr>
                <w:rFonts w:ascii="Arial" w:cs="Arial" w:eastAsia="Arial" w:hAnsi="Arial"/>
                <w:sz w:val="18"/>
                <w:szCs w:val="18"/>
                <w:color w:val="auto"/>
              </w:rPr>
              <w:t>Outstanding grants, December 31, 2005</w:t>
            </w:r>
          </w:p>
        </w:tc>
        <w:tc>
          <w:tcPr>
            <w:tcW w:w="1340" w:type="dxa"/>
            <w:vAlign w:val="bottom"/>
            <w:gridSpan w:val="2"/>
          </w:tcPr>
          <w:p>
            <w:pPr>
              <w:jc w:val="right"/>
              <w:ind w:right="82"/>
              <w:spacing w:after="0"/>
              <w:rPr>
                <w:sz w:val="20"/>
                <w:szCs w:val="20"/>
                <w:color w:val="auto"/>
              </w:rPr>
            </w:pPr>
            <w:r>
              <w:rPr>
                <w:rFonts w:ascii="Arial" w:cs="Arial" w:eastAsia="Arial" w:hAnsi="Arial"/>
                <w:sz w:val="18"/>
                <w:szCs w:val="18"/>
                <w:color w:val="auto"/>
              </w:rPr>
              <w:t>228,279,712</w:t>
            </w:r>
          </w:p>
        </w:tc>
        <w:tc>
          <w:tcPr>
            <w:tcW w:w="840" w:type="dxa"/>
            <w:vAlign w:val="bottom"/>
          </w:tcPr>
          <w:p>
            <w:pPr>
              <w:jc w:val="right"/>
              <w:ind w:right="61"/>
              <w:spacing w:after="0"/>
              <w:rPr>
                <w:sz w:val="20"/>
                <w:szCs w:val="20"/>
                <w:color w:val="auto"/>
              </w:rPr>
            </w:pPr>
            <w:r>
              <w:rPr>
                <w:rFonts w:ascii="Arial" w:cs="Arial" w:eastAsia="Arial" w:hAnsi="Arial"/>
                <w:sz w:val="18"/>
                <w:szCs w:val="18"/>
                <w:color w:val="auto"/>
              </w:rPr>
              <w:t>$ 27.15</w:t>
            </w: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3,517,768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23.13</w:t>
            </w:r>
          </w:p>
        </w:tc>
        <w:tc>
          <w:tcPr>
            <w:tcW w:w="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E6E7E7"/>
          </w:tcPr>
          <w:p>
            <w:pPr>
              <w:spacing w:after="0" w:line="202" w:lineRule="exact"/>
              <w:rPr>
                <w:sz w:val="20"/>
                <w:szCs w:val="20"/>
                <w:color w:val="auto"/>
              </w:rPr>
            </w:pPr>
            <w:r>
              <w:rPr>
                <w:rFonts w:ascii="Arial" w:cs="Arial" w:eastAsia="Arial" w:hAnsi="Arial"/>
                <w:sz w:val="18"/>
                <w:szCs w:val="18"/>
                <w:b w:val="1"/>
                <w:bCs w:val="1"/>
                <w:color w:val="auto"/>
              </w:rPr>
              <w:t>Granted</w:t>
            </w:r>
          </w:p>
        </w:tc>
        <w:tc>
          <w:tcPr>
            <w:tcW w:w="1340" w:type="dxa"/>
            <w:vAlign w:val="bottom"/>
            <w:gridSpan w:val="2"/>
            <w:shd w:val="clear" w:color="auto" w:fill="E6E7E7"/>
          </w:tcPr>
          <w:p>
            <w:pPr>
              <w:jc w:val="right"/>
              <w:ind w:right="82"/>
              <w:spacing w:after="0" w:line="202" w:lineRule="exact"/>
              <w:rPr>
                <w:sz w:val="20"/>
                <w:szCs w:val="20"/>
                <w:color w:val="auto"/>
              </w:rPr>
            </w:pPr>
            <w:r>
              <w:rPr>
                <w:rFonts w:ascii="Arial" w:cs="Arial" w:eastAsia="Arial" w:hAnsi="Arial"/>
                <w:sz w:val="18"/>
                <w:szCs w:val="18"/>
                <w:b w:val="1"/>
                <w:bCs w:val="1"/>
                <w:color w:val="auto"/>
              </w:rPr>
              <w:t>19,804,037</w:t>
            </w:r>
          </w:p>
        </w:tc>
        <w:tc>
          <w:tcPr>
            <w:tcW w:w="840" w:type="dxa"/>
            <w:vAlign w:val="bottom"/>
            <w:shd w:val="clear" w:color="auto" w:fill="E6E7E7"/>
          </w:tcPr>
          <w:p>
            <w:pPr>
              <w:jc w:val="right"/>
              <w:ind w:right="61"/>
              <w:spacing w:after="0" w:line="202" w:lineRule="exact"/>
              <w:rPr>
                <w:sz w:val="20"/>
                <w:szCs w:val="20"/>
                <w:color w:val="auto"/>
              </w:rPr>
            </w:pPr>
            <w:r>
              <w:rPr>
                <w:rFonts w:ascii="Arial" w:cs="Arial" w:eastAsia="Arial" w:hAnsi="Arial"/>
                <w:sz w:val="18"/>
                <w:szCs w:val="18"/>
                <w:b w:val="1"/>
                <w:bCs w:val="1"/>
                <w:color w:val="auto"/>
              </w:rPr>
              <w:t>32.43</w:t>
            </w:r>
          </w:p>
        </w:tc>
        <w:tc>
          <w:tcPr>
            <w:tcW w:w="1100" w:type="dxa"/>
            <w:vAlign w:val="bottom"/>
            <w:shd w:val="clear" w:color="auto" w:fill="E6E7E7"/>
          </w:tcPr>
          <w:p>
            <w:pPr>
              <w:jc w:val="right"/>
              <w:ind w:right="77"/>
              <w:spacing w:after="0" w:line="202" w:lineRule="exact"/>
              <w:rPr>
                <w:sz w:val="20"/>
                <w:szCs w:val="20"/>
                <w:color w:val="auto"/>
              </w:rPr>
            </w:pPr>
            <w:r>
              <w:rPr>
                <w:rFonts w:ascii="Arial" w:cs="Arial" w:eastAsia="Arial" w:hAnsi="Arial"/>
                <w:sz w:val="18"/>
                <w:szCs w:val="18"/>
                <w:b w:val="1"/>
                <w:bCs w:val="1"/>
                <w:color w:val="auto"/>
              </w:rPr>
              <w:t>1,889,300</w:t>
            </w:r>
          </w:p>
        </w:tc>
        <w:tc>
          <w:tcPr>
            <w:tcW w:w="200" w:type="dxa"/>
            <w:vAlign w:val="bottom"/>
            <w:shd w:val="clear" w:color="auto" w:fill="E6E7E7"/>
          </w:tcPr>
          <w:p>
            <w:pPr>
              <w:spacing w:after="0"/>
              <w:rPr>
                <w:sz w:val="17"/>
                <w:szCs w:val="17"/>
                <w:color w:val="auto"/>
              </w:rPr>
            </w:pPr>
          </w:p>
        </w:tc>
        <w:tc>
          <w:tcPr>
            <w:tcW w:w="7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31.36</w:t>
            </w:r>
          </w:p>
        </w:tc>
        <w:tc>
          <w:tcPr>
            <w:tcW w:w="60" w:type="dxa"/>
            <w:vAlign w:val="bottom"/>
            <w:shd w:val="clear" w:color="auto" w:fill="E6E7E7"/>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40" w:type="dxa"/>
            <w:vAlign w:val="bottom"/>
          </w:tcPr>
          <w:p>
            <w:pPr>
              <w:spacing w:after="0" w:line="202" w:lineRule="exact"/>
              <w:rPr>
                <w:sz w:val="20"/>
                <w:szCs w:val="20"/>
                <w:color w:val="auto"/>
              </w:rPr>
            </w:pPr>
            <w:r>
              <w:rPr>
                <w:rFonts w:ascii="Arial" w:cs="Arial" w:eastAsia="Arial" w:hAnsi="Arial"/>
                <w:sz w:val="18"/>
                <w:szCs w:val="18"/>
                <w:b w:val="1"/>
                <w:bCs w:val="1"/>
                <w:color w:val="auto"/>
              </w:rPr>
              <w:t>Vested (RSUs)</w:t>
            </w:r>
          </w:p>
        </w:tc>
        <w:tc>
          <w:tcPr>
            <w:tcW w:w="200" w:type="dxa"/>
            <w:vAlign w:val="bottom"/>
          </w:tcPr>
          <w:p>
            <w:pPr>
              <w:spacing w:after="0"/>
              <w:rPr>
                <w:sz w:val="17"/>
                <w:szCs w:val="17"/>
                <w:color w:val="auto"/>
              </w:rPr>
            </w:pPr>
          </w:p>
        </w:tc>
        <w:tc>
          <w:tcPr>
            <w:tcW w:w="1140" w:type="dxa"/>
            <w:vAlign w:val="bottom"/>
          </w:tcPr>
          <w:p>
            <w:pPr>
              <w:jc w:val="right"/>
              <w:ind w:right="82"/>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61"/>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7"/>
              <w:spacing w:after="0" w:line="202" w:lineRule="exact"/>
              <w:rPr>
                <w:sz w:val="20"/>
                <w:szCs w:val="20"/>
                <w:color w:val="auto"/>
              </w:rPr>
            </w:pPr>
            <w:r>
              <w:rPr>
                <w:rFonts w:ascii="Arial" w:cs="Arial" w:eastAsia="Arial" w:hAnsi="Arial"/>
                <w:sz w:val="18"/>
                <w:szCs w:val="18"/>
                <w:b w:val="1"/>
                <w:bCs w:val="1"/>
                <w:color w:val="auto"/>
              </w:rPr>
              <w:t>(555,600)</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20.38</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E6E7E7"/>
          </w:tcPr>
          <w:p>
            <w:pPr>
              <w:spacing w:after="0" w:line="202" w:lineRule="exact"/>
              <w:rPr>
                <w:sz w:val="20"/>
                <w:szCs w:val="20"/>
                <w:color w:val="auto"/>
              </w:rPr>
            </w:pPr>
            <w:r>
              <w:rPr>
                <w:rFonts w:ascii="Arial" w:cs="Arial" w:eastAsia="Arial" w:hAnsi="Arial"/>
                <w:sz w:val="18"/>
                <w:szCs w:val="18"/>
                <w:b w:val="1"/>
                <w:bCs w:val="1"/>
                <w:color w:val="auto"/>
              </w:rPr>
              <w:t>Forfeited</w:t>
            </w:r>
          </w:p>
        </w:tc>
        <w:tc>
          <w:tcPr>
            <w:tcW w:w="1340" w:type="dxa"/>
            <w:vAlign w:val="bottom"/>
            <w:gridSpan w:val="2"/>
            <w:shd w:val="clear" w:color="auto" w:fill="E6E7E7"/>
          </w:tcPr>
          <w:p>
            <w:pPr>
              <w:jc w:val="right"/>
              <w:ind w:right="22"/>
              <w:spacing w:after="0" w:line="202" w:lineRule="exact"/>
              <w:rPr>
                <w:sz w:val="20"/>
                <w:szCs w:val="20"/>
                <w:color w:val="auto"/>
              </w:rPr>
            </w:pPr>
            <w:r>
              <w:rPr>
                <w:rFonts w:ascii="Arial" w:cs="Arial" w:eastAsia="Arial" w:hAnsi="Arial"/>
                <w:sz w:val="18"/>
                <w:szCs w:val="18"/>
                <w:b w:val="1"/>
                <w:bCs w:val="1"/>
                <w:color w:val="auto"/>
              </w:rPr>
              <w:t>(4,824,263)</w:t>
            </w:r>
          </w:p>
        </w:tc>
        <w:tc>
          <w:tcPr>
            <w:tcW w:w="840" w:type="dxa"/>
            <w:vAlign w:val="bottom"/>
            <w:shd w:val="clear" w:color="auto" w:fill="E6E7E7"/>
          </w:tcPr>
          <w:p>
            <w:pPr>
              <w:jc w:val="right"/>
              <w:ind w:right="61"/>
              <w:spacing w:after="0" w:line="202" w:lineRule="exact"/>
              <w:rPr>
                <w:sz w:val="20"/>
                <w:szCs w:val="20"/>
                <w:color w:val="auto"/>
              </w:rPr>
            </w:pPr>
            <w:r>
              <w:rPr>
                <w:rFonts w:ascii="Arial" w:cs="Arial" w:eastAsia="Arial" w:hAnsi="Arial"/>
                <w:sz w:val="18"/>
                <w:szCs w:val="18"/>
                <w:b w:val="1"/>
                <w:bCs w:val="1"/>
                <w:color w:val="auto"/>
              </w:rPr>
              <w:t>33.75</w:t>
            </w:r>
          </w:p>
        </w:tc>
        <w:tc>
          <w:tcPr>
            <w:tcW w:w="1100" w:type="dxa"/>
            <w:vAlign w:val="bottom"/>
            <w:shd w:val="clear" w:color="auto" w:fill="E6E7E7"/>
          </w:tcPr>
          <w:p>
            <w:pPr>
              <w:jc w:val="right"/>
              <w:ind w:right="17"/>
              <w:spacing w:after="0" w:line="202" w:lineRule="exact"/>
              <w:rPr>
                <w:sz w:val="20"/>
                <w:szCs w:val="20"/>
                <w:color w:val="auto"/>
              </w:rPr>
            </w:pPr>
            <w:r>
              <w:rPr>
                <w:rFonts w:ascii="Arial" w:cs="Arial" w:eastAsia="Arial" w:hAnsi="Arial"/>
                <w:sz w:val="18"/>
                <w:szCs w:val="18"/>
                <w:b w:val="1"/>
                <w:bCs w:val="1"/>
                <w:color w:val="auto"/>
              </w:rPr>
              <w:t>(111,100)</w:t>
            </w:r>
          </w:p>
        </w:tc>
        <w:tc>
          <w:tcPr>
            <w:tcW w:w="200" w:type="dxa"/>
            <w:vAlign w:val="bottom"/>
            <w:shd w:val="clear" w:color="auto" w:fill="E6E7E7"/>
          </w:tcPr>
          <w:p>
            <w:pPr>
              <w:spacing w:after="0"/>
              <w:rPr>
                <w:sz w:val="17"/>
                <w:szCs w:val="17"/>
                <w:color w:val="auto"/>
              </w:rPr>
            </w:pPr>
          </w:p>
        </w:tc>
        <w:tc>
          <w:tcPr>
            <w:tcW w:w="7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26.91</w:t>
            </w:r>
          </w:p>
        </w:tc>
        <w:tc>
          <w:tcPr>
            <w:tcW w:w="60" w:type="dxa"/>
            <w:vAlign w:val="bottom"/>
            <w:shd w:val="clear" w:color="auto" w:fill="E6E7E7"/>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440" w:type="dxa"/>
            <w:vAlign w:val="bottom"/>
          </w:tcPr>
          <w:p>
            <w:pPr>
              <w:spacing w:after="0" w:line="202" w:lineRule="exact"/>
              <w:rPr>
                <w:sz w:val="20"/>
                <w:szCs w:val="20"/>
                <w:color w:val="auto"/>
              </w:rPr>
            </w:pPr>
            <w:r>
              <w:rPr>
                <w:rFonts w:ascii="Arial" w:cs="Arial" w:eastAsia="Arial" w:hAnsi="Arial"/>
                <w:sz w:val="18"/>
                <w:szCs w:val="18"/>
                <w:b w:val="1"/>
                <w:bCs w:val="1"/>
                <w:color w:val="auto"/>
              </w:rPr>
              <w:t>Exercised</w:t>
            </w:r>
          </w:p>
        </w:tc>
        <w:tc>
          <w:tcPr>
            <w:tcW w:w="1340" w:type="dxa"/>
            <w:vAlign w:val="bottom"/>
            <w:gridSpan w:val="2"/>
          </w:tcPr>
          <w:p>
            <w:pPr>
              <w:jc w:val="right"/>
              <w:ind w:right="22"/>
              <w:spacing w:after="0" w:line="202" w:lineRule="exact"/>
              <w:rPr>
                <w:sz w:val="20"/>
                <w:szCs w:val="20"/>
                <w:color w:val="auto"/>
              </w:rPr>
            </w:pPr>
            <w:r>
              <w:rPr>
                <w:rFonts w:ascii="Arial" w:cs="Arial" w:eastAsia="Arial" w:hAnsi="Arial"/>
                <w:sz w:val="18"/>
                <w:szCs w:val="18"/>
                <w:b w:val="1"/>
                <w:bCs w:val="1"/>
                <w:color w:val="auto"/>
              </w:rPr>
              <w:t>(24,487,538)</w:t>
            </w:r>
          </w:p>
        </w:tc>
        <w:tc>
          <w:tcPr>
            <w:tcW w:w="840" w:type="dxa"/>
            <w:vAlign w:val="bottom"/>
          </w:tcPr>
          <w:p>
            <w:pPr>
              <w:jc w:val="right"/>
              <w:ind w:right="61"/>
              <w:spacing w:after="0" w:line="202" w:lineRule="exact"/>
              <w:rPr>
                <w:sz w:val="20"/>
                <w:szCs w:val="20"/>
                <w:color w:val="auto"/>
              </w:rPr>
            </w:pPr>
            <w:r>
              <w:rPr>
                <w:rFonts w:ascii="Arial" w:cs="Arial" w:eastAsia="Arial" w:hAnsi="Arial"/>
                <w:sz w:val="18"/>
                <w:szCs w:val="18"/>
                <w:b w:val="1"/>
                <w:bCs w:val="1"/>
                <w:color w:val="auto"/>
              </w:rPr>
              <w:t>15.04</w:t>
            </w:r>
          </w:p>
        </w:tc>
        <w:tc>
          <w:tcPr>
            <w:tcW w:w="1100" w:type="dxa"/>
            <w:vAlign w:val="bottom"/>
          </w:tcPr>
          <w:p>
            <w:pPr>
              <w:jc w:val="right"/>
              <w:ind w:right="77"/>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6440" w:type="dxa"/>
            <w:vAlign w:val="bottom"/>
            <w:shd w:val="clear" w:color="auto" w:fill="E6E7E7"/>
          </w:tcPr>
          <w:p>
            <w:pPr>
              <w:spacing w:after="0" w:line="202" w:lineRule="exact"/>
              <w:rPr>
                <w:sz w:val="20"/>
                <w:szCs w:val="20"/>
                <w:color w:val="auto"/>
              </w:rPr>
            </w:pPr>
            <w:r>
              <w:rPr>
                <w:rFonts w:ascii="Arial" w:cs="Arial" w:eastAsia="Arial" w:hAnsi="Arial"/>
                <w:sz w:val="18"/>
                <w:szCs w:val="18"/>
                <w:b w:val="1"/>
                <w:bCs w:val="1"/>
                <w:color w:val="auto"/>
              </w:rPr>
              <w:t>Outstanding grants, December 31, 2006</w:t>
            </w:r>
          </w:p>
        </w:tc>
        <w:tc>
          <w:tcPr>
            <w:tcW w:w="200" w:type="dxa"/>
            <w:vAlign w:val="bottom"/>
            <w:shd w:val="clear" w:color="auto" w:fill="E6E7E7"/>
          </w:tcPr>
          <w:p>
            <w:pPr>
              <w:spacing w:after="0"/>
              <w:rPr>
                <w:sz w:val="17"/>
                <w:szCs w:val="17"/>
                <w:color w:val="auto"/>
              </w:rPr>
            </w:pPr>
          </w:p>
        </w:tc>
        <w:tc>
          <w:tcPr>
            <w:tcW w:w="1140" w:type="dxa"/>
            <w:vAlign w:val="bottom"/>
            <w:tcBorders>
              <w:top w:val="single" w:sz="8" w:color="auto"/>
              <w:bottom w:val="single" w:sz="8" w:color="auto"/>
            </w:tcBorders>
            <w:shd w:val="clear" w:color="auto" w:fill="E6E7E7"/>
          </w:tcPr>
          <w:p>
            <w:pPr>
              <w:jc w:val="right"/>
              <w:ind w:right="82"/>
              <w:spacing w:after="0" w:line="202" w:lineRule="exact"/>
              <w:rPr>
                <w:sz w:val="20"/>
                <w:szCs w:val="20"/>
                <w:color w:val="auto"/>
              </w:rPr>
            </w:pPr>
            <w:r>
              <w:rPr>
                <w:rFonts w:ascii="Arial" w:cs="Arial" w:eastAsia="Arial" w:hAnsi="Arial"/>
                <w:sz w:val="18"/>
                <w:szCs w:val="18"/>
                <w:b w:val="1"/>
                <w:bCs w:val="1"/>
                <w:color w:val="auto"/>
                <w:w w:val="95"/>
              </w:rPr>
              <w:t>218,771,948</w:t>
            </w:r>
          </w:p>
        </w:tc>
        <w:tc>
          <w:tcPr>
            <w:tcW w:w="840" w:type="dxa"/>
            <w:vAlign w:val="bottom"/>
            <w:tcBorders>
              <w:top w:val="single" w:sz="8" w:color="auto"/>
              <w:bottom w:val="single" w:sz="8" w:color="auto"/>
            </w:tcBorders>
            <w:shd w:val="clear" w:color="auto" w:fill="E6E7E7"/>
          </w:tcPr>
          <w:p>
            <w:pPr>
              <w:jc w:val="right"/>
              <w:ind w:right="61"/>
              <w:spacing w:after="0" w:line="202" w:lineRule="exact"/>
              <w:rPr>
                <w:sz w:val="20"/>
                <w:szCs w:val="20"/>
                <w:color w:val="auto"/>
              </w:rPr>
            </w:pPr>
            <w:r>
              <w:rPr>
                <w:rFonts w:ascii="Arial" w:cs="Arial" w:eastAsia="Arial" w:hAnsi="Arial"/>
                <w:sz w:val="18"/>
                <w:szCs w:val="18"/>
                <w:b w:val="1"/>
                <w:bCs w:val="1"/>
                <w:color w:val="auto"/>
              </w:rPr>
              <w:t>$ 28.81</w:t>
            </w:r>
          </w:p>
        </w:tc>
        <w:tc>
          <w:tcPr>
            <w:tcW w:w="1100" w:type="dxa"/>
            <w:vAlign w:val="bottom"/>
            <w:tcBorders>
              <w:top w:val="single" w:sz="8" w:color="auto"/>
              <w:bottom w:val="single" w:sz="8" w:color="auto"/>
            </w:tcBorders>
            <w:shd w:val="clear" w:color="auto" w:fill="E6E7E7"/>
          </w:tcPr>
          <w:p>
            <w:pPr>
              <w:jc w:val="right"/>
              <w:ind w:right="77"/>
              <w:spacing w:after="0" w:line="202" w:lineRule="exact"/>
              <w:rPr>
                <w:sz w:val="20"/>
                <w:szCs w:val="20"/>
                <w:color w:val="auto"/>
              </w:rPr>
            </w:pPr>
            <w:r>
              <w:rPr>
                <w:rFonts w:ascii="Arial" w:cs="Arial" w:eastAsia="Arial" w:hAnsi="Arial"/>
                <w:sz w:val="18"/>
                <w:szCs w:val="18"/>
                <w:b w:val="1"/>
                <w:bCs w:val="1"/>
                <w:color w:val="auto"/>
              </w:rPr>
              <w:t>4,740,368</w:t>
            </w:r>
          </w:p>
        </w:tc>
        <w:tc>
          <w:tcPr>
            <w:tcW w:w="200" w:type="dxa"/>
            <w:vAlign w:val="bottom"/>
            <w:tcBorders>
              <w:top w:val="single" w:sz="8" w:color="auto"/>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26.37</w:t>
            </w:r>
          </w:p>
        </w:tc>
        <w:tc>
          <w:tcPr>
            <w:tcW w:w="60" w:type="dxa"/>
            <w:vAlign w:val="bottom"/>
            <w:shd w:val="clear" w:color="auto" w:fill="E6E7E7"/>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left="100" w:right="40"/>
        <w:spacing w:after="0" w:line="236" w:lineRule="auto"/>
        <w:rPr>
          <w:sz w:val="20"/>
          <w:szCs w:val="20"/>
          <w:color w:val="auto"/>
        </w:rPr>
      </w:pPr>
      <w:r>
        <w:rPr>
          <w:rFonts w:ascii="Arial" w:cs="Arial" w:eastAsia="Arial" w:hAnsi="Arial"/>
          <w:sz w:val="18"/>
          <w:szCs w:val="18"/>
          <w:color w:val="auto"/>
        </w:rPr>
        <w:t>As of July 1, 2005, we adopted SFAS 123(R) and began recording compensation expense related to stock options measured at their fair value as of the grant date (see Note 1 for a discussion of Effects of Stock-based Compensation). Prior to that date, we recorded no compensation expense for non-acquisition-related stock option awards but did recognize compensation expense related to awards of RSUs. The fair values of RSUs are determined based on the price of TI common stock on the date of grant. Compensation expense associated with RSUs, which was all in continuing operations, totaled $29 million, $18 million and $18 million in 2006, 2005 and 2004.</w:t>
      </w:r>
    </w:p>
    <w:p>
      <w:pPr>
        <w:spacing w:after="0" w:line="157" w:lineRule="exact"/>
        <w:rPr>
          <w:sz w:val="20"/>
          <w:szCs w:val="20"/>
          <w:color w:val="auto"/>
        </w:rPr>
      </w:pPr>
    </w:p>
    <w:p>
      <w:pPr>
        <w:ind w:left="100" w:right="180"/>
        <w:spacing w:after="0" w:line="238" w:lineRule="auto"/>
        <w:rPr>
          <w:sz w:val="20"/>
          <w:szCs w:val="20"/>
          <w:color w:val="auto"/>
        </w:rPr>
      </w:pPr>
      <w:r>
        <w:rPr>
          <w:rFonts w:ascii="Arial" w:cs="Arial" w:eastAsia="Arial" w:hAnsi="Arial"/>
          <w:sz w:val="18"/>
          <w:szCs w:val="18"/>
          <w:color w:val="auto"/>
        </w:rPr>
        <w:t>The weighted average grant-date fair value of stock options granted during the years 2006, 2005 and 2004 was $11.82, $10.07 and $15.61 per share. The weighted average grant-date fair value of RSUs granted during the years 2006, 2005 and 2004 was $31.36, $24.42 and $31.20 per share.</w:t>
      </w:r>
    </w:p>
    <w:p>
      <w:pPr>
        <w:spacing w:after="0" w:line="154" w:lineRule="exact"/>
        <w:rPr>
          <w:sz w:val="20"/>
          <w:szCs w:val="20"/>
          <w:color w:val="auto"/>
        </w:rPr>
      </w:pPr>
    </w:p>
    <w:p>
      <w:pPr>
        <w:ind w:left="100" w:right="240"/>
        <w:spacing w:after="0" w:line="239" w:lineRule="auto"/>
        <w:rPr>
          <w:sz w:val="20"/>
          <w:szCs w:val="20"/>
          <w:color w:val="auto"/>
        </w:rPr>
      </w:pPr>
      <w:r>
        <w:rPr>
          <w:rFonts w:ascii="Arial" w:cs="Arial" w:eastAsia="Arial" w:hAnsi="Arial"/>
          <w:sz w:val="18"/>
          <w:szCs w:val="18"/>
          <w:color w:val="auto"/>
        </w:rPr>
        <w:t>Summarized information about stock options outstanding under the various long-term plans mentioned above at December 31, 2006,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960" w:type="dxa"/>
            <w:vAlign w:val="bottom"/>
          </w:tcPr>
          <w:p>
            <w:pPr>
              <w:jc w:val="center"/>
              <w:spacing w:after="0"/>
              <w:rPr>
                <w:sz w:val="20"/>
                <w:szCs w:val="20"/>
                <w:color w:val="auto"/>
              </w:rPr>
            </w:pPr>
            <w:r>
              <w:rPr>
                <w:rFonts w:ascii="Arial" w:cs="Arial" w:eastAsia="Arial" w:hAnsi="Arial"/>
                <w:sz w:val="14"/>
                <w:szCs w:val="14"/>
                <w:b w:val="1"/>
                <w:bCs w:val="1"/>
                <w:color w:val="939598"/>
                <w:w w:val="95"/>
              </w:rPr>
              <w:t>STOCK OPTIONS OUTSTANDING</w:t>
            </w: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80" w:type="dxa"/>
            <w:vAlign w:val="bottom"/>
            <w:gridSpan w:val="4"/>
          </w:tcPr>
          <w:p>
            <w:pPr>
              <w:ind w:left="820"/>
              <w:spacing w:after="0"/>
              <w:rPr>
                <w:sz w:val="20"/>
                <w:szCs w:val="20"/>
                <w:color w:val="auto"/>
              </w:rPr>
            </w:pPr>
            <w:r>
              <w:rPr>
                <w:rFonts w:ascii="Arial" w:cs="Arial" w:eastAsia="Arial" w:hAnsi="Arial"/>
                <w:sz w:val="14"/>
                <w:szCs w:val="14"/>
                <w:b w:val="1"/>
                <w:bCs w:val="1"/>
                <w:color w:val="939598"/>
              </w:rPr>
              <w:t>OPTIONS EXERCISABLE</w:t>
            </w:r>
          </w:p>
        </w:tc>
      </w:tr>
      <w:tr>
        <w:trPr>
          <w:trHeight w:val="28"/>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8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60" w:type="dxa"/>
            <w:vAlign w:val="bottom"/>
          </w:tcPr>
          <w:p>
            <w:pPr>
              <w:spacing w:after="0"/>
              <w:rPr>
                <w:sz w:val="2"/>
                <w:szCs w:val="2"/>
                <w:color w:val="auto"/>
              </w:rPr>
            </w:pPr>
          </w:p>
        </w:tc>
      </w:tr>
      <w:tr>
        <w:trPr>
          <w:trHeight w:val="135"/>
        </w:trPr>
        <w:tc>
          <w:tcPr>
            <w:tcW w:w="20" w:type="dxa"/>
            <w:vAlign w:val="bottom"/>
          </w:tcPr>
          <w:p>
            <w:pPr>
              <w:spacing w:after="0"/>
              <w:rPr>
                <w:sz w:val="11"/>
                <w:szCs w:val="11"/>
                <w:color w:val="auto"/>
              </w:rPr>
            </w:pPr>
          </w:p>
        </w:tc>
        <w:tc>
          <w:tcPr>
            <w:tcW w:w="80" w:type="dxa"/>
            <w:vAlign w:val="bottom"/>
            <w:shd w:val="clear" w:color="auto" w:fill="939598"/>
          </w:tcPr>
          <w:p>
            <w:pPr>
              <w:spacing w:after="0"/>
              <w:rPr>
                <w:sz w:val="11"/>
                <w:szCs w:val="11"/>
                <w:color w:val="auto"/>
              </w:rPr>
            </w:pPr>
          </w:p>
        </w:tc>
        <w:tc>
          <w:tcPr>
            <w:tcW w:w="1560" w:type="dxa"/>
            <w:vAlign w:val="bottom"/>
            <w:shd w:val="clear" w:color="auto" w:fill="939598"/>
          </w:tcPr>
          <w:p>
            <w:pPr>
              <w:spacing w:after="0"/>
              <w:rPr>
                <w:sz w:val="11"/>
                <w:szCs w:val="11"/>
                <w:color w:val="auto"/>
              </w:rPr>
            </w:pPr>
          </w:p>
        </w:tc>
        <w:tc>
          <w:tcPr>
            <w:tcW w:w="1780" w:type="dxa"/>
            <w:vAlign w:val="bottom"/>
            <w:shd w:val="clear" w:color="auto" w:fill="939598"/>
          </w:tcPr>
          <w:p>
            <w:pPr>
              <w:spacing w:after="0"/>
              <w:rPr>
                <w:sz w:val="11"/>
                <w:szCs w:val="11"/>
                <w:color w:val="auto"/>
              </w:rPr>
            </w:pPr>
          </w:p>
        </w:tc>
        <w:tc>
          <w:tcPr>
            <w:tcW w:w="2960" w:type="dxa"/>
            <w:vAlign w:val="bottom"/>
            <w:shd w:val="clear" w:color="auto" w:fill="939598"/>
          </w:tcPr>
          <w:p>
            <w:pPr>
              <w:jc w:val="center"/>
              <w:spacing w:after="0" w:line="135" w:lineRule="exact"/>
              <w:rPr>
                <w:sz w:val="20"/>
                <w:szCs w:val="20"/>
                <w:color w:val="auto"/>
              </w:rPr>
            </w:pPr>
            <w:r>
              <w:rPr>
                <w:rFonts w:ascii="Arial" w:cs="Arial" w:eastAsia="Arial" w:hAnsi="Arial"/>
                <w:sz w:val="14"/>
                <w:szCs w:val="14"/>
                <w:b w:val="1"/>
                <w:bCs w:val="1"/>
                <w:color w:val="FFFFFF"/>
                <w:w w:val="95"/>
              </w:rPr>
              <w:t>Weighted</w:t>
            </w:r>
          </w:p>
        </w:tc>
        <w:tc>
          <w:tcPr>
            <w:tcW w:w="1440" w:type="dxa"/>
            <w:vAlign w:val="bottom"/>
            <w:gridSpan w:val="2"/>
            <w:shd w:val="clear" w:color="auto" w:fill="939598"/>
          </w:tcPr>
          <w:p>
            <w:pPr>
              <w:jc w:val="center"/>
              <w:spacing w:after="0" w:line="135" w:lineRule="exact"/>
              <w:rPr>
                <w:sz w:val="20"/>
                <w:szCs w:val="20"/>
                <w:color w:val="auto"/>
              </w:rPr>
            </w:pPr>
            <w:r>
              <w:rPr>
                <w:rFonts w:ascii="Arial" w:cs="Arial" w:eastAsia="Arial" w:hAnsi="Arial"/>
                <w:sz w:val="14"/>
                <w:szCs w:val="14"/>
                <w:b w:val="1"/>
                <w:bCs w:val="1"/>
                <w:color w:val="FFFFFF"/>
                <w:w w:val="95"/>
              </w:rPr>
              <w:t>Weighted</w:t>
            </w:r>
          </w:p>
        </w:tc>
        <w:tc>
          <w:tcPr>
            <w:tcW w:w="1800" w:type="dxa"/>
            <w:vAlign w:val="bottom"/>
            <w:shd w:val="clear" w:color="auto" w:fill="939598"/>
          </w:tcPr>
          <w:p>
            <w:pPr>
              <w:spacing w:after="0"/>
              <w:rPr>
                <w:sz w:val="11"/>
                <w:szCs w:val="11"/>
                <w:color w:val="auto"/>
              </w:rPr>
            </w:pPr>
          </w:p>
        </w:tc>
        <w:tc>
          <w:tcPr>
            <w:tcW w:w="1080" w:type="dxa"/>
            <w:vAlign w:val="bottom"/>
            <w:gridSpan w:val="3"/>
            <w:shd w:val="clear" w:color="auto" w:fill="939598"/>
          </w:tcPr>
          <w:p>
            <w:pPr>
              <w:jc w:val="center"/>
              <w:ind w:left="286"/>
              <w:spacing w:after="0" w:line="135" w:lineRule="exact"/>
              <w:rPr>
                <w:sz w:val="20"/>
                <w:szCs w:val="20"/>
                <w:color w:val="auto"/>
              </w:rPr>
            </w:pPr>
            <w:r>
              <w:rPr>
                <w:rFonts w:ascii="Arial" w:cs="Arial" w:eastAsia="Arial" w:hAnsi="Arial"/>
                <w:sz w:val="14"/>
                <w:szCs w:val="14"/>
                <w:b w:val="1"/>
                <w:bCs w:val="1"/>
                <w:color w:val="FFFFFF"/>
                <w:w w:val="95"/>
              </w:rPr>
              <w:t>Weighted</w:t>
            </w:r>
          </w:p>
        </w:tc>
      </w:tr>
      <w:tr>
        <w:trPr>
          <w:trHeight w:val="149"/>
        </w:trPr>
        <w:tc>
          <w:tcPr>
            <w:tcW w:w="20" w:type="dxa"/>
            <w:vAlign w:val="bottom"/>
          </w:tcPr>
          <w:p>
            <w:pPr>
              <w:spacing w:after="0"/>
              <w:rPr>
                <w:sz w:val="12"/>
                <w:szCs w:val="12"/>
                <w:color w:val="auto"/>
              </w:rPr>
            </w:pPr>
          </w:p>
        </w:tc>
        <w:tc>
          <w:tcPr>
            <w:tcW w:w="80" w:type="dxa"/>
            <w:vAlign w:val="bottom"/>
            <w:shd w:val="clear" w:color="auto" w:fill="939598"/>
          </w:tcPr>
          <w:p>
            <w:pPr>
              <w:spacing w:after="0"/>
              <w:rPr>
                <w:sz w:val="12"/>
                <w:szCs w:val="12"/>
                <w:color w:val="auto"/>
              </w:rPr>
            </w:pPr>
          </w:p>
        </w:tc>
        <w:tc>
          <w:tcPr>
            <w:tcW w:w="1560" w:type="dxa"/>
            <w:vAlign w:val="bottom"/>
            <w:shd w:val="clear" w:color="auto" w:fill="939598"/>
          </w:tcPr>
          <w:p>
            <w:pPr>
              <w:spacing w:after="0"/>
              <w:rPr>
                <w:sz w:val="12"/>
                <w:szCs w:val="12"/>
                <w:color w:val="auto"/>
              </w:rPr>
            </w:pPr>
          </w:p>
        </w:tc>
        <w:tc>
          <w:tcPr>
            <w:tcW w:w="1780" w:type="dxa"/>
            <w:vAlign w:val="bottom"/>
            <w:shd w:val="clear" w:color="auto" w:fill="939598"/>
          </w:tcPr>
          <w:p>
            <w:pPr>
              <w:spacing w:after="0"/>
              <w:rPr>
                <w:sz w:val="12"/>
                <w:szCs w:val="12"/>
                <w:color w:val="auto"/>
              </w:rPr>
            </w:pPr>
          </w:p>
        </w:tc>
        <w:tc>
          <w:tcPr>
            <w:tcW w:w="2960" w:type="dxa"/>
            <w:vAlign w:val="bottom"/>
            <w:shd w:val="clear" w:color="auto" w:fill="939598"/>
          </w:tcPr>
          <w:p>
            <w:pPr>
              <w:jc w:val="center"/>
              <w:spacing w:after="0" w:line="149" w:lineRule="exact"/>
              <w:rPr>
                <w:sz w:val="20"/>
                <w:szCs w:val="20"/>
                <w:color w:val="auto"/>
              </w:rPr>
            </w:pPr>
            <w:r>
              <w:rPr>
                <w:rFonts w:ascii="Arial" w:cs="Arial" w:eastAsia="Arial" w:hAnsi="Arial"/>
                <w:sz w:val="14"/>
                <w:szCs w:val="14"/>
                <w:b w:val="1"/>
                <w:bCs w:val="1"/>
                <w:color w:val="FFFFFF"/>
                <w:w w:val="94"/>
              </w:rPr>
              <w:t>Average</w:t>
            </w:r>
          </w:p>
        </w:tc>
        <w:tc>
          <w:tcPr>
            <w:tcW w:w="1440" w:type="dxa"/>
            <w:vAlign w:val="bottom"/>
            <w:gridSpan w:val="2"/>
            <w:shd w:val="clear" w:color="auto" w:fill="939598"/>
          </w:tcPr>
          <w:p>
            <w:pPr>
              <w:jc w:val="center"/>
              <w:spacing w:after="0" w:line="149" w:lineRule="exact"/>
              <w:rPr>
                <w:sz w:val="20"/>
                <w:szCs w:val="20"/>
                <w:color w:val="auto"/>
              </w:rPr>
            </w:pPr>
            <w:r>
              <w:rPr>
                <w:rFonts w:ascii="Arial" w:cs="Arial" w:eastAsia="Arial" w:hAnsi="Arial"/>
                <w:sz w:val="14"/>
                <w:szCs w:val="14"/>
                <w:b w:val="1"/>
                <w:bCs w:val="1"/>
                <w:color w:val="FFFFFF"/>
                <w:w w:val="94"/>
              </w:rPr>
              <w:t>Average</w:t>
            </w:r>
          </w:p>
        </w:tc>
        <w:tc>
          <w:tcPr>
            <w:tcW w:w="1800" w:type="dxa"/>
            <w:vAlign w:val="bottom"/>
            <w:shd w:val="clear" w:color="auto" w:fill="939598"/>
          </w:tcPr>
          <w:p>
            <w:pPr>
              <w:spacing w:after="0"/>
              <w:rPr>
                <w:sz w:val="12"/>
                <w:szCs w:val="12"/>
                <w:color w:val="auto"/>
              </w:rPr>
            </w:pPr>
          </w:p>
        </w:tc>
        <w:tc>
          <w:tcPr>
            <w:tcW w:w="1080" w:type="dxa"/>
            <w:vAlign w:val="bottom"/>
            <w:gridSpan w:val="3"/>
            <w:shd w:val="clear" w:color="auto" w:fill="939598"/>
          </w:tcPr>
          <w:p>
            <w:pPr>
              <w:jc w:val="center"/>
              <w:ind w:left="286"/>
              <w:spacing w:after="0" w:line="149" w:lineRule="exact"/>
              <w:rPr>
                <w:sz w:val="20"/>
                <w:szCs w:val="20"/>
                <w:color w:val="auto"/>
              </w:rPr>
            </w:pPr>
            <w:r>
              <w:rPr>
                <w:rFonts w:ascii="Arial" w:cs="Arial" w:eastAsia="Arial" w:hAnsi="Arial"/>
                <w:sz w:val="14"/>
                <w:szCs w:val="14"/>
                <w:b w:val="1"/>
                <w:bCs w:val="1"/>
                <w:color w:val="FFFFFF"/>
                <w:w w:val="94"/>
              </w:rPr>
              <w:t>Average</w:t>
            </w:r>
          </w:p>
        </w:tc>
      </w:tr>
      <w:tr>
        <w:trPr>
          <w:trHeight w:val="149"/>
        </w:trPr>
        <w:tc>
          <w:tcPr>
            <w:tcW w:w="20" w:type="dxa"/>
            <w:vAlign w:val="bottom"/>
          </w:tcPr>
          <w:p>
            <w:pPr>
              <w:spacing w:after="0"/>
              <w:rPr>
                <w:sz w:val="12"/>
                <w:szCs w:val="12"/>
                <w:color w:val="auto"/>
              </w:rPr>
            </w:pPr>
          </w:p>
        </w:tc>
        <w:tc>
          <w:tcPr>
            <w:tcW w:w="80" w:type="dxa"/>
            <w:vAlign w:val="bottom"/>
            <w:shd w:val="clear" w:color="auto" w:fill="939598"/>
          </w:tcPr>
          <w:p>
            <w:pPr>
              <w:spacing w:after="0"/>
              <w:rPr>
                <w:sz w:val="12"/>
                <w:szCs w:val="12"/>
                <w:color w:val="auto"/>
              </w:rPr>
            </w:pPr>
          </w:p>
        </w:tc>
        <w:tc>
          <w:tcPr>
            <w:tcW w:w="1560" w:type="dxa"/>
            <w:vAlign w:val="bottom"/>
            <w:shd w:val="clear" w:color="auto" w:fill="939598"/>
          </w:tcPr>
          <w:p>
            <w:pPr>
              <w:jc w:val="center"/>
              <w:ind w:right="438"/>
              <w:spacing w:after="0" w:line="149" w:lineRule="exact"/>
              <w:rPr>
                <w:sz w:val="20"/>
                <w:szCs w:val="20"/>
                <w:color w:val="auto"/>
              </w:rPr>
            </w:pPr>
            <w:r>
              <w:rPr>
                <w:rFonts w:ascii="Arial" w:cs="Arial" w:eastAsia="Arial" w:hAnsi="Arial"/>
                <w:sz w:val="14"/>
                <w:szCs w:val="14"/>
                <w:b w:val="1"/>
                <w:bCs w:val="1"/>
                <w:color w:val="FFFFFF"/>
                <w:w w:val="93"/>
              </w:rPr>
              <w:t>Range of</w:t>
            </w:r>
          </w:p>
        </w:tc>
        <w:tc>
          <w:tcPr>
            <w:tcW w:w="1780" w:type="dxa"/>
            <w:vAlign w:val="bottom"/>
            <w:shd w:val="clear" w:color="auto" w:fill="939598"/>
          </w:tcPr>
          <w:p>
            <w:pPr>
              <w:jc w:val="center"/>
              <w:spacing w:after="0" w:line="149" w:lineRule="exact"/>
              <w:rPr>
                <w:sz w:val="20"/>
                <w:szCs w:val="20"/>
                <w:color w:val="auto"/>
              </w:rPr>
            </w:pPr>
            <w:r>
              <w:rPr>
                <w:rFonts w:ascii="Arial" w:cs="Arial" w:eastAsia="Arial" w:hAnsi="Arial"/>
                <w:sz w:val="14"/>
                <w:szCs w:val="14"/>
                <w:b w:val="1"/>
                <w:bCs w:val="1"/>
                <w:color w:val="FFFFFF"/>
                <w:w w:val="94"/>
              </w:rPr>
              <w:t>Number</w:t>
            </w:r>
          </w:p>
        </w:tc>
        <w:tc>
          <w:tcPr>
            <w:tcW w:w="2960" w:type="dxa"/>
            <w:vAlign w:val="bottom"/>
            <w:shd w:val="clear" w:color="auto" w:fill="939598"/>
          </w:tcPr>
          <w:p>
            <w:pPr>
              <w:jc w:val="center"/>
              <w:spacing w:after="0" w:line="149" w:lineRule="exact"/>
              <w:rPr>
                <w:sz w:val="20"/>
                <w:szCs w:val="20"/>
                <w:color w:val="auto"/>
              </w:rPr>
            </w:pPr>
            <w:r>
              <w:rPr>
                <w:rFonts w:ascii="Arial" w:cs="Arial" w:eastAsia="Arial" w:hAnsi="Arial"/>
                <w:sz w:val="14"/>
                <w:szCs w:val="14"/>
                <w:b w:val="1"/>
                <w:bCs w:val="1"/>
                <w:color w:val="FFFFFF"/>
                <w:w w:val="94"/>
              </w:rPr>
              <w:t>Remaining</w:t>
            </w:r>
          </w:p>
        </w:tc>
        <w:tc>
          <w:tcPr>
            <w:tcW w:w="1440" w:type="dxa"/>
            <w:vAlign w:val="bottom"/>
            <w:gridSpan w:val="2"/>
            <w:shd w:val="clear" w:color="auto" w:fill="939598"/>
          </w:tcPr>
          <w:p>
            <w:pPr>
              <w:jc w:val="center"/>
              <w:spacing w:after="0" w:line="149" w:lineRule="exact"/>
              <w:rPr>
                <w:sz w:val="20"/>
                <w:szCs w:val="20"/>
                <w:color w:val="auto"/>
              </w:rPr>
            </w:pPr>
            <w:r>
              <w:rPr>
                <w:rFonts w:ascii="Arial" w:cs="Arial" w:eastAsia="Arial" w:hAnsi="Arial"/>
                <w:sz w:val="14"/>
                <w:szCs w:val="14"/>
                <w:b w:val="1"/>
                <w:bCs w:val="1"/>
                <w:color w:val="FFFFFF"/>
                <w:w w:val="97"/>
              </w:rPr>
              <w:t>Exercise</w:t>
            </w:r>
          </w:p>
        </w:tc>
        <w:tc>
          <w:tcPr>
            <w:tcW w:w="1800" w:type="dxa"/>
            <w:vAlign w:val="bottom"/>
            <w:shd w:val="clear" w:color="auto" w:fill="939598"/>
          </w:tcPr>
          <w:p>
            <w:pPr>
              <w:jc w:val="center"/>
              <w:spacing w:after="0" w:line="149" w:lineRule="exact"/>
              <w:rPr>
                <w:sz w:val="20"/>
                <w:szCs w:val="20"/>
                <w:color w:val="auto"/>
              </w:rPr>
            </w:pPr>
            <w:r>
              <w:rPr>
                <w:rFonts w:ascii="Arial" w:cs="Arial" w:eastAsia="Arial" w:hAnsi="Arial"/>
                <w:sz w:val="14"/>
                <w:szCs w:val="14"/>
                <w:b w:val="1"/>
                <w:bCs w:val="1"/>
                <w:color w:val="FFFFFF"/>
                <w:w w:val="98"/>
              </w:rPr>
              <w:t>Number</w:t>
            </w:r>
          </w:p>
        </w:tc>
        <w:tc>
          <w:tcPr>
            <w:tcW w:w="1080" w:type="dxa"/>
            <w:vAlign w:val="bottom"/>
            <w:gridSpan w:val="3"/>
            <w:shd w:val="clear" w:color="auto" w:fill="939598"/>
          </w:tcPr>
          <w:p>
            <w:pPr>
              <w:jc w:val="center"/>
              <w:ind w:left="286"/>
              <w:spacing w:after="0" w:line="149" w:lineRule="exact"/>
              <w:rPr>
                <w:sz w:val="20"/>
                <w:szCs w:val="20"/>
                <w:color w:val="auto"/>
              </w:rPr>
            </w:pPr>
            <w:r>
              <w:rPr>
                <w:rFonts w:ascii="Arial" w:cs="Arial" w:eastAsia="Arial" w:hAnsi="Arial"/>
                <w:sz w:val="14"/>
                <w:szCs w:val="14"/>
                <w:b w:val="1"/>
                <w:bCs w:val="1"/>
                <w:color w:val="FFFFFF"/>
                <w:w w:val="97"/>
              </w:rPr>
              <w:t>Exercise</w:t>
            </w:r>
          </w:p>
        </w:tc>
      </w:tr>
      <w:tr>
        <w:trPr>
          <w:trHeight w:val="149"/>
        </w:trPr>
        <w:tc>
          <w:tcPr>
            <w:tcW w:w="20" w:type="dxa"/>
            <w:vAlign w:val="bottom"/>
          </w:tcPr>
          <w:p>
            <w:pPr>
              <w:spacing w:after="0"/>
              <w:rPr>
                <w:sz w:val="12"/>
                <w:szCs w:val="12"/>
                <w:color w:val="auto"/>
              </w:rPr>
            </w:pPr>
          </w:p>
        </w:tc>
        <w:tc>
          <w:tcPr>
            <w:tcW w:w="80" w:type="dxa"/>
            <w:vAlign w:val="bottom"/>
            <w:shd w:val="clear" w:color="auto" w:fill="939598"/>
          </w:tcPr>
          <w:p>
            <w:pPr>
              <w:spacing w:after="0"/>
              <w:rPr>
                <w:sz w:val="12"/>
                <w:szCs w:val="12"/>
                <w:color w:val="auto"/>
              </w:rPr>
            </w:pPr>
          </w:p>
        </w:tc>
        <w:tc>
          <w:tcPr>
            <w:tcW w:w="1560" w:type="dxa"/>
            <w:vAlign w:val="bottom"/>
            <w:shd w:val="clear" w:color="auto" w:fill="939598"/>
          </w:tcPr>
          <w:p>
            <w:pPr>
              <w:jc w:val="center"/>
              <w:ind w:right="438"/>
              <w:spacing w:after="0" w:line="149" w:lineRule="exact"/>
              <w:rPr>
                <w:sz w:val="20"/>
                <w:szCs w:val="20"/>
                <w:color w:val="auto"/>
              </w:rPr>
            </w:pPr>
            <w:r>
              <w:rPr>
                <w:rFonts w:ascii="Arial" w:cs="Arial" w:eastAsia="Arial" w:hAnsi="Arial"/>
                <w:sz w:val="14"/>
                <w:szCs w:val="14"/>
                <w:b w:val="1"/>
                <w:bCs w:val="1"/>
                <w:color w:val="FFFFFF"/>
                <w:w w:val="97"/>
              </w:rPr>
              <w:t>Exercise</w:t>
            </w:r>
          </w:p>
        </w:tc>
        <w:tc>
          <w:tcPr>
            <w:tcW w:w="1780" w:type="dxa"/>
            <w:vAlign w:val="bottom"/>
            <w:shd w:val="clear" w:color="auto" w:fill="939598"/>
          </w:tcPr>
          <w:p>
            <w:pPr>
              <w:jc w:val="center"/>
              <w:spacing w:after="0" w:line="149" w:lineRule="exact"/>
              <w:rPr>
                <w:sz w:val="20"/>
                <w:szCs w:val="20"/>
                <w:color w:val="auto"/>
              </w:rPr>
            </w:pPr>
            <w:r>
              <w:rPr>
                <w:rFonts w:ascii="Arial" w:cs="Arial" w:eastAsia="Arial" w:hAnsi="Arial"/>
                <w:sz w:val="14"/>
                <w:szCs w:val="14"/>
                <w:b w:val="1"/>
                <w:bCs w:val="1"/>
                <w:color w:val="FFFFFF"/>
                <w:w w:val="94"/>
              </w:rPr>
              <w:t>Outstanding</w:t>
            </w:r>
          </w:p>
        </w:tc>
        <w:tc>
          <w:tcPr>
            <w:tcW w:w="2960" w:type="dxa"/>
            <w:vAlign w:val="bottom"/>
            <w:shd w:val="clear" w:color="auto" w:fill="939598"/>
          </w:tcPr>
          <w:p>
            <w:pPr>
              <w:jc w:val="center"/>
              <w:spacing w:after="0" w:line="149" w:lineRule="exact"/>
              <w:rPr>
                <w:sz w:val="20"/>
                <w:szCs w:val="20"/>
                <w:color w:val="auto"/>
              </w:rPr>
            </w:pPr>
            <w:r>
              <w:rPr>
                <w:rFonts w:ascii="Arial" w:cs="Arial" w:eastAsia="Arial" w:hAnsi="Arial"/>
                <w:sz w:val="14"/>
                <w:szCs w:val="14"/>
                <w:b w:val="1"/>
                <w:bCs w:val="1"/>
                <w:color w:val="FFFFFF"/>
                <w:w w:val="97"/>
              </w:rPr>
              <w:t>Contractual</w:t>
            </w:r>
          </w:p>
        </w:tc>
        <w:tc>
          <w:tcPr>
            <w:tcW w:w="1440" w:type="dxa"/>
            <w:vAlign w:val="bottom"/>
            <w:gridSpan w:val="2"/>
            <w:shd w:val="clear" w:color="auto" w:fill="939598"/>
          </w:tcPr>
          <w:p>
            <w:pPr>
              <w:jc w:val="center"/>
              <w:spacing w:after="0" w:line="149" w:lineRule="exact"/>
              <w:rPr>
                <w:sz w:val="20"/>
                <w:szCs w:val="20"/>
                <w:color w:val="auto"/>
              </w:rPr>
            </w:pPr>
            <w:r>
              <w:rPr>
                <w:rFonts w:ascii="Arial" w:cs="Arial" w:eastAsia="Arial" w:hAnsi="Arial"/>
                <w:sz w:val="14"/>
                <w:szCs w:val="14"/>
                <w:b w:val="1"/>
                <w:bCs w:val="1"/>
                <w:color w:val="FFFFFF"/>
                <w:w w:val="96"/>
              </w:rPr>
              <w:t>Price per</w:t>
            </w:r>
          </w:p>
        </w:tc>
        <w:tc>
          <w:tcPr>
            <w:tcW w:w="1800" w:type="dxa"/>
            <w:vAlign w:val="bottom"/>
            <w:shd w:val="clear" w:color="auto" w:fill="939598"/>
          </w:tcPr>
          <w:p>
            <w:pPr>
              <w:jc w:val="center"/>
              <w:spacing w:after="0" w:line="149" w:lineRule="exact"/>
              <w:rPr>
                <w:sz w:val="20"/>
                <w:szCs w:val="20"/>
                <w:color w:val="auto"/>
              </w:rPr>
            </w:pPr>
            <w:r>
              <w:rPr>
                <w:rFonts w:ascii="Arial" w:cs="Arial" w:eastAsia="Arial" w:hAnsi="Arial"/>
                <w:sz w:val="14"/>
                <w:szCs w:val="14"/>
                <w:b w:val="1"/>
                <w:bCs w:val="1"/>
                <w:color w:val="FFFFFF"/>
                <w:w w:val="97"/>
              </w:rPr>
              <w:t>Exercisable</w:t>
            </w:r>
          </w:p>
        </w:tc>
        <w:tc>
          <w:tcPr>
            <w:tcW w:w="1080" w:type="dxa"/>
            <w:vAlign w:val="bottom"/>
            <w:gridSpan w:val="3"/>
            <w:shd w:val="clear" w:color="auto" w:fill="939598"/>
          </w:tcPr>
          <w:p>
            <w:pPr>
              <w:jc w:val="center"/>
              <w:ind w:left="266"/>
              <w:spacing w:after="0" w:line="149" w:lineRule="exact"/>
              <w:rPr>
                <w:sz w:val="20"/>
                <w:szCs w:val="20"/>
                <w:color w:val="auto"/>
              </w:rPr>
            </w:pPr>
            <w:r>
              <w:rPr>
                <w:rFonts w:ascii="Arial" w:cs="Arial" w:eastAsia="Arial" w:hAnsi="Arial"/>
                <w:sz w:val="14"/>
                <w:szCs w:val="14"/>
                <w:b w:val="1"/>
                <w:bCs w:val="1"/>
                <w:color w:val="FFFFFF"/>
                <w:w w:val="96"/>
              </w:rPr>
              <w:t>Price per</w:t>
            </w:r>
          </w:p>
        </w:tc>
      </w:tr>
      <w:tr>
        <w:trPr>
          <w:trHeight w:val="176"/>
        </w:trPr>
        <w:tc>
          <w:tcPr>
            <w:tcW w:w="20" w:type="dxa"/>
            <w:vAlign w:val="bottom"/>
          </w:tcPr>
          <w:p>
            <w:pPr>
              <w:spacing w:after="0"/>
              <w:rPr>
                <w:sz w:val="15"/>
                <w:szCs w:val="15"/>
                <w:color w:val="auto"/>
              </w:rPr>
            </w:pPr>
          </w:p>
        </w:tc>
        <w:tc>
          <w:tcPr>
            <w:tcW w:w="80" w:type="dxa"/>
            <w:vAlign w:val="bottom"/>
            <w:shd w:val="clear" w:color="auto" w:fill="939598"/>
          </w:tcPr>
          <w:p>
            <w:pPr>
              <w:spacing w:after="0"/>
              <w:rPr>
                <w:sz w:val="15"/>
                <w:szCs w:val="15"/>
                <w:color w:val="auto"/>
              </w:rPr>
            </w:pPr>
          </w:p>
        </w:tc>
        <w:tc>
          <w:tcPr>
            <w:tcW w:w="1560" w:type="dxa"/>
            <w:vAlign w:val="bottom"/>
            <w:shd w:val="clear" w:color="auto" w:fill="939598"/>
          </w:tcPr>
          <w:p>
            <w:pPr>
              <w:jc w:val="center"/>
              <w:ind w:right="438"/>
              <w:spacing w:after="0"/>
              <w:rPr>
                <w:sz w:val="20"/>
                <w:szCs w:val="20"/>
                <w:color w:val="auto"/>
              </w:rPr>
            </w:pPr>
            <w:r>
              <w:rPr>
                <w:rFonts w:ascii="Arial" w:cs="Arial" w:eastAsia="Arial" w:hAnsi="Arial"/>
                <w:sz w:val="14"/>
                <w:szCs w:val="14"/>
                <w:b w:val="1"/>
                <w:bCs w:val="1"/>
                <w:color w:val="FFFFFF"/>
                <w:w w:val="94"/>
              </w:rPr>
              <w:t>Share Prices</w:t>
            </w:r>
          </w:p>
        </w:tc>
        <w:tc>
          <w:tcPr>
            <w:tcW w:w="1780" w:type="dxa"/>
            <w:vAlign w:val="bottom"/>
            <w:shd w:val="clear" w:color="auto" w:fill="939598"/>
          </w:tcPr>
          <w:p>
            <w:pPr>
              <w:jc w:val="center"/>
              <w:spacing w:after="0"/>
              <w:rPr>
                <w:sz w:val="20"/>
                <w:szCs w:val="20"/>
                <w:color w:val="auto"/>
              </w:rPr>
            </w:pPr>
            <w:r>
              <w:rPr>
                <w:rFonts w:ascii="Arial" w:cs="Arial" w:eastAsia="Arial" w:hAnsi="Arial"/>
                <w:sz w:val="14"/>
                <w:szCs w:val="14"/>
                <w:b w:val="1"/>
                <w:bCs w:val="1"/>
                <w:color w:val="FFFFFF"/>
                <w:w w:val="99"/>
              </w:rPr>
              <w:t>(shares)</w:t>
            </w:r>
          </w:p>
        </w:tc>
        <w:tc>
          <w:tcPr>
            <w:tcW w:w="2960" w:type="dxa"/>
            <w:vAlign w:val="bottom"/>
            <w:shd w:val="clear" w:color="auto" w:fill="939598"/>
          </w:tcPr>
          <w:p>
            <w:pPr>
              <w:jc w:val="center"/>
              <w:spacing w:after="0"/>
              <w:rPr>
                <w:sz w:val="20"/>
                <w:szCs w:val="20"/>
                <w:color w:val="auto"/>
              </w:rPr>
            </w:pPr>
            <w:r>
              <w:rPr>
                <w:rFonts w:ascii="Arial" w:cs="Arial" w:eastAsia="Arial" w:hAnsi="Arial"/>
                <w:sz w:val="14"/>
                <w:szCs w:val="14"/>
                <w:b w:val="1"/>
                <w:bCs w:val="1"/>
                <w:color w:val="FFFFFF"/>
                <w:w w:val="96"/>
              </w:rPr>
              <w:t>Life (years)</w:t>
            </w:r>
          </w:p>
        </w:tc>
        <w:tc>
          <w:tcPr>
            <w:tcW w:w="520" w:type="dxa"/>
            <w:vAlign w:val="bottom"/>
            <w:shd w:val="clear" w:color="auto" w:fill="939598"/>
          </w:tcPr>
          <w:p>
            <w:pPr>
              <w:spacing w:after="0"/>
              <w:rPr>
                <w:sz w:val="15"/>
                <w:szCs w:val="15"/>
                <w:color w:val="auto"/>
              </w:rPr>
            </w:pPr>
          </w:p>
        </w:tc>
        <w:tc>
          <w:tcPr>
            <w:tcW w:w="920" w:type="dxa"/>
            <w:vAlign w:val="bottom"/>
            <w:shd w:val="clear" w:color="auto" w:fill="939598"/>
          </w:tcPr>
          <w:p>
            <w:pPr>
              <w:jc w:val="center"/>
              <w:ind w:right="455"/>
              <w:spacing w:after="0"/>
              <w:rPr>
                <w:sz w:val="20"/>
                <w:szCs w:val="20"/>
                <w:color w:val="auto"/>
              </w:rPr>
            </w:pPr>
            <w:r>
              <w:rPr>
                <w:rFonts w:ascii="Arial" w:cs="Arial" w:eastAsia="Arial" w:hAnsi="Arial"/>
                <w:sz w:val="14"/>
                <w:szCs w:val="14"/>
                <w:b w:val="1"/>
                <w:bCs w:val="1"/>
                <w:color w:val="FFFFFF"/>
                <w:w w:val="97"/>
              </w:rPr>
              <w:t>Share</w:t>
            </w:r>
          </w:p>
        </w:tc>
        <w:tc>
          <w:tcPr>
            <w:tcW w:w="1800" w:type="dxa"/>
            <w:vAlign w:val="bottom"/>
            <w:shd w:val="clear" w:color="auto" w:fill="939598"/>
          </w:tcPr>
          <w:p>
            <w:pPr>
              <w:jc w:val="center"/>
              <w:spacing w:after="0"/>
              <w:rPr>
                <w:sz w:val="20"/>
                <w:szCs w:val="20"/>
                <w:color w:val="auto"/>
              </w:rPr>
            </w:pPr>
            <w:r>
              <w:rPr>
                <w:rFonts w:ascii="Arial" w:cs="Arial" w:eastAsia="Arial" w:hAnsi="Arial"/>
                <w:sz w:val="14"/>
                <w:szCs w:val="14"/>
                <w:b w:val="1"/>
                <w:bCs w:val="1"/>
                <w:color w:val="FFFFFF"/>
                <w:w w:val="95"/>
              </w:rPr>
              <w:t>(shares)</w:t>
            </w:r>
          </w:p>
        </w:tc>
        <w:tc>
          <w:tcPr>
            <w:tcW w:w="520" w:type="dxa"/>
            <w:vAlign w:val="bottom"/>
            <w:shd w:val="clear" w:color="auto" w:fill="939598"/>
          </w:tcPr>
          <w:p>
            <w:pPr>
              <w:spacing w:after="0"/>
              <w:rPr>
                <w:sz w:val="15"/>
                <w:szCs w:val="15"/>
                <w:color w:val="auto"/>
              </w:rPr>
            </w:pPr>
          </w:p>
        </w:tc>
        <w:tc>
          <w:tcPr>
            <w:tcW w:w="560" w:type="dxa"/>
            <w:vAlign w:val="bottom"/>
            <w:gridSpan w:val="2"/>
            <w:shd w:val="clear" w:color="auto" w:fill="939598"/>
          </w:tcPr>
          <w:p>
            <w:pPr>
              <w:jc w:val="center"/>
              <w:ind w:right="160"/>
              <w:spacing w:after="0"/>
              <w:rPr>
                <w:sz w:val="20"/>
                <w:szCs w:val="20"/>
                <w:color w:val="auto"/>
              </w:rPr>
            </w:pPr>
            <w:r>
              <w:rPr>
                <w:rFonts w:ascii="Arial" w:cs="Arial" w:eastAsia="Arial" w:hAnsi="Arial"/>
                <w:sz w:val="14"/>
                <w:szCs w:val="14"/>
                <w:b w:val="1"/>
                <w:bCs w:val="1"/>
                <w:color w:val="FFFFFF"/>
                <w:w w:val="92"/>
              </w:rPr>
              <w:t>Share</w:t>
            </w:r>
          </w:p>
        </w:tc>
      </w:tr>
      <w:tr>
        <w:trPr>
          <w:trHeight w:val="270"/>
        </w:trPr>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Pr>
          <w:p>
            <w:pPr>
              <w:jc w:val="right"/>
              <w:ind w:right="338"/>
              <w:spacing w:after="0"/>
              <w:rPr>
                <w:sz w:val="20"/>
                <w:szCs w:val="20"/>
                <w:color w:val="auto"/>
              </w:rPr>
            </w:pPr>
            <w:r>
              <w:rPr>
                <w:rFonts w:ascii="Arial" w:cs="Arial" w:eastAsia="Arial" w:hAnsi="Arial"/>
                <w:sz w:val="18"/>
                <w:szCs w:val="18"/>
                <w:b w:val="1"/>
                <w:bCs w:val="1"/>
                <w:color w:val="auto"/>
              </w:rPr>
              <w:t>.24 to 10.00</w:t>
            </w:r>
          </w:p>
        </w:tc>
        <w:tc>
          <w:tcPr>
            <w:tcW w:w="1780" w:type="dxa"/>
            <w:vAlign w:val="bottom"/>
          </w:tcPr>
          <w:p>
            <w:pPr>
              <w:jc w:val="right"/>
              <w:ind w:right="318"/>
              <w:spacing w:after="0"/>
              <w:rPr>
                <w:sz w:val="20"/>
                <w:szCs w:val="20"/>
                <w:color w:val="auto"/>
              </w:rPr>
            </w:pPr>
            <w:r>
              <w:rPr>
                <w:rFonts w:ascii="Arial" w:cs="Arial" w:eastAsia="Arial" w:hAnsi="Arial"/>
                <w:sz w:val="18"/>
                <w:szCs w:val="18"/>
                <w:b w:val="1"/>
                <w:bCs w:val="1"/>
                <w:color w:val="auto"/>
              </w:rPr>
              <w:t>4,481,510</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5"/>
              </w:rPr>
              <w:t>0.6</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35"/>
              <w:spacing w:after="0"/>
              <w:rPr>
                <w:sz w:val="20"/>
                <w:szCs w:val="20"/>
                <w:color w:val="auto"/>
              </w:rPr>
            </w:pPr>
            <w:r>
              <w:rPr>
                <w:rFonts w:ascii="Arial" w:cs="Arial" w:eastAsia="Arial" w:hAnsi="Arial"/>
                <w:sz w:val="18"/>
                <w:szCs w:val="18"/>
                <w:b w:val="1"/>
                <w:bCs w:val="1"/>
                <w:color w:val="auto"/>
              </w:rPr>
              <w:t>7.78</w:t>
            </w:r>
          </w:p>
        </w:tc>
        <w:tc>
          <w:tcPr>
            <w:tcW w:w="1800" w:type="dxa"/>
            <w:vAlign w:val="bottom"/>
          </w:tcPr>
          <w:p>
            <w:pPr>
              <w:jc w:val="right"/>
              <w:ind w:right="320"/>
              <w:spacing w:after="0"/>
              <w:rPr>
                <w:sz w:val="20"/>
                <w:szCs w:val="20"/>
                <w:color w:val="auto"/>
              </w:rPr>
            </w:pPr>
            <w:r>
              <w:rPr>
                <w:rFonts w:ascii="Arial" w:cs="Arial" w:eastAsia="Arial" w:hAnsi="Arial"/>
                <w:sz w:val="18"/>
                <w:szCs w:val="18"/>
                <w:b w:val="1"/>
                <w:bCs w:val="1"/>
                <w:color w:val="auto"/>
              </w:rPr>
              <w:t>4,466,429</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7.79</w:t>
            </w:r>
          </w:p>
        </w:tc>
        <w:tc>
          <w:tcPr>
            <w:tcW w:w="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0" w:type="dxa"/>
            <w:vAlign w:val="bottom"/>
            <w:shd w:val="clear" w:color="auto" w:fill="E6E7E7"/>
          </w:tcPr>
          <w:p>
            <w:pPr>
              <w:spacing w:after="0"/>
              <w:rPr>
                <w:sz w:val="17"/>
                <w:szCs w:val="17"/>
                <w:color w:val="auto"/>
              </w:rPr>
            </w:pPr>
          </w:p>
        </w:tc>
        <w:tc>
          <w:tcPr>
            <w:tcW w:w="1560" w:type="dxa"/>
            <w:vAlign w:val="bottom"/>
            <w:shd w:val="clear" w:color="auto" w:fill="E6E7E7"/>
          </w:tcPr>
          <w:p>
            <w:pPr>
              <w:jc w:val="right"/>
              <w:ind w:right="338"/>
              <w:spacing w:after="0" w:line="202" w:lineRule="exact"/>
              <w:rPr>
                <w:sz w:val="20"/>
                <w:szCs w:val="20"/>
                <w:color w:val="auto"/>
              </w:rPr>
            </w:pPr>
            <w:r>
              <w:rPr>
                <w:rFonts w:ascii="Arial" w:cs="Arial" w:eastAsia="Arial" w:hAnsi="Arial"/>
                <w:sz w:val="18"/>
                <w:szCs w:val="18"/>
                <w:b w:val="1"/>
                <w:bCs w:val="1"/>
                <w:color w:val="auto"/>
                <w:w w:val="95"/>
              </w:rPr>
              <w:t>10.01 to 20.00</w:t>
            </w:r>
          </w:p>
        </w:tc>
        <w:tc>
          <w:tcPr>
            <w:tcW w:w="1780" w:type="dxa"/>
            <w:vAlign w:val="bottom"/>
            <w:shd w:val="clear" w:color="auto" w:fill="E6E7E7"/>
          </w:tcPr>
          <w:p>
            <w:pPr>
              <w:jc w:val="right"/>
              <w:ind w:right="318"/>
              <w:spacing w:after="0" w:line="202" w:lineRule="exact"/>
              <w:rPr>
                <w:sz w:val="20"/>
                <w:szCs w:val="20"/>
                <w:color w:val="auto"/>
              </w:rPr>
            </w:pPr>
            <w:r>
              <w:rPr>
                <w:rFonts w:ascii="Arial" w:cs="Arial" w:eastAsia="Arial" w:hAnsi="Arial"/>
                <w:sz w:val="18"/>
                <w:szCs w:val="18"/>
                <w:b w:val="1"/>
                <w:bCs w:val="1"/>
                <w:color w:val="auto"/>
              </w:rPr>
              <w:t>51,840,635</w:t>
            </w:r>
          </w:p>
        </w:tc>
        <w:tc>
          <w:tcPr>
            <w:tcW w:w="2960" w:type="dxa"/>
            <w:vAlign w:val="bottom"/>
            <w:shd w:val="clear" w:color="auto" w:fill="E6E7E7"/>
          </w:tcPr>
          <w:p>
            <w:pPr>
              <w:jc w:val="center"/>
              <w:spacing w:after="0" w:line="202" w:lineRule="exact"/>
              <w:rPr>
                <w:sz w:val="20"/>
                <w:szCs w:val="20"/>
                <w:color w:val="auto"/>
              </w:rPr>
            </w:pPr>
            <w:r>
              <w:rPr>
                <w:rFonts w:ascii="Arial" w:cs="Arial" w:eastAsia="Arial" w:hAnsi="Arial"/>
                <w:sz w:val="18"/>
                <w:szCs w:val="18"/>
                <w:b w:val="1"/>
                <w:bCs w:val="1"/>
                <w:color w:val="auto"/>
                <w:w w:val="95"/>
              </w:rPr>
              <w:t>4.7</w:t>
            </w:r>
          </w:p>
        </w:tc>
        <w:tc>
          <w:tcPr>
            <w:tcW w:w="520" w:type="dxa"/>
            <w:vAlign w:val="bottom"/>
            <w:shd w:val="clear" w:color="auto" w:fill="E6E7E7"/>
          </w:tcPr>
          <w:p>
            <w:pPr>
              <w:spacing w:after="0"/>
              <w:rPr>
                <w:sz w:val="17"/>
                <w:szCs w:val="17"/>
                <w:color w:val="auto"/>
              </w:rPr>
            </w:pPr>
          </w:p>
        </w:tc>
        <w:tc>
          <w:tcPr>
            <w:tcW w:w="920" w:type="dxa"/>
            <w:vAlign w:val="bottom"/>
            <w:shd w:val="clear" w:color="auto" w:fill="E6E7E7"/>
          </w:tcPr>
          <w:p>
            <w:pPr>
              <w:jc w:val="right"/>
              <w:ind w:right="335"/>
              <w:spacing w:after="0" w:line="202" w:lineRule="exact"/>
              <w:rPr>
                <w:sz w:val="20"/>
                <w:szCs w:val="20"/>
                <w:color w:val="auto"/>
              </w:rPr>
            </w:pPr>
            <w:r>
              <w:rPr>
                <w:rFonts w:ascii="Arial" w:cs="Arial" w:eastAsia="Arial" w:hAnsi="Arial"/>
                <w:sz w:val="18"/>
                <w:szCs w:val="18"/>
                <w:b w:val="1"/>
                <w:bCs w:val="1"/>
                <w:color w:val="auto"/>
              </w:rPr>
              <w:t>15.06</w:t>
            </w:r>
          </w:p>
        </w:tc>
        <w:tc>
          <w:tcPr>
            <w:tcW w:w="1800" w:type="dxa"/>
            <w:vAlign w:val="bottom"/>
            <w:shd w:val="clear" w:color="auto" w:fill="E6E7E7"/>
          </w:tcPr>
          <w:p>
            <w:pPr>
              <w:jc w:val="right"/>
              <w:ind w:right="340"/>
              <w:spacing w:after="0" w:line="202" w:lineRule="exact"/>
              <w:rPr>
                <w:sz w:val="20"/>
                <w:szCs w:val="20"/>
                <w:color w:val="auto"/>
              </w:rPr>
            </w:pPr>
            <w:r>
              <w:rPr>
                <w:rFonts w:ascii="Arial" w:cs="Arial" w:eastAsia="Arial" w:hAnsi="Arial"/>
                <w:sz w:val="18"/>
                <w:szCs w:val="18"/>
                <w:b w:val="1"/>
                <w:bCs w:val="1"/>
                <w:color w:val="auto"/>
              </w:rPr>
              <w:t>40,007,883</w:t>
            </w:r>
          </w:p>
        </w:tc>
        <w:tc>
          <w:tcPr>
            <w:tcW w:w="520" w:type="dxa"/>
            <w:vAlign w:val="bottom"/>
            <w:shd w:val="clear" w:color="auto" w:fill="E6E7E7"/>
          </w:tcPr>
          <w:p>
            <w:pPr>
              <w:spacing w:after="0"/>
              <w:rPr>
                <w:sz w:val="17"/>
                <w:szCs w:val="17"/>
                <w:color w:val="auto"/>
              </w:rPr>
            </w:pPr>
          </w:p>
        </w:tc>
        <w:tc>
          <w:tcPr>
            <w:tcW w:w="5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14.71</w:t>
            </w:r>
          </w:p>
        </w:tc>
        <w:tc>
          <w:tcPr>
            <w:tcW w:w="60" w:type="dxa"/>
            <w:vAlign w:val="bottom"/>
            <w:shd w:val="clear" w:color="auto" w:fill="E6E7E7"/>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jc w:val="right"/>
              <w:ind w:right="338"/>
              <w:spacing w:after="0" w:line="202" w:lineRule="exact"/>
              <w:rPr>
                <w:sz w:val="20"/>
                <w:szCs w:val="20"/>
                <w:color w:val="auto"/>
              </w:rPr>
            </w:pPr>
            <w:r>
              <w:rPr>
                <w:rFonts w:ascii="Arial" w:cs="Arial" w:eastAsia="Arial" w:hAnsi="Arial"/>
                <w:sz w:val="18"/>
                <w:szCs w:val="18"/>
                <w:b w:val="1"/>
                <w:bCs w:val="1"/>
                <w:color w:val="auto"/>
                <w:w w:val="95"/>
              </w:rPr>
              <w:t>20.01 to 30.00</w:t>
            </w:r>
          </w:p>
        </w:tc>
        <w:tc>
          <w:tcPr>
            <w:tcW w:w="1780" w:type="dxa"/>
            <w:vAlign w:val="bottom"/>
          </w:tcPr>
          <w:p>
            <w:pPr>
              <w:jc w:val="right"/>
              <w:ind w:right="318"/>
              <w:spacing w:after="0" w:line="202" w:lineRule="exact"/>
              <w:rPr>
                <w:sz w:val="20"/>
                <w:szCs w:val="20"/>
                <w:color w:val="auto"/>
              </w:rPr>
            </w:pPr>
            <w:r>
              <w:rPr>
                <w:rFonts w:ascii="Arial" w:cs="Arial" w:eastAsia="Arial" w:hAnsi="Arial"/>
                <w:sz w:val="18"/>
                <w:szCs w:val="18"/>
                <w:b w:val="1"/>
                <w:bCs w:val="1"/>
                <w:color w:val="auto"/>
              </w:rPr>
              <w:t>67,863,425</w:t>
            </w:r>
          </w:p>
        </w:tc>
        <w:tc>
          <w:tcPr>
            <w:tcW w:w="29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5.2</w:t>
            </w:r>
          </w:p>
        </w:tc>
        <w:tc>
          <w:tcPr>
            <w:tcW w:w="520" w:type="dxa"/>
            <w:vAlign w:val="bottom"/>
          </w:tcPr>
          <w:p>
            <w:pPr>
              <w:spacing w:after="0"/>
              <w:rPr>
                <w:sz w:val="17"/>
                <w:szCs w:val="17"/>
                <w:color w:val="auto"/>
              </w:rPr>
            </w:pPr>
          </w:p>
        </w:tc>
        <w:tc>
          <w:tcPr>
            <w:tcW w:w="920" w:type="dxa"/>
            <w:vAlign w:val="bottom"/>
          </w:tcPr>
          <w:p>
            <w:pPr>
              <w:jc w:val="right"/>
              <w:ind w:right="335"/>
              <w:spacing w:after="0" w:line="202" w:lineRule="exact"/>
              <w:rPr>
                <w:sz w:val="20"/>
                <w:szCs w:val="20"/>
                <w:color w:val="auto"/>
              </w:rPr>
            </w:pPr>
            <w:r>
              <w:rPr>
                <w:rFonts w:ascii="Arial" w:cs="Arial" w:eastAsia="Arial" w:hAnsi="Arial"/>
                <w:sz w:val="18"/>
                <w:szCs w:val="18"/>
                <w:b w:val="1"/>
                <w:bCs w:val="1"/>
                <w:color w:val="auto"/>
              </w:rPr>
              <w:t>24.61</w:t>
            </w:r>
          </w:p>
        </w:tc>
        <w:tc>
          <w:tcPr>
            <w:tcW w:w="1800" w:type="dxa"/>
            <w:vAlign w:val="bottom"/>
          </w:tcPr>
          <w:p>
            <w:pPr>
              <w:jc w:val="right"/>
              <w:ind w:right="340"/>
              <w:spacing w:after="0" w:line="202" w:lineRule="exact"/>
              <w:rPr>
                <w:sz w:val="20"/>
                <w:szCs w:val="20"/>
                <w:color w:val="auto"/>
              </w:rPr>
            </w:pPr>
            <w:r>
              <w:rPr>
                <w:rFonts w:ascii="Arial" w:cs="Arial" w:eastAsia="Arial" w:hAnsi="Arial"/>
                <w:sz w:val="18"/>
                <w:szCs w:val="18"/>
                <w:b w:val="1"/>
                <w:bCs w:val="1"/>
                <w:color w:val="auto"/>
              </w:rPr>
              <w:t>50,544,424</w:t>
            </w:r>
          </w:p>
        </w:tc>
        <w:tc>
          <w:tcPr>
            <w:tcW w:w="5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25.48</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 w:type="dxa"/>
            <w:vAlign w:val="bottom"/>
            <w:shd w:val="clear" w:color="auto" w:fill="E6E7E7"/>
          </w:tcPr>
          <w:p>
            <w:pPr>
              <w:spacing w:after="0"/>
              <w:rPr>
                <w:sz w:val="17"/>
                <w:szCs w:val="17"/>
                <w:color w:val="auto"/>
              </w:rPr>
            </w:pPr>
          </w:p>
        </w:tc>
        <w:tc>
          <w:tcPr>
            <w:tcW w:w="1560" w:type="dxa"/>
            <w:vAlign w:val="bottom"/>
            <w:shd w:val="clear" w:color="auto" w:fill="E6E7E7"/>
          </w:tcPr>
          <w:p>
            <w:pPr>
              <w:jc w:val="right"/>
              <w:ind w:right="338"/>
              <w:spacing w:after="0" w:line="202" w:lineRule="exact"/>
              <w:rPr>
                <w:sz w:val="20"/>
                <w:szCs w:val="20"/>
                <w:color w:val="auto"/>
              </w:rPr>
            </w:pPr>
            <w:r>
              <w:rPr>
                <w:rFonts w:ascii="Arial" w:cs="Arial" w:eastAsia="Arial" w:hAnsi="Arial"/>
                <w:sz w:val="18"/>
                <w:szCs w:val="18"/>
                <w:b w:val="1"/>
                <w:bCs w:val="1"/>
                <w:color w:val="auto"/>
                <w:w w:val="95"/>
              </w:rPr>
              <w:t>30.01 to 40.00</w:t>
            </w:r>
          </w:p>
        </w:tc>
        <w:tc>
          <w:tcPr>
            <w:tcW w:w="1780" w:type="dxa"/>
            <w:vAlign w:val="bottom"/>
            <w:shd w:val="clear" w:color="auto" w:fill="E6E7E7"/>
          </w:tcPr>
          <w:p>
            <w:pPr>
              <w:jc w:val="right"/>
              <w:ind w:right="318"/>
              <w:spacing w:after="0" w:line="202" w:lineRule="exact"/>
              <w:rPr>
                <w:sz w:val="20"/>
                <w:szCs w:val="20"/>
                <w:color w:val="auto"/>
              </w:rPr>
            </w:pPr>
            <w:r>
              <w:rPr>
                <w:rFonts w:ascii="Arial" w:cs="Arial" w:eastAsia="Arial" w:hAnsi="Arial"/>
                <w:sz w:val="18"/>
                <w:szCs w:val="18"/>
                <w:b w:val="1"/>
                <w:bCs w:val="1"/>
                <w:color w:val="auto"/>
              </w:rPr>
              <w:t>61,509,414</w:t>
            </w:r>
          </w:p>
        </w:tc>
        <w:tc>
          <w:tcPr>
            <w:tcW w:w="2960" w:type="dxa"/>
            <w:vAlign w:val="bottom"/>
            <w:shd w:val="clear" w:color="auto" w:fill="E6E7E7"/>
          </w:tcPr>
          <w:p>
            <w:pPr>
              <w:jc w:val="center"/>
              <w:spacing w:after="0" w:line="202" w:lineRule="exact"/>
              <w:rPr>
                <w:sz w:val="20"/>
                <w:szCs w:val="20"/>
                <w:color w:val="auto"/>
              </w:rPr>
            </w:pPr>
            <w:r>
              <w:rPr>
                <w:rFonts w:ascii="Arial" w:cs="Arial" w:eastAsia="Arial" w:hAnsi="Arial"/>
                <w:sz w:val="18"/>
                <w:szCs w:val="18"/>
                <w:b w:val="1"/>
                <w:bCs w:val="1"/>
                <w:color w:val="auto"/>
                <w:w w:val="95"/>
              </w:rPr>
              <w:t>6.8</w:t>
            </w:r>
          </w:p>
        </w:tc>
        <w:tc>
          <w:tcPr>
            <w:tcW w:w="520" w:type="dxa"/>
            <w:vAlign w:val="bottom"/>
            <w:shd w:val="clear" w:color="auto" w:fill="E6E7E7"/>
          </w:tcPr>
          <w:p>
            <w:pPr>
              <w:spacing w:after="0"/>
              <w:rPr>
                <w:sz w:val="17"/>
                <w:szCs w:val="17"/>
                <w:color w:val="auto"/>
              </w:rPr>
            </w:pPr>
          </w:p>
        </w:tc>
        <w:tc>
          <w:tcPr>
            <w:tcW w:w="920" w:type="dxa"/>
            <w:vAlign w:val="bottom"/>
            <w:shd w:val="clear" w:color="auto" w:fill="E6E7E7"/>
          </w:tcPr>
          <w:p>
            <w:pPr>
              <w:jc w:val="right"/>
              <w:ind w:right="335"/>
              <w:spacing w:after="0" w:line="202" w:lineRule="exact"/>
              <w:rPr>
                <w:sz w:val="20"/>
                <w:szCs w:val="20"/>
                <w:color w:val="auto"/>
              </w:rPr>
            </w:pPr>
            <w:r>
              <w:rPr>
                <w:rFonts w:ascii="Arial" w:cs="Arial" w:eastAsia="Arial" w:hAnsi="Arial"/>
                <w:sz w:val="18"/>
                <w:szCs w:val="18"/>
                <w:b w:val="1"/>
                <w:bCs w:val="1"/>
                <w:color w:val="auto"/>
              </w:rPr>
              <w:t>33.11</w:t>
            </w:r>
          </w:p>
        </w:tc>
        <w:tc>
          <w:tcPr>
            <w:tcW w:w="1800" w:type="dxa"/>
            <w:vAlign w:val="bottom"/>
            <w:shd w:val="clear" w:color="auto" w:fill="E6E7E7"/>
          </w:tcPr>
          <w:p>
            <w:pPr>
              <w:jc w:val="right"/>
              <w:ind w:right="340"/>
              <w:spacing w:after="0" w:line="202" w:lineRule="exact"/>
              <w:rPr>
                <w:sz w:val="20"/>
                <w:szCs w:val="20"/>
                <w:color w:val="auto"/>
              </w:rPr>
            </w:pPr>
            <w:r>
              <w:rPr>
                <w:rFonts w:ascii="Arial" w:cs="Arial" w:eastAsia="Arial" w:hAnsi="Arial"/>
                <w:sz w:val="18"/>
                <w:szCs w:val="18"/>
                <w:b w:val="1"/>
                <w:bCs w:val="1"/>
                <w:color w:val="auto"/>
              </w:rPr>
              <w:t>30,799,600</w:t>
            </w:r>
          </w:p>
        </w:tc>
        <w:tc>
          <w:tcPr>
            <w:tcW w:w="520" w:type="dxa"/>
            <w:vAlign w:val="bottom"/>
            <w:shd w:val="clear" w:color="auto" w:fill="E6E7E7"/>
          </w:tcPr>
          <w:p>
            <w:pPr>
              <w:spacing w:after="0"/>
              <w:rPr>
                <w:sz w:val="17"/>
                <w:szCs w:val="17"/>
                <w:color w:val="auto"/>
              </w:rPr>
            </w:pPr>
          </w:p>
        </w:tc>
        <w:tc>
          <w:tcPr>
            <w:tcW w:w="5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33.80</w:t>
            </w:r>
          </w:p>
        </w:tc>
        <w:tc>
          <w:tcPr>
            <w:tcW w:w="60" w:type="dxa"/>
            <w:vAlign w:val="bottom"/>
            <w:shd w:val="clear" w:color="auto" w:fill="E6E7E7"/>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jc w:val="right"/>
              <w:ind w:right="338"/>
              <w:spacing w:after="0" w:line="202" w:lineRule="exact"/>
              <w:rPr>
                <w:sz w:val="20"/>
                <w:szCs w:val="20"/>
                <w:color w:val="auto"/>
              </w:rPr>
            </w:pPr>
            <w:r>
              <w:rPr>
                <w:rFonts w:ascii="Arial" w:cs="Arial" w:eastAsia="Arial" w:hAnsi="Arial"/>
                <w:sz w:val="18"/>
                <w:szCs w:val="18"/>
                <w:b w:val="1"/>
                <w:bCs w:val="1"/>
                <w:color w:val="auto"/>
                <w:w w:val="95"/>
              </w:rPr>
              <w:t>40.01 to 50.00</w:t>
            </w:r>
          </w:p>
        </w:tc>
        <w:tc>
          <w:tcPr>
            <w:tcW w:w="1780" w:type="dxa"/>
            <w:vAlign w:val="bottom"/>
          </w:tcPr>
          <w:p>
            <w:pPr>
              <w:jc w:val="right"/>
              <w:ind w:right="318"/>
              <w:spacing w:after="0" w:line="202" w:lineRule="exact"/>
              <w:rPr>
                <w:sz w:val="20"/>
                <w:szCs w:val="20"/>
                <w:color w:val="auto"/>
              </w:rPr>
            </w:pPr>
            <w:r>
              <w:rPr>
                <w:rFonts w:ascii="Arial" w:cs="Arial" w:eastAsia="Arial" w:hAnsi="Arial"/>
                <w:sz w:val="18"/>
                <w:szCs w:val="18"/>
                <w:b w:val="1"/>
                <w:bCs w:val="1"/>
                <w:color w:val="auto"/>
              </w:rPr>
              <w:t>998,544</w:t>
            </w:r>
          </w:p>
        </w:tc>
        <w:tc>
          <w:tcPr>
            <w:tcW w:w="29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3.2</w:t>
            </w:r>
          </w:p>
        </w:tc>
        <w:tc>
          <w:tcPr>
            <w:tcW w:w="520" w:type="dxa"/>
            <w:vAlign w:val="bottom"/>
          </w:tcPr>
          <w:p>
            <w:pPr>
              <w:spacing w:after="0"/>
              <w:rPr>
                <w:sz w:val="17"/>
                <w:szCs w:val="17"/>
                <w:color w:val="auto"/>
              </w:rPr>
            </w:pPr>
          </w:p>
        </w:tc>
        <w:tc>
          <w:tcPr>
            <w:tcW w:w="920" w:type="dxa"/>
            <w:vAlign w:val="bottom"/>
          </w:tcPr>
          <w:p>
            <w:pPr>
              <w:jc w:val="right"/>
              <w:ind w:right="335"/>
              <w:spacing w:after="0" w:line="202" w:lineRule="exact"/>
              <w:rPr>
                <w:sz w:val="20"/>
                <w:szCs w:val="20"/>
                <w:color w:val="auto"/>
              </w:rPr>
            </w:pPr>
            <w:r>
              <w:rPr>
                <w:rFonts w:ascii="Arial" w:cs="Arial" w:eastAsia="Arial" w:hAnsi="Arial"/>
                <w:sz w:val="18"/>
                <w:szCs w:val="18"/>
                <w:b w:val="1"/>
                <w:bCs w:val="1"/>
                <w:color w:val="auto"/>
              </w:rPr>
              <w:t>43.65</w:t>
            </w:r>
          </w:p>
        </w:tc>
        <w:tc>
          <w:tcPr>
            <w:tcW w:w="1800" w:type="dxa"/>
            <w:vAlign w:val="bottom"/>
          </w:tcPr>
          <w:p>
            <w:pPr>
              <w:jc w:val="right"/>
              <w:ind w:right="320"/>
              <w:spacing w:after="0" w:line="202" w:lineRule="exact"/>
              <w:rPr>
                <w:sz w:val="20"/>
                <w:szCs w:val="20"/>
                <w:color w:val="auto"/>
              </w:rPr>
            </w:pPr>
            <w:r>
              <w:rPr>
                <w:rFonts w:ascii="Arial" w:cs="Arial" w:eastAsia="Arial" w:hAnsi="Arial"/>
                <w:sz w:val="18"/>
                <w:szCs w:val="18"/>
                <w:b w:val="1"/>
                <w:bCs w:val="1"/>
                <w:color w:val="auto"/>
              </w:rPr>
              <w:t>998,544</w:t>
            </w:r>
          </w:p>
        </w:tc>
        <w:tc>
          <w:tcPr>
            <w:tcW w:w="5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43.65</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 w:type="dxa"/>
            <w:vAlign w:val="bottom"/>
            <w:tcBorders>
              <w:bottom w:val="single" w:sz="8" w:color="auto"/>
            </w:tcBorders>
            <w:shd w:val="clear" w:color="auto" w:fill="E6E7E7"/>
          </w:tcPr>
          <w:p>
            <w:pPr>
              <w:spacing w:after="0"/>
              <w:rPr>
                <w:sz w:val="17"/>
                <w:szCs w:val="17"/>
                <w:color w:val="auto"/>
              </w:rPr>
            </w:pPr>
          </w:p>
        </w:tc>
        <w:tc>
          <w:tcPr>
            <w:tcW w:w="1560" w:type="dxa"/>
            <w:vAlign w:val="bottom"/>
            <w:tcBorders>
              <w:bottom w:val="single" w:sz="8" w:color="auto"/>
            </w:tcBorders>
            <w:shd w:val="clear" w:color="auto" w:fill="E6E7E7"/>
          </w:tcPr>
          <w:p>
            <w:pPr>
              <w:jc w:val="right"/>
              <w:ind w:right="338"/>
              <w:spacing w:after="0" w:line="202" w:lineRule="exact"/>
              <w:rPr>
                <w:sz w:val="20"/>
                <w:szCs w:val="20"/>
                <w:color w:val="auto"/>
              </w:rPr>
            </w:pPr>
            <w:r>
              <w:rPr>
                <w:rFonts w:ascii="Arial" w:cs="Arial" w:eastAsia="Arial" w:hAnsi="Arial"/>
                <w:sz w:val="18"/>
                <w:szCs w:val="18"/>
                <w:b w:val="1"/>
                <w:bCs w:val="1"/>
                <w:color w:val="auto"/>
                <w:w w:val="95"/>
              </w:rPr>
              <w:t>50.01 to 84.32</w:t>
            </w:r>
          </w:p>
        </w:tc>
        <w:tc>
          <w:tcPr>
            <w:tcW w:w="1780" w:type="dxa"/>
            <w:vAlign w:val="bottom"/>
            <w:tcBorders>
              <w:bottom w:val="single" w:sz="8" w:color="auto"/>
            </w:tcBorders>
            <w:shd w:val="clear" w:color="auto" w:fill="E6E7E7"/>
          </w:tcPr>
          <w:p>
            <w:pPr>
              <w:jc w:val="right"/>
              <w:ind w:right="318"/>
              <w:spacing w:after="0" w:line="202" w:lineRule="exact"/>
              <w:rPr>
                <w:sz w:val="20"/>
                <w:szCs w:val="20"/>
                <w:color w:val="auto"/>
              </w:rPr>
            </w:pPr>
            <w:r>
              <w:rPr>
                <w:rFonts w:ascii="Arial" w:cs="Arial" w:eastAsia="Arial" w:hAnsi="Arial"/>
                <w:sz w:val="18"/>
                <w:szCs w:val="18"/>
                <w:b w:val="1"/>
                <w:bCs w:val="1"/>
                <w:color w:val="auto"/>
              </w:rPr>
              <w:t>32,078,420</w:t>
            </w:r>
          </w:p>
        </w:tc>
        <w:tc>
          <w:tcPr>
            <w:tcW w:w="2960" w:type="dxa"/>
            <w:vAlign w:val="bottom"/>
            <w:tcBorders>
              <w:bottom w:val="single" w:sz="8" w:color="auto"/>
            </w:tcBorders>
            <w:shd w:val="clear" w:color="auto" w:fill="E6E7E7"/>
          </w:tcPr>
          <w:p>
            <w:pPr>
              <w:jc w:val="center"/>
              <w:spacing w:after="0" w:line="202" w:lineRule="exact"/>
              <w:rPr>
                <w:sz w:val="20"/>
                <w:szCs w:val="20"/>
                <w:color w:val="auto"/>
              </w:rPr>
            </w:pPr>
            <w:r>
              <w:rPr>
                <w:rFonts w:ascii="Arial" w:cs="Arial" w:eastAsia="Arial" w:hAnsi="Arial"/>
                <w:sz w:val="18"/>
                <w:szCs w:val="18"/>
                <w:b w:val="1"/>
                <w:bCs w:val="1"/>
                <w:color w:val="auto"/>
                <w:w w:val="95"/>
              </w:rPr>
              <w:t>3.5</w:t>
            </w:r>
          </w:p>
        </w:tc>
        <w:tc>
          <w:tcPr>
            <w:tcW w:w="520" w:type="dxa"/>
            <w:vAlign w:val="bottom"/>
            <w:tcBorders>
              <w:bottom w:val="single" w:sz="8" w:color="auto"/>
            </w:tcBorders>
            <w:shd w:val="clear" w:color="auto" w:fill="E6E7E7"/>
          </w:tcPr>
          <w:p>
            <w:pPr>
              <w:spacing w:after="0"/>
              <w:rPr>
                <w:sz w:val="17"/>
                <w:szCs w:val="17"/>
                <w:color w:val="auto"/>
              </w:rPr>
            </w:pPr>
          </w:p>
        </w:tc>
        <w:tc>
          <w:tcPr>
            <w:tcW w:w="920" w:type="dxa"/>
            <w:vAlign w:val="bottom"/>
            <w:tcBorders>
              <w:bottom w:val="single" w:sz="8" w:color="auto"/>
            </w:tcBorders>
            <w:shd w:val="clear" w:color="auto" w:fill="E6E7E7"/>
          </w:tcPr>
          <w:p>
            <w:pPr>
              <w:jc w:val="right"/>
              <w:ind w:right="335"/>
              <w:spacing w:after="0" w:line="202" w:lineRule="exact"/>
              <w:rPr>
                <w:sz w:val="20"/>
                <w:szCs w:val="20"/>
                <w:color w:val="auto"/>
              </w:rPr>
            </w:pPr>
            <w:r>
              <w:rPr>
                <w:rFonts w:ascii="Arial" w:cs="Arial" w:eastAsia="Arial" w:hAnsi="Arial"/>
                <w:sz w:val="18"/>
                <w:szCs w:val="18"/>
                <w:b w:val="1"/>
                <w:bCs w:val="1"/>
                <w:color w:val="auto"/>
              </w:rPr>
              <w:t>54.11</w:t>
            </w:r>
          </w:p>
        </w:tc>
        <w:tc>
          <w:tcPr>
            <w:tcW w:w="1800" w:type="dxa"/>
            <w:vAlign w:val="bottom"/>
            <w:tcBorders>
              <w:bottom w:val="single" w:sz="8" w:color="auto"/>
            </w:tcBorders>
            <w:shd w:val="clear" w:color="auto" w:fill="E6E7E7"/>
          </w:tcPr>
          <w:p>
            <w:pPr>
              <w:jc w:val="right"/>
              <w:ind w:right="340"/>
              <w:spacing w:after="0" w:line="202" w:lineRule="exact"/>
              <w:rPr>
                <w:sz w:val="20"/>
                <w:szCs w:val="20"/>
                <w:color w:val="auto"/>
              </w:rPr>
            </w:pPr>
            <w:r>
              <w:rPr>
                <w:rFonts w:ascii="Arial" w:cs="Arial" w:eastAsia="Arial" w:hAnsi="Arial"/>
                <w:sz w:val="18"/>
                <w:szCs w:val="18"/>
                <w:b w:val="1"/>
                <w:bCs w:val="1"/>
                <w:color w:val="auto"/>
              </w:rPr>
              <w:t>32,076,420</w:t>
            </w:r>
          </w:p>
        </w:tc>
        <w:tc>
          <w:tcPr>
            <w:tcW w:w="520" w:type="dxa"/>
            <w:vAlign w:val="bottom"/>
            <w:tcBorders>
              <w:bottom w:val="single" w:sz="8" w:color="auto"/>
            </w:tcBorders>
            <w:shd w:val="clear" w:color="auto" w:fill="E6E7E7"/>
          </w:tcPr>
          <w:p>
            <w:pPr>
              <w:spacing w:after="0"/>
              <w:rPr>
                <w:sz w:val="17"/>
                <w:szCs w:val="17"/>
                <w:color w:val="auto"/>
              </w:rPr>
            </w:pPr>
          </w:p>
        </w:tc>
        <w:tc>
          <w:tcPr>
            <w:tcW w:w="50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54.11</w:t>
            </w:r>
          </w:p>
        </w:tc>
        <w:tc>
          <w:tcPr>
            <w:tcW w:w="60" w:type="dxa"/>
            <w:vAlign w:val="bottom"/>
            <w:shd w:val="clear" w:color="auto" w:fill="E6E7E7"/>
          </w:tcPr>
          <w:p>
            <w:pPr>
              <w:spacing w:after="0"/>
              <w:rPr>
                <w:sz w:val="17"/>
                <w:szCs w:val="17"/>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560" w:type="dxa"/>
            <w:vAlign w:val="bottom"/>
            <w:tcBorders>
              <w:bottom w:val="single" w:sz="8" w:color="auto"/>
            </w:tcBorders>
          </w:tcPr>
          <w:p>
            <w:pPr>
              <w:jc w:val="right"/>
              <w:ind w:right="338"/>
              <w:spacing w:after="0"/>
              <w:rPr>
                <w:sz w:val="20"/>
                <w:szCs w:val="20"/>
                <w:color w:val="auto"/>
              </w:rPr>
            </w:pPr>
            <w:r>
              <w:rPr>
                <w:rFonts w:ascii="Arial" w:cs="Arial" w:eastAsia="Arial" w:hAnsi="Arial"/>
                <w:sz w:val="18"/>
                <w:szCs w:val="18"/>
                <w:b w:val="1"/>
                <w:bCs w:val="1"/>
                <w:color w:val="auto"/>
              </w:rPr>
              <w:t>.24 to 84.32</w:t>
            </w:r>
          </w:p>
        </w:tc>
        <w:tc>
          <w:tcPr>
            <w:tcW w:w="178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b w:val="1"/>
                <w:bCs w:val="1"/>
                <w:color w:val="auto"/>
              </w:rPr>
              <w:t>218,771,948</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5.2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rPr>
              <w:t>28.81</w:t>
            </w:r>
          </w:p>
        </w:tc>
        <w:tc>
          <w:tcPr>
            <w:tcW w:w="1800" w:type="dxa"/>
            <w:vAlign w:val="bottom"/>
            <w:tcBorders>
              <w:bottom w:val="single" w:sz="8" w:color="auto"/>
            </w:tcBorders>
          </w:tcPr>
          <w:p>
            <w:pPr>
              <w:jc w:val="right"/>
              <w:ind w:right="320"/>
              <w:spacing w:after="0"/>
              <w:rPr>
                <w:sz w:val="20"/>
                <w:szCs w:val="20"/>
                <w:color w:val="auto"/>
              </w:rPr>
            </w:pPr>
            <w:r>
              <w:rPr>
                <w:rFonts w:ascii="Arial" w:cs="Arial" w:eastAsia="Arial" w:hAnsi="Arial"/>
                <w:sz w:val="18"/>
                <w:szCs w:val="18"/>
                <w:b w:val="1"/>
                <w:bCs w:val="1"/>
                <w:color w:val="auto"/>
              </w:rPr>
              <w:t>158,893,300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29.78</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left="100" w:right="100"/>
        <w:spacing w:after="0" w:line="238" w:lineRule="auto"/>
        <w:rPr>
          <w:sz w:val="20"/>
          <w:szCs w:val="20"/>
          <w:color w:val="auto"/>
        </w:rPr>
      </w:pPr>
      <w:r>
        <w:rPr>
          <w:rFonts w:ascii="Arial" w:cs="Arial" w:eastAsia="Arial" w:hAnsi="Arial"/>
          <w:sz w:val="18"/>
          <w:szCs w:val="18"/>
          <w:color w:val="auto"/>
        </w:rPr>
        <w:t>As of December 31, 2006, the aggregate intrinsic value (i.e., the difference in the year-end closing market price of $28.80 and the exercise price to be paid by the optionee) of stock options outstanding, excluding the effects of expected forfeitures, was $1.09 billion. The aggregate intrinsic value of exercisable stock options at that date was $0.83 billion.</w:t>
      </w:r>
    </w:p>
    <w:p>
      <w:pPr>
        <w:spacing w:after="0" w:line="154" w:lineRule="exact"/>
        <w:rPr>
          <w:sz w:val="20"/>
          <w:szCs w:val="20"/>
          <w:color w:val="auto"/>
        </w:rPr>
      </w:pPr>
    </w:p>
    <w:p>
      <w:pPr>
        <w:ind w:left="100" w:right="120"/>
        <w:spacing w:after="0" w:line="299" w:lineRule="auto"/>
        <w:rPr>
          <w:sz w:val="20"/>
          <w:szCs w:val="20"/>
          <w:color w:val="auto"/>
        </w:rPr>
      </w:pPr>
      <w:r>
        <w:rPr>
          <w:rFonts w:ascii="Arial" w:cs="Arial" w:eastAsia="Arial" w:hAnsi="Arial"/>
          <w:sz w:val="16"/>
          <w:szCs w:val="16"/>
          <w:color w:val="auto"/>
        </w:rPr>
        <w:t>During the years ended December 31, 2006 and 2005, the total intrinsic value of options exercised (i.e., the difference in the market price at the exercise date and the price paid by the employee to exercise the option) under these plans was $419 million and $394 million.</w:t>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 the years ended December 31, 2006 and 2005, the total fair value of shares vested from RSU grants was $13 million and $24 million.</w:t>
      </w:r>
    </w:p>
    <w:p>
      <w:pPr>
        <w:sectPr>
          <w:pgSz w:w="11900" w:h="16838" w:orient="portrait"/>
          <w:cols w:equalWidth="0" w:num="1">
            <w:col w:w="11060"/>
          </w:cols>
          <w:pgMar w:left="600" w:top="287" w:right="239" w:bottom="1440" w:gutter="0" w:footer="0" w:header="0"/>
        </w:sectPr>
      </w:pPr>
    </w:p>
    <w:bookmarkStart w:id="73" w:name="page74"/>
    <w:bookmarkEnd w:id="73"/>
    <w:p>
      <w:pPr>
        <w:spacing w:after="0"/>
        <w:tabs>
          <w:tab w:leader="none" w:pos="36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24</w:t>
        <w:tab/>
        <w:t>TEXAS INSTRUMENTS 2006 ANNUAL REPORT</w:t>
      </w:r>
    </w:p>
    <w:p>
      <w:pPr>
        <w:spacing w:after="0" w:line="140" w:lineRule="exact"/>
        <w:rPr>
          <w:sz w:val="20"/>
          <w:szCs w:val="20"/>
          <w:color w:val="auto"/>
        </w:rPr>
      </w:pPr>
    </w:p>
    <w:p>
      <w:pPr>
        <w:ind w:left="460" w:right="240"/>
        <w:spacing w:after="0" w:line="239" w:lineRule="auto"/>
        <w:rPr>
          <w:sz w:val="20"/>
          <w:szCs w:val="20"/>
          <w:color w:val="auto"/>
        </w:rPr>
      </w:pPr>
      <w:r>
        <w:rPr>
          <w:rFonts w:ascii="Arial" w:cs="Arial" w:eastAsia="Arial" w:hAnsi="Arial"/>
          <w:sz w:val="18"/>
          <w:szCs w:val="18"/>
          <w:color w:val="auto"/>
        </w:rPr>
        <w:t>Summarized information as of December 31, 2006, about outstanding stock options that are vested and expected to vest, as well as stock options that are currently exercisable, are as follows:</w:t>
      </w:r>
    </w:p>
    <w:p>
      <w:pPr>
        <w:spacing w:after="0" w:line="16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5780" w:type="dxa"/>
            <w:vAlign w:val="bottom"/>
            <w:shd w:val="clear" w:color="auto" w:fill="939598"/>
          </w:tcPr>
          <w:p>
            <w:pPr>
              <w:spacing w:after="0"/>
              <w:rPr>
                <w:sz w:val="14"/>
                <w:szCs w:val="14"/>
                <w:color w:val="auto"/>
              </w:rPr>
            </w:pPr>
          </w:p>
        </w:tc>
        <w:tc>
          <w:tcPr>
            <w:tcW w:w="2200" w:type="dxa"/>
            <w:vAlign w:val="bottom"/>
            <w:shd w:val="clear" w:color="auto" w:fill="939598"/>
          </w:tcPr>
          <w:p>
            <w:pPr>
              <w:spacing w:after="0"/>
              <w:rPr>
                <w:sz w:val="14"/>
                <w:szCs w:val="14"/>
                <w:color w:val="auto"/>
              </w:rPr>
            </w:pPr>
          </w:p>
        </w:tc>
        <w:tc>
          <w:tcPr>
            <w:tcW w:w="1320" w:type="dxa"/>
            <w:vAlign w:val="bottom"/>
            <w:shd w:val="clear" w:color="auto" w:fill="939598"/>
          </w:tcPr>
          <w:p>
            <w:pPr>
              <w:jc w:val="center"/>
              <w:ind w:right="361"/>
              <w:spacing w:after="0"/>
              <w:rPr>
                <w:sz w:val="20"/>
                <w:szCs w:val="20"/>
                <w:color w:val="auto"/>
              </w:rPr>
            </w:pPr>
            <w:r>
              <w:rPr>
                <w:rFonts w:ascii="Arial" w:cs="Arial" w:eastAsia="Arial" w:hAnsi="Arial"/>
                <w:sz w:val="14"/>
                <w:szCs w:val="14"/>
                <w:b w:val="1"/>
                <w:bCs w:val="1"/>
                <w:color w:val="FFFFFF"/>
                <w:w w:val="96"/>
              </w:rPr>
              <w:t>Outstanding</w:t>
            </w:r>
          </w:p>
        </w:tc>
        <w:tc>
          <w:tcPr>
            <w:tcW w:w="420" w:type="dxa"/>
            <w:vAlign w:val="bottom"/>
            <w:shd w:val="clear" w:color="auto" w:fill="939598"/>
          </w:tcPr>
          <w:p>
            <w:pPr>
              <w:spacing w:after="0"/>
              <w:rPr>
                <w:sz w:val="14"/>
                <w:szCs w:val="14"/>
                <w:color w:val="auto"/>
              </w:rPr>
            </w:pPr>
          </w:p>
        </w:tc>
        <w:tc>
          <w:tcPr>
            <w:tcW w:w="1000" w:type="dxa"/>
            <w:vAlign w:val="bottom"/>
            <w:shd w:val="clear" w:color="auto" w:fill="939598"/>
          </w:tcPr>
          <w:p>
            <w:pPr>
              <w:spacing w:after="0"/>
              <w:rPr>
                <w:sz w:val="14"/>
                <w:szCs w:val="14"/>
                <w:color w:val="auto"/>
              </w:rPr>
            </w:pPr>
          </w:p>
        </w:tc>
      </w:tr>
      <w:tr>
        <w:trPr>
          <w:trHeight w:val="149"/>
        </w:trPr>
        <w:tc>
          <w:tcPr>
            <w:tcW w:w="5780" w:type="dxa"/>
            <w:vAlign w:val="bottom"/>
            <w:shd w:val="clear" w:color="auto" w:fill="939598"/>
          </w:tcPr>
          <w:p>
            <w:pPr>
              <w:spacing w:after="0"/>
              <w:rPr>
                <w:sz w:val="12"/>
                <w:szCs w:val="12"/>
                <w:color w:val="auto"/>
              </w:rPr>
            </w:pPr>
          </w:p>
        </w:tc>
        <w:tc>
          <w:tcPr>
            <w:tcW w:w="3520" w:type="dxa"/>
            <w:vAlign w:val="bottom"/>
            <w:gridSpan w:val="2"/>
            <w:shd w:val="clear" w:color="auto" w:fill="939598"/>
          </w:tcPr>
          <w:p>
            <w:pPr>
              <w:jc w:val="center"/>
              <w:ind w:left="1682"/>
              <w:spacing w:after="0" w:line="149" w:lineRule="exact"/>
              <w:rPr>
                <w:sz w:val="20"/>
                <w:szCs w:val="20"/>
                <w:color w:val="auto"/>
              </w:rPr>
            </w:pPr>
            <w:r>
              <w:rPr>
                <w:rFonts w:ascii="Arial" w:cs="Arial" w:eastAsia="Arial" w:hAnsi="Arial"/>
                <w:sz w:val="14"/>
                <w:szCs w:val="14"/>
                <w:b w:val="1"/>
                <w:bCs w:val="1"/>
                <w:color w:val="FFFFFF"/>
                <w:w w:val="96"/>
              </w:rPr>
              <w:t>Stock Options</w:t>
            </w:r>
          </w:p>
        </w:tc>
        <w:tc>
          <w:tcPr>
            <w:tcW w:w="420" w:type="dxa"/>
            <w:vAlign w:val="bottom"/>
            <w:shd w:val="clear" w:color="auto" w:fill="939598"/>
          </w:tcPr>
          <w:p>
            <w:pPr>
              <w:spacing w:after="0"/>
              <w:rPr>
                <w:sz w:val="12"/>
                <w:szCs w:val="12"/>
                <w:color w:val="auto"/>
              </w:rPr>
            </w:pPr>
          </w:p>
        </w:tc>
        <w:tc>
          <w:tcPr>
            <w:tcW w:w="1000" w:type="dxa"/>
            <w:vAlign w:val="bottom"/>
            <w:shd w:val="clear" w:color="auto" w:fill="939598"/>
          </w:tcPr>
          <w:p>
            <w:pPr>
              <w:spacing w:after="0"/>
              <w:rPr>
                <w:sz w:val="12"/>
                <w:szCs w:val="12"/>
                <w:color w:val="auto"/>
              </w:rPr>
            </w:pPr>
          </w:p>
        </w:tc>
      </w:tr>
      <w:tr>
        <w:trPr>
          <w:trHeight w:val="149"/>
        </w:trPr>
        <w:tc>
          <w:tcPr>
            <w:tcW w:w="5780" w:type="dxa"/>
            <w:vAlign w:val="bottom"/>
            <w:shd w:val="clear" w:color="auto" w:fill="939598"/>
          </w:tcPr>
          <w:p>
            <w:pPr>
              <w:spacing w:after="0"/>
              <w:rPr>
                <w:sz w:val="12"/>
                <w:szCs w:val="12"/>
                <w:color w:val="auto"/>
              </w:rPr>
            </w:pPr>
          </w:p>
        </w:tc>
        <w:tc>
          <w:tcPr>
            <w:tcW w:w="2200" w:type="dxa"/>
            <w:vAlign w:val="bottom"/>
            <w:shd w:val="clear" w:color="auto" w:fill="939598"/>
          </w:tcPr>
          <w:p>
            <w:pPr>
              <w:spacing w:after="0"/>
              <w:rPr>
                <w:sz w:val="12"/>
                <w:szCs w:val="12"/>
                <w:color w:val="auto"/>
              </w:rPr>
            </w:pPr>
          </w:p>
        </w:tc>
        <w:tc>
          <w:tcPr>
            <w:tcW w:w="1320" w:type="dxa"/>
            <w:vAlign w:val="bottom"/>
            <w:shd w:val="clear" w:color="auto" w:fill="939598"/>
          </w:tcPr>
          <w:p>
            <w:pPr>
              <w:jc w:val="center"/>
              <w:ind w:right="361"/>
              <w:spacing w:after="0" w:line="149" w:lineRule="exact"/>
              <w:rPr>
                <w:sz w:val="20"/>
                <w:szCs w:val="20"/>
                <w:color w:val="auto"/>
              </w:rPr>
            </w:pPr>
            <w:r>
              <w:rPr>
                <w:rFonts w:ascii="Arial" w:cs="Arial" w:eastAsia="Arial" w:hAnsi="Arial"/>
                <w:sz w:val="14"/>
                <w:szCs w:val="14"/>
                <w:b w:val="1"/>
                <w:bCs w:val="1"/>
                <w:color w:val="FFFFFF"/>
                <w:w w:val="96"/>
              </w:rPr>
              <w:t>(Fully Vested</w:t>
            </w:r>
          </w:p>
        </w:tc>
        <w:tc>
          <w:tcPr>
            <w:tcW w:w="420" w:type="dxa"/>
            <w:vAlign w:val="bottom"/>
            <w:shd w:val="clear" w:color="auto" w:fill="939598"/>
          </w:tcPr>
          <w:p>
            <w:pPr>
              <w:spacing w:after="0"/>
              <w:rPr>
                <w:sz w:val="12"/>
                <w:szCs w:val="12"/>
                <w:color w:val="auto"/>
              </w:rPr>
            </w:pPr>
          </w:p>
        </w:tc>
        <w:tc>
          <w:tcPr>
            <w:tcW w:w="1000" w:type="dxa"/>
            <w:vAlign w:val="bottom"/>
            <w:shd w:val="clear" w:color="auto" w:fill="939598"/>
          </w:tcPr>
          <w:p>
            <w:pPr>
              <w:spacing w:after="0"/>
              <w:rPr>
                <w:sz w:val="12"/>
                <w:szCs w:val="12"/>
                <w:color w:val="auto"/>
              </w:rPr>
            </w:pPr>
          </w:p>
        </w:tc>
      </w:tr>
      <w:tr>
        <w:trPr>
          <w:trHeight w:val="152"/>
        </w:trPr>
        <w:tc>
          <w:tcPr>
            <w:tcW w:w="5780" w:type="dxa"/>
            <w:vAlign w:val="bottom"/>
            <w:shd w:val="clear" w:color="auto" w:fill="939598"/>
          </w:tcPr>
          <w:p>
            <w:pPr>
              <w:spacing w:after="0"/>
              <w:rPr>
                <w:sz w:val="13"/>
                <w:szCs w:val="13"/>
                <w:color w:val="auto"/>
              </w:rPr>
            </w:pPr>
          </w:p>
        </w:tc>
        <w:tc>
          <w:tcPr>
            <w:tcW w:w="3520" w:type="dxa"/>
            <w:vAlign w:val="bottom"/>
            <w:gridSpan w:val="2"/>
            <w:shd w:val="clear" w:color="auto" w:fill="939598"/>
          </w:tcPr>
          <w:p>
            <w:pPr>
              <w:jc w:val="center"/>
              <w:ind w:left="1682"/>
              <w:spacing w:after="0" w:line="152" w:lineRule="exact"/>
              <w:rPr>
                <w:sz w:val="20"/>
                <w:szCs w:val="20"/>
                <w:color w:val="auto"/>
              </w:rPr>
            </w:pPr>
            <w:r>
              <w:rPr>
                <w:rFonts w:ascii="Arial" w:cs="Arial" w:eastAsia="Arial" w:hAnsi="Arial"/>
                <w:sz w:val="14"/>
                <w:szCs w:val="14"/>
                <w:b w:val="1"/>
                <w:bCs w:val="1"/>
                <w:color w:val="FFFFFF"/>
                <w:w w:val="96"/>
              </w:rPr>
              <w:t>and Expected to</w:t>
            </w:r>
          </w:p>
        </w:tc>
        <w:tc>
          <w:tcPr>
            <w:tcW w:w="420" w:type="dxa"/>
            <w:vAlign w:val="bottom"/>
            <w:shd w:val="clear" w:color="auto" w:fill="939598"/>
          </w:tcPr>
          <w:p>
            <w:pPr>
              <w:spacing w:after="0"/>
              <w:rPr>
                <w:sz w:val="13"/>
                <w:szCs w:val="13"/>
                <w:color w:val="auto"/>
              </w:rPr>
            </w:pPr>
          </w:p>
        </w:tc>
        <w:tc>
          <w:tcPr>
            <w:tcW w:w="1000" w:type="dxa"/>
            <w:vAlign w:val="bottom"/>
            <w:shd w:val="clear" w:color="auto" w:fill="939598"/>
          </w:tcPr>
          <w:p>
            <w:pPr>
              <w:jc w:val="right"/>
              <w:ind w:right="219"/>
              <w:spacing w:after="0" w:line="152" w:lineRule="exact"/>
              <w:rPr>
                <w:sz w:val="20"/>
                <w:szCs w:val="20"/>
                <w:color w:val="auto"/>
              </w:rPr>
            </w:pPr>
            <w:r>
              <w:rPr>
                <w:rFonts w:ascii="Arial" w:cs="Arial" w:eastAsia="Arial" w:hAnsi="Arial"/>
                <w:sz w:val="14"/>
                <w:szCs w:val="14"/>
                <w:b w:val="1"/>
                <w:bCs w:val="1"/>
                <w:color w:val="FFFFFF"/>
              </w:rPr>
              <w:t>Options</w:t>
            </w:r>
          </w:p>
        </w:tc>
      </w:tr>
      <w:tr>
        <w:trPr>
          <w:trHeight w:val="176"/>
        </w:trPr>
        <w:tc>
          <w:tcPr>
            <w:tcW w:w="5780" w:type="dxa"/>
            <w:vAlign w:val="bottom"/>
            <w:shd w:val="clear" w:color="auto" w:fill="939598"/>
          </w:tcPr>
          <w:p>
            <w:pPr>
              <w:spacing w:after="0"/>
              <w:rPr>
                <w:sz w:val="15"/>
                <w:szCs w:val="15"/>
                <w:color w:val="auto"/>
              </w:rPr>
            </w:pPr>
          </w:p>
        </w:tc>
        <w:tc>
          <w:tcPr>
            <w:tcW w:w="2200" w:type="dxa"/>
            <w:vAlign w:val="bottom"/>
            <w:shd w:val="clear" w:color="auto" w:fill="939598"/>
          </w:tcPr>
          <w:p>
            <w:pPr>
              <w:spacing w:after="0"/>
              <w:rPr>
                <w:sz w:val="15"/>
                <w:szCs w:val="15"/>
                <w:color w:val="auto"/>
              </w:rPr>
            </w:pPr>
          </w:p>
        </w:tc>
        <w:tc>
          <w:tcPr>
            <w:tcW w:w="1320" w:type="dxa"/>
            <w:vAlign w:val="bottom"/>
            <w:shd w:val="clear" w:color="auto" w:fill="939598"/>
          </w:tcPr>
          <w:p>
            <w:pPr>
              <w:jc w:val="center"/>
              <w:ind w:right="341"/>
              <w:spacing w:after="0"/>
              <w:rPr>
                <w:sz w:val="20"/>
                <w:szCs w:val="20"/>
                <w:color w:val="auto"/>
              </w:rPr>
            </w:pPr>
            <w:r>
              <w:rPr>
                <w:rFonts w:ascii="Arial" w:cs="Arial" w:eastAsia="Arial" w:hAnsi="Arial"/>
                <w:sz w:val="14"/>
                <w:szCs w:val="14"/>
                <w:b w:val="1"/>
                <w:bCs w:val="1"/>
                <w:color w:val="FFFFFF"/>
                <w:w w:val="97"/>
              </w:rPr>
              <w:t>Vest)(a)</w:t>
            </w:r>
          </w:p>
        </w:tc>
        <w:tc>
          <w:tcPr>
            <w:tcW w:w="420" w:type="dxa"/>
            <w:vAlign w:val="bottom"/>
            <w:shd w:val="clear" w:color="auto" w:fill="939598"/>
          </w:tcPr>
          <w:p>
            <w:pPr>
              <w:spacing w:after="0"/>
              <w:rPr>
                <w:sz w:val="15"/>
                <w:szCs w:val="15"/>
                <w:color w:val="auto"/>
              </w:rPr>
            </w:pPr>
          </w:p>
        </w:tc>
        <w:tc>
          <w:tcPr>
            <w:tcW w:w="1000" w:type="dxa"/>
            <w:vAlign w:val="bottom"/>
            <w:shd w:val="clear" w:color="auto" w:fill="939598"/>
          </w:tcPr>
          <w:p>
            <w:pPr>
              <w:jc w:val="right"/>
              <w:ind w:right="99"/>
              <w:spacing w:after="0"/>
              <w:rPr>
                <w:sz w:val="20"/>
                <w:szCs w:val="20"/>
                <w:color w:val="auto"/>
              </w:rPr>
            </w:pPr>
            <w:r>
              <w:rPr>
                <w:rFonts w:ascii="Arial" w:cs="Arial" w:eastAsia="Arial" w:hAnsi="Arial"/>
                <w:sz w:val="14"/>
                <w:szCs w:val="14"/>
                <w:b w:val="1"/>
                <w:bCs w:val="1"/>
                <w:color w:val="FFFFFF"/>
              </w:rPr>
              <w:t>Exercisable</w:t>
            </w:r>
          </w:p>
        </w:tc>
      </w:tr>
      <w:tr>
        <w:trPr>
          <w:trHeight w:val="270"/>
        </w:trPr>
        <w:tc>
          <w:tcPr>
            <w:tcW w:w="5780" w:type="dxa"/>
            <w:vAlign w:val="bottom"/>
          </w:tcPr>
          <w:p>
            <w:pPr>
              <w:spacing w:after="0"/>
              <w:rPr>
                <w:sz w:val="20"/>
                <w:szCs w:val="20"/>
                <w:color w:val="auto"/>
              </w:rPr>
            </w:pPr>
            <w:r>
              <w:rPr>
                <w:rFonts w:ascii="Arial" w:cs="Arial" w:eastAsia="Arial" w:hAnsi="Arial"/>
                <w:sz w:val="18"/>
                <w:szCs w:val="18"/>
                <w:b w:val="1"/>
                <w:bCs w:val="1"/>
                <w:color w:val="auto"/>
              </w:rPr>
              <w:t>Number of outstanding (shares)</w:t>
            </w:r>
          </w:p>
        </w:tc>
        <w:tc>
          <w:tcPr>
            <w:tcW w:w="2200" w:type="dxa"/>
            <w:vAlign w:val="bottom"/>
          </w:tcPr>
          <w:p>
            <w:pPr>
              <w:spacing w:after="0"/>
              <w:rPr>
                <w:sz w:val="23"/>
                <w:szCs w:val="23"/>
                <w:color w:val="auto"/>
              </w:rPr>
            </w:pPr>
          </w:p>
        </w:tc>
        <w:tc>
          <w:tcPr>
            <w:tcW w:w="1320" w:type="dxa"/>
            <w:vAlign w:val="bottom"/>
          </w:tcPr>
          <w:p>
            <w:pPr>
              <w:jc w:val="right"/>
              <w:ind w:right="241"/>
              <w:spacing w:after="0"/>
              <w:rPr>
                <w:sz w:val="20"/>
                <w:szCs w:val="20"/>
                <w:color w:val="auto"/>
              </w:rPr>
            </w:pPr>
            <w:r>
              <w:rPr>
                <w:rFonts w:ascii="Arial" w:cs="Arial" w:eastAsia="Arial" w:hAnsi="Arial"/>
                <w:sz w:val="18"/>
                <w:szCs w:val="18"/>
                <w:b w:val="1"/>
                <w:bCs w:val="1"/>
                <w:color w:val="auto"/>
                <w:w w:val="97"/>
              </w:rPr>
              <w:t>217,155,947</w:t>
            </w:r>
          </w:p>
        </w:tc>
        <w:tc>
          <w:tcPr>
            <w:tcW w:w="4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7"/>
              </w:rPr>
              <w:t>158,893,300</w:t>
            </w:r>
          </w:p>
        </w:tc>
      </w:tr>
      <w:tr>
        <w:trPr>
          <w:trHeight w:val="203"/>
        </w:trPr>
        <w:tc>
          <w:tcPr>
            <w:tcW w:w="5780" w:type="dxa"/>
            <w:vAlign w:val="bottom"/>
            <w:shd w:val="clear" w:color="auto" w:fill="E6E7E7"/>
          </w:tcPr>
          <w:p>
            <w:pPr>
              <w:spacing w:after="0" w:line="202" w:lineRule="exact"/>
              <w:rPr>
                <w:sz w:val="20"/>
                <w:szCs w:val="20"/>
                <w:color w:val="auto"/>
              </w:rPr>
            </w:pPr>
            <w:r>
              <w:rPr>
                <w:rFonts w:ascii="Arial" w:cs="Arial" w:eastAsia="Arial" w:hAnsi="Arial"/>
                <w:sz w:val="18"/>
                <w:szCs w:val="18"/>
                <w:b w:val="1"/>
                <w:bCs w:val="1"/>
                <w:color w:val="auto"/>
              </w:rPr>
              <w:t>Weighted average remaining contractual life</w:t>
            </w:r>
          </w:p>
        </w:tc>
        <w:tc>
          <w:tcPr>
            <w:tcW w:w="2200" w:type="dxa"/>
            <w:vAlign w:val="bottom"/>
            <w:shd w:val="clear" w:color="auto" w:fill="E6E7E7"/>
          </w:tcPr>
          <w:p>
            <w:pPr>
              <w:spacing w:after="0"/>
              <w:rPr>
                <w:sz w:val="17"/>
                <w:szCs w:val="17"/>
                <w:color w:val="auto"/>
              </w:rPr>
            </w:pPr>
          </w:p>
        </w:tc>
        <w:tc>
          <w:tcPr>
            <w:tcW w:w="1320" w:type="dxa"/>
            <w:vAlign w:val="bottom"/>
            <w:shd w:val="clear" w:color="auto" w:fill="E6E7E7"/>
          </w:tcPr>
          <w:p>
            <w:pPr>
              <w:jc w:val="right"/>
              <w:ind w:right="241"/>
              <w:spacing w:after="0" w:line="202" w:lineRule="exact"/>
              <w:rPr>
                <w:sz w:val="20"/>
                <w:szCs w:val="20"/>
                <w:color w:val="auto"/>
              </w:rPr>
            </w:pPr>
            <w:r>
              <w:rPr>
                <w:rFonts w:ascii="Arial" w:cs="Arial" w:eastAsia="Arial" w:hAnsi="Arial"/>
                <w:sz w:val="18"/>
                <w:szCs w:val="18"/>
                <w:b w:val="1"/>
                <w:bCs w:val="1"/>
                <w:color w:val="auto"/>
              </w:rPr>
              <w:t>5.2 years</w:t>
            </w:r>
          </w:p>
        </w:tc>
        <w:tc>
          <w:tcPr>
            <w:tcW w:w="420" w:type="dxa"/>
            <w:vAlign w:val="bottom"/>
            <w:shd w:val="clear" w:color="auto" w:fill="E6E7E7"/>
          </w:tcPr>
          <w:p>
            <w:pPr>
              <w:spacing w:after="0"/>
              <w:rPr>
                <w:sz w:val="17"/>
                <w:szCs w:val="17"/>
                <w:color w:val="auto"/>
              </w:rPr>
            </w:pPr>
          </w:p>
        </w:tc>
        <w:tc>
          <w:tcPr>
            <w:tcW w:w="10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4.2 years</w:t>
            </w: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b w:val="1"/>
                <w:bCs w:val="1"/>
                <w:color w:val="auto"/>
              </w:rPr>
              <w:t>Weighted average exercise price per share</w:t>
            </w:r>
          </w:p>
        </w:tc>
        <w:tc>
          <w:tcPr>
            <w:tcW w:w="2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241"/>
              <w:spacing w:after="0" w:line="202" w:lineRule="exact"/>
              <w:rPr>
                <w:sz w:val="20"/>
                <w:szCs w:val="20"/>
                <w:color w:val="auto"/>
              </w:rPr>
            </w:pPr>
            <w:r>
              <w:rPr>
                <w:rFonts w:ascii="Arial" w:cs="Arial" w:eastAsia="Arial" w:hAnsi="Arial"/>
                <w:sz w:val="18"/>
                <w:szCs w:val="18"/>
                <w:b w:val="1"/>
                <w:bCs w:val="1"/>
                <w:color w:val="auto"/>
              </w:rPr>
              <w:t>28.77</w:t>
            </w:r>
          </w:p>
        </w:tc>
        <w:tc>
          <w:tcPr>
            <w:tcW w:w="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29.78</w:t>
            </w:r>
          </w:p>
        </w:tc>
      </w:tr>
      <w:tr>
        <w:trPr>
          <w:trHeight w:val="203"/>
        </w:trPr>
        <w:tc>
          <w:tcPr>
            <w:tcW w:w="5780" w:type="dxa"/>
            <w:vAlign w:val="bottom"/>
            <w:shd w:val="clear" w:color="auto" w:fill="E6E7E7"/>
          </w:tcPr>
          <w:p>
            <w:pPr>
              <w:spacing w:after="0" w:line="202" w:lineRule="exact"/>
              <w:rPr>
                <w:sz w:val="20"/>
                <w:szCs w:val="20"/>
                <w:color w:val="auto"/>
              </w:rPr>
            </w:pPr>
            <w:r>
              <w:rPr>
                <w:rFonts w:ascii="Arial" w:cs="Arial" w:eastAsia="Arial" w:hAnsi="Arial"/>
                <w:sz w:val="18"/>
                <w:szCs w:val="18"/>
                <w:b w:val="1"/>
                <w:bCs w:val="1"/>
                <w:color w:val="auto"/>
              </w:rPr>
              <w:t>Intrinsic value</w:t>
            </w:r>
          </w:p>
        </w:tc>
        <w:tc>
          <w:tcPr>
            <w:tcW w:w="22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E6E7E7"/>
          </w:tcPr>
          <w:p>
            <w:pPr>
              <w:jc w:val="right"/>
              <w:ind w:right="241"/>
              <w:spacing w:after="0" w:line="202" w:lineRule="exact"/>
              <w:rPr>
                <w:sz w:val="20"/>
                <w:szCs w:val="20"/>
                <w:color w:val="auto"/>
              </w:rPr>
            </w:pPr>
            <w:r>
              <w:rPr>
                <w:rFonts w:ascii="Arial" w:cs="Arial" w:eastAsia="Arial" w:hAnsi="Arial"/>
                <w:sz w:val="18"/>
                <w:szCs w:val="18"/>
                <w:b w:val="1"/>
                <w:bCs w:val="1"/>
                <w:color w:val="auto"/>
              </w:rPr>
              <w:t>1,088</w:t>
            </w:r>
          </w:p>
        </w:tc>
        <w:tc>
          <w:tcPr>
            <w:tcW w:w="4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827</w:t>
            </w:r>
          </w:p>
        </w:tc>
      </w:tr>
    </w:tbl>
    <w:p>
      <w:pPr>
        <w:spacing w:after="0" w:line="202" w:lineRule="exact"/>
        <w:rPr>
          <w:sz w:val="20"/>
          <w:szCs w:val="20"/>
          <w:color w:val="auto"/>
        </w:rPr>
      </w:pPr>
    </w:p>
    <w:p>
      <w:pPr>
        <w:ind w:left="800" w:hanging="346"/>
        <w:spacing w:after="0"/>
        <w:tabs>
          <w:tab w:leader="none" w:pos="8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Includes effects of expected forfeitures.</w:t>
      </w:r>
    </w:p>
    <w:p>
      <w:pPr>
        <w:spacing w:after="0" w:line="153" w:lineRule="exact"/>
        <w:rPr>
          <w:sz w:val="20"/>
          <w:szCs w:val="20"/>
          <w:color w:val="auto"/>
        </w:rPr>
      </w:pPr>
    </w:p>
    <w:p>
      <w:pPr>
        <w:ind w:left="460" w:right="260"/>
        <w:spacing w:after="0" w:line="237" w:lineRule="auto"/>
        <w:rPr>
          <w:sz w:val="20"/>
          <w:szCs w:val="20"/>
          <w:color w:val="auto"/>
        </w:rPr>
      </w:pPr>
      <w:r>
        <w:rPr>
          <w:rFonts w:ascii="Arial" w:cs="Arial" w:eastAsia="Arial" w:hAnsi="Arial"/>
          <w:sz w:val="18"/>
          <w:szCs w:val="18"/>
          <w:color w:val="auto"/>
        </w:rPr>
        <w:t>As of December 31, 2006, the total future compensation cost related to non-vested stock options and RSUs not yet recognized in the statement of income was $371 million and $68 million, with weighted-average periods over which these awards are expected to be recognized of 1.1 years and 1.4 years. Of that total, $231 million, $128 million, $73 million and $7 million will be recognized in 2007, 2008, 2009 and 2010.</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Employee Stock Purchase Plans</w:t>
      </w:r>
    </w:p>
    <w:p>
      <w:pPr>
        <w:spacing w:after="0" w:line="158" w:lineRule="exact"/>
        <w:rPr>
          <w:sz w:val="20"/>
          <w:szCs w:val="20"/>
          <w:color w:val="auto"/>
        </w:rPr>
      </w:pPr>
    </w:p>
    <w:p>
      <w:pPr>
        <w:jc w:val="both"/>
        <w:ind w:left="460" w:right="220"/>
        <w:spacing w:after="0" w:line="281" w:lineRule="auto"/>
        <w:rPr>
          <w:sz w:val="20"/>
          <w:szCs w:val="20"/>
          <w:color w:val="auto"/>
        </w:rPr>
      </w:pPr>
      <w:r>
        <w:rPr>
          <w:rFonts w:ascii="Arial" w:cs="Arial" w:eastAsia="Arial" w:hAnsi="Arial"/>
          <w:sz w:val="16"/>
          <w:szCs w:val="16"/>
          <w:color w:val="auto"/>
        </w:rPr>
        <w:t>Under the TI Employees 2005 Stock Purchase Plan (the 2005 Plan), which replaced the TI Employees 2002 Stock Purchase Plan, options are offered to all eligible employees in amounts based on a percentage of the employee’s compensation. Under the 2005 Plan, the option price per share is 85 percent of the fair market value on the exercise date. Options under the 2005 Plan have a three-month term.</w:t>
      </w:r>
    </w:p>
    <w:p>
      <w:pPr>
        <w:spacing w:after="0" w:line="124" w:lineRule="exact"/>
        <w:rPr>
          <w:sz w:val="20"/>
          <w:szCs w:val="20"/>
          <w:color w:val="auto"/>
        </w:rPr>
      </w:pPr>
    </w:p>
    <w:p>
      <w:pPr>
        <w:ind w:left="460" w:right="140"/>
        <w:spacing w:after="0" w:line="238" w:lineRule="auto"/>
        <w:rPr>
          <w:sz w:val="20"/>
          <w:szCs w:val="20"/>
          <w:color w:val="auto"/>
        </w:rPr>
      </w:pPr>
      <w:r>
        <w:rPr>
          <w:rFonts w:ascii="Arial" w:cs="Arial" w:eastAsia="Arial" w:hAnsi="Arial"/>
          <w:sz w:val="18"/>
          <w:szCs w:val="18"/>
          <w:color w:val="auto"/>
        </w:rPr>
        <w:t>The stock options outstanding under the 2005 Plan at December 31, 2006, had an exercise price of $24.48 per share (85 percent of the fair market value of TI common stock on January 3, 2007, the date of automatic exercise). Of the total outstanding options, none were exercisable at year-end 2006.</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 stock purchase plan transactions during 2006 were as follows:</w:t>
      </w:r>
    </w:p>
    <w:p>
      <w:pPr>
        <w:spacing w:after="0" w:line="166"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8720" w:type="dxa"/>
            <w:vAlign w:val="bottom"/>
            <w:shd w:val="clear" w:color="auto" w:fill="939598"/>
          </w:tcPr>
          <w:p>
            <w:pPr>
              <w:spacing w:after="0"/>
              <w:rPr>
                <w:sz w:val="14"/>
                <w:szCs w:val="14"/>
                <w:color w:val="auto"/>
              </w:rPr>
            </w:pPr>
          </w:p>
        </w:tc>
        <w:tc>
          <w:tcPr>
            <w:tcW w:w="200" w:type="dxa"/>
            <w:vAlign w:val="bottom"/>
            <w:shd w:val="clear" w:color="auto" w:fill="939598"/>
          </w:tcPr>
          <w:p>
            <w:pPr>
              <w:spacing w:after="0"/>
              <w:rPr>
                <w:sz w:val="14"/>
                <w:szCs w:val="14"/>
                <w:color w:val="auto"/>
              </w:rPr>
            </w:pPr>
          </w:p>
        </w:tc>
        <w:tc>
          <w:tcPr>
            <w:tcW w:w="1080" w:type="dxa"/>
            <w:vAlign w:val="bottom"/>
            <w:shd w:val="clear" w:color="auto" w:fill="939598"/>
          </w:tcPr>
          <w:p>
            <w:pPr>
              <w:jc w:val="center"/>
              <w:ind w:right="87"/>
              <w:spacing w:after="0"/>
              <w:rPr>
                <w:sz w:val="20"/>
                <w:szCs w:val="20"/>
                <w:color w:val="auto"/>
              </w:rPr>
            </w:pPr>
            <w:r>
              <w:rPr>
                <w:rFonts w:ascii="Arial" w:cs="Arial" w:eastAsia="Arial" w:hAnsi="Arial"/>
                <w:sz w:val="14"/>
                <w:szCs w:val="14"/>
                <w:b w:val="1"/>
                <w:bCs w:val="1"/>
                <w:color w:val="FFFFFF"/>
                <w:w w:val="96"/>
              </w:rPr>
              <w:t>Employee</w:t>
            </w:r>
          </w:p>
        </w:tc>
        <w:tc>
          <w:tcPr>
            <w:tcW w:w="720" w:type="dxa"/>
            <w:vAlign w:val="bottom"/>
            <w:shd w:val="clear" w:color="auto" w:fill="939598"/>
          </w:tcPr>
          <w:p>
            <w:pPr>
              <w:jc w:val="center"/>
              <w:ind w:left="22"/>
              <w:spacing w:after="0"/>
              <w:rPr>
                <w:sz w:val="20"/>
                <w:szCs w:val="20"/>
                <w:color w:val="auto"/>
              </w:rPr>
            </w:pPr>
            <w:r>
              <w:rPr>
                <w:rFonts w:ascii="Arial" w:cs="Arial" w:eastAsia="Arial" w:hAnsi="Arial"/>
                <w:sz w:val="14"/>
                <w:szCs w:val="14"/>
                <w:b w:val="1"/>
                <w:bCs w:val="1"/>
                <w:color w:val="FFFFFF"/>
                <w:w w:val="98"/>
              </w:rPr>
              <w:t>Weighted</w:t>
            </w:r>
          </w:p>
        </w:tc>
      </w:tr>
      <w:tr>
        <w:trPr>
          <w:trHeight w:val="149"/>
        </w:trPr>
        <w:tc>
          <w:tcPr>
            <w:tcW w:w="8720" w:type="dxa"/>
            <w:vAlign w:val="bottom"/>
            <w:shd w:val="clear" w:color="auto" w:fill="939598"/>
          </w:tcPr>
          <w:p>
            <w:pPr>
              <w:spacing w:after="0"/>
              <w:rPr>
                <w:sz w:val="12"/>
                <w:szCs w:val="12"/>
                <w:color w:val="auto"/>
              </w:rPr>
            </w:pPr>
          </w:p>
        </w:tc>
        <w:tc>
          <w:tcPr>
            <w:tcW w:w="200" w:type="dxa"/>
            <w:vAlign w:val="bottom"/>
            <w:shd w:val="clear" w:color="auto" w:fill="939598"/>
          </w:tcPr>
          <w:p>
            <w:pPr>
              <w:spacing w:after="0"/>
              <w:rPr>
                <w:sz w:val="12"/>
                <w:szCs w:val="12"/>
                <w:color w:val="auto"/>
              </w:rPr>
            </w:pPr>
          </w:p>
        </w:tc>
        <w:tc>
          <w:tcPr>
            <w:tcW w:w="1080" w:type="dxa"/>
            <w:vAlign w:val="bottom"/>
            <w:shd w:val="clear" w:color="auto" w:fill="939598"/>
          </w:tcPr>
          <w:p>
            <w:pPr>
              <w:jc w:val="center"/>
              <w:ind w:right="107"/>
              <w:spacing w:after="0" w:line="149" w:lineRule="exact"/>
              <w:rPr>
                <w:sz w:val="20"/>
                <w:szCs w:val="20"/>
                <w:color w:val="auto"/>
              </w:rPr>
            </w:pPr>
            <w:r>
              <w:rPr>
                <w:rFonts w:ascii="Arial" w:cs="Arial" w:eastAsia="Arial" w:hAnsi="Arial"/>
                <w:sz w:val="14"/>
                <w:szCs w:val="14"/>
                <w:b w:val="1"/>
                <w:bCs w:val="1"/>
                <w:color w:val="FFFFFF"/>
                <w:w w:val="99"/>
              </w:rPr>
              <w:t>Stock</w:t>
            </w:r>
          </w:p>
        </w:tc>
        <w:tc>
          <w:tcPr>
            <w:tcW w:w="720" w:type="dxa"/>
            <w:vAlign w:val="bottom"/>
            <w:shd w:val="clear" w:color="auto" w:fill="939598"/>
          </w:tcPr>
          <w:p>
            <w:pPr>
              <w:jc w:val="center"/>
              <w:ind w:left="22"/>
              <w:spacing w:after="0" w:line="149" w:lineRule="exact"/>
              <w:rPr>
                <w:sz w:val="20"/>
                <w:szCs w:val="20"/>
                <w:color w:val="auto"/>
              </w:rPr>
            </w:pPr>
            <w:r>
              <w:rPr>
                <w:rFonts w:ascii="Arial" w:cs="Arial" w:eastAsia="Arial" w:hAnsi="Arial"/>
                <w:sz w:val="14"/>
                <w:szCs w:val="14"/>
                <w:b w:val="1"/>
                <w:bCs w:val="1"/>
                <w:color w:val="FFFFFF"/>
                <w:w w:val="97"/>
              </w:rPr>
              <w:t>Average</w:t>
            </w:r>
          </w:p>
        </w:tc>
      </w:tr>
      <w:tr>
        <w:trPr>
          <w:trHeight w:val="149"/>
        </w:trPr>
        <w:tc>
          <w:tcPr>
            <w:tcW w:w="8720" w:type="dxa"/>
            <w:vAlign w:val="bottom"/>
            <w:shd w:val="clear" w:color="auto" w:fill="939598"/>
          </w:tcPr>
          <w:p>
            <w:pPr>
              <w:spacing w:after="0"/>
              <w:rPr>
                <w:sz w:val="12"/>
                <w:szCs w:val="12"/>
                <w:color w:val="auto"/>
              </w:rPr>
            </w:pPr>
          </w:p>
        </w:tc>
        <w:tc>
          <w:tcPr>
            <w:tcW w:w="1280" w:type="dxa"/>
            <w:vAlign w:val="bottom"/>
            <w:gridSpan w:val="2"/>
            <w:shd w:val="clear" w:color="auto" w:fill="939598"/>
          </w:tcPr>
          <w:p>
            <w:pPr>
              <w:jc w:val="center"/>
              <w:spacing w:after="0" w:line="149" w:lineRule="exact"/>
              <w:rPr>
                <w:sz w:val="20"/>
                <w:szCs w:val="20"/>
                <w:color w:val="auto"/>
              </w:rPr>
            </w:pPr>
            <w:r>
              <w:rPr>
                <w:rFonts w:ascii="Arial" w:cs="Arial" w:eastAsia="Arial" w:hAnsi="Arial"/>
                <w:sz w:val="14"/>
                <w:szCs w:val="14"/>
                <w:b w:val="1"/>
                <w:bCs w:val="1"/>
                <w:color w:val="FFFFFF"/>
                <w:w w:val="97"/>
              </w:rPr>
              <w:t>Purchase Plan</w:t>
            </w:r>
          </w:p>
        </w:tc>
        <w:tc>
          <w:tcPr>
            <w:tcW w:w="720" w:type="dxa"/>
            <w:vAlign w:val="bottom"/>
            <w:shd w:val="clear" w:color="auto" w:fill="939598"/>
          </w:tcPr>
          <w:p>
            <w:pPr>
              <w:jc w:val="center"/>
              <w:ind w:left="22"/>
              <w:spacing w:after="0" w:line="149" w:lineRule="exact"/>
              <w:rPr>
                <w:sz w:val="20"/>
                <w:szCs w:val="20"/>
                <w:color w:val="auto"/>
              </w:rPr>
            </w:pPr>
            <w:r>
              <w:rPr>
                <w:rFonts w:ascii="Arial" w:cs="Arial" w:eastAsia="Arial" w:hAnsi="Arial"/>
                <w:sz w:val="14"/>
                <w:szCs w:val="14"/>
                <w:b w:val="1"/>
                <w:bCs w:val="1"/>
                <w:color w:val="FFFFFF"/>
                <w:w w:val="93"/>
              </w:rPr>
              <w:t>Exercise</w:t>
            </w:r>
          </w:p>
        </w:tc>
      </w:tr>
      <w:tr>
        <w:trPr>
          <w:trHeight w:val="165"/>
        </w:trPr>
        <w:tc>
          <w:tcPr>
            <w:tcW w:w="8720" w:type="dxa"/>
            <w:vAlign w:val="bottom"/>
            <w:shd w:val="clear" w:color="auto" w:fill="939598"/>
          </w:tcPr>
          <w:p>
            <w:pPr>
              <w:spacing w:after="0"/>
              <w:rPr>
                <w:sz w:val="14"/>
                <w:szCs w:val="14"/>
                <w:color w:val="auto"/>
              </w:rPr>
            </w:pPr>
          </w:p>
        </w:tc>
        <w:tc>
          <w:tcPr>
            <w:tcW w:w="200" w:type="dxa"/>
            <w:vAlign w:val="bottom"/>
            <w:shd w:val="clear" w:color="auto" w:fill="939598"/>
          </w:tcPr>
          <w:p>
            <w:pPr>
              <w:spacing w:after="0"/>
              <w:rPr>
                <w:sz w:val="14"/>
                <w:szCs w:val="14"/>
                <w:color w:val="auto"/>
              </w:rPr>
            </w:pPr>
          </w:p>
        </w:tc>
        <w:tc>
          <w:tcPr>
            <w:tcW w:w="1080" w:type="dxa"/>
            <w:vAlign w:val="bottom"/>
            <w:shd w:val="clear" w:color="auto" w:fill="939598"/>
          </w:tcPr>
          <w:p>
            <w:pPr>
              <w:jc w:val="center"/>
              <w:ind w:right="107"/>
              <w:spacing w:after="0"/>
              <w:rPr>
                <w:sz w:val="20"/>
                <w:szCs w:val="20"/>
                <w:color w:val="auto"/>
              </w:rPr>
            </w:pPr>
            <w:r>
              <w:rPr>
                <w:rFonts w:ascii="Arial" w:cs="Arial" w:eastAsia="Arial" w:hAnsi="Arial"/>
                <w:sz w:val="14"/>
                <w:szCs w:val="14"/>
                <w:b w:val="1"/>
                <w:bCs w:val="1"/>
                <w:color w:val="FFFFFF"/>
                <w:w w:val="97"/>
              </w:rPr>
              <w:t>(shares)(a)</w:t>
            </w:r>
          </w:p>
        </w:tc>
        <w:tc>
          <w:tcPr>
            <w:tcW w:w="720" w:type="dxa"/>
            <w:vAlign w:val="bottom"/>
            <w:shd w:val="clear" w:color="auto" w:fill="939598"/>
          </w:tcPr>
          <w:p>
            <w:pPr>
              <w:jc w:val="center"/>
              <w:ind w:left="22"/>
              <w:spacing w:after="0"/>
              <w:rPr>
                <w:sz w:val="20"/>
                <w:szCs w:val="20"/>
                <w:color w:val="auto"/>
              </w:rPr>
            </w:pPr>
            <w:r>
              <w:rPr>
                <w:rFonts w:ascii="Arial" w:cs="Arial" w:eastAsia="Arial" w:hAnsi="Arial"/>
                <w:sz w:val="14"/>
                <w:szCs w:val="14"/>
                <w:b w:val="1"/>
                <w:bCs w:val="1"/>
                <w:color w:val="FFFFFF"/>
                <w:w w:val="99"/>
              </w:rPr>
              <w:t>Price</w:t>
            </w: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Outstanding grants, December 31, 2005</w:t>
            </w:r>
          </w:p>
        </w:tc>
        <w:tc>
          <w:tcPr>
            <w:tcW w:w="1280" w:type="dxa"/>
            <w:vAlign w:val="bottom"/>
            <w:gridSpan w:val="2"/>
          </w:tcPr>
          <w:p>
            <w:pPr>
              <w:jc w:val="right"/>
              <w:ind w:right="87"/>
              <w:spacing w:after="0" w:line="202" w:lineRule="exact"/>
              <w:rPr>
                <w:sz w:val="20"/>
                <w:szCs w:val="20"/>
                <w:color w:val="auto"/>
              </w:rPr>
            </w:pPr>
            <w:r>
              <w:rPr>
                <w:rFonts w:ascii="Arial" w:cs="Arial" w:eastAsia="Arial" w:hAnsi="Arial"/>
                <w:sz w:val="18"/>
                <w:szCs w:val="18"/>
                <w:color w:val="auto"/>
              </w:rPr>
              <w:t>537,979</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$ 27.82</w:t>
            </w:r>
          </w:p>
        </w:tc>
      </w:tr>
      <w:tr>
        <w:trPr>
          <w:trHeight w:val="203"/>
        </w:trPr>
        <w:tc>
          <w:tcPr>
            <w:tcW w:w="8720" w:type="dxa"/>
            <w:vAlign w:val="bottom"/>
            <w:shd w:val="clear" w:color="auto" w:fill="E6E7E7"/>
          </w:tcPr>
          <w:p>
            <w:pPr>
              <w:spacing w:after="0" w:line="202" w:lineRule="exact"/>
              <w:rPr>
                <w:sz w:val="20"/>
                <w:szCs w:val="20"/>
                <w:color w:val="auto"/>
              </w:rPr>
            </w:pPr>
            <w:r>
              <w:rPr>
                <w:rFonts w:ascii="Arial" w:cs="Arial" w:eastAsia="Arial" w:hAnsi="Arial"/>
                <w:sz w:val="18"/>
                <w:szCs w:val="18"/>
                <w:b w:val="1"/>
                <w:bCs w:val="1"/>
                <w:color w:val="auto"/>
              </w:rPr>
              <w:t>Granted</w:t>
            </w:r>
          </w:p>
        </w:tc>
        <w:tc>
          <w:tcPr>
            <w:tcW w:w="1280" w:type="dxa"/>
            <w:vAlign w:val="bottom"/>
            <w:gridSpan w:val="2"/>
            <w:shd w:val="clear" w:color="auto" w:fill="E6E7E7"/>
          </w:tcPr>
          <w:p>
            <w:pPr>
              <w:jc w:val="right"/>
              <w:ind w:right="87"/>
              <w:spacing w:after="0" w:line="202" w:lineRule="exact"/>
              <w:rPr>
                <w:sz w:val="20"/>
                <w:szCs w:val="20"/>
                <w:color w:val="auto"/>
              </w:rPr>
            </w:pPr>
            <w:r>
              <w:rPr>
                <w:rFonts w:ascii="Arial" w:cs="Arial" w:eastAsia="Arial" w:hAnsi="Arial"/>
                <w:sz w:val="18"/>
                <w:szCs w:val="18"/>
                <w:b w:val="1"/>
                <w:bCs w:val="1"/>
                <w:color w:val="auto"/>
              </w:rPr>
              <w:t>2,247,127</w:t>
            </w:r>
          </w:p>
        </w:tc>
        <w:tc>
          <w:tcPr>
            <w:tcW w:w="7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26.54</w:t>
            </w:r>
          </w:p>
        </w:tc>
      </w:tr>
      <w:tr>
        <w:trPr>
          <w:trHeight w:val="203"/>
        </w:trPr>
        <w:tc>
          <w:tcPr>
            <w:tcW w:w="8720" w:type="dxa"/>
            <w:vAlign w:val="bottom"/>
            <w:tcBorders>
              <w:bottom w:val="single" w:sz="8" w:color="E6E7E7"/>
            </w:tcBorders>
          </w:tcPr>
          <w:p>
            <w:pPr>
              <w:spacing w:after="0" w:line="202" w:lineRule="exact"/>
              <w:rPr>
                <w:sz w:val="20"/>
                <w:szCs w:val="20"/>
                <w:color w:val="auto"/>
              </w:rPr>
            </w:pPr>
            <w:r>
              <w:rPr>
                <w:rFonts w:ascii="Arial" w:cs="Arial" w:eastAsia="Arial" w:hAnsi="Arial"/>
                <w:sz w:val="18"/>
                <w:szCs w:val="18"/>
                <w:b w:val="1"/>
                <w:bCs w:val="1"/>
                <w:color w:val="auto"/>
              </w:rPr>
              <w:t>Exercised</w:t>
            </w:r>
          </w:p>
        </w:tc>
        <w:tc>
          <w:tcPr>
            <w:tcW w:w="200" w:type="dxa"/>
            <w:vAlign w:val="bottom"/>
            <w:tcBorders>
              <w:bottom w:val="single" w:sz="8" w:color="E6E7E7"/>
            </w:tcBorders>
          </w:tcPr>
          <w:p>
            <w:pPr>
              <w:spacing w:after="0"/>
              <w:rPr>
                <w:sz w:val="17"/>
                <w:szCs w:val="17"/>
                <w:color w:val="auto"/>
              </w:rPr>
            </w:pPr>
          </w:p>
        </w:tc>
        <w:tc>
          <w:tcPr>
            <w:tcW w:w="1080" w:type="dxa"/>
            <w:vAlign w:val="bottom"/>
            <w:tcBorders>
              <w:bottom w:val="single" w:sz="8" w:color="auto"/>
            </w:tcBorders>
          </w:tcPr>
          <w:p>
            <w:pPr>
              <w:jc w:val="right"/>
              <w:ind w:right="27"/>
              <w:spacing w:after="0" w:line="202" w:lineRule="exact"/>
              <w:rPr>
                <w:sz w:val="20"/>
                <w:szCs w:val="20"/>
                <w:color w:val="auto"/>
              </w:rPr>
            </w:pPr>
            <w:r>
              <w:rPr>
                <w:rFonts w:ascii="Arial" w:cs="Arial" w:eastAsia="Arial" w:hAnsi="Arial"/>
                <w:sz w:val="18"/>
                <w:szCs w:val="18"/>
                <w:b w:val="1"/>
                <w:bCs w:val="1"/>
                <w:color w:val="auto"/>
              </w:rPr>
              <w:t>(2,163,868)</w:t>
            </w: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27.45</w:t>
            </w:r>
          </w:p>
        </w:tc>
      </w:tr>
      <w:tr>
        <w:trPr>
          <w:trHeight w:val="210"/>
        </w:trPr>
        <w:tc>
          <w:tcPr>
            <w:tcW w:w="8720" w:type="dxa"/>
            <w:vAlign w:val="bottom"/>
            <w:shd w:val="clear" w:color="auto" w:fill="E6E7E7"/>
          </w:tcPr>
          <w:p>
            <w:pPr>
              <w:spacing w:after="0"/>
              <w:rPr>
                <w:sz w:val="20"/>
                <w:szCs w:val="20"/>
                <w:color w:val="auto"/>
              </w:rPr>
            </w:pPr>
            <w:r>
              <w:rPr>
                <w:rFonts w:ascii="Arial" w:cs="Arial" w:eastAsia="Arial" w:hAnsi="Arial"/>
                <w:sz w:val="18"/>
                <w:szCs w:val="18"/>
                <w:b w:val="1"/>
                <w:bCs w:val="1"/>
                <w:color w:val="auto"/>
              </w:rPr>
              <w:t>Outstanding grants, December 31, 2006</w:t>
            </w:r>
          </w:p>
        </w:tc>
        <w:tc>
          <w:tcPr>
            <w:tcW w:w="1280" w:type="dxa"/>
            <w:vAlign w:val="bottom"/>
            <w:gridSpan w:val="2"/>
            <w:shd w:val="clear" w:color="auto" w:fill="E6E7E7"/>
          </w:tcPr>
          <w:p>
            <w:pPr>
              <w:jc w:val="right"/>
              <w:ind w:right="87"/>
              <w:spacing w:after="0"/>
              <w:rPr>
                <w:sz w:val="20"/>
                <w:szCs w:val="20"/>
                <w:color w:val="auto"/>
              </w:rPr>
            </w:pPr>
            <w:r>
              <w:rPr>
                <w:rFonts w:ascii="Arial" w:cs="Arial" w:eastAsia="Arial" w:hAnsi="Arial"/>
                <w:sz w:val="18"/>
                <w:szCs w:val="18"/>
                <w:b w:val="1"/>
                <w:bCs w:val="1"/>
                <w:color w:val="auto"/>
              </w:rPr>
              <w:t>621,238</w:t>
            </w:r>
          </w:p>
        </w:tc>
        <w:tc>
          <w:tcPr>
            <w:tcW w:w="720" w:type="dxa"/>
            <w:vAlign w:val="bottom"/>
            <w:shd w:val="clear" w:color="auto" w:fill="E6E7E7"/>
          </w:tcPr>
          <w:p>
            <w:pPr>
              <w:jc w:val="right"/>
              <w:spacing w:after="0"/>
              <w:rPr>
                <w:sz w:val="20"/>
                <w:szCs w:val="20"/>
                <w:color w:val="auto"/>
              </w:rPr>
            </w:pPr>
            <w:r>
              <w:rPr>
                <w:rFonts w:ascii="Arial" w:cs="Arial" w:eastAsia="Arial" w:hAnsi="Arial"/>
                <w:sz w:val="18"/>
                <w:szCs w:val="18"/>
                <w:b w:val="1"/>
                <w:bCs w:val="1"/>
                <w:color w:val="auto"/>
              </w:rPr>
              <w:t>$ 24.48</w:t>
            </w:r>
          </w:p>
        </w:tc>
      </w:tr>
      <w:tr>
        <w:trPr>
          <w:trHeight w:val="20"/>
        </w:trPr>
        <w:tc>
          <w:tcPr>
            <w:tcW w:w="8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800" w:hanging="346"/>
        <w:spacing w:after="0"/>
        <w:tabs>
          <w:tab w:leader="none" w:pos="8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Excludes options offered but not granted.</w:t>
      </w:r>
    </w:p>
    <w:p>
      <w:pPr>
        <w:spacing w:after="0" w:line="153" w:lineRule="exact"/>
        <w:rPr>
          <w:sz w:val="20"/>
          <w:szCs w:val="20"/>
          <w:color w:val="auto"/>
        </w:rPr>
      </w:pPr>
    </w:p>
    <w:p>
      <w:pPr>
        <w:ind w:left="460"/>
        <w:spacing w:after="0" w:line="239" w:lineRule="auto"/>
        <w:rPr>
          <w:sz w:val="20"/>
          <w:szCs w:val="20"/>
          <w:color w:val="auto"/>
        </w:rPr>
      </w:pPr>
      <w:r>
        <w:rPr>
          <w:rFonts w:ascii="Arial" w:cs="Arial" w:eastAsia="Arial" w:hAnsi="Arial"/>
          <w:sz w:val="18"/>
          <w:szCs w:val="18"/>
          <w:color w:val="auto"/>
        </w:rPr>
        <w:t>During the year ended December 31, 2006 and 2005, the total intrinsic value of options exercised under these plans was $10 million and $59 million.</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Effect on Shares Outstanding and Treasury Shares</w:t>
      </w:r>
    </w:p>
    <w:p>
      <w:pPr>
        <w:spacing w:after="0" w:line="158" w:lineRule="exact"/>
        <w:rPr>
          <w:sz w:val="20"/>
          <w:szCs w:val="20"/>
          <w:color w:val="auto"/>
        </w:rPr>
      </w:pPr>
    </w:p>
    <w:p>
      <w:pPr>
        <w:jc w:val="both"/>
        <w:ind w:left="460" w:right="260"/>
        <w:spacing w:after="0" w:line="238" w:lineRule="auto"/>
        <w:rPr>
          <w:sz w:val="20"/>
          <w:szCs w:val="20"/>
          <w:color w:val="auto"/>
        </w:rPr>
      </w:pPr>
      <w:r>
        <w:rPr>
          <w:rFonts w:ascii="Arial" w:cs="Arial" w:eastAsia="Arial" w:hAnsi="Arial"/>
          <w:sz w:val="18"/>
          <w:szCs w:val="18"/>
          <w:color w:val="auto"/>
        </w:rPr>
        <w:t>Stock option plan exercises were settled using previously unissued shares of 49,100 shares, 53,855 shares and 416,961 shares for 2006, 2005 and 2004. They also were settled using treasury shares of 26,602,306 shares, 31,997,416 shares and 15,488,357 shares for 2006, 2005 and 2004.</w:t>
      </w:r>
    </w:p>
    <w:p>
      <w:pPr>
        <w:spacing w:after="0" w:line="154" w:lineRule="exact"/>
        <w:rPr>
          <w:sz w:val="20"/>
          <w:szCs w:val="20"/>
          <w:color w:val="auto"/>
        </w:rPr>
      </w:pPr>
    </w:p>
    <w:p>
      <w:pPr>
        <w:ind w:left="460" w:right="120"/>
        <w:spacing w:after="0" w:line="238" w:lineRule="auto"/>
        <w:rPr>
          <w:sz w:val="20"/>
          <w:szCs w:val="20"/>
          <w:color w:val="auto"/>
        </w:rPr>
      </w:pPr>
      <w:r>
        <w:rPr>
          <w:rFonts w:ascii="Arial" w:cs="Arial" w:eastAsia="Arial" w:hAnsi="Arial"/>
          <w:sz w:val="18"/>
          <w:szCs w:val="18"/>
          <w:color w:val="auto"/>
        </w:rPr>
        <w:t>Previously unissued common shares issued for RSUs in 2006, 2005 and 2004 were 279,082 shares, 570,042 shares and 402,009 shares. Treasury shares issued upon vesting of RSUs were 128,578 shares in 2006. No treasury shares were issued upon vesting of RSUs in 2005 and 2004.</w:t>
      </w:r>
    </w:p>
    <w:p>
      <w:pPr>
        <w:sectPr>
          <w:pgSz w:w="11900" w:h="16838" w:orient="portrait"/>
          <w:cols w:equalWidth="0" w:num="1">
            <w:col w:w="11400"/>
          </w:cols>
          <w:pgMar w:left="240" w:top="287" w:right="259" w:bottom="1440" w:gutter="0" w:footer="0" w:header="0"/>
        </w:sectPr>
      </w:pPr>
    </w:p>
    <w:bookmarkStart w:id="74" w:name="page75"/>
    <w:bookmarkEnd w:id="74"/>
    <w:p>
      <w:pPr>
        <w:jc w:val="right"/>
        <w:spacing w:after="0"/>
        <w:tabs>
          <w:tab w:leader="none" w:pos="12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2006 ANNUAL REPORT</w:t>
      </w:r>
      <w:r>
        <w:rPr>
          <w:sz w:val="20"/>
          <w:szCs w:val="20"/>
          <w:color w:val="auto"/>
        </w:rPr>
        <w:tab/>
      </w:r>
      <w:r>
        <w:rPr>
          <w:rFonts w:ascii="Arial" w:cs="Arial" w:eastAsia="Arial" w:hAnsi="Arial"/>
          <w:sz w:val="12"/>
          <w:szCs w:val="12"/>
          <w:color w:val="939598"/>
        </w:rPr>
        <w:t>25</w:t>
      </w:r>
    </w:p>
    <w:p>
      <w:pPr>
        <w:spacing w:after="0" w:line="14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Shares available for future grant and reserved for issuance are summarized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20" w:type="dxa"/>
            <w:vAlign w:val="bottom"/>
          </w:tcPr>
          <w:p>
            <w:pPr>
              <w:spacing w:after="0"/>
              <w:rPr>
                <w:sz w:val="15"/>
                <w:szCs w:val="15"/>
                <w:color w:val="auto"/>
              </w:rPr>
            </w:pPr>
          </w:p>
        </w:tc>
        <w:tc>
          <w:tcPr>
            <w:tcW w:w="5800" w:type="dxa"/>
            <w:vAlign w:val="bottom"/>
            <w:gridSpan w:val="2"/>
          </w:tcPr>
          <w:p>
            <w:pPr>
              <w:jc w:val="right"/>
              <w:ind w:right="504"/>
              <w:spacing w:after="0"/>
              <w:rPr>
                <w:sz w:val="20"/>
                <w:szCs w:val="20"/>
                <w:color w:val="auto"/>
              </w:rPr>
            </w:pPr>
            <w:r>
              <w:rPr>
                <w:rFonts w:ascii="Arial" w:cs="Arial" w:eastAsia="Arial" w:hAnsi="Arial"/>
                <w:sz w:val="14"/>
                <w:szCs w:val="14"/>
                <w:b w:val="1"/>
                <w:bCs w:val="1"/>
                <w:color w:val="939598"/>
              </w:rPr>
              <w:t>AS OF DECEMBER 31, 2006</w:t>
            </w:r>
          </w:p>
        </w:tc>
      </w:tr>
      <w:tr>
        <w:trPr>
          <w:trHeight w:val="28"/>
        </w:trPr>
        <w:tc>
          <w:tcPr>
            <w:tcW w:w="49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32"/>
        </w:trPr>
        <w:tc>
          <w:tcPr>
            <w:tcW w:w="4920" w:type="dxa"/>
            <w:vAlign w:val="bottom"/>
            <w:shd w:val="clear" w:color="auto" w:fill="939598"/>
          </w:tcPr>
          <w:p>
            <w:pPr>
              <w:spacing w:after="0"/>
              <w:rPr>
                <w:sz w:val="11"/>
                <w:szCs w:val="11"/>
                <w:color w:val="auto"/>
              </w:rPr>
            </w:pPr>
          </w:p>
        </w:tc>
        <w:tc>
          <w:tcPr>
            <w:tcW w:w="4380" w:type="dxa"/>
            <w:vAlign w:val="bottom"/>
            <w:shd w:val="clear" w:color="auto" w:fill="939598"/>
          </w:tcPr>
          <w:p>
            <w:pPr>
              <w:jc w:val="right"/>
              <w:ind w:right="146"/>
              <w:spacing w:after="0" w:line="132" w:lineRule="exact"/>
              <w:rPr>
                <w:sz w:val="20"/>
                <w:szCs w:val="20"/>
                <w:color w:val="auto"/>
              </w:rPr>
            </w:pPr>
            <w:r>
              <w:rPr>
                <w:rFonts w:ascii="Arial" w:cs="Arial" w:eastAsia="Arial" w:hAnsi="Arial"/>
                <w:sz w:val="14"/>
                <w:szCs w:val="14"/>
                <w:b w:val="1"/>
                <w:bCs w:val="1"/>
                <w:color w:val="FFFFFF"/>
              </w:rPr>
              <w:t>Long-term Incentive</w:t>
            </w:r>
          </w:p>
        </w:tc>
        <w:tc>
          <w:tcPr>
            <w:tcW w:w="1420" w:type="dxa"/>
            <w:vAlign w:val="bottom"/>
            <w:shd w:val="clear" w:color="auto" w:fill="939598"/>
          </w:tcPr>
          <w:p>
            <w:pPr>
              <w:jc w:val="right"/>
              <w:spacing w:after="0" w:line="132" w:lineRule="exact"/>
              <w:rPr>
                <w:sz w:val="20"/>
                <w:szCs w:val="20"/>
                <w:color w:val="auto"/>
              </w:rPr>
            </w:pPr>
            <w:r>
              <w:rPr>
                <w:rFonts w:ascii="Arial" w:cs="Arial" w:eastAsia="Arial" w:hAnsi="Arial"/>
                <w:sz w:val="14"/>
                <w:szCs w:val="14"/>
                <w:b w:val="1"/>
                <w:bCs w:val="1"/>
                <w:color w:val="FFFFFF"/>
              </w:rPr>
              <w:t>TI Employees 2005</w:t>
            </w:r>
          </w:p>
        </w:tc>
      </w:tr>
      <w:tr>
        <w:trPr>
          <w:trHeight w:val="149"/>
        </w:trPr>
        <w:tc>
          <w:tcPr>
            <w:tcW w:w="4920" w:type="dxa"/>
            <w:vAlign w:val="bottom"/>
            <w:shd w:val="clear" w:color="auto" w:fill="939598"/>
          </w:tcPr>
          <w:p>
            <w:pPr>
              <w:spacing w:after="0"/>
              <w:rPr>
                <w:sz w:val="12"/>
                <w:szCs w:val="12"/>
                <w:color w:val="auto"/>
              </w:rPr>
            </w:pPr>
          </w:p>
        </w:tc>
        <w:tc>
          <w:tcPr>
            <w:tcW w:w="4380" w:type="dxa"/>
            <w:vAlign w:val="bottom"/>
            <w:shd w:val="clear" w:color="auto" w:fill="939598"/>
          </w:tcPr>
          <w:p>
            <w:pPr>
              <w:jc w:val="right"/>
              <w:ind w:right="386"/>
              <w:spacing w:after="0" w:line="149" w:lineRule="exact"/>
              <w:rPr>
                <w:sz w:val="20"/>
                <w:szCs w:val="20"/>
                <w:color w:val="auto"/>
              </w:rPr>
            </w:pPr>
            <w:r>
              <w:rPr>
                <w:rFonts w:ascii="Arial" w:cs="Arial" w:eastAsia="Arial" w:hAnsi="Arial"/>
                <w:sz w:val="14"/>
                <w:szCs w:val="14"/>
                <w:b w:val="1"/>
                <w:bCs w:val="1"/>
                <w:color w:val="FFFFFF"/>
              </w:rPr>
              <w:t>and Director</w:t>
            </w:r>
          </w:p>
        </w:tc>
        <w:tc>
          <w:tcPr>
            <w:tcW w:w="1420" w:type="dxa"/>
            <w:vAlign w:val="bottom"/>
            <w:shd w:val="clear" w:color="auto" w:fill="939598"/>
          </w:tcPr>
          <w:p>
            <w:pPr>
              <w:jc w:val="right"/>
              <w:ind w:right="24"/>
              <w:spacing w:after="0" w:line="149" w:lineRule="exact"/>
              <w:rPr>
                <w:sz w:val="20"/>
                <w:szCs w:val="20"/>
                <w:color w:val="auto"/>
              </w:rPr>
            </w:pPr>
            <w:r>
              <w:rPr>
                <w:rFonts w:ascii="Arial" w:cs="Arial" w:eastAsia="Arial" w:hAnsi="Arial"/>
                <w:sz w:val="14"/>
                <w:szCs w:val="14"/>
                <w:b w:val="1"/>
                <w:bCs w:val="1"/>
                <w:color w:val="FFFFFF"/>
              </w:rPr>
              <w:t>Stock Purchase</w:t>
            </w:r>
          </w:p>
        </w:tc>
      </w:tr>
      <w:tr>
        <w:trPr>
          <w:trHeight w:val="165"/>
        </w:trPr>
        <w:tc>
          <w:tcPr>
            <w:tcW w:w="4920" w:type="dxa"/>
            <w:vAlign w:val="bottom"/>
            <w:shd w:val="clear" w:color="auto" w:fill="939598"/>
          </w:tcPr>
          <w:p>
            <w:pPr>
              <w:spacing w:after="0"/>
              <w:rPr>
                <w:sz w:val="20"/>
                <w:szCs w:val="20"/>
                <w:color w:val="auto"/>
              </w:rPr>
            </w:pPr>
            <w:r>
              <w:rPr>
                <w:rFonts w:ascii="Arial" w:cs="Arial" w:eastAsia="Arial" w:hAnsi="Arial"/>
                <w:sz w:val="14"/>
                <w:szCs w:val="14"/>
                <w:b w:val="1"/>
                <w:bCs w:val="1"/>
                <w:color w:val="FFFFFF"/>
              </w:rPr>
              <w:t>Shares</w:t>
            </w:r>
          </w:p>
        </w:tc>
        <w:tc>
          <w:tcPr>
            <w:tcW w:w="4380" w:type="dxa"/>
            <w:vAlign w:val="bottom"/>
            <w:shd w:val="clear" w:color="auto" w:fill="939598"/>
          </w:tcPr>
          <w:p>
            <w:pPr>
              <w:jc w:val="right"/>
              <w:ind w:right="126"/>
              <w:spacing w:after="0"/>
              <w:rPr>
                <w:sz w:val="20"/>
                <w:szCs w:val="20"/>
                <w:color w:val="auto"/>
              </w:rPr>
            </w:pPr>
            <w:r>
              <w:rPr>
                <w:rFonts w:ascii="Arial" w:cs="Arial" w:eastAsia="Arial" w:hAnsi="Arial"/>
                <w:sz w:val="14"/>
                <w:szCs w:val="14"/>
                <w:b w:val="1"/>
                <w:bCs w:val="1"/>
                <w:color w:val="FFFFFF"/>
              </w:rPr>
              <w:t>Compensation Plans</w:t>
            </w:r>
          </w:p>
        </w:tc>
        <w:tc>
          <w:tcPr>
            <w:tcW w:w="1420" w:type="dxa"/>
            <w:vAlign w:val="bottom"/>
            <w:shd w:val="clear" w:color="auto" w:fill="939598"/>
          </w:tcPr>
          <w:p>
            <w:pPr>
              <w:jc w:val="right"/>
              <w:ind w:right="384"/>
              <w:spacing w:after="0"/>
              <w:rPr>
                <w:sz w:val="20"/>
                <w:szCs w:val="20"/>
                <w:color w:val="auto"/>
              </w:rPr>
            </w:pPr>
            <w:r>
              <w:rPr>
                <w:rFonts w:ascii="Arial" w:cs="Arial" w:eastAsia="Arial" w:hAnsi="Arial"/>
                <w:sz w:val="14"/>
                <w:szCs w:val="14"/>
                <w:b w:val="1"/>
                <w:bCs w:val="1"/>
                <w:color w:val="FFFFFF"/>
              </w:rPr>
              <w:t>Plan</w:t>
            </w:r>
          </w:p>
        </w:tc>
      </w:tr>
      <w:tr>
        <w:trPr>
          <w:trHeight w:val="270"/>
        </w:trPr>
        <w:tc>
          <w:tcPr>
            <w:tcW w:w="4920" w:type="dxa"/>
            <w:vAlign w:val="bottom"/>
          </w:tcPr>
          <w:p>
            <w:pPr>
              <w:spacing w:after="0"/>
              <w:rPr>
                <w:sz w:val="20"/>
                <w:szCs w:val="20"/>
                <w:color w:val="auto"/>
              </w:rPr>
            </w:pPr>
            <w:r>
              <w:rPr>
                <w:rFonts w:ascii="Arial" w:cs="Arial" w:eastAsia="Arial" w:hAnsi="Arial"/>
                <w:sz w:val="18"/>
                <w:szCs w:val="18"/>
                <w:b w:val="1"/>
                <w:bCs w:val="1"/>
                <w:color w:val="auto"/>
              </w:rPr>
              <w:t>Available for future grant</w:t>
            </w:r>
          </w:p>
        </w:tc>
        <w:tc>
          <w:tcPr>
            <w:tcW w:w="4380" w:type="dxa"/>
            <w:vAlign w:val="bottom"/>
          </w:tcPr>
          <w:p>
            <w:pPr>
              <w:jc w:val="right"/>
              <w:ind w:right="126"/>
              <w:spacing w:after="0"/>
              <w:rPr>
                <w:sz w:val="20"/>
                <w:szCs w:val="20"/>
                <w:color w:val="auto"/>
              </w:rPr>
            </w:pPr>
            <w:r>
              <w:rPr>
                <w:rFonts w:ascii="Arial" w:cs="Arial" w:eastAsia="Arial" w:hAnsi="Arial"/>
                <w:sz w:val="18"/>
                <w:szCs w:val="18"/>
                <w:b w:val="1"/>
                <w:bCs w:val="1"/>
                <w:color w:val="auto"/>
              </w:rPr>
              <w:t>225,115,613</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40,137,992</w:t>
            </w:r>
          </w:p>
        </w:tc>
      </w:tr>
      <w:tr>
        <w:trPr>
          <w:trHeight w:val="203"/>
        </w:trPr>
        <w:tc>
          <w:tcPr>
            <w:tcW w:w="4920" w:type="dxa"/>
            <w:vAlign w:val="bottom"/>
            <w:shd w:val="clear" w:color="auto" w:fill="E6E7E7"/>
          </w:tcPr>
          <w:p>
            <w:pPr>
              <w:spacing w:after="0" w:line="202" w:lineRule="exact"/>
              <w:rPr>
                <w:sz w:val="20"/>
                <w:szCs w:val="20"/>
                <w:color w:val="auto"/>
              </w:rPr>
            </w:pPr>
            <w:r>
              <w:rPr>
                <w:rFonts w:ascii="Arial" w:cs="Arial" w:eastAsia="Arial" w:hAnsi="Arial"/>
                <w:sz w:val="18"/>
                <w:szCs w:val="18"/>
                <w:b w:val="1"/>
                <w:bCs w:val="1"/>
                <w:color w:val="auto"/>
              </w:rPr>
              <w:t>Reserved for issuance</w:t>
            </w:r>
          </w:p>
        </w:tc>
        <w:tc>
          <w:tcPr>
            <w:tcW w:w="4380" w:type="dxa"/>
            <w:vAlign w:val="bottom"/>
            <w:shd w:val="clear" w:color="auto" w:fill="E6E7E7"/>
          </w:tcPr>
          <w:p>
            <w:pPr>
              <w:jc w:val="right"/>
              <w:ind w:right="126"/>
              <w:spacing w:after="0" w:line="202" w:lineRule="exact"/>
              <w:rPr>
                <w:sz w:val="20"/>
                <w:szCs w:val="20"/>
                <w:color w:val="auto"/>
              </w:rPr>
            </w:pPr>
            <w:r>
              <w:rPr>
                <w:rFonts w:ascii="Arial" w:cs="Arial" w:eastAsia="Arial" w:hAnsi="Arial"/>
                <w:sz w:val="18"/>
                <w:szCs w:val="18"/>
                <w:b w:val="1"/>
                <w:bCs w:val="1"/>
                <w:color w:val="auto"/>
              </w:rPr>
              <w:t>448,711,945</w:t>
            </w:r>
          </w:p>
        </w:tc>
        <w:tc>
          <w:tcPr>
            <w:tcW w:w="14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40,759,230</w:t>
            </w:r>
          </w:p>
        </w:tc>
      </w:tr>
    </w:tbl>
    <w:p>
      <w:pPr>
        <w:spacing w:after="0" w:line="165"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Effect on Cash Flows</w:t>
      </w:r>
    </w:p>
    <w:p>
      <w:pPr>
        <w:spacing w:after="0" w:line="158" w:lineRule="exact"/>
        <w:rPr>
          <w:sz w:val="20"/>
          <w:szCs w:val="20"/>
          <w:color w:val="auto"/>
        </w:rPr>
      </w:pPr>
    </w:p>
    <w:p>
      <w:pPr>
        <w:ind w:left="100" w:right="340"/>
        <w:spacing w:after="0" w:line="238" w:lineRule="auto"/>
        <w:rPr>
          <w:sz w:val="20"/>
          <w:szCs w:val="20"/>
          <w:color w:val="auto"/>
        </w:rPr>
      </w:pPr>
      <w:r>
        <w:rPr>
          <w:rFonts w:ascii="Arial" w:cs="Arial" w:eastAsia="Arial" w:hAnsi="Arial"/>
          <w:sz w:val="18"/>
          <w:szCs w:val="18"/>
          <w:color w:val="auto"/>
        </w:rPr>
        <w:t>The total amount of cash received from exercise of options was $419 million in 2006 and $461 million in 2005. The related net tax benefit realized from the exercise of those stock options was $146 million in 2006 and $132 million in 2005 (which includes excess tax benefits realized of $100 million in 2006 and $59 million in 2005 from the adoption date of SFAS 123(R) on July 1, 2005).</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Related Policies</w:t>
      </w:r>
    </w:p>
    <w:p>
      <w:pPr>
        <w:spacing w:after="0" w:line="158" w:lineRule="exact"/>
        <w:rPr>
          <w:sz w:val="20"/>
          <w:szCs w:val="20"/>
          <w:color w:val="auto"/>
        </w:rPr>
      </w:pPr>
    </w:p>
    <w:p>
      <w:pPr>
        <w:ind w:left="100" w:right="540"/>
        <w:spacing w:after="0" w:line="264" w:lineRule="auto"/>
        <w:rPr>
          <w:sz w:val="20"/>
          <w:szCs w:val="20"/>
          <w:color w:val="auto"/>
        </w:rPr>
      </w:pPr>
      <w:r>
        <w:rPr>
          <w:rFonts w:ascii="Arial" w:cs="Arial" w:eastAsia="Arial" w:hAnsi="Arial"/>
          <w:sz w:val="16"/>
          <w:szCs w:val="16"/>
          <w:color w:val="auto"/>
        </w:rPr>
        <w:t>We issue awards of stock options generally with graded vesting provisions (e.g., 25 percent per year for four years). In such cases, we recognize the related compensation cost on a straight-line basis over the minimum service period required for vesting of the award.</w:t>
      </w:r>
    </w:p>
    <w:p>
      <w:pPr>
        <w:ind w:left="100" w:right="40"/>
        <w:spacing w:after="0" w:line="239" w:lineRule="auto"/>
        <w:rPr>
          <w:sz w:val="20"/>
          <w:szCs w:val="20"/>
          <w:color w:val="auto"/>
        </w:rPr>
      </w:pPr>
      <w:r>
        <w:rPr>
          <w:rFonts w:ascii="Arial" w:cs="Arial" w:eastAsia="Arial" w:hAnsi="Arial"/>
          <w:sz w:val="18"/>
          <w:szCs w:val="18"/>
          <w:color w:val="auto"/>
        </w:rPr>
        <w:t>For awards to employees who are retirement eligible or nearing retirement eligibility, we recognize compensation cost on a straight-line basis over the service period required to be performed by the employee in order to earn the award.</w:t>
      </w:r>
    </w:p>
    <w:p>
      <w:pPr>
        <w:spacing w:after="0" w:line="155" w:lineRule="exact"/>
        <w:rPr>
          <w:sz w:val="20"/>
          <w:szCs w:val="20"/>
          <w:color w:val="auto"/>
        </w:rPr>
      </w:pPr>
    </w:p>
    <w:p>
      <w:pPr>
        <w:ind w:left="100" w:right="340"/>
        <w:spacing w:after="0" w:line="239" w:lineRule="auto"/>
        <w:rPr>
          <w:sz w:val="20"/>
          <w:szCs w:val="20"/>
          <w:color w:val="auto"/>
        </w:rPr>
      </w:pPr>
      <w:r>
        <w:rPr>
          <w:rFonts w:ascii="Arial" w:cs="Arial" w:eastAsia="Arial" w:hAnsi="Arial"/>
          <w:sz w:val="18"/>
          <w:szCs w:val="18"/>
          <w:color w:val="auto"/>
        </w:rPr>
        <w:t>It has been our practice to issue shares of common stock upon exercise of stock options generally from treasury shares and, on a limited basis, from previously unissued shares.</w:t>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10. Postretirement Benefit Plans</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On December 31, 2006, we adopted the recognition and disclosure provisions of SFAS 158. This Statement requires us to recognize the</w:t>
      </w:r>
    </w:p>
    <w:p>
      <w:pPr>
        <w:ind w:left="100"/>
        <w:spacing w:after="0"/>
        <w:rPr>
          <w:sz w:val="20"/>
          <w:szCs w:val="20"/>
          <w:color w:val="auto"/>
        </w:rPr>
      </w:pPr>
      <w:r>
        <w:rPr>
          <w:rFonts w:ascii="Arial" w:cs="Arial" w:eastAsia="Arial" w:hAnsi="Arial"/>
          <w:sz w:val="16"/>
          <w:szCs w:val="16"/>
          <w:color w:val="auto"/>
        </w:rPr>
        <w:t>funded status (i.e., the difference between the fair value of plan assets, and the benefit obligations) of our defined benefit pension and other</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postretirement benefit plans in our December 31, 2006, balance sheet, with a corresponding adjustment to accumulated other</w:t>
      </w:r>
    </w:p>
    <w:p>
      <w:pPr>
        <w:ind w:left="100"/>
        <w:spacing w:after="0"/>
        <w:rPr>
          <w:sz w:val="20"/>
          <w:szCs w:val="20"/>
          <w:color w:val="auto"/>
        </w:rPr>
      </w:pPr>
      <w:r>
        <w:rPr>
          <w:rFonts w:ascii="Arial" w:cs="Arial" w:eastAsia="Arial" w:hAnsi="Arial"/>
          <w:sz w:val="16"/>
          <w:szCs w:val="16"/>
          <w:color w:val="auto"/>
        </w:rPr>
        <w:t>comprehensive income (AOCI), net of tax. The adjustment to AOCI at adoption represents the net actuarial losses, and prior service costs,</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all of which were previously netted against the plans’ funded status in our balance sheet pursuant to the provisions of SFAS No. 87,</w:t>
      </w:r>
    </w:p>
    <w:p>
      <w:pPr>
        <w:ind w:left="10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Employers’ Accounting for Pensions”</w:t>
      </w:r>
      <w:r>
        <w:rPr>
          <w:rFonts w:ascii="Arial" w:cs="Arial" w:eastAsia="Arial" w:hAnsi="Arial"/>
          <w:sz w:val="18"/>
          <w:szCs w:val="18"/>
          <w:color w:val="auto"/>
        </w:rPr>
        <w:t xml:space="preserve"> and SFAS 106, </w:t>
      </w:r>
      <w:r>
        <w:rPr>
          <w:rFonts w:ascii="Arial" w:cs="Arial" w:eastAsia="Arial" w:hAnsi="Arial"/>
          <w:sz w:val="18"/>
          <w:szCs w:val="18"/>
          <w:i w:val="1"/>
          <w:iCs w:val="1"/>
          <w:color w:val="auto"/>
        </w:rPr>
        <w:t>“Employers’ Accounting for Postretirement Benefits Other Than Pensions</w:t>
      </w:r>
      <w:r>
        <w:rPr>
          <w:rFonts w:ascii="Arial" w:cs="Arial" w:eastAsia="Arial" w:hAnsi="Arial"/>
          <w:sz w:val="18"/>
          <w:szCs w:val="18"/>
          <w:color w:val="auto"/>
        </w:rPr>
        <w:t>.” These</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amounts will continue to be recognized as a component of future net periodic benefit cost consistent with our past practice. Further, actuarial</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gains and losses and prior service costs that arise in future periods and are not recognized as net periodic benefit cost in the same periods</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will be recognized as a component of other comprehensive income. Those amounts will also be recognized as a component of future net</w:t>
      </w:r>
    </w:p>
    <w:p>
      <w:pPr>
        <w:ind w:left="100"/>
        <w:spacing w:after="0"/>
        <w:rPr>
          <w:sz w:val="20"/>
          <w:szCs w:val="20"/>
          <w:color w:val="auto"/>
        </w:rPr>
      </w:pPr>
      <w:r>
        <w:rPr>
          <w:rFonts w:ascii="Arial" w:cs="Arial" w:eastAsia="Arial" w:hAnsi="Arial"/>
          <w:sz w:val="18"/>
          <w:szCs w:val="18"/>
          <w:color w:val="auto"/>
        </w:rPr>
        <w:t>periodic benefit cost consistent with our past practice.</w:t>
      </w:r>
    </w:p>
    <w:p>
      <w:pPr>
        <w:spacing w:after="0" w:line="158" w:lineRule="exact"/>
        <w:rPr>
          <w:sz w:val="20"/>
          <w:szCs w:val="20"/>
          <w:color w:val="auto"/>
        </w:rPr>
      </w:pPr>
    </w:p>
    <w:p>
      <w:pPr>
        <w:jc w:val="both"/>
        <w:ind w:left="100" w:right="260"/>
        <w:spacing w:after="0" w:line="237" w:lineRule="auto"/>
        <w:rPr>
          <w:sz w:val="20"/>
          <w:szCs w:val="20"/>
          <w:color w:val="auto"/>
        </w:rPr>
      </w:pPr>
      <w:r>
        <w:rPr>
          <w:rFonts w:ascii="Arial" w:cs="Arial" w:eastAsia="Arial" w:hAnsi="Arial"/>
          <w:sz w:val="18"/>
          <w:szCs w:val="18"/>
          <w:color w:val="auto"/>
        </w:rPr>
        <w:t>In addition, SFAS 158 requires that companies using a measurement date for their defined benefit pension plans and other postretirement benefit plans other than their fiscal year end, change to a fiscal-year-end measurement date effective for years ending after December 15, 2008. We have chosen to adopt the measurement date changes as of the year ended December 31, 2006. Our non-U.S. plans previously used a September 30 measurement date.</w:t>
      </w:r>
    </w:p>
    <w:p>
      <w:pPr>
        <w:spacing w:after="0" w:line="155" w:lineRule="exact"/>
        <w:rPr>
          <w:sz w:val="20"/>
          <w:szCs w:val="20"/>
          <w:color w:val="auto"/>
        </w:rPr>
      </w:pPr>
    </w:p>
    <w:p>
      <w:pPr>
        <w:ind w:left="100" w:right="120"/>
        <w:spacing w:after="0" w:line="236" w:lineRule="auto"/>
        <w:rPr>
          <w:sz w:val="20"/>
          <w:szCs w:val="20"/>
          <w:color w:val="auto"/>
        </w:rPr>
      </w:pPr>
      <w:r>
        <w:rPr>
          <w:rFonts w:ascii="Arial" w:cs="Arial" w:eastAsia="Arial" w:hAnsi="Arial"/>
          <w:sz w:val="18"/>
          <w:szCs w:val="18"/>
          <w:color w:val="auto"/>
        </w:rPr>
        <w:t>The incremental effects of adopting the provisions of SFAS 158 on our balance sheet at December 31, 2006, are presented in the following table. The adoption of SFAS 158 had no effect on our consolidated statement of income or our consolidated statement of comprehensive income for the year ended December 31, 2006, or for any prior period presented, and it will not effect our operating results in future periods. Had we not been required to adopt SFAS 158 at December 31, 2006, we would have recognized an additional minimum liability pursuant to the provisions of SFAS 87. The effect of recognizing the additional minimum liability is included in the table below in the column labeled “Before Application of SFAS 158.”</w:t>
      </w:r>
    </w:p>
    <w:p>
      <w:pPr>
        <w:sectPr>
          <w:pgSz w:w="11900" w:h="16838" w:orient="portrait"/>
          <w:cols w:equalWidth="0" w:num="1">
            <w:col w:w="11060"/>
          </w:cols>
          <w:pgMar w:left="600" w:top="287"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2"/>
        </w:trPr>
        <w:tc>
          <w:tcPr>
            <w:tcW w:w="5340" w:type="dxa"/>
            <w:vAlign w:val="bottom"/>
            <w:gridSpan w:val="2"/>
          </w:tcPr>
          <w:p>
            <w:pPr>
              <w:spacing w:after="0"/>
              <w:rPr>
                <w:sz w:val="20"/>
                <w:szCs w:val="20"/>
                <w:color w:val="auto"/>
              </w:rPr>
            </w:pPr>
            <w:r>
              <w:rPr>
                <w:rFonts w:ascii="Arial" w:cs="Arial" w:eastAsia="Arial" w:hAnsi="Arial"/>
                <w:sz w:val="14"/>
                <w:szCs w:val="14"/>
                <w:color w:val="939598"/>
              </w:rPr>
              <w:t>26   TEXAS INSTRUMENTS 2006 ANNUAL REPORT</w:t>
            </w: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6"/>
        </w:trPr>
        <w:tc>
          <w:tcPr>
            <w:tcW w:w="36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360" w:type="dxa"/>
            <w:vAlign w:val="bottom"/>
          </w:tcPr>
          <w:p>
            <w:pPr>
              <w:spacing w:after="0"/>
              <w:rPr>
                <w:sz w:val="11"/>
                <w:szCs w:val="11"/>
                <w:color w:val="auto"/>
              </w:rPr>
            </w:pPr>
          </w:p>
        </w:tc>
        <w:tc>
          <w:tcPr>
            <w:tcW w:w="4980" w:type="dxa"/>
            <w:vAlign w:val="bottom"/>
            <w:shd w:val="clear" w:color="auto" w:fill="939598"/>
          </w:tcPr>
          <w:p>
            <w:pPr>
              <w:spacing w:after="0"/>
              <w:rPr>
                <w:sz w:val="11"/>
                <w:szCs w:val="11"/>
                <w:color w:val="auto"/>
              </w:rPr>
            </w:pPr>
          </w:p>
        </w:tc>
        <w:tc>
          <w:tcPr>
            <w:tcW w:w="640" w:type="dxa"/>
            <w:vAlign w:val="bottom"/>
            <w:shd w:val="clear" w:color="auto" w:fill="939598"/>
          </w:tcPr>
          <w:p>
            <w:pPr>
              <w:spacing w:after="0"/>
              <w:rPr>
                <w:sz w:val="11"/>
                <w:szCs w:val="11"/>
                <w:color w:val="auto"/>
              </w:rPr>
            </w:pPr>
          </w:p>
        </w:tc>
        <w:tc>
          <w:tcPr>
            <w:tcW w:w="1080" w:type="dxa"/>
            <w:vAlign w:val="bottom"/>
            <w:shd w:val="clear" w:color="auto" w:fill="939598"/>
          </w:tcPr>
          <w:p>
            <w:pPr>
              <w:spacing w:after="0"/>
              <w:rPr>
                <w:sz w:val="11"/>
                <w:szCs w:val="11"/>
                <w:color w:val="auto"/>
              </w:rPr>
            </w:pPr>
          </w:p>
        </w:tc>
        <w:tc>
          <w:tcPr>
            <w:tcW w:w="1360" w:type="dxa"/>
            <w:vAlign w:val="bottom"/>
            <w:shd w:val="clear" w:color="auto" w:fill="939598"/>
          </w:tcPr>
          <w:p>
            <w:pPr>
              <w:spacing w:after="0"/>
              <w:rPr>
                <w:sz w:val="11"/>
                <w:szCs w:val="11"/>
                <w:color w:val="auto"/>
              </w:rPr>
            </w:pPr>
          </w:p>
        </w:tc>
        <w:tc>
          <w:tcPr>
            <w:tcW w:w="360" w:type="dxa"/>
            <w:vAlign w:val="bottom"/>
            <w:shd w:val="clear" w:color="auto" w:fill="939598"/>
          </w:tcPr>
          <w:p>
            <w:pPr>
              <w:spacing w:after="0"/>
              <w:rPr>
                <w:sz w:val="11"/>
                <w:szCs w:val="11"/>
                <w:color w:val="auto"/>
              </w:rPr>
            </w:pPr>
          </w:p>
        </w:tc>
        <w:tc>
          <w:tcPr>
            <w:tcW w:w="1080" w:type="dxa"/>
            <w:vAlign w:val="bottom"/>
            <w:shd w:val="clear" w:color="auto" w:fill="939598"/>
          </w:tcPr>
          <w:p>
            <w:pPr>
              <w:jc w:val="center"/>
              <w:ind w:right="338"/>
              <w:spacing w:after="0" w:line="135" w:lineRule="exact"/>
              <w:rPr>
                <w:sz w:val="20"/>
                <w:szCs w:val="20"/>
                <w:color w:val="auto"/>
              </w:rPr>
            </w:pPr>
            <w:r>
              <w:rPr>
                <w:rFonts w:ascii="Arial" w:cs="Arial" w:eastAsia="Arial" w:hAnsi="Arial"/>
                <w:sz w:val="14"/>
                <w:szCs w:val="14"/>
                <w:b w:val="1"/>
                <w:bCs w:val="1"/>
                <w:color w:val="FFFFFF"/>
                <w:w w:val="96"/>
              </w:rPr>
              <w:t>Effect of</w:t>
            </w:r>
          </w:p>
        </w:tc>
        <w:tc>
          <w:tcPr>
            <w:tcW w:w="460" w:type="dxa"/>
            <w:vAlign w:val="bottom"/>
            <w:shd w:val="clear" w:color="auto" w:fill="939598"/>
          </w:tcPr>
          <w:p>
            <w:pPr>
              <w:spacing w:after="0"/>
              <w:rPr>
                <w:sz w:val="11"/>
                <w:szCs w:val="11"/>
                <w:color w:val="auto"/>
              </w:rPr>
            </w:pPr>
          </w:p>
        </w:tc>
        <w:tc>
          <w:tcPr>
            <w:tcW w:w="760" w:type="dxa"/>
            <w:vAlign w:val="bottom"/>
            <w:shd w:val="clear" w:color="auto" w:fill="939598"/>
          </w:tcPr>
          <w:p>
            <w:pPr>
              <w:jc w:val="center"/>
              <w:ind w:right="196"/>
              <w:spacing w:after="0" w:line="135" w:lineRule="exact"/>
              <w:rPr>
                <w:sz w:val="20"/>
                <w:szCs w:val="20"/>
                <w:color w:val="auto"/>
              </w:rPr>
            </w:pPr>
            <w:r>
              <w:rPr>
                <w:rFonts w:ascii="Arial" w:cs="Arial" w:eastAsia="Arial" w:hAnsi="Arial"/>
                <w:sz w:val="14"/>
                <w:szCs w:val="14"/>
                <w:b w:val="1"/>
                <w:bCs w:val="1"/>
                <w:color w:val="FFFFFF"/>
                <w:w w:val="89"/>
              </w:rPr>
              <w:t>As</w:t>
            </w:r>
          </w:p>
        </w:tc>
      </w:tr>
      <w:tr>
        <w:trPr>
          <w:trHeight w:val="149"/>
        </w:trPr>
        <w:tc>
          <w:tcPr>
            <w:tcW w:w="360" w:type="dxa"/>
            <w:vAlign w:val="bottom"/>
          </w:tcPr>
          <w:p>
            <w:pPr>
              <w:spacing w:after="0"/>
              <w:rPr>
                <w:sz w:val="12"/>
                <w:szCs w:val="12"/>
                <w:color w:val="auto"/>
              </w:rPr>
            </w:pPr>
          </w:p>
        </w:tc>
        <w:tc>
          <w:tcPr>
            <w:tcW w:w="4980" w:type="dxa"/>
            <w:vAlign w:val="bottom"/>
            <w:shd w:val="clear" w:color="auto" w:fill="939598"/>
          </w:tcPr>
          <w:p>
            <w:pPr>
              <w:spacing w:after="0"/>
              <w:rPr>
                <w:sz w:val="12"/>
                <w:szCs w:val="12"/>
                <w:color w:val="auto"/>
              </w:rPr>
            </w:pPr>
          </w:p>
        </w:tc>
        <w:tc>
          <w:tcPr>
            <w:tcW w:w="640" w:type="dxa"/>
            <w:vAlign w:val="bottom"/>
            <w:shd w:val="clear" w:color="auto" w:fill="939598"/>
          </w:tcPr>
          <w:p>
            <w:pPr>
              <w:spacing w:after="0"/>
              <w:rPr>
                <w:sz w:val="12"/>
                <w:szCs w:val="12"/>
                <w:color w:val="auto"/>
              </w:rPr>
            </w:pPr>
          </w:p>
        </w:tc>
        <w:tc>
          <w:tcPr>
            <w:tcW w:w="1080" w:type="dxa"/>
            <w:vAlign w:val="bottom"/>
            <w:shd w:val="clear" w:color="auto" w:fill="939598"/>
          </w:tcPr>
          <w:p>
            <w:pPr>
              <w:jc w:val="center"/>
              <w:ind w:right="356"/>
              <w:spacing w:after="0" w:line="149" w:lineRule="exact"/>
              <w:rPr>
                <w:sz w:val="20"/>
                <w:szCs w:val="20"/>
                <w:color w:val="auto"/>
              </w:rPr>
            </w:pPr>
            <w:r>
              <w:rPr>
                <w:rFonts w:ascii="Arial" w:cs="Arial" w:eastAsia="Arial" w:hAnsi="Arial"/>
                <w:sz w:val="14"/>
                <w:szCs w:val="14"/>
                <w:b w:val="1"/>
                <w:bCs w:val="1"/>
                <w:color w:val="FFFFFF"/>
                <w:w w:val="99"/>
              </w:rPr>
              <w:t>Before</w:t>
            </w:r>
          </w:p>
        </w:tc>
        <w:tc>
          <w:tcPr>
            <w:tcW w:w="1360" w:type="dxa"/>
            <w:vAlign w:val="bottom"/>
            <w:shd w:val="clear" w:color="auto" w:fill="939598"/>
          </w:tcPr>
          <w:p>
            <w:pPr>
              <w:jc w:val="center"/>
              <w:spacing w:after="0" w:line="149" w:lineRule="exact"/>
              <w:rPr>
                <w:sz w:val="20"/>
                <w:szCs w:val="20"/>
                <w:color w:val="auto"/>
              </w:rPr>
            </w:pPr>
            <w:r>
              <w:rPr>
                <w:rFonts w:ascii="Arial" w:cs="Arial" w:eastAsia="Arial" w:hAnsi="Arial"/>
                <w:sz w:val="14"/>
                <w:szCs w:val="14"/>
                <w:b w:val="1"/>
                <w:bCs w:val="1"/>
                <w:color w:val="FFFFFF"/>
                <w:w w:val="96"/>
              </w:rPr>
              <w:t>Recognition</w:t>
            </w:r>
          </w:p>
        </w:tc>
        <w:tc>
          <w:tcPr>
            <w:tcW w:w="360" w:type="dxa"/>
            <w:vAlign w:val="bottom"/>
            <w:shd w:val="clear" w:color="auto" w:fill="939598"/>
          </w:tcPr>
          <w:p>
            <w:pPr>
              <w:spacing w:after="0"/>
              <w:rPr>
                <w:sz w:val="12"/>
                <w:szCs w:val="12"/>
                <w:color w:val="auto"/>
              </w:rPr>
            </w:pPr>
          </w:p>
        </w:tc>
        <w:tc>
          <w:tcPr>
            <w:tcW w:w="1080" w:type="dxa"/>
            <w:vAlign w:val="bottom"/>
            <w:shd w:val="clear" w:color="auto" w:fill="939598"/>
          </w:tcPr>
          <w:p>
            <w:pPr>
              <w:jc w:val="center"/>
              <w:ind w:right="338"/>
              <w:spacing w:after="0" w:line="149" w:lineRule="exact"/>
              <w:rPr>
                <w:sz w:val="20"/>
                <w:szCs w:val="20"/>
                <w:color w:val="auto"/>
              </w:rPr>
            </w:pPr>
            <w:r>
              <w:rPr>
                <w:rFonts w:ascii="Arial" w:cs="Arial" w:eastAsia="Arial" w:hAnsi="Arial"/>
                <w:sz w:val="14"/>
                <w:szCs w:val="14"/>
                <w:b w:val="1"/>
                <w:bCs w:val="1"/>
                <w:color w:val="FFFFFF"/>
                <w:w w:val="97"/>
              </w:rPr>
              <w:t>Change in</w:t>
            </w:r>
          </w:p>
        </w:tc>
        <w:tc>
          <w:tcPr>
            <w:tcW w:w="1220" w:type="dxa"/>
            <w:vAlign w:val="bottom"/>
            <w:gridSpan w:val="2"/>
            <w:shd w:val="clear" w:color="auto" w:fill="939598"/>
          </w:tcPr>
          <w:p>
            <w:pPr>
              <w:jc w:val="center"/>
              <w:ind w:left="106"/>
              <w:spacing w:after="0" w:line="149" w:lineRule="exact"/>
              <w:rPr>
                <w:sz w:val="20"/>
                <w:szCs w:val="20"/>
                <w:color w:val="auto"/>
              </w:rPr>
            </w:pPr>
            <w:r>
              <w:rPr>
                <w:rFonts w:ascii="Arial" w:cs="Arial" w:eastAsia="Arial" w:hAnsi="Arial"/>
                <w:sz w:val="14"/>
                <w:szCs w:val="14"/>
                <w:b w:val="1"/>
                <w:bCs w:val="1"/>
                <w:color w:val="FFFFFF"/>
                <w:w w:val="97"/>
              </w:rPr>
              <w:t>Reported at</w:t>
            </w:r>
          </w:p>
        </w:tc>
      </w:tr>
      <w:tr>
        <w:trPr>
          <w:trHeight w:val="149"/>
        </w:trPr>
        <w:tc>
          <w:tcPr>
            <w:tcW w:w="360" w:type="dxa"/>
            <w:vAlign w:val="bottom"/>
          </w:tcPr>
          <w:p>
            <w:pPr>
              <w:spacing w:after="0"/>
              <w:rPr>
                <w:sz w:val="12"/>
                <w:szCs w:val="12"/>
                <w:color w:val="auto"/>
              </w:rPr>
            </w:pPr>
          </w:p>
        </w:tc>
        <w:tc>
          <w:tcPr>
            <w:tcW w:w="4980" w:type="dxa"/>
            <w:vAlign w:val="bottom"/>
            <w:shd w:val="clear" w:color="auto" w:fill="939598"/>
          </w:tcPr>
          <w:p>
            <w:pPr>
              <w:spacing w:after="0"/>
              <w:rPr>
                <w:sz w:val="12"/>
                <w:szCs w:val="12"/>
                <w:color w:val="auto"/>
              </w:rPr>
            </w:pPr>
          </w:p>
        </w:tc>
        <w:tc>
          <w:tcPr>
            <w:tcW w:w="1720" w:type="dxa"/>
            <w:vAlign w:val="bottom"/>
            <w:gridSpan w:val="2"/>
            <w:shd w:val="clear" w:color="auto" w:fill="939598"/>
          </w:tcPr>
          <w:p>
            <w:pPr>
              <w:jc w:val="center"/>
              <w:ind w:left="142"/>
              <w:spacing w:after="0" w:line="149" w:lineRule="exact"/>
              <w:rPr>
                <w:sz w:val="20"/>
                <w:szCs w:val="20"/>
                <w:color w:val="auto"/>
              </w:rPr>
            </w:pPr>
            <w:r>
              <w:rPr>
                <w:rFonts w:ascii="Arial" w:cs="Arial" w:eastAsia="Arial" w:hAnsi="Arial"/>
                <w:sz w:val="14"/>
                <w:szCs w:val="14"/>
                <w:b w:val="1"/>
                <w:bCs w:val="1"/>
                <w:color w:val="FFFFFF"/>
                <w:w w:val="96"/>
              </w:rPr>
              <w:t>Application of</w:t>
            </w:r>
          </w:p>
        </w:tc>
        <w:tc>
          <w:tcPr>
            <w:tcW w:w="1360" w:type="dxa"/>
            <w:vAlign w:val="bottom"/>
            <w:shd w:val="clear" w:color="auto" w:fill="939598"/>
          </w:tcPr>
          <w:p>
            <w:pPr>
              <w:jc w:val="center"/>
              <w:spacing w:after="0" w:line="149" w:lineRule="exact"/>
              <w:rPr>
                <w:sz w:val="20"/>
                <w:szCs w:val="20"/>
                <w:color w:val="auto"/>
              </w:rPr>
            </w:pPr>
            <w:r>
              <w:rPr>
                <w:rFonts w:ascii="Arial" w:cs="Arial" w:eastAsia="Arial" w:hAnsi="Arial"/>
                <w:sz w:val="14"/>
                <w:szCs w:val="14"/>
                <w:b w:val="1"/>
                <w:bCs w:val="1"/>
                <w:color w:val="FFFFFF"/>
                <w:w w:val="97"/>
              </w:rPr>
              <w:t>of Funded</w:t>
            </w:r>
          </w:p>
        </w:tc>
        <w:tc>
          <w:tcPr>
            <w:tcW w:w="1440" w:type="dxa"/>
            <w:vAlign w:val="bottom"/>
            <w:gridSpan w:val="2"/>
            <w:shd w:val="clear" w:color="auto" w:fill="939598"/>
          </w:tcPr>
          <w:p>
            <w:pPr>
              <w:jc w:val="center"/>
              <w:spacing w:after="0" w:line="149" w:lineRule="exact"/>
              <w:rPr>
                <w:sz w:val="20"/>
                <w:szCs w:val="20"/>
                <w:color w:val="auto"/>
              </w:rPr>
            </w:pPr>
            <w:r>
              <w:rPr>
                <w:rFonts w:ascii="Arial" w:cs="Arial" w:eastAsia="Arial" w:hAnsi="Arial"/>
                <w:sz w:val="14"/>
                <w:szCs w:val="14"/>
                <w:b w:val="1"/>
                <w:bCs w:val="1"/>
                <w:color w:val="FFFFFF"/>
                <w:w w:val="95"/>
              </w:rPr>
              <w:t>Measurement</w:t>
            </w:r>
          </w:p>
        </w:tc>
        <w:tc>
          <w:tcPr>
            <w:tcW w:w="1220" w:type="dxa"/>
            <w:vAlign w:val="bottom"/>
            <w:gridSpan w:val="2"/>
            <w:shd w:val="clear" w:color="auto" w:fill="939598"/>
          </w:tcPr>
          <w:p>
            <w:pPr>
              <w:jc w:val="center"/>
              <w:ind w:left="106"/>
              <w:spacing w:after="0" w:line="149" w:lineRule="exact"/>
              <w:rPr>
                <w:sz w:val="20"/>
                <w:szCs w:val="20"/>
                <w:color w:val="auto"/>
              </w:rPr>
            </w:pPr>
            <w:r>
              <w:rPr>
                <w:rFonts w:ascii="Arial" w:cs="Arial" w:eastAsia="Arial" w:hAnsi="Arial"/>
                <w:sz w:val="14"/>
                <w:szCs w:val="14"/>
                <w:b w:val="1"/>
                <w:bCs w:val="1"/>
                <w:color w:val="FFFFFF"/>
                <w:w w:val="96"/>
              </w:rPr>
              <w:t>December 31,</w:t>
            </w:r>
          </w:p>
        </w:tc>
      </w:tr>
      <w:tr>
        <w:trPr>
          <w:trHeight w:val="176"/>
        </w:trPr>
        <w:tc>
          <w:tcPr>
            <w:tcW w:w="360" w:type="dxa"/>
            <w:vAlign w:val="bottom"/>
          </w:tcPr>
          <w:p>
            <w:pPr>
              <w:spacing w:after="0"/>
              <w:rPr>
                <w:sz w:val="15"/>
                <w:szCs w:val="15"/>
                <w:color w:val="auto"/>
              </w:rPr>
            </w:pPr>
          </w:p>
        </w:tc>
        <w:tc>
          <w:tcPr>
            <w:tcW w:w="4980" w:type="dxa"/>
            <w:vAlign w:val="bottom"/>
            <w:shd w:val="clear" w:color="auto" w:fill="939598"/>
          </w:tcPr>
          <w:p>
            <w:pPr>
              <w:spacing w:after="0"/>
              <w:rPr>
                <w:sz w:val="20"/>
                <w:szCs w:val="20"/>
                <w:color w:val="auto"/>
              </w:rPr>
            </w:pPr>
            <w:r>
              <w:rPr>
                <w:rFonts w:ascii="Arial" w:cs="Arial" w:eastAsia="Arial" w:hAnsi="Arial"/>
                <w:sz w:val="14"/>
                <w:szCs w:val="14"/>
                <w:b w:val="1"/>
                <w:bCs w:val="1"/>
                <w:color w:val="FFFFFF"/>
              </w:rPr>
              <w:t>Effects of Adoption of SFAS 158 on December 31, 2006 Balance Sheet</w:t>
            </w:r>
          </w:p>
        </w:tc>
        <w:tc>
          <w:tcPr>
            <w:tcW w:w="640" w:type="dxa"/>
            <w:vAlign w:val="bottom"/>
            <w:shd w:val="clear" w:color="auto" w:fill="939598"/>
          </w:tcPr>
          <w:p>
            <w:pPr>
              <w:spacing w:after="0"/>
              <w:rPr>
                <w:sz w:val="15"/>
                <w:szCs w:val="15"/>
                <w:color w:val="auto"/>
              </w:rPr>
            </w:pPr>
          </w:p>
        </w:tc>
        <w:tc>
          <w:tcPr>
            <w:tcW w:w="1080" w:type="dxa"/>
            <w:vAlign w:val="bottom"/>
            <w:shd w:val="clear" w:color="auto" w:fill="939598"/>
          </w:tcPr>
          <w:p>
            <w:pPr>
              <w:jc w:val="center"/>
              <w:ind w:right="356"/>
              <w:spacing w:after="0"/>
              <w:rPr>
                <w:sz w:val="20"/>
                <w:szCs w:val="20"/>
                <w:color w:val="auto"/>
              </w:rPr>
            </w:pPr>
            <w:r>
              <w:rPr>
                <w:rFonts w:ascii="Arial" w:cs="Arial" w:eastAsia="Arial" w:hAnsi="Arial"/>
                <w:sz w:val="14"/>
                <w:szCs w:val="14"/>
                <w:b w:val="1"/>
                <w:bCs w:val="1"/>
                <w:color w:val="FFFFFF"/>
                <w:w w:val="92"/>
              </w:rPr>
              <w:t>SFAS 158</w:t>
            </w:r>
          </w:p>
        </w:tc>
        <w:tc>
          <w:tcPr>
            <w:tcW w:w="1360" w:type="dxa"/>
            <w:vAlign w:val="bottom"/>
            <w:shd w:val="clear" w:color="auto" w:fill="939598"/>
          </w:tcPr>
          <w:p>
            <w:pPr>
              <w:jc w:val="center"/>
              <w:spacing w:after="0"/>
              <w:rPr>
                <w:sz w:val="20"/>
                <w:szCs w:val="20"/>
                <w:color w:val="auto"/>
              </w:rPr>
            </w:pPr>
            <w:r>
              <w:rPr>
                <w:rFonts w:ascii="Arial" w:cs="Arial" w:eastAsia="Arial" w:hAnsi="Arial"/>
                <w:sz w:val="14"/>
                <w:szCs w:val="14"/>
                <w:b w:val="1"/>
                <w:bCs w:val="1"/>
                <w:color w:val="FFFFFF"/>
                <w:w w:val="98"/>
              </w:rPr>
              <w:t>Status</w:t>
            </w:r>
          </w:p>
        </w:tc>
        <w:tc>
          <w:tcPr>
            <w:tcW w:w="360" w:type="dxa"/>
            <w:vAlign w:val="bottom"/>
            <w:shd w:val="clear" w:color="auto" w:fill="939598"/>
          </w:tcPr>
          <w:p>
            <w:pPr>
              <w:spacing w:after="0"/>
              <w:rPr>
                <w:sz w:val="15"/>
                <w:szCs w:val="15"/>
                <w:color w:val="auto"/>
              </w:rPr>
            </w:pPr>
          </w:p>
        </w:tc>
        <w:tc>
          <w:tcPr>
            <w:tcW w:w="1080" w:type="dxa"/>
            <w:vAlign w:val="bottom"/>
            <w:shd w:val="clear" w:color="auto" w:fill="939598"/>
          </w:tcPr>
          <w:p>
            <w:pPr>
              <w:jc w:val="center"/>
              <w:ind w:right="338"/>
              <w:spacing w:after="0"/>
              <w:rPr>
                <w:sz w:val="20"/>
                <w:szCs w:val="20"/>
                <w:color w:val="auto"/>
              </w:rPr>
            </w:pPr>
            <w:r>
              <w:rPr>
                <w:rFonts w:ascii="Arial" w:cs="Arial" w:eastAsia="Arial" w:hAnsi="Arial"/>
                <w:sz w:val="14"/>
                <w:szCs w:val="14"/>
                <w:b w:val="1"/>
                <w:bCs w:val="1"/>
                <w:color w:val="FFFFFF"/>
                <w:w w:val="98"/>
              </w:rPr>
              <w:t>Date</w:t>
            </w:r>
          </w:p>
        </w:tc>
        <w:tc>
          <w:tcPr>
            <w:tcW w:w="460" w:type="dxa"/>
            <w:vAlign w:val="bottom"/>
            <w:shd w:val="clear" w:color="auto" w:fill="939598"/>
          </w:tcPr>
          <w:p>
            <w:pPr>
              <w:spacing w:after="0"/>
              <w:rPr>
                <w:sz w:val="15"/>
                <w:szCs w:val="15"/>
                <w:color w:val="auto"/>
              </w:rPr>
            </w:pPr>
          </w:p>
        </w:tc>
        <w:tc>
          <w:tcPr>
            <w:tcW w:w="760" w:type="dxa"/>
            <w:vAlign w:val="bottom"/>
            <w:shd w:val="clear" w:color="auto" w:fill="939598"/>
          </w:tcPr>
          <w:p>
            <w:pPr>
              <w:jc w:val="center"/>
              <w:ind w:right="176"/>
              <w:spacing w:after="0"/>
              <w:rPr>
                <w:sz w:val="20"/>
                <w:szCs w:val="20"/>
                <w:color w:val="auto"/>
              </w:rPr>
            </w:pPr>
            <w:r>
              <w:rPr>
                <w:rFonts w:ascii="Arial" w:cs="Arial" w:eastAsia="Arial" w:hAnsi="Arial"/>
                <w:sz w:val="14"/>
                <w:szCs w:val="14"/>
                <w:b w:val="1"/>
                <w:bCs w:val="1"/>
                <w:color w:val="FFFFFF"/>
                <w:w w:val="96"/>
              </w:rPr>
              <w:t>2006</w:t>
            </w:r>
          </w:p>
        </w:tc>
      </w:tr>
      <w:tr>
        <w:trPr>
          <w:trHeight w:val="270"/>
        </w:trPr>
        <w:tc>
          <w:tcPr>
            <w:tcW w:w="5340" w:type="dxa"/>
            <w:vAlign w:val="bottom"/>
            <w:gridSpan w:val="2"/>
          </w:tcPr>
          <w:p>
            <w:pPr>
              <w:ind w:left="360"/>
              <w:spacing w:after="0"/>
              <w:rPr>
                <w:sz w:val="20"/>
                <w:szCs w:val="20"/>
                <w:color w:val="auto"/>
              </w:rPr>
            </w:pPr>
            <w:r>
              <w:rPr>
                <w:rFonts w:ascii="Arial" w:cs="Arial" w:eastAsia="Arial" w:hAnsi="Arial"/>
                <w:sz w:val="18"/>
                <w:szCs w:val="18"/>
                <w:b w:val="1"/>
                <w:bCs w:val="1"/>
                <w:color w:val="auto"/>
              </w:rPr>
              <w:t>Prepaid retirement costs</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216"/>
              <w:spacing w:after="0"/>
              <w:rPr>
                <w:sz w:val="20"/>
                <w:szCs w:val="20"/>
                <w:color w:val="auto"/>
              </w:rPr>
            </w:pPr>
            <w:r>
              <w:rPr>
                <w:rFonts w:ascii="Arial" w:cs="Arial" w:eastAsia="Arial" w:hAnsi="Arial"/>
                <w:sz w:val="18"/>
                <w:szCs w:val="18"/>
                <w:b w:val="1"/>
                <w:bCs w:val="1"/>
                <w:color w:val="auto"/>
              </w:rPr>
              <w:t>440</w:t>
            </w:r>
          </w:p>
        </w:tc>
        <w:tc>
          <w:tcPr>
            <w:tcW w:w="1360" w:type="dxa"/>
            <w:vAlign w:val="bottom"/>
          </w:tcPr>
          <w:p>
            <w:pPr>
              <w:jc w:val="right"/>
              <w:ind w:right="178"/>
              <w:spacing w:after="0"/>
              <w:rPr>
                <w:sz w:val="20"/>
                <w:szCs w:val="20"/>
                <w:color w:val="auto"/>
              </w:rPr>
            </w:pPr>
            <w:r>
              <w:rPr>
                <w:rFonts w:ascii="Arial" w:cs="Arial" w:eastAsia="Arial" w:hAnsi="Arial"/>
                <w:sz w:val="18"/>
                <w:szCs w:val="18"/>
                <w:b w:val="1"/>
                <w:bCs w:val="1"/>
                <w:color w:val="auto"/>
              </w:rPr>
              <w:t>$   (440)</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238"/>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26"/>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3"/>
        </w:trPr>
        <w:tc>
          <w:tcPr>
            <w:tcW w:w="360" w:type="dxa"/>
            <w:vAlign w:val="bottom"/>
          </w:tcPr>
          <w:p>
            <w:pPr>
              <w:spacing w:after="0"/>
              <w:rPr>
                <w:sz w:val="17"/>
                <w:szCs w:val="17"/>
                <w:color w:val="auto"/>
              </w:rPr>
            </w:pPr>
          </w:p>
        </w:tc>
        <w:tc>
          <w:tcPr>
            <w:tcW w:w="4980" w:type="dxa"/>
            <w:vAlign w:val="bottom"/>
            <w:shd w:val="clear" w:color="auto" w:fill="E6E7E7"/>
          </w:tcPr>
          <w:p>
            <w:pPr>
              <w:spacing w:after="0" w:line="202" w:lineRule="exact"/>
              <w:rPr>
                <w:sz w:val="20"/>
                <w:szCs w:val="20"/>
                <w:color w:val="auto"/>
              </w:rPr>
            </w:pPr>
            <w:r>
              <w:rPr>
                <w:rFonts w:ascii="Arial" w:cs="Arial" w:eastAsia="Arial" w:hAnsi="Arial"/>
                <w:sz w:val="18"/>
                <w:szCs w:val="18"/>
                <w:b w:val="1"/>
                <w:bCs w:val="1"/>
                <w:color w:val="auto"/>
              </w:rPr>
              <w:t>Overfunded retirement plans (a)</w:t>
            </w:r>
          </w:p>
        </w:tc>
        <w:tc>
          <w:tcPr>
            <w:tcW w:w="640" w:type="dxa"/>
            <w:vAlign w:val="bottom"/>
            <w:shd w:val="clear" w:color="auto" w:fill="E6E7E7"/>
          </w:tcPr>
          <w:p>
            <w:pPr>
              <w:spacing w:after="0"/>
              <w:rPr>
                <w:sz w:val="17"/>
                <w:szCs w:val="17"/>
                <w:color w:val="auto"/>
              </w:rPr>
            </w:pPr>
          </w:p>
        </w:tc>
        <w:tc>
          <w:tcPr>
            <w:tcW w:w="1080" w:type="dxa"/>
            <w:vAlign w:val="bottom"/>
            <w:shd w:val="clear" w:color="auto" w:fill="E6E7E7"/>
          </w:tcPr>
          <w:p>
            <w:pPr>
              <w:jc w:val="right"/>
              <w:ind w:right="216"/>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E6E7E7"/>
          </w:tcPr>
          <w:p>
            <w:pPr>
              <w:jc w:val="right"/>
              <w:ind w:right="238"/>
              <w:spacing w:after="0" w:line="202" w:lineRule="exact"/>
              <w:rPr>
                <w:sz w:val="20"/>
                <w:szCs w:val="20"/>
                <w:color w:val="auto"/>
              </w:rPr>
            </w:pPr>
            <w:r>
              <w:rPr>
                <w:rFonts w:ascii="Arial" w:cs="Arial" w:eastAsia="Arial" w:hAnsi="Arial"/>
                <w:sz w:val="18"/>
                <w:szCs w:val="18"/>
                <w:b w:val="1"/>
                <w:bCs w:val="1"/>
                <w:color w:val="auto"/>
              </w:rPr>
              <w:t>62</w:t>
            </w:r>
          </w:p>
        </w:tc>
        <w:tc>
          <w:tcPr>
            <w:tcW w:w="360" w:type="dxa"/>
            <w:vAlign w:val="bottom"/>
            <w:shd w:val="clear" w:color="auto" w:fill="E6E7E7"/>
          </w:tcPr>
          <w:p>
            <w:pPr>
              <w:spacing w:after="0"/>
              <w:rPr>
                <w:sz w:val="17"/>
                <w:szCs w:val="17"/>
                <w:color w:val="auto"/>
              </w:rPr>
            </w:pPr>
          </w:p>
        </w:tc>
        <w:tc>
          <w:tcPr>
            <w:tcW w:w="1080" w:type="dxa"/>
            <w:vAlign w:val="bottom"/>
            <w:shd w:val="clear" w:color="auto" w:fill="E6E7E7"/>
          </w:tcPr>
          <w:p>
            <w:pPr>
              <w:jc w:val="right"/>
              <w:ind w:right="178"/>
              <w:spacing w:after="0" w:line="202" w:lineRule="exact"/>
              <w:rPr>
                <w:sz w:val="20"/>
                <w:szCs w:val="20"/>
                <w:color w:val="auto"/>
              </w:rPr>
            </w:pPr>
            <w:r>
              <w:rPr>
                <w:rFonts w:ascii="Arial" w:cs="Arial" w:eastAsia="Arial" w:hAnsi="Arial"/>
                <w:sz w:val="18"/>
                <w:szCs w:val="18"/>
                <w:b w:val="1"/>
                <w:bCs w:val="1"/>
                <w:color w:val="auto"/>
              </w:rPr>
              <w:t>(4)</w:t>
            </w:r>
          </w:p>
        </w:tc>
        <w:tc>
          <w:tcPr>
            <w:tcW w:w="460" w:type="dxa"/>
            <w:vAlign w:val="bottom"/>
            <w:shd w:val="clear" w:color="auto" w:fill="E6E7E7"/>
          </w:tcPr>
          <w:p>
            <w:pPr>
              <w:spacing w:after="0"/>
              <w:rPr>
                <w:sz w:val="17"/>
                <w:szCs w:val="17"/>
                <w:color w:val="auto"/>
              </w:rPr>
            </w:pPr>
          </w:p>
        </w:tc>
        <w:tc>
          <w:tcPr>
            <w:tcW w:w="7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58</w:t>
            </w:r>
          </w:p>
        </w:tc>
      </w:tr>
      <w:tr>
        <w:trPr>
          <w:trHeight w:val="203"/>
        </w:trPr>
        <w:tc>
          <w:tcPr>
            <w:tcW w:w="36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b w:val="1"/>
                <w:bCs w:val="1"/>
                <w:color w:val="auto"/>
              </w:rPr>
              <w:t>Deferred income taxes – current and non-current (b)</w:t>
            </w:r>
          </w:p>
        </w:tc>
        <w:tc>
          <w:tcPr>
            <w:tcW w:w="640" w:type="dxa"/>
            <w:vAlign w:val="bottom"/>
          </w:tcPr>
          <w:p>
            <w:pPr>
              <w:spacing w:after="0"/>
              <w:rPr>
                <w:sz w:val="17"/>
                <w:szCs w:val="17"/>
                <w:color w:val="auto"/>
              </w:rPr>
            </w:pPr>
          </w:p>
        </w:tc>
        <w:tc>
          <w:tcPr>
            <w:tcW w:w="1080" w:type="dxa"/>
            <w:vAlign w:val="bottom"/>
          </w:tcPr>
          <w:p>
            <w:pPr>
              <w:jc w:val="right"/>
              <w:ind w:right="216"/>
              <w:spacing w:after="0" w:line="202" w:lineRule="exact"/>
              <w:rPr>
                <w:sz w:val="20"/>
                <w:szCs w:val="20"/>
                <w:color w:val="auto"/>
              </w:rPr>
            </w:pPr>
            <w:r>
              <w:rPr>
                <w:rFonts w:ascii="Arial" w:cs="Arial" w:eastAsia="Arial" w:hAnsi="Arial"/>
                <w:sz w:val="18"/>
                <w:szCs w:val="18"/>
                <w:b w:val="1"/>
                <w:bCs w:val="1"/>
                <w:color w:val="auto"/>
              </w:rPr>
              <w:t>1,137</w:t>
            </w:r>
          </w:p>
        </w:tc>
        <w:tc>
          <w:tcPr>
            <w:tcW w:w="1360" w:type="dxa"/>
            <w:vAlign w:val="bottom"/>
          </w:tcPr>
          <w:p>
            <w:pPr>
              <w:jc w:val="right"/>
              <w:ind w:right="238"/>
              <w:spacing w:after="0" w:line="202" w:lineRule="exact"/>
              <w:rPr>
                <w:sz w:val="20"/>
                <w:szCs w:val="20"/>
                <w:color w:val="auto"/>
              </w:rPr>
            </w:pPr>
            <w:r>
              <w:rPr>
                <w:rFonts w:ascii="Arial" w:cs="Arial" w:eastAsia="Arial" w:hAnsi="Arial"/>
                <w:sz w:val="18"/>
                <w:szCs w:val="18"/>
                <w:b w:val="1"/>
                <w:bCs w:val="1"/>
                <w:color w:val="auto"/>
              </w:rPr>
              <w:t>203</w:t>
            </w:r>
          </w:p>
        </w:tc>
        <w:tc>
          <w:tcPr>
            <w:tcW w:w="360" w:type="dxa"/>
            <w:vAlign w:val="bottom"/>
          </w:tcPr>
          <w:p>
            <w:pPr>
              <w:spacing w:after="0"/>
              <w:rPr>
                <w:sz w:val="17"/>
                <w:szCs w:val="17"/>
                <w:color w:val="auto"/>
              </w:rPr>
            </w:pPr>
          </w:p>
        </w:tc>
        <w:tc>
          <w:tcPr>
            <w:tcW w:w="1080" w:type="dxa"/>
            <w:vAlign w:val="bottom"/>
          </w:tcPr>
          <w:p>
            <w:pPr>
              <w:jc w:val="right"/>
              <w:ind w:right="238"/>
              <w:spacing w:after="0" w:line="202" w:lineRule="exact"/>
              <w:rPr>
                <w:sz w:val="20"/>
                <w:szCs w:val="20"/>
                <w:color w:val="auto"/>
              </w:rPr>
            </w:pPr>
            <w:r>
              <w:rPr>
                <w:rFonts w:ascii="Arial" w:cs="Arial" w:eastAsia="Arial" w:hAnsi="Arial"/>
                <w:sz w:val="18"/>
                <w:szCs w:val="18"/>
                <w:b w:val="1"/>
                <w:bCs w:val="1"/>
                <w:color w:val="auto"/>
              </w:rPr>
              <w:t>2</w:t>
            </w:r>
          </w:p>
        </w:tc>
        <w:tc>
          <w:tcPr>
            <w:tcW w:w="4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1,342</w:t>
            </w:r>
          </w:p>
        </w:tc>
      </w:tr>
      <w:tr>
        <w:trPr>
          <w:trHeight w:val="203"/>
        </w:trPr>
        <w:tc>
          <w:tcPr>
            <w:tcW w:w="360" w:type="dxa"/>
            <w:vAlign w:val="bottom"/>
          </w:tcPr>
          <w:p>
            <w:pPr>
              <w:spacing w:after="0"/>
              <w:rPr>
                <w:sz w:val="17"/>
                <w:szCs w:val="17"/>
                <w:color w:val="auto"/>
              </w:rPr>
            </w:pPr>
          </w:p>
        </w:tc>
        <w:tc>
          <w:tcPr>
            <w:tcW w:w="4980" w:type="dxa"/>
            <w:vAlign w:val="bottom"/>
            <w:shd w:val="clear" w:color="auto" w:fill="E6E7E7"/>
          </w:tcPr>
          <w:p>
            <w:pPr>
              <w:spacing w:after="0" w:line="202" w:lineRule="exact"/>
              <w:rPr>
                <w:sz w:val="20"/>
                <w:szCs w:val="20"/>
                <w:color w:val="auto"/>
              </w:rPr>
            </w:pPr>
            <w:r>
              <w:rPr>
                <w:rFonts w:ascii="Arial" w:cs="Arial" w:eastAsia="Arial" w:hAnsi="Arial"/>
                <w:sz w:val="18"/>
                <w:szCs w:val="18"/>
                <w:b w:val="1"/>
                <w:bCs w:val="1"/>
                <w:color w:val="auto"/>
              </w:rPr>
              <w:t>Accrued retirement costs</w:t>
            </w:r>
          </w:p>
        </w:tc>
        <w:tc>
          <w:tcPr>
            <w:tcW w:w="640" w:type="dxa"/>
            <w:vAlign w:val="bottom"/>
            <w:shd w:val="clear" w:color="auto" w:fill="E6E7E7"/>
          </w:tcPr>
          <w:p>
            <w:pPr>
              <w:spacing w:after="0"/>
              <w:rPr>
                <w:sz w:val="17"/>
                <w:szCs w:val="17"/>
                <w:color w:val="auto"/>
              </w:rPr>
            </w:pPr>
          </w:p>
        </w:tc>
        <w:tc>
          <w:tcPr>
            <w:tcW w:w="1080" w:type="dxa"/>
            <w:vAlign w:val="bottom"/>
            <w:shd w:val="clear" w:color="auto" w:fill="E6E7E7"/>
          </w:tcPr>
          <w:p>
            <w:pPr>
              <w:jc w:val="right"/>
              <w:ind w:right="156"/>
              <w:spacing w:after="0" w:line="202" w:lineRule="exact"/>
              <w:rPr>
                <w:sz w:val="20"/>
                <w:szCs w:val="20"/>
                <w:color w:val="auto"/>
              </w:rPr>
            </w:pPr>
            <w:r>
              <w:rPr>
                <w:rFonts w:ascii="Arial" w:cs="Arial" w:eastAsia="Arial" w:hAnsi="Arial"/>
                <w:sz w:val="18"/>
                <w:szCs w:val="18"/>
                <w:b w:val="1"/>
                <w:bCs w:val="1"/>
                <w:color w:val="auto"/>
              </w:rPr>
              <w:t>(59)</w:t>
            </w:r>
          </w:p>
        </w:tc>
        <w:tc>
          <w:tcPr>
            <w:tcW w:w="1360" w:type="dxa"/>
            <w:vAlign w:val="bottom"/>
            <w:shd w:val="clear" w:color="auto" w:fill="E6E7E7"/>
          </w:tcPr>
          <w:p>
            <w:pPr>
              <w:jc w:val="right"/>
              <w:ind w:right="238"/>
              <w:spacing w:after="0" w:line="202" w:lineRule="exact"/>
              <w:rPr>
                <w:sz w:val="20"/>
                <w:szCs w:val="20"/>
                <w:color w:val="auto"/>
              </w:rPr>
            </w:pPr>
            <w:r>
              <w:rPr>
                <w:rFonts w:ascii="Arial" w:cs="Arial" w:eastAsia="Arial" w:hAnsi="Arial"/>
                <w:sz w:val="18"/>
                <w:szCs w:val="18"/>
                <w:b w:val="1"/>
                <w:bCs w:val="1"/>
                <w:color w:val="auto"/>
              </w:rPr>
              <w:t>59</w:t>
            </w:r>
          </w:p>
        </w:tc>
        <w:tc>
          <w:tcPr>
            <w:tcW w:w="360" w:type="dxa"/>
            <w:vAlign w:val="bottom"/>
            <w:shd w:val="clear" w:color="auto" w:fill="E6E7E7"/>
          </w:tcPr>
          <w:p>
            <w:pPr>
              <w:spacing w:after="0"/>
              <w:rPr>
                <w:sz w:val="17"/>
                <w:szCs w:val="17"/>
                <w:color w:val="auto"/>
              </w:rPr>
            </w:pPr>
          </w:p>
        </w:tc>
        <w:tc>
          <w:tcPr>
            <w:tcW w:w="1080" w:type="dxa"/>
            <w:vAlign w:val="bottom"/>
            <w:shd w:val="clear" w:color="auto" w:fill="E6E7E7"/>
          </w:tcPr>
          <w:p>
            <w:pPr>
              <w:jc w:val="right"/>
              <w:ind w:right="238"/>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E6E7E7"/>
          </w:tcPr>
          <w:p>
            <w:pPr>
              <w:spacing w:after="0"/>
              <w:rPr>
                <w:sz w:val="17"/>
                <w:szCs w:val="17"/>
                <w:color w:val="auto"/>
              </w:rPr>
            </w:pPr>
          </w:p>
        </w:tc>
        <w:tc>
          <w:tcPr>
            <w:tcW w:w="7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36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b w:val="1"/>
                <w:bCs w:val="1"/>
                <w:color w:val="auto"/>
              </w:rPr>
              <w:t>Accrued profit sharing and retirement (c)</w:t>
            </w:r>
          </w:p>
        </w:tc>
        <w:tc>
          <w:tcPr>
            <w:tcW w:w="640" w:type="dxa"/>
            <w:vAlign w:val="bottom"/>
          </w:tcPr>
          <w:p>
            <w:pPr>
              <w:spacing w:after="0"/>
              <w:rPr>
                <w:sz w:val="17"/>
                <w:szCs w:val="17"/>
                <w:color w:val="auto"/>
              </w:rPr>
            </w:pPr>
          </w:p>
        </w:tc>
        <w:tc>
          <w:tcPr>
            <w:tcW w:w="1080" w:type="dxa"/>
            <w:vAlign w:val="bottom"/>
          </w:tcPr>
          <w:p>
            <w:pPr>
              <w:jc w:val="right"/>
              <w:ind w:right="156"/>
              <w:spacing w:after="0" w:line="202" w:lineRule="exact"/>
              <w:rPr>
                <w:sz w:val="20"/>
                <w:szCs w:val="20"/>
                <w:color w:val="auto"/>
              </w:rPr>
            </w:pPr>
            <w:r>
              <w:rPr>
                <w:rFonts w:ascii="Arial" w:cs="Arial" w:eastAsia="Arial" w:hAnsi="Arial"/>
                <w:sz w:val="18"/>
                <w:szCs w:val="18"/>
                <w:b w:val="1"/>
                <w:bCs w:val="1"/>
                <w:color w:val="auto"/>
              </w:rPr>
              <w:t>(148)</w:t>
            </w:r>
          </w:p>
        </w:tc>
        <w:tc>
          <w:tcPr>
            <w:tcW w:w="1360" w:type="dxa"/>
            <w:vAlign w:val="bottom"/>
          </w:tcPr>
          <w:p>
            <w:pPr>
              <w:jc w:val="right"/>
              <w:ind w:right="178"/>
              <w:spacing w:after="0" w:line="202" w:lineRule="exact"/>
              <w:rPr>
                <w:sz w:val="20"/>
                <w:szCs w:val="20"/>
                <w:color w:val="auto"/>
              </w:rPr>
            </w:pPr>
            <w:r>
              <w:rPr>
                <w:rFonts w:ascii="Arial" w:cs="Arial" w:eastAsia="Arial" w:hAnsi="Arial"/>
                <w:sz w:val="18"/>
                <w:szCs w:val="18"/>
                <w:b w:val="1"/>
                <w:bCs w:val="1"/>
                <w:color w:val="auto"/>
              </w:rPr>
              <w:t>(14)</w:t>
            </w:r>
          </w:p>
        </w:tc>
        <w:tc>
          <w:tcPr>
            <w:tcW w:w="360" w:type="dxa"/>
            <w:vAlign w:val="bottom"/>
          </w:tcPr>
          <w:p>
            <w:pPr>
              <w:spacing w:after="0"/>
              <w:rPr>
                <w:sz w:val="17"/>
                <w:szCs w:val="17"/>
                <w:color w:val="auto"/>
              </w:rPr>
            </w:pPr>
          </w:p>
        </w:tc>
        <w:tc>
          <w:tcPr>
            <w:tcW w:w="1080" w:type="dxa"/>
            <w:vAlign w:val="bottom"/>
          </w:tcPr>
          <w:p>
            <w:pPr>
              <w:jc w:val="right"/>
              <w:ind w:right="238"/>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(162)</w:t>
            </w:r>
          </w:p>
        </w:tc>
      </w:tr>
      <w:tr>
        <w:trPr>
          <w:trHeight w:val="203"/>
        </w:trPr>
        <w:tc>
          <w:tcPr>
            <w:tcW w:w="360" w:type="dxa"/>
            <w:vAlign w:val="bottom"/>
          </w:tcPr>
          <w:p>
            <w:pPr>
              <w:spacing w:after="0"/>
              <w:rPr>
                <w:sz w:val="17"/>
                <w:szCs w:val="17"/>
                <w:color w:val="auto"/>
              </w:rPr>
            </w:pPr>
          </w:p>
        </w:tc>
        <w:tc>
          <w:tcPr>
            <w:tcW w:w="4980" w:type="dxa"/>
            <w:vAlign w:val="bottom"/>
            <w:shd w:val="clear" w:color="auto" w:fill="E6E7E7"/>
          </w:tcPr>
          <w:p>
            <w:pPr>
              <w:spacing w:after="0" w:line="202" w:lineRule="exact"/>
              <w:rPr>
                <w:sz w:val="20"/>
                <w:szCs w:val="20"/>
                <w:color w:val="auto"/>
              </w:rPr>
            </w:pPr>
            <w:r>
              <w:rPr>
                <w:rFonts w:ascii="Arial" w:cs="Arial" w:eastAsia="Arial" w:hAnsi="Arial"/>
                <w:sz w:val="18"/>
                <w:szCs w:val="18"/>
                <w:b w:val="1"/>
                <w:bCs w:val="1"/>
                <w:color w:val="auto"/>
              </w:rPr>
              <w:t>Underfunded retirement plans – non-current (d)</w:t>
            </w:r>
          </w:p>
        </w:tc>
        <w:tc>
          <w:tcPr>
            <w:tcW w:w="640" w:type="dxa"/>
            <w:vAlign w:val="bottom"/>
            <w:shd w:val="clear" w:color="auto" w:fill="E6E7E7"/>
          </w:tcPr>
          <w:p>
            <w:pPr>
              <w:spacing w:after="0"/>
              <w:rPr>
                <w:sz w:val="17"/>
                <w:szCs w:val="17"/>
                <w:color w:val="auto"/>
              </w:rPr>
            </w:pPr>
          </w:p>
        </w:tc>
        <w:tc>
          <w:tcPr>
            <w:tcW w:w="1080" w:type="dxa"/>
            <w:vAlign w:val="bottom"/>
            <w:shd w:val="clear" w:color="auto" w:fill="E6E7E7"/>
          </w:tcPr>
          <w:p>
            <w:pPr>
              <w:jc w:val="right"/>
              <w:ind w:right="216"/>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E6E7E7"/>
          </w:tcPr>
          <w:p>
            <w:pPr>
              <w:jc w:val="right"/>
              <w:ind w:right="178"/>
              <w:spacing w:after="0" w:line="202" w:lineRule="exact"/>
              <w:rPr>
                <w:sz w:val="20"/>
                <w:szCs w:val="20"/>
                <w:color w:val="auto"/>
              </w:rPr>
            </w:pPr>
            <w:r>
              <w:rPr>
                <w:rFonts w:ascii="Arial" w:cs="Arial" w:eastAsia="Arial" w:hAnsi="Arial"/>
                <w:sz w:val="18"/>
                <w:szCs w:val="18"/>
                <w:b w:val="1"/>
                <w:bCs w:val="1"/>
                <w:color w:val="auto"/>
              </w:rPr>
              <w:t>(207)</w:t>
            </w:r>
          </w:p>
        </w:tc>
        <w:tc>
          <w:tcPr>
            <w:tcW w:w="360" w:type="dxa"/>
            <w:vAlign w:val="bottom"/>
            <w:shd w:val="clear" w:color="auto" w:fill="E6E7E7"/>
          </w:tcPr>
          <w:p>
            <w:pPr>
              <w:spacing w:after="0"/>
              <w:rPr>
                <w:sz w:val="17"/>
                <w:szCs w:val="17"/>
                <w:color w:val="auto"/>
              </w:rPr>
            </w:pPr>
          </w:p>
        </w:tc>
        <w:tc>
          <w:tcPr>
            <w:tcW w:w="1080" w:type="dxa"/>
            <w:vAlign w:val="bottom"/>
            <w:shd w:val="clear" w:color="auto" w:fill="E6E7E7"/>
          </w:tcPr>
          <w:p>
            <w:pPr>
              <w:jc w:val="right"/>
              <w:ind w:right="178"/>
              <w:spacing w:after="0" w:line="202" w:lineRule="exact"/>
              <w:rPr>
                <w:sz w:val="20"/>
                <w:szCs w:val="20"/>
                <w:color w:val="auto"/>
              </w:rPr>
            </w:pPr>
            <w:r>
              <w:rPr>
                <w:rFonts w:ascii="Arial" w:cs="Arial" w:eastAsia="Arial" w:hAnsi="Arial"/>
                <w:sz w:val="18"/>
                <w:szCs w:val="18"/>
                <w:b w:val="1"/>
                <w:bCs w:val="1"/>
                <w:color w:val="auto"/>
              </w:rPr>
              <w:t>(1)</w:t>
            </w:r>
          </w:p>
        </w:tc>
        <w:tc>
          <w:tcPr>
            <w:tcW w:w="460" w:type="dxa"/>
            <w:vAlign w:val="bottom"/>
            <w:shd w:val="clear" w:color="auto" w:fill="E6E7E7"/>
          </w:tcPr>
          <w:p>
            <w:pPr>
              <w:spacing w:after="0"/>
              <w:rPr>
                <w:sz w:val="17"/>
                <w:szCs w:val="17"/>
                <w:color w:val="auto"/>
              </w:rPr>
            </w:pPr>
          </w:p>
        </w:tc>
        <w:tc>
          <w:tcPr>
            <w:tcW w:w="7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(208)</w:t>
            </w:r>
          </w:p>
        </w:tc>
      </w:tr>
      <w:tr>
        <w:trPr>
          <w:trHeight w:val="203"/>
        </w:trPr>
        <w:tc>
          <w:tcPr>
            <w:tcW w:w="36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b w:val="1"/>
                <w:bCs w:val="1"/>
                <w:color w:val="auto"/>
              </w:rPr>
              <w:t>Retained earnings</w:t>
            </w:r>
          </w:p>
        </w:tc>
        <w:tc>
          <w:tcPr>
            <w:tcW w:w="640" w:type="dxa"/>
            <w:vAlign w:val="bottom"/>
          </w:tcPr>
          <w:p>
            <w:pPr>
              <w:spacing w:after="0"/>
              <w:rPr>
                <w:sz w:val="17"/>
                <w:szCs w:val="17"/>
                <w:color w:val="auto"/>
              </w:rPr>
            </w:pPr>
          </w:p>
        </w:tc>
        <w:tc>
          <w:tcPr>
            <w:tcW w:w="1080" w:type="dxa"/>
            <w:vAlign w:val="bottom"/>
          </w:tcPr>
          <w:p>
            <w:pPr>
              <w:jc w:val="right"/>
              <w:ind w:right="156"/>
              <w:spacing w:after="0" w:line="202" w:lineRule="exact"/>
              <w:rPr>
                <w:sz w:val="20"/>
                <w:szCs w:val="20"/>
                <w:color w:val="auto"/>
              </w:rPr>
            </w:pPr>
            <w:r>
              <w:rPr>
                <w:rFonts w:ascii="Arial" w:cs="Arial" w:eastAsia="Arial" w:hAnsi="Arial"/>
                <w:sz w:val="18"/>
                <w:szCs w:val="18"/>
                <w:b w:val="1"/>
                <w:bCs w:val="1"/>
                <w:color w:val="auto"/>
              </w:rPr>
              <w:t>(17,535)</w:t>
            </w:r>
          </w:p>
        </w:tc>
        <w:tc>
          <w:tcPr>
            <w:tcW w:w="1360" w:type="dxa"/>
            <w:vAlign w:val="bottom"/>
          </w:tcPr>
          <w:p>
            <w:pPr>
              <w:jc w:val="right"/>
              <w:ind w:right="238"/>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7"/>
                <w:szCs w:val="17"/>
                <w:color w:val="auto"/>
              </w:rPr>
            </w:pPr>
          </w:p>
        </w:tc>
        <w:tc>
          <w:tcPr>
            <w:tcW w:w="1080" w:type="dxa"/>
            <w:vAlign w:val="bottom"/>
          </w:tcPr>
          <w:p>
            <w:pPr>
              <w:jc w:val="right"/>
              <w:ind w:right="238"/>
              <w:spacing w:after="0" w:line="202" w:lineRule="exact"/>
              <w:rPr>
                <w:sz w:val="20"/>
                <w:szCs w:val="20"/>
                <w:color w:val="auto"/>
              </w:rPr>
            </w:pPr>
            <w:r>
              <w:rPr>
                <w:rFonts w:ascii="Arial" w:cs="Arial" w:eastAsia="Arial" w:hAnsi="Arial"/>
                <w:sz w:val="18"/>
                <w:szCs w:val="18"/>
                <w:b w:val="1"/>
                <w:bCs w:val="1"/>
                <w:color w:val="auto"/>
              </w:rPr>
              <w:t>6</w:t>
            </w:r>
          </w:p>
        </w:tc>
        <w:tc>
          <w:tcPr>
            <w:tcW w:w="4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(17,529)</w:t>
            </w:r>
          </w:p>
        </w:tc>
      </w:tr>
      <w:tr>
        <w:trPr>
          <w:trHeight w:val="203"/>
        </w:trPr>
        <w:tc>
          <w:tcPr>
            <w:tcW w:w="360" w:type="dxa"/>
            <w:vAlign w:val="bottom"/>
          </w:tcPr>
          <w:p>
            <w:pPr>
              <w:spacing w:after="0"/>
              <w:rPr>
                <w:sz w:val="17"/>
                <w:szCs w:val="17"/>
                <w:color w:val="auto"/>
              </w:rPr>
            </w:pPr>
          </w:p>
        </w:tc>
        <w:tc>
          <w:tcPr>
            <w:tcW w:w="4980" w:type="dxa"/>
            <w:vAlign w:val="bottom"/>
            <w:shd w:val="clear" w:color="auto" w:fill="E6E7E7"/>
          </w:tcPr>
          <w:p>
            <w:pPr>
              <w:spacing w:after="0" w:line="202" w:lineRule="exact"/>
              <w:rPr>
                <w:sz w:val="20"/>
                <w:szCs w:val="20"/>
                <w:color w:val="auto"/>
              </w:rPr>
            </w:pPr>
            <w:r>
              <w:rPr>
                <w:rFonts w:ascii="Arial" w:cs="Arial" w:eastAsia="Arial" w:hAnsi="Arial"/>
                <w:sz w:val="18"/>
                <w:szCs w:val="18"/>
                <w:b w:val="1"/>
                <w:bCs w:val="1"/>
                <w:color w:val="auto"/>
              </w:rPr>
              <w:t>Accumulated other comprehensive loss, net of tax:</w:t>
            </w:r>
          </w:p>
        </w:tc>
        <w:tc>
          <w:tcPr>
            <w:tcW w:w="640" w:type="dxa"/>
            <w:vAlign w:val="bottom"/>
            <w:shd w:val="clear" w:color="auto" w:fill="E6E7E7"/>
          </w:tcPr>
          <w:p>
            <w:pPr>
              <w:spacing w:after="0"/>
              <w:rPr>
                <w:sz w:val="17"/>
                <w:szCs w:val="17"/>
                <w:color w:val="auto"/>
              </w:rPr>
            </w:pPr>
          </w:p>
        </w:tc>
        <w:tc>
          <w:tcPr>
            <w:tcW w:w="1080" w:type="dxa"/>
            <w:vAlign w:val="bottom"/>
            <w:shd w:val="clear" w:color="auto" w:fill="E6E7E7"/>
          </w:tcPr>
          <w:p>
            <w:pPr>
              <w:spacing w:after="0"/>
              <w:rPr>
                <w:sz w:val="17"/>
                <w:szCs w:val="17"/>
                <w:color w:val="auto"/>
              </w:rPr>
            </w:pPr>
          </w:p>
        </w:tc>
        <w:tc>
          <w:tcPr>
            <w:tcW w:w="1360" w:type="dxa"/>
            <w:vAlign w:val="bottom"/>
            <w:shd w:val="clear" w:color="auto" w:fill="E6E7E7"/>
          </w:tcPr>
          <w:p>
            <w:pPr>
              <w:spacing w:after="0"/>
              <w:rPr>
                <w:sz w:val="17"/>
                <w:szCs w:val="17"/>
                <w:color w:val="auto"/>
              </w:rPr>
            </w:pPr>
          </w:p>
        </w:tc>
        <w:tc>
          <w:tcPr>
            <w:tcW w:w="360" w:type="dxa"/>
            <w:vAlign w:val="bottom"/>
            <w:shd w:val="clear" w:color="auto" w:fill="E6E7E7"/>
          </w:tcPr>
          <w:p>
            <w:pPr>
              <w:spacing w:after="0"/>
              <w:rPr>
                <w:sz w:val="17"/>
                <w:szCs w:val="17"/>
                <w:color w:val="auto"/>
              </w:rPr>
            </w:pPr>
          </w:p>
        </w:tc>
        <w:tc>
          <w:tcPr>
            <w:tcW w:w="1080" w:type="dxa"/>
            <w:vAlign w:val="bottom"/>
            <w:shd w:val="clear" w:color="auto" w:fill="E6E7E7"/>
          </w:tcPr>
          <w:p>
            <w:pPr>
              <w:spacing w:after="0"/>
              <w:rPr>
                <w:sz w:val="17"/>
                <w:szCs w:val="17"/>
                <w:color w:val="auto"/>
              </w:rPr>
            </w:pPr>
          </w:p>
        </w:tc>
        <w:tc>
          <w:tcPr>
            <w:tcW w:w="460" w:type="dxa"/>
            <w:vAlign w:val="bottom"/>
            <w:shd w:val="clear" w:color="auto" w:fill="E6E7E7"/>
          </w:tcPr>
          <w:p>
            <w:pPr>
              <w:spacing w:after="0"/>
              <w:rPr>
                <w:sz w:val="17"/>
                <w:szCs w:val="17"/>
                <w:color w:val="auto"/>
              </w:rPr>
            </w:pPr>
          </w:p>
        </w:tc>
        <w:tc>
          <w:tcPr>
            <w:tcW w:w="760" w:type="dxa"/>
            <w:vAlign w:val="bottom"/>
            <w:shd w:val="clear" w:color="auto" w:fill="E6E7E7"/>
          </w:tcPr>
          <w:p>
            <w:pPr>
              <w:spacing w:after="0"/>
              <w:rPr>
                <w:sz w:val="17"/>
                <w:szCs w:val="17"/>
                <w:color w:val="auto"/>
              </w:rPr>
            </w:pPr>
          </w:p>
        </w:tc>
      </w:tr>
      <w:tr>
        <w:trPr>
          <w:trHeight w:val="233"/>
        </w:trPr>
        <w:tc>
          <w:tcPr>
            <w:tcW w:w="360" w:type="dxa"/>
            <w:vAlign w:val="bottom"/>
          </w:tcPr>
          <w:p>
            <w:pPr>
              <w:spacing w:after="0"/>
              <w:rPr>
                <w:sz w:val="20"/>
                <w:szCs w:val="20"/>
                <w:color w:val="auto"/>
              </w:rPr>
            </w:pPr>
          </w:p>
        </w:tc>
        <w:tc>
          <w:tcPr>
            <w:tcW w:w="4980" w:type="dxa"/>
            <w:vAlign w:val="bottom"/>
          </w:tcPr>
          <w:p>
            <w:pPr>
              <w:ind w:left="200"/>
              <w:spacing w:after="0"/>
              <w:rPr>
                <w:sz w:val="20"/>
                <w:szCs w:val="20"/>
                <w:color w:val="auto"/>
              </w:rPr>
            </w:pPr>
            <w:r>
              <w:rPr>
                <w:rFonts w:ascii="Arial" w:cs="Arial" w:eastAsia="Arial" w:hAnsi="Arial"/>
                <w:sz w:val="18"/>
                <w:szCs w:val="18"/>
                <w:b w:val="1"/>
                <w:bCs w:val="1"/>
                <w:color w:val="auto"/>
              </w:rPr>
              <w:t>Postretirement benefit plans</w:t>
            </w:r>
          </w:p>
        </w:tc>
        <w:tc>
          <w:tcPr>
            <w:tcW w:w="640" w:type="dxa"/>
            <w:vAlign w:val="bottom"/>
          </w:tcPr>
          <w:p>
            <w:pPr>
              <w:spacing w:after="0"/>
              <w:rPr>
                <w:sz w:val="20"/>
                <w:szCs w:val="20"/>
                <w:color w:val="auto"/>
              </w:rPr>
            </w:pPr>
          </w:p>
        </w:tc>
        <w:tc>
          <w:tcPr>
            <w:tcW w:w="1080" w:type="dxa"/>
            <w:vAlign w:val="bottom"/>
          </w:tcPr>
          <w:p>
            <w:pPr>
              <w:jc w:val="right"/>
              <w:ind w:right="216"/>
              <w:spacing w:after="0"/>
              <w:rPr>
                <w:sz w:val="20"/>
                <w:szCs w:val="20"/>
                <w:color w:val="auto"/>
              </w:rPr>
            </w:pPr>
            <w:r>
              <w:rPr>
                <w:rFonts w:ascii="Arial" w:cs="Arial" w:eastAsia="Arial" w:hAnsi="Arial"/>
                <w:sz w:val="18"/>
                <w:szCs w:val="18"/>
                <w:b w:val="1"/>
                <w:bCs w:val="1"/>
                <w:color w:val="auto"/>
              </w:rPr>
              <w:t>17</w:t>
            </w:r>
          </w:p>
        </w:tc>
        <w:tc>
          <w:tcPr>
            <w:tcW w:w="1360" w:type="dxa"/>
            <w:vAlign w:val="bottom"/>
          </w:tcPr>
          <w:p>
            <w:pPr>
              <w:jc w:val="right"/>
              <w:ind w:right="238"/>
              <w:spacing w:after="0"/>
              <w:rPr>
                <w:sz w:val="20"/>
                <w:szCs w:val="20"/>
                <w:color w:val="auto"/>
              </w:rPr>
            </w:pPr>
            <w:r>
              <w:rPr>
                <w:rFonts w:ascii="Arial" w:cs="Arial" w:eastAsia="Arial" w:hAnsi="Arial"/>
                <w:sz w:val="18"/>
                <w:szCs w:val="18"/>
                <w:b w:val="1"/>
                <w:bCs w:val="1"/>
                <w:color w:val="auto"/>
              </w:rPr>
              <w:t>337</w:t>
            </w:r>
          </w:p>
        </w:tc>
        <w:tc>
          <w:tcPr>
            <w:tcW w:w="360" w:type="dxa"/>
            <w:vAlign w:val="bottom"/>
          </w:tcPr>
          <w:p>
            <w:pPr>
              <w:spacing w:after="0"/>
              <w:rPr>
                <w:sz w:val="20"/>
                <w:szCs w:val="20"/>
                <w:color w:val="auto"/>
              </w:rPr>
            </w:pPr>
          </w:p>
        </w:tc>
        <w:tc>
          <w:tcPr>
            <w:tcW w:w="1080" w:type="dxa"/>
            <w:vAlign w:val="bottom"/>
          </w:tcPr>
          <w:p>
            <w:pPr>
              <w:jc w:val="right"/>
              <w:ind w:right="178"/>
              <w:spacing w:after="0"/>
              <w:rPr>
                <w:sz w:val="20"/>
                <w:szCs w:val="20"/>
                <w:color w:val="auto"/>
              </w:rPr>
            </w:pPr>
            <w:r>
              <w:rPr>
                <w:rFonts w:ascii="Arial" w:cs="Arial" w:eastAsia="Arial" w:hAnsi="Arial"/>
                <w:sz w:val="18"/>
                <w:szCs w:val="18"/>
                <w:b w:val="1"/>
                <w:bCs w:val="1"/>
                <w:color w:val="auto"/>
              </w:rPr>
              <w:t>(3)</w:t>
            </w:r>
          </w:p>
        </w:tc>
        <w:tc>
          <w:tcPr>
            <w:tcW w:w="4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351</w:t>
            </w:r>
          </w:p>
        </w:tc>
      </w:tr>
    </w:tbl>
    <w:p>
      <w:pPr>
        <w:spacing w:after="0" w:line="1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800" w:hanging="346"/>
        <w:spacing w:after="0"/>
        <w:tabs>
          <w:tab w:leader="none" w:pos="8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balance after application of SFAS 158 represents plans with an excess fair value of plan assets over benefit obligations (i.e., an overfunded status).</w:t>
      </w:r>
    </w:p>
    <w:p>
      <w:pPr>
        <w:ind w:left="800" w:right="100" w:hanging="346"/>
        <w:spacing w:after="0" w:line="221" w:lineRule="auto"/>
        <w:tabs>
          <w:tab w:leader="none" w:pos="8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Adjustments made to deferred taxes are based on the amounts of prior service costs and net actuarial loss reclassified to AOCI upon implementation of SFAS 158, at applicable tax rates, as well as the adjustment to retained earnings for the effect of changing the measurement date.</w:t>
      </w:r>
    </w:p>
    <w:p>
      <w:pPr>
        <w:ind w:left="800" w:hanging="346"/>
        <w:spacing w:after="0" w:line="221" w:lineRule="auto"/>
        <w:tabs>
          <w:tab w:leader="none" w:pos="8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Includes the $14 million liability after application of SFAS 158 that represents plans with an excess of expected benefit payments due within the next 12 months over the fair value of plan assets.</w:t>
      </w:r>
    </w:p>
    <w:p>
      <w:pPr>
        <w:ind w:left="800" w:right="160" w:hanging="346"/>
        <w:spacing w:after="0" w:line="231" w:lineRule="auto"/>
        <w:tabs>
          <w:tab w:leader="none" w:pos="8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balance after application of SFAS 158 represents plans with an excess of benefit obligations over the fair value of plan assets (i.e., an underfunded liability status), less the current portion.</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amounts recorded in AOCI for the year ended December 31, 2006, are further detailed by the type of plan to which they are attributable:</w:t>
      </w:r>
    </w:p>
    <w:p>
      <w:pPr>
        <w:spacing w:after="0" w:line="189"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939598"/>
              </w:rPr>
              <w:t>AMOUNTS</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40" w:type="dxa"/>
            <w:vAlign w:val="bottom"/>
            <w:gridSpan w:val="4"/>
          </w:tcPr>
          <w:p>
            <w:pPr>
              <w:ind w:left="220"/>
              <w:spacing w:after="0"/>
              <w:rPr>
                <w:sz w:val="20"/>
                <w:szCs w:val="20"/>
                <w:color w:val="auto"/>
              </w:rPr>
            </w:pPr>
            <w:r>
              <w:rPr>
                <w:rFonts w:ascii="Arial" w:cs="Arial" w:eastAsia="Arial" w:hAnsi="Arial"/>
                <w:sz w:val="14"/>
                <w:szCs w:val="14"/>
                <w:b w:val="1"/>
                <w:bCs w:val="1"/>
                <w:color w:val="939598"/>
              </w:rPr>
              <w:t>INCLUDED IN AOCI</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8"/>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32"/>
        </w:trPr>
        <w:tc>
          <w:tcPr>
            <w:tcW w:w="20" w:type="dxa"/>
            <w:vAlign w:val="bottom"/>
          </w:tcPr>
          <w:p>
            <w:pPr>
              <w:spacing w:after="0"/>
              <w:rPr>
                <w:sz w:val="11"/>
                <w:szCs w:val="11"/>
                <w:color w:val="auto"/>
              </w:rPr>
            </w:pPr>
          </w:p>
        </w:tc>
        <w:tc>
          <w:tcPr>
            <w:tcW w:w="5560" w:type="dxa"/>
            <w:vAlign w:val="bottom"/>
            <w:shd w:val="clear" w:color="auto" w:fill="939598"/>
          </w:tcPr>
          <w:p>
            <w:pPr>
              <w:spacing w:after="0"/>
              <w:rPr>
                <w:sz w:val="11"/>
                <w:szCs w:val="11"/>
                <w:color w:val="auto"/>
              </w:rPr>
            </w:pPr>
          </w:p>
        </w:tc>
        <w:tc>
          <w:tcPr>
            <w:tcW w:w="2580" w:type="dxa"/>
            <w:vAlign w:val="bottom"/>
            <w:gridSpan w:val="3"/>
            <w:shd w:val="clear" w:color="auto" w:fill="939598"/>
          </w:tcPr>
          <w:p>
            <w:pPr>
              <w:jc w:val="center"/>
              <w:ind w:left="1502"/>
              <w:spacing w:after="0" w:line="132" w:lineRule="exact"/>
              <w:rPr>
                <w:sz w:val="20"/>
                <w:szCs w:val="20"/>
                <w:color w:val="auto"/>
              </w:rPr>
            </w:pPr>
            <w:r>
              <w:rPr>
                <w:rFonts w:ascii="Arial" w:cs="Arial" w:eastAsia="Arial" w:hAnsi="Arial"/>
                <w:sz w:val="14"/>
                <w:szCs w:val="14"/>
                <w:b w:val="1"/>
                <w:bCs w:val="1"/>
                <w:color w:val="FFFFFF"/>
                <w:w w:val="97"/>
              </w:rPr>
              <w:t>Minimum</w:t>
            </w:r>
          </w:p>
        </w:tc>
        <w:tc>
          <w:tcPr>
            <w:tcW w:w="820" w:type="dxa"/>
            <w:vAlign w:val="bottom"/>
            <w:gridSpan w:val="2"/>
            <w:shd w:val="clear" w:color="auto" w:fill="939598"/>
          </w:tcPr>
          <w:p>
            <w:pPr>
              <w:ind w:left="220"/>
              <w:spacing w:after="0" w:line="132" w:lineRule="exact"/>
              <w:rPr>
                <w:sz w:val="20"/>
                <w:szCs w:val="20"/>
                <w:color w:val="auto"/>
              </w:rPr>
            </w:pPr>
            <w:r>
              <w:rPr>
                <w:rFonts w:ascii="Arial" w:cs="Arial" w:eastAsia="Arial" w:hAnsi="Arial"/>
                <w:sz w:val="14"/>
                <w:szCs w:val="14"/>
                <w:b w:val="1"/>
                <w:bCs w:val="1"/>
                <w:color w:val="FFFFFF"/>
              </w:rPr>
              <w:t>Prior</w:t>
            </w:r>
          </w:p>
        </w:tc>
        <w:tc>
          <w:tcPr>
            <w:tcW w:w="260" w:type="dxa"/>
            <w:vAlign w:val="bottom"/>
            <w:shd w:val="clear" w:color="auto" w:fill="939598"/>
          </w:tcPr>
          <w:p>
            <w:pPr>
              <w:spacing w:after="0"/>
              <w:rPr>
                <w:sz w:val="11"/>
                <w:szCs w:val="11"/>
                <w:color w:val="auto"/>
              </w:rPr>
            </w:pPr>
          </w:p>
        </w:tc>
        <w:tc>
          <w:tcPr>
            <w:tcW w:w="660" w:type="dxa"/>
            <w:vAlign w:val="bottom"/>
            <w:shd w:val="clear" w:color="auto" w:fill="939598"/>
          </w:tcPr>
          <w:p>
            <w:pPr>
              <w:jc w:val="right"/>
              <w:ind w:right="296"/>
              <w:spacing w:after="0" w:line="132" w:lineRule="exact"/>
              <w:rPr>
                <w:sz w:val="20"/>
                <w:szCs w:val="20"/>
                <w:color w:val="auto"/>
              </w:rPr>
            </w:pPr>
            <w:r>
              <w:rPr>
                <w:rFonts w:ascii="Arial" w:cs="Arial" w:eastAsia="Arial" w:hAnsi="Arial"/>
                <w:sz w:val="14"/>
                <w:szCs w:val="14"/>
                <w:b w:val="1"/>
                <w:bCs w:val="1"/>
                <w:color w:val="FFFFFF"/>
              </w:rPr>
              <w:t>Net</w:t>
            </w:r>
          </w:p>
        </w:tc>
        <w:tc>
          <w:tcPr>
            <w:tcW w:w="260" w:type="dxa"/>
            <w:vAlign w:val="bottom"/>
            <w:shd w:val="clear" w:color="auto" w:fill="939598"/>
          </w:tcPr>
          <w:p>
            <w:pPr>
              <w:spacing w:after="0"/>
              <w:rPr>
                <w:sz w:val="11"/>
                <w:szCs w:val="11"/>
                <w:color w:val="auto"/>
              </w:rPr>
            </w:pPr>
          </w:p>
        </w:tc>
        <w:tc>
          <w:tcPr>
            <w:tcW w:w="500" w:type="dxa"/>
            <w:vAlign w:val="bottom"/>
            <w:shd w:val="clear" w:color="auto" w:fill="939598"/>
          </w:tcPr>
          <w:p>
            <w:pPr>
              <w:spacing w:after="0"/>
              <w:rPr>
                <w:sz w:val="11"/>
                <w:szCs w:val="11"/>
                <w:color w:val="auto"/>
              </w:rPr>
            </w:pPr>
          </w:p>
        </w:tc>
        <w:tc>
          <w:tcPr>
            <w:tcW w:w="60" w:type="dxa"/>
            <w:vAlign w:val="bottom"/>
            <w:shd w:val="clear" w:color="auto" w:fill="939598"/>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939598"/>
          </w:tcPr>
          <w:p>
            <w:pPr>
              <w:spacing w:after="0"/>
              <w:rPr>
                <w:sz w:val="12"/>
                <w:szCs w:val="12"/>
                <w:color w:val="auto"/>
              </w:rPr>
            </w:pPr>
          </w:p>
        </w:tc>
        <w:tc>
          <w:tcPr>
            <w:tcW w:w="1800" w:type="dxa"/>
            <w:vAlign w:val="bottom"/>
            <w:shd w:val="clear" w:color="auto" w:fill="939598"/>
          </w:tcPr>
          <w:p>
            <w:pPr>
              <w:spacing w:after="0"/>
              <w:rPr>
                <w:sz w:val="12"/>
                <w:szCs w:val="12"/>
                <w:color w:val="auto"/>
              </w:rPr>
            </w:pPr>
          </w:p>
        </w:tc>
        <w:tc>
          <w:tcPr>
            <w:tcW w:w="780" w:type="dxa"/>
            <w:vAlign w:val="bottom"/>
            <w:gridSpan w:val="2"/>
            <w:shd w:val="clear" w:color="auto" w:fill="939598"/>
          </w:tcPr>
          <w:p>
            <w:pPr>
              <w:jc w:val="center"/>
              <w:ind w:right="132"/>
              <w:spacing w:after="0" w:line="149" w:lineRule="exact"/>
              <w:rPr>
                <w:sz w:val="20"/>
                <w:szCs w:val="20"/>
                <w:color w:val="auto"/>
              </w:rPr>
            </w:pPr>
            <w:r>
              <w:rPr>
                <w:rFonts w:ascii="Arial" w:cs="Arial" w:eastAsia="Arial" w:hAnsi="Arial"/>
                <w:sz w:val="14"/>
                <w:szCs w:val="14"/>
                <w:b w:val="1"/>
                <w:bCs w:val="1"/>
                <w:color w:val="FFFFFF"/>
                <w:w w:val="95"/>
              </w:rPr>
              <w:t>Pension</w:t>
            </w:r>
          </w:p>
        </w:tc>
        <w:tc>
          <w:tcPr>
            <w:tcW w:w="820" w:type="dxa"/>
            <w:vAlign w:val="bottom"/>
            <w:gridSpan w:val="2"/>
            <w:shd w:val="clear" w:color="auto" w:fill="939598"/>
          </w:tcPr>
          <w:p>
            <w:pPr>
              <w:ind w:left="140"/>
              <w:spacing w:after="0" w:line="149" w:lineRule="exact"/>
              <w:rPr>
                <w:sz w:val="20"/>
                <w:szCs w:val="20"/>
                <w:color w:val="auto"/>
              </w:rPr>
            </w:pPr>
            <w:r>
              <w:rPr>
                <w:rFonts w:ascii="Arial" w:cs="Arial" w:eastAsia="Arial" w:hAnsi="Arial"/>
                <w:sz w:val="14"/>
                <w:szCs w:val="14"/>
                <w:b w:val="1"/>
                <w:bCs w:val="1"/>
                <w:color w:val="FFFFFF"/>
              </w:rPr>
              <w:t>Service</w:t>
            </w:r>
          </w:p>
        </w:tc>
        <w:tc>
          <w:tcPr>
            <w:tcW w:w="920" w:type="dxa"/>
            <w:vAlign w:val="bottom"/>
            <w:gridSpan w:val="2"/>
            <w:shd w:val="clear" w:color="auto" w:fill="939598"/>
          </w:tcPr>
          <w:p>
            <w:pPr>
              <w:ind w:left="140"/>
              <w:spacing w:after="0" w:line="149" w:lineRule="exact"/>
              <w:rPr>
                <w:sz w:val="20"/>
                <w:szCs w:val="20"/>
                <w:color w:val="auto"/>
              </w:rPr>
            </w:pPr>
            <w:r>
              <w:rPr>
                <w:rFonts w:ascii="Arial" w:cs="Arial" w:eastAsia="Arial" w:hAnsi="Arial"/>
                <w:sz w:val="14"/>
                <w:szCs w:val="14"/>
                <w:b w:val="1"/>
                <w:bCs w:val="1"/>
                <w:color w:val="FFFFFF"/>
              </w:rPr>
              <w:t>Actuarial</w:t>
            </w:r>
          </w:p>
        </w:tc>
        <w:tc>
          <w:tcPr>
            <w:tcW w:w="260" w:type="dxa"/>
            <w:vAlign w:val="bottom"/>
            <w:shd w:val="clear" w:color="auto" w:fill="939598"/>
          </w:tcPr>
          <w:p>
            <w:pPr>
              <w:spacing w:after="0"/>
              <w:rPr>
                <w:sz w:val="12"/>
                <w:szCs w:val="12"/>
                <w:color w:val="auto"/>
              </w:rPr>
            </w:pPr>
          </w:p>
        </w:tc>
        <w:tc>
          <w:tcPr>
            <w:tcW w:w="500" w:type="dxa"/>
            <w:vAlign w:val="bottom"/>
            <w:shd w:val="clear" w:color="auto" w:fill="939598"/>
          </w:tcPr>
          <w:p>
            <w:pPr>
              <w:spacing w:after="0"/>
              <w:rPr>
                <w:sz w:val="12"/>
                <w:szCs w:val="12"/>
                <w:color w:val="auto"/>
              </w:rPr>
            </w:pPr>
          </w:p>
        </w:tc>
        <w:tc>
          <w:tcPr>
            <w:tcW w:w="60" w:type="dxa"/>
            <w:vAlign w:val="bottom"/>
            <w:shd w:val="clear" w:color="auto" w:fill="939598"/>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5560" w:type="dxa"/>
            <w:vAlign w:val="bottom"/>
            <w:shd w:val="clear" w:color="auto" w:fill="939598"/>
          </w:tcPr>
          <w:p>
            <w:pPr>
              <w:spacing w:after="0"/>
              <w:rPr>
                <w:sz w:val="14"/>
                <w:szCs w:val="14"/>
                <w:color w:val="auto"/>
              </w:rPr>
            </w:pPr>
          </w:p>
        </w:tc>
        <w:tc>
          <w:tcPr>
            <w:tcW w:w="1800" w:type="dxa"/>
            <w:vAlign w:val="bottom"/>
            <w:shd w:val="clear" w:color="auto" w:fill="939598"/>
          </w:tcPr>
          <w:p>
            <w:pPr>
              <w:spacing w:after="0"/>
              <w:rPr>
                <w:sz w:val="14"/>
                <w:szCs w:val="14"/>
                <w:color w:val="auto"/>
              </w:rPr>
            </w:pPr>
          </w:p>
        </w:tc>
        <w:tc>
          <w:tcPr>
            <w:tcW w:w="780" w:type="dxa"/>
            <w:vAlign w:val="bottom"/>
            <w:gridSpan w:val="2"/>
            <w:shd w:val="clear" w:color="auto" w:fill="939598"/>
          </w:tcPr>
          <w:p>
            <w:pPr>
              <w:jc w:val="center"/>
              <w:ind w:right="132"/>
              <w:spacing w:after="0"/>
              <w:rPr>
                <w:sz w:val="20"/>
                <w:szCs w:val="20"/>
                <w:color w:val="auto"/>
              </w:rPr>
            </w:pPr>
            <w:r>
              <w:rPr>
                <w:rFonts w:ascii="Arial" w:cs="Arial" w:eastAsia="Arial" w:hAnsi="Arial"/>
                <w:sz w:val="14"/>
                <w:szCs w:val="14"/>
                <w:b w:val="1"/>
                <w:bCs w:val="1"/>
                <w:color w:val="FFFFFF"/>
                <w:w w:val="98"/>
              </w:rPr>
              <w:t>Liability</w:t>
            </w:r>
          </w:p>
        </w:tc>
        <w:tc>
          <w:tcPr>
            <w:tcW w:w="820" w:type="dxa"/>
            <w:vAlign w:val="bottom"/>
            <w:gridSpan w:val="2"/>
            <w:shd w:val="clear" w:color="auto" w:fill="939598"/>
          </w:tcPr>
          <w:p>
            <w:pPr>
              <w:ind w:left="240"/>
              <w:spacing w:after="0"/>
              <w:rPr>
                <w:sz w:val="20"/>
                <w:szCs w:val="20"/>
                <w:color w:val="auto"/>
              </w:rPr>
            </w:pPr>
            <w:r>
              <w:rPr>
                <w:rFonts w:ascii="Arial" w:cs="Arial" w:eastAsia="Arial" w:hAnsi="Arial"/>
                <w:sz w:val="14"/>
                <w:szCs w:val="14"/>
                <w:b w:val="1"/>
                <w:bCs w:val="1"/>
                <w:color w:val="FFFFFF"/>
              </w:rPr>
              <w:t>Cost</w:t>
            </w:r>
          </w:p>
        </w:tc>
        <w:tc>
          <w:tcPr>
            <w:tcW w:w="260" w:type="dxa"/>
            <w:vAlign w:val="bottom"/>
            <w:shd w:val="clear" w:color="auto" w:fill="939598"/>
          </w:tcPr>
          <w:p>
            <w:pPr>
              <w:spacing w:after="0"/>
              <w:rPr>
                <w:sz w:val="14"/>
                <w:szCs w:val="14"/>
                <w:color w:val="auto"/>
              </w:rPr>
            </w:pPr>
          </w:p>
        </w:tc>
        <w:tc>
          <w:tcPr>
            <w:tcW w:w="660" w:type="dxa"/>
            <w:vAlign w:val="bottom"/>
            <w:shd w:val="clear" w:color="auto" w:fill="939598"/>
          </w:tcPr>
          <w:p>
            <w:pPr>
              <w:jc w:val="right"/>
              <w:ind w:right="236"/>
              <w:spacing w:after="0"/>
              <w:rPr>
                <w:sz w:val="20"/>
                <w:szCs w:val="20"/>
                <w:color w:val="auto"/>
              </w:rPr>
            </w:pPr>
            <w:r>
              <w:rPr>
                <w:rFonts w:ascii="Arial" w:cs="Arial" w:eastAsia="Arial" w:hAnsi="Arial"/>
                <w:sz w:val="14"/>
                <w:szCs w:val="14"/>
                <w:b w:val="1"/>
                <w:bCs w:val="1"/>
                <w:color w:val="FFFFFF"/>
                <w:w w:val="97"/>
              </w:rPr>
              <w:t>Loss</w:t>
            </w:r>
          </w:p>
        </w:tc>
        <w:tc>
          <w:tcPr>
            <w:tcW w:w="260" w:type="dxa"/>
            <w:vAlign w:val="bottom"/>
            <w:shd w:val="clear" w:color="auto" w:fill="939598"/>
          </w:tcPr>
          <w:p>
            <w:pPr>
              <w:spacing w:after="0"/>
              <w:rPr>
                <w:sz w:val="14"/>
                <w:szCs w:val="14"/>
                <w:color w:val="auto"/>
              </w:rPr>
            </w:pPr>
          </w:p>
        </w:tc>
        <w:tc>
          <w:tcPr>
            <w:tcW w:w="560" w:type="dxa"/>
            <w:vAlign w:val="bottom"/>
            <w:gridSpan w:val="2"/>
            <w:shd w:val="clear" w:color="auto" w:fill="939598"/>
          </w:tcPr>
          <w:p>
            <w:pPr>
              <w:jc w:val="right"/>
              <w:ind w:right="220"/>
              <w:spacing w:after="0"/>
              <w:rPr>
                <w:sz w:val="20"/>
                <w:szCs w:val="20"/>
                <w:color w:val="auto"/>
              </w:rPr>
            </w:pPr>
            <w:r>
              <w:rPr>
                <w:rFonts w:ascii="Arial" w:cs="Arial" w:eastAsia="Arial" w:hAnsi="Arial"/>
                <w:sz w:val="14"/>
                <w:szCs w:val="14"/>
                <w:b w:val="1"/>
                <w:bCs w:val="1"/>
                <w:color w:val="FFFFFF"/>
                <w:w w:val="95"/>
              </w:rPr>
              <w:t>Total</w:t>
            </w:r>
          </w:p>
        </w:tc>
      </w:tr>
      <w:tr>
        <w:trPr>
          <w:trHeight w:val="277"/>
        </w:trPr>
        <w:tc>
          <w:tcPr>
            <w:tcW w:w="5580" w:type="dxa"/>
            <w:vAlign w:val="bottom"/>
            <w:gridSpan w:val="2"/>
          </w:tcPr>
          <w:p>
            <w:pPr>
              <w:spacing w:after="0"/>
              <w:rPr>
                <w:sz w:val="20"/>
                <w:szCs w:val="20"/>
                <w:color w:val="auto"/>
              </w:rPr>
            </w:pPr>
            <w:r>
              <w:rPr>
                <w:rFonts w:ascii="Arial" w:cs="Arial" w:eastAsia="Arial" w:hAnsi="Arial"/>
                <w:sz w:val="18"/>
                <w:szCs w:val="18"/>
                <w:color w:val="auto"/>
              </w:rPr>
              <w:t>Balance, December 31, 2005</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65</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E6E7E7"/>
          </w:tcPr>
          <w:p>
            <w:pPr>
              <w:spacing w:after="0" w:line="202" w:lineRule="exact"/>
              <w:rPr>
                <w:sz w:val="20"/>
                <w:szCs w:val="20"/>
                <w:color w:val="auto"/>
              </w:rPr>
            </w:pPr>
            <w:r>
              <w:rPr>
                <w:rFonts w:ascii="Arial" w:cs="Arial" w:eastAsia="Arial" w:hAnsi="Arial"/>
                <w:sz w:val="18"/>
                <w:szCs w:val="18"/>
                <w:b w:val="1"/>
                <w:bCs w:val="1"/>
                <w:color w:val="auto"/>
              </w:rPr>
              <w:t>2006 change in AOCI by plan type:</w:t>
            </w:r>
          </w:p>
        </w:tc>
        <w:tc>
          <w:tcPr>
            <w:tcW w:w="1800" w:type="dxa"/>
            <w:vAlign w:val="bottom"/>
            <w:shd w:val="clear" w:color="auto" w:fill="E6E7E7"/>
          </w:tcPr>
          <w:p>
            <w:pPr>
              <w:spacing w:after="0"/>
              <w:rPr>
                <w:sz w:val="17"/>
                <w:szCs w:val="17"/>
                <w:color w:val="auto"/>
              </w:rPr>
            </w:pPr>
          </w:p>
        </w:tc>
        <w:tc>
          <w:tcPr>
            <w:tcW w:w="200" w:type="dxa"/>
            <w:vAlign w:val="bottom"/>
            <w:tcBorders>
              <w:top w:val="single" w:sz="8" w:color="auto"/>
            </w:tcBorders>
            <w:shd w:val="clear" w:color="auto" w:fill="E6E7E7"/>
          </w:tcPr>
          <w:p>
            <w:pPr>
              <w:spacing w:after="0"/>
              <w:rPr>
                <w:sz w:val="17"/>
                <w:szCs w:val="17"/>
                <w:color w:val="auto"/>
              </w:rPr>
            </w:pPr>
          </w:p>
        </w:tc>
        <w:tc>
          <w:tcPr>
            <w:tcW w:w="580" w:type="dxa"/>
            <w:vAlign w:val="bottom"/>
            <w:tcBorders>
              <w:top w:val="single" w:sz="8" w:color="auto"/>
            </w:tcBorders>
            <w:shd w:val="clear" w:color="auto" w:fill="E6E7E7"/>
          </w:tcPr>
          <w:p>
            <w:pPr>
              <w:spacing w:after="0"/>
              <w:rPr>
                <w:sz w:val="17"/>
                <w:szCs w:val="17"/>
                <w:color w:val="auto"/>
              </w:rPr>
            </w:pPr>
          </w:p>
        </w:tc>
        <w:tc>
          <w:tcPr>
            <w:tcW w:w="300" w:type="dxa"/>
            <w:vAlign w:val="bottom"/>
            <w:tcBorders>
              <w:top w:val="single" w:sz="8" w:color="auto"/>
            </w:tcBorders>
            <w:shd w:val="clear" w:color="auto" w:fill="E6E7E7"/>
          </w:tcPr>
          <w:p>
            <w:pPr>
              <w:spacing w:after="0"/>
              <w:rPr>
                <w:sz w:val="17"/>
                <w:szCs w:val="17"/>
                <w:color w:val="auto"/>
              </w:rPr>
            </w:pPr>
          </w:p>
        </w:tc>
        <w:tc>
          <w:tcPr>
            <w:tcW w:w="520" w:type="dxa"/>
            <w:vAlign w:val="bottom"/>
            <w:tcBorders>
              <w:top w:val="single" w:sz="8" w:color="auto"/>
            </w:tcBorders>
            <w:shd w:val="clear" w:color="auto" w:fill="E6E7E7"/>
          </w:tcPr>
          <w:p>
            <w:pPr>
              <w:spacing w:after="0"/>
              <w:rPr>
                <w:sz w:val="17"/>
                <w:szCs w:val="17"/>
                <w:color w:val="auto"/>
              </w:rPr>
            </w:pPr>
          </w:p>
        </w:tc>
        <w:tc>
          <w:tcPr>
            <w:tcW w:w="260" w:type="dxa"/>
            <w:vAlign w:val="bottom"/>
            <w:tcBorders>
              <w:top w:val="single" w:sz="8" w:color="auto"/>
            </w:tcBorders>
            <w:shd w:val="clear" w:color="auto" w:fill="E6E7E7"/>
          </w:tcPr>
          <w:p>
            <w:pPr>
              <w:spacing w:after="0"/>
              <w:rPr>
                <w:sz w:val="17"/>
                <w:szCs w:val="17"/>
                <w:color w:val="auto"/>
              </w:rPr>
            </w:pPr>
          </w:p>
        </w:tc>
        <w:tc>
          <w:tcPr>
            <w:tcW w:w="660" w:type="dxa"/>
            <w:vAlign w:val="bottom"/>
            <w:tcBorders>
              <w:top w:val="single" w:sz="8" w:color="auto"/>
            </w:tcBorders>
            <w:shd w:val="clear" w:color="auto" w:fill="E6E7E7"/>
          </w:tcPr>
          <w:p>
            <w:pPr>
              <w:spacing w:after="0"/>
              <w:rPr>
                <w:sz w:val="17"/>
                <w:szCs w:val="17"/>
                <w:color w:val="auto"/>
              </w:rPr>
            </w:pPr>
          </w:p>
        </w:tc>
        <w:tc>
          <w:tcPr>
            <w:tcW w:w="260" w:type="dxa"/>
            <w:vAlign w:val="bottom"/>
            <w:tcBorders>
              <w:top w:val="single" w:sz="8" w:color="auto"/>
            </w:tcBorders>
            <w:shd w:val="clear" w:color="auto" w:fill="E6E7E7"/>
          </w:tcPr>
          <w:p>
            <w:pPr>
              <w:spacing w:after="0"/>
              <w:rPr>
                <w:sz w:val="17"/>
                <w:szCs w:val="17"/>
                <w:color w:val="auto"/>
              </w:rPr>
            </w:pPr>
          </w:p>
        </w:tc>
        <w:tc>
          <w:tcPr>
            <w:tcW w:w="500" w:type="dxa"/>
            <w:vAlign w:val="bottom"/>
            <w:tcBorders>
              <w:top w:val="single" w:sz="8" w:color="auto"/>
            </w:tcBorders>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U.S. defined benefit</w:t>
            </w: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(5)</w:t>
            </w:r>
          </w:p>
        </w:tc>
        <w:tc>
          <w:tcPr>
            <w:tcW w:w="300" w:type="dxa"/>
            <w:vAlign w:val="bottom"/>
          </w:tcPr>
          <w:p>
            <w:pPr>
              <w:spacing w:after="0"/>
              <w:rPr>
                <w:sz w:val="17"/>
                <w:szCs w:val="17"/>
                <w:color w:val="auto"/>
              </w:rPr>
            </w:pPr>
          </w:p>
        </w:tc>
        <w:tc>
          <w:tcPr>
            <w:tcW w:w="52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17"/>
                <w:szCs w:val="17"/>
                <w:color w:val="auto"/>
              </w:rPr>
            </w:pPr>
          </w:p>
        </w:tc>
        <w:tc>
          <w:tcPr>
            <w:tcW w:w="660" w:type="dxa"/>
            <w:vAlign w:val="bottom"/>
          </w:tcPr>
          <w:p>
            <w:pPr>
              <w:jc w:val="right"/>
              <w:ind w:right="116"/>
              <w:spacing w:after="0" w:line="202" w:lineRule="exact"/>
              <w:rPr>
                <w:sz w:val="20"/>
                <w:szCs w:val="20"/>
                <w:color w:val="auto"/>
              </w:rPr>
            </w:pPr>
            <w:r>
              <w:rPr>
                <w:rFonts w:ascii="Arial" w:cs="Arial" w:eastAsia="Arial" w:hAnsi="Arial"/>
                <w:sz w:val="18"/>
                <w:szCs w:val="18"/>
                <w:b w:val="1"/>
                <w:bCs w:val="1"/>
                <w:color w:val="auto"/>
              </w:rPr>
              <w:t>161</w:t>
            </w:r>
          </w:p>
        </w:tc>
        <w:tc>
          <w:tcPr>
            <w:tcW w:w="2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157</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E6E7E7"/>
          </w:tcPr>
          <w:p>
            <w:pPr>
              <w:ind w:left="180"/>
              <w:spacing w:after="0" w:line="202" w:lineRule="exact"/>
              <w:rPr>
                <w:sz w:val="20"/>
                <w:szCs w:val="20"/>
                <w:color w:val="auto"/>
              </w:rPr>
            </w:pPr>
            <w:r>
              <w:rPr>
                <w:rFonts w:ascii="Arial" w:cs="Arial" w:eastAsia="Arial" w:hAnsi="Arial"/>
                <w:sz w:val="18"/>
                <w:szCs w:val="18"/>
                <w:b w:val="1"/>
                <w:bCs w:val="1"/>
                <w:color w:val="auto"/>
              </w:rPr>
              <w:t>Non-U.S. defined benefit</w:t>
            </w:r>
          </w:p>
        </w:tc>
        <w:tc>
          <w:tcPr>
            <w:tcW w:w="1800" w:type="dxa"/>
            <w:vAlign w:val="bottom"/>
            <w:shd w:val="clear" w:color="auto" w:fill="E6E7E7"/>
          </w:tcPr>
          <w:p>
            <w:pPr>
              <w:spacing w:after="0"/>
              <w:rPr>
                <w:sz w:val="17"/>
                <w:szCs w:val="17"/>
                <w:color w:val="auto"/>
              </w:rPr>
            </w:pPr>
          </w:p>
        </w:tc>
        <w:tc>
          <w:tcPr>
            <w:tcW w:w="200" w:type="dxa"/>
            <w:vAlign w:val="bottom"/>
            <w:shd w:val="clear" w:color="auto" w:fill="E6E7E7"/>
          </w:tcPr>
          <w:p>
            <w:pPr>
              <w:spacing w:after="0"/>
              <w:rPr>
                <w:sz w:val="17"/>
                <w:szCs w:val="17"/>
                <w:color w:val="auto"/>
              </w:rPr>
            </w:pPr>
          </w:p>
        </w:tc>
        <w:tc>
          <w:tcPr>
            <w:tcW w:w="580" w:type="dxa"/>
            <w:vAlign w:val="bottom"/>
            <w:shd w:val="clear" w:color="auto" w:fill="E6E7E7"/>
          </w:tcPr>
          <w:p>
            <w:pPr>
              <w:jc w:val="right"/>
              <w:ind w:right="52"/>
              <w:spacing w:after="0" w:line="202" w:lineRule="exact"/>
              <w:rPr>
                <w:sz w:val="20"/>
                <w:szCs w:val="20"/>
                <w:color w:val="auto"/>
              </w:rPr>
            </w:pPr>
            <w:r>
              <w:rPr>
                <w:rFonts w:ascii="Arial" w:cs="Arial" w:eastAsia="Arial" w:hAnsi="Arial"/>
                <w:sz w:val="18"/>
                <w:szCs w:val="18"/>
                <w:b w:val="1"/>
                <w:bCs w:val="1"/>
                <w:color w:val="auto"/>
                <w:w w:val="99"/>
              </w:rPr>
              <w:t>(100)</w:t>
            </w:r>
          </w:p>
        </w:tc>
        <w:tc>
          <w:tcPr>
            <w:tcW w:w="300" w:type="dxa"/>
            <w:vAlign w:val="bottom"/>
            <w:shd w:val="clear" w:color="auto" w:fill="E6E7E7"/>
          </w:tcPr>
          <w:p>
            <w:pPr>
              <w:spacing w:after="0"/>
              <w:rPr>
                <w:sz w:val="17"/>
                <w:szCs w:val="17"/>
                <w:color w:val="auto"/>
              </w:rPr>
            </w:pPr>
          </w:p>
        </w:tc>
        <w:tc>
          <w:tcPr>
            <w:tcW w:w="520" w:type="dxa"/>
            <w:vAlign w:val="bottom"/>
            <w:shd w:val="clear" w:color="auto" w:fill="E6E7E7"/>
          </w:tcPr>
          <w:p>
            <w:pPr>
              <w:jc w:val="right"/>
              <w:ind w:right="54"/>
              <w:spacing w:after="0" w:line="202" w:lineRule="exact"/>
              <w:rPr>
                <w:sz w:val="20"/>
                <w:szCs w:val="20"/>
                <w:color w:val="auto"/>
              </w:rPr>
            </w:pPr>
            <w:r>
              <w:rPr>
                <w:rFonts w:ascii="Arial" w:cs="Arial" w:eastAsia="Arial" w:hAnsi="Arial"/>
                <w:sz w:val="18"/>
                <w:szCs w:val="18"/>
                <w:b w:val="1"/>
                <w:bCs w:val="1"/>
                <w:color w:val="auto"/>
              </w:rPr>
              <w:t>(37)</w:t>
            </w:r>
          </w:p>
        </w:tc>
        <w:tc>
          <w:tcPr>
            <w:tcW w:w="260" w:type="dxa"/>
            <w:vAlign w:val="bottom"/>
            <w:shd w:val="clear" w:color="auto" w:fill="E6E7E7"/>
          </w:tcPr>
          <w:p>
            <w:pPr>
              <w:spacing w:after="0"/>
              <w:rPr>
                <w:sz w:val="17"/>
                <w:szCs w:val="17"/>
                <w:color w:val="auto"/>
              </w:rPr>
            </w:pPr>
          </w:p>
        </w:tc>
        <w:tc>
          <w:tcPr>
            <w:tcW w:w="660" w:type="dxa"/>
            <w:vAlign w:val="bottom"/>
            <w:shd w:val="clear" w:color="auto" w:fill="E6E7E7"/>
          </w:tcPr>
          <w:p>
            <w:pPr>
              <w:jc w:val="right"/>
              <w:ind w:right="116"/>
              <w:spacing w:after="0" w:line="202" w:lineRule="exact"/>
              <w:rPr>
                <w:sz w:val="20"/>
                <w:szCs w:val="20"/>
                <w:color w:val="auto"/>
              </w:rPr>
            </w:pPr>
            <w:r>
              <w:rPr>
                <w:rFonts w:ascii="Arial" w:cs="Arial" w:eastAsia="Arial" w:hAnsi="Arial"/>
                <w:sz w:val="18"/>
                <w:szCs w:val="18"/>
                <w:b w:val="1"/>
                <w:bCs w:val="1"/>
                <w:color w:val="auto"/>
              </w:rPr>
              <w:t>280</w:t>
            </w:r>
          </w:p>
        </w:tc>
        <w:tc>
          <w:tcPr>
            <w:tcW w:w="260" w:type="dxa"/>
            <w:vAlign w:val="bottom"/>
            <w:shd w:val="clear" w:color="auto" w:fill="E6E7E7"/>
          </w:tcPr>
          <w:p>
            <w:pPr>
              <w:spacing w:after="0"/>
              <w:rPr>
                <w:sz w:val="17"/>
                <w:szCs w:val="17"/>
                <w:color w:val="auto"/>
              </w:rPr>
            </w:pPr>
          </w:p>
        </w:tc>
        <w:tc>
          <w:tcPr>
            <w:tcW w:w="5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143</w:t>
            </w:r>
          </w:p>
        </w:tc>
        <w:tc>
          <w:tcPr>
            <w:tcW w:w="60" w:type="dxa"/>
            <w:vAlign w:val="bottom"/>
            <w:shd w:val="clear" w:color="auto" w:fill="E6E7E7"/>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56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Retiree health care</w:t>
            </w:r>
          </w:p>
        </w:tc>
        <w:tc>
          <w:tcPr>
            <w:tcW w:w="18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4"/>
              <w:spacing w:after="0" w:line="202" w:lineRule="exact"/>
              <w:rPr>
                <w:sz w:val="20"/>
                <w:szCs w:val="20"/>
                <w:color w:val="auto"/>
              </w:rPr>
            </w:pPr>
            <w:r>
              <w:rPr>
                <w:rFonts w:ascii="Arial" w:cs="Arial" w:eastAsia="Arial" w:hAnsi="Arial"/>
                <w:sz w:val="18"/>
                <w:szCs w:val="18"/>
                <w:b w:val="1"/>
                <w:bCs w:val="1"/>
                <w:color w:val="auto"/>
              </w:rPr>
              <w:t>21</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6"/>
              <w:spacing w:after="0" w:line="202" w:lineRule="exact"/>
              <w:rPr>
                <w:sz w:val="20"/>
                <w:szCs w:val="20"/>
                <w:color w:val="auto"/>
              </w:rPr>
            </w:pPr>
            <w:r>
              <w:rPr>
                <w:rFonts w:ascii="Arial" w:cs="Arial" w:eastAsia="Arial" w:hAnsi="Arial"/>
                <w:sz w:val="18"/>
                <w:szCs w:val="18"/>
                <w:b w:val="1"/>
                <w:bCs w:val="1"/>
                <w:color w:val="auto"/>
              </w:rPr>
              <w:t>119</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140</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E6E7E7"/>
          </w:tcPr>
          <w:p>
            <w:pPr>
              <w:ind w:left="180"/>
              <w:spacing w:after="0" w:line="202" w:lineRule="exact"/>
              <w:rPr>
                <w:sz w:val="20"/>
                <w:szCs w:val="20"/>
                <w:color w:val="auto"/>
              </w:rPr>
            </w:pPr>
            <w:r>
              <w:rPr>
                <w:rFonts w:ascii="Arial" w:cs="Arial" w:eastAsia="Arial" w:hAnsi="Arial"/>
                <w:sz w:val="18"/>
                <w:szCs w:val="18"/>
                <w:b w:val="1"/>
                <w:bCs w:val="1"/>
                <w:color w:val="auto"/>
              </w:rPr>
              <w:t>Amounts in AOCI (before tax)</w:t>
            </w:r>
          </w:p>
        </w:tc>
        <w:tc>
          <w:tcPr>
            <w:tcW w:w="1800" w:type="dxa"/>
            <w:vAlign w:val="bottom"/>
            <w:shd w:val="clear" w:color="auto" w:fill="E6E7E7"/>
          </w:tcPr>
          <w:p>
            <w:pPr>
              <w:spacing w:after="0"/>
              <w:rPr>
                <w:sz w:val="17"/>
                <w:szCs w:val="17"/>
                <w:color w:val="auto"/>
              </w:rPr>
            </w:pPr>
          </w:p>
        </w:tc>
        <w:tc>
          <w:tcPr>
            <w:tcW w:w="200" w:type="dxa"/>
            <w:vAlign w:val="bottom"/>
            <w:shd w:val="clear" w:color="auto" w:fill="E6E7E7"/>
          </w:tcPr>
          <w:p>
            <w:pPr>
              <w:spacing w:after="0"/>
              <w:rPr>
                <w:sz w:val="17"/>
                <w:szCs w:val="17"/>
                <w:color w:val="auto"/>
              </w:rPr>
            </w:pPr>
          </w:p>
        </w:tc>
        <w:tc>
          <w:tcPr>
            <w:tcW w:w="580" w:type="dxa"/>
            <w:vAlign w:val="bottom"/>
            <w:shd w:val="clear" w:color="auto" w:fill="E6E7E7"/>
          </w:tcPr>
          <w:p>
            <w:pPr>
              <w:jc w:val="right"/>
              <w:ind w:right="52"/>
              <w:spacing w:after="0" w:line="202" w:lineRule="exact"/>
              <w:rPr>
                <w:sz w:val="20"/>
                <w:szCs w:val="20"/>
                <w:color w:val="auto"/>
              </w:rPr>
            </w:pPr>
            <w:r>
              <w:rPr>
                <w:rFonts w:ascii="Arial" w:cs="Arial" w:eastAsia="Arial" w:hAnsi="Arial"/>
                <w:sz w:val="18"/>
                <w:szCs w:val="18"/>
                <w:b w:val="1"/>
                <w:bCs w:val="1"/>
                <w:color w:val="auto"/>
                <w:w w:val="99"/>
              </w:rPr>
              <w:t>(105)</w:t>
            </w:r>
          </w:p>
        </w:tc>
        <w:tc>
          <w:tcPr>
            <w:tcW w:w="300" w:type="dxa"/>
            <w:vAlign w:val="bottom"/>
            <w:shd w:val="clear" w:color="auto" w:fill="E6E7E7"/>
          </w:tcPr>
          <w:p>
            <w:pPr>
              <w:spacing w:after="0"/>
              <w:rPr>
                <w:sz w:val="17"/>
                <w:szCs w:val="17"/>
                <w:color w:val="auto"/>
              </w:rPr>
            </w:pPr>
          </w:p>
        </w:tc>
        <w:tc>
          <w:tcPr>
            <w:tcW w:w="520" w:type="dxa"/>
            <w:vAlign w:val="bottom"/>
            <w:shd w:val="clear" w:color="auto" w:fill="E6E7E7"/>
          </w:tcPr>
          <w:p>
            <w:pPr>
              <w:jc w:val="right"/>
              <w:ind w:right="54"/>
              <w:spacing w:after="0" w:line="202" w:lineRule="exact"/>
              <w:rPr>
                <w:sz w:val="20"/>
                <w:szCs w:val="20"/>
                <w:color w:val="auto"/>
              </w:rPr>
            </w:pPr>
            <w:r>
              <w:rPr>
                <w:rFonts w:ascii="Arial" w:cs="Arial" w:eastAsia="Arial" w:hAnsi="Arial"/>
                <w:sz w:val="18"/>
                <w:szCs w:val="18"/>
                <w:b w:val="1"/>
                <w:bCs w:val="1"/>
                <w:color w:val="auto"/>
              </w:rPr>
              <w:t>(15)</w:t>
            </w:r>
          </w:p>
        </w:tc>
        <w:tc>
          <w:tcPr>
            <w:tcW w:w="260" w:type="dxa"/>
            <w:vAlign w:val="bottom"/>
            <w:shd w:val="clear" w:color="auto" w:fill="E6E7E7"/>
          </w:tcPr>
          <w:p>
            <w:pPr>
              <w:spacing w:after="0"/>
              <w:rPr>
                <w:sz w:val="17"/>
                <w:szCs w:val="17"/>
                <w:color w:val="auto"/>
              </w:rPr>
            </w:pPr>
          </w:p>
        </w:tc>
        <w:tc>
          <w:tcPr>
            <w:tcW w:w="660" w:type="dxa"/>
            <w:vAlign w:val="bottom"/>
            <w:shd w:val="clear" w:color="auto" w:fill="E6E7E7"/>
          </w:tcPr>
          <w:p>
            <w:pPr>
              <w:jc w:val="right"/>
              <w:ind w:right="116"/>
              <w:spacing w:after="0" w:line="202" w:lineRule="exact"/>
              <w:rPr>
                <w:sz w:val="20"/>
                <w:szCs w:val="20"/>
                <w:color w:val="auto"/>
              </w:rPr>
            </w:pPr>
            <w:r>
              <w:rPr>
                <w:rFonts w:ascii="Arial" w:cs="Arial" w:eastAsia="Arial" w:hAnsi="Arial"/>
                <w:sz w:val="18"/>
                <w:szCs w:val="18"/>
                <w:b w:val="1"/>
                <w:bCs w:val="1"/>
                <w:color w:val="auto"/>
              </w:rPr>
              <w:t>560</w:t>
            </w:r>
          </w:p>
        </w:tc>
        <w:tc>
          <w:tcPr>
            <w:tcW w:w="260" w:type="dxa"/>
            <w:vAlign w:val="bottom"/>
            <w:shd w:val="clear" w:color="auto" w:fill="E6E7E7"/>
          </w:tcPr>
          <w:p>
            <w:pPr>
              <w:spacing w:after="0"/>
              <w:rPr>
                <w:sz w:val="17"/>
                <w:szCs w:val="17"/>
                <w:color w:val="auto"/>
              </w:rPr>
            </w:pPr>
          </w:p>
        </w:tc>
        <w:tc>
          <w:tcPr>
            <w:tcW w:w="5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440</w:t>
            </w:r>
          </w:p>
        </w:tc>
        <w:tc>
          <w:tcPr>
            <w:tcW w:w="60" w:type="dxa"/>
            <w:vAlign w:val="bottom"/>
            <w:shd w:val="clear" w:color="auto" w:fill="E6E7E7"/>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56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Less tax (benefit) expense</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40</w:t>
            </w:r>
          </w:p>
        </w:tc>
        <w:tc>
          <w:tcPr>
            <w:tcW w:w="300" w:type="dxa"/>
            <w:vAlign w:val="bottom"/>
          </w:tcPr>
          <w:p>
            <w:pPr>
              <w:spacing w:after="0"/>
              <w:rPr>
                <w:sz w:val="18"/>
                <w:szCs w:val="18"/>
                <w:color w:val="auto"/>
              </w:rPr>
            </w:pPr>
          </w:p>
        </w:tc>
        <w:tc>
          <w:tcPr>
            <w:tcW w:w="52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9</w:t>
            </w:r>
          </w:p>
        </w:tc>
        <w:tc>
          <w:tcPr>
            <w:tcW w:w="260" w:type="dxa"/>
            <w:vAlign w:val="bottom"/>
          </w:tcPr>
          <w:p>
            <w:pPr>
              <w:spacing w:after="0"/>
              <w:rPr>
                <w:sz w:val="18"/>
                <w:szCs w:val="18"/>
                <w:color w:val="auto"/>
              </w:rPr>
            </w:pPr>
          </w:p>
        </w:tc>
        <w:tc>
          <w:tcPr>
            <w:tcW w:w="66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(203)</w:t>
            </w:r>
          </w:p>
        </w:tc>
        <w:tc>
          <w:tcPr>
            <w:tcW w:w="260" w:type="dxa"/>
            <w:vAlign w:val="bottom"/>
          </w:tcPr>
          <w:p>
            <w:pPr>
              <w:spacing w:after="0"/>
              <w:rPr>
                <w:sz w:val="18"/>
                <w:szCs w:val="18"/>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(154)</w:t>
            </w:r>
          </w:p>
        </w:tc>
      </w:tr>
      <w:tr>
        <w:trPr>
          <w:trHeight w:val="203"/>
        </w:trPr>
        <w:tc>
          <w:tcPr>
            <w:tcW w:w="20" w:type="dxa"/>
            <w:vAlign w:val="bottom"/>
          </w:tcPr>
          <w:p>
            <w:pPr>
              <w:spacing w:after="0"/>
              <w:rPr>
                <w:sz w:val="17"/>
                <w:szCs w:val="17"/>
                <w:color w:val="auto"/>
              </w:rPr>
            </w:pPr>
          </w:p>
        </w:tc>
        <w:tc>
          <w:tcPr>
            <w:tcW w:w="5560" w:type="dxa"/>
            <w:vAlign w:val="bottom"/>
            <w:shd w:val="clear" w:color="auto" w:fill="E6E7E7"/>
          </w:tcPr>
          <w:p>
            <w:pPr>
              <w:ind w:left="180"/>
              <w:spacing w:after="0" w:line="202" w:lineRule="exact"/>
              <w:rPr>
                <w:sz w:val="20"/>
                <w:szCs w:val="20"/>
                <w:color w:val="auto"/>
              </w:rPr>
            </w:pPr>
            <w:r>
              <w:rPr>
                <w:rFonts w:ascii="Arial" w:cs="Arial" w:eastAsia="Arial" w:hAnsi="Arial"/>
                <w:sz w:val="18"/>
                <w:szCs w:val="18"/>
                <w:b w:val="1"/>
                <w:bCs w:val="1"/>
                <w:color w:val="auto"/>
              </w:rPr>
              <w:t>Total changes in AOCI by plan type in 2006</w:t>
            </w:r>
          </w:p>
        </w:tc>
        <w:tc>
          <w:tcPr>
            <w:tcW w:w="1800" w:type="dxa"/>
            <w:vAlign w:val="bottom"/>
            <w:shd w:val="clear" w:color="auto" w:fill="E6E7E7"/>
          </w:tcPr>
          <w:p>
            <w:pPr>
              <w:spacing w:after="0"/>
              <w:rPr>
                <w:sz w:val="17"/>
                <w:szCs w:val="17"/>
                <w:color w:val="auto"/>
              </w:rPr>
            </w:pPr>
          </w:p>
        </w:tc>
        <w:tc>
          <w:tcPr>
            <w:tcW w:w="200" w:type="dxa"/>
            <w:vAlign w:val="bottom"/>
            <w:tcBorders>
              <w:top w:val="single" w:sz="8" w:color="auto"/>
              <w:bottom w:val="single" w:sz="8" w:color="auto"/>
            </w:tcBorders>
            <w:shd w:val="clear" w:color="auto" w:fill="E6E7E7"/>
          </w:tcPr>
          <w:p>
            <w:pPr>
              <w:spacing w:after="0"/>
              <w:rPr>
                <w:sz w:val="17"/>
                <w:szCs w:val="17"/>
                <w:color w:val="auto"/>
              </w:rPr>
            </w:pPr>
          </w:p>
        </w:tc>
        <w:tc>
          <w:tcPr>
            <w:tcW w:w="580" w:type="dxa"/>
            <w:vAlign w:val="bottom"/>
            <w:tcBorders>
              <w:top w:val="single" w:sz="8" w:color="auto"/>
              <w:bottom w:val="single" w:sz="8" w:color="auto"/>
            </w:tcBorders>
            <w:shd w:val="clear" w:color="auto" w:fill="E6E7E7"/>
          </w:tcPr>
          <w:p>
            <w:pPr>
              <w:jc w:val="right"/>
              <w:ind w:right="52"/>
              <w:spacing w:after="0" w:line="202" w:lineRule="exact"/>
              <w:rPr>
                <w:sz w:val="20"/>
                <w:szCs w:val="20"/>
                <w:color w:val="auto"/>
              </w:rPr>
            </w:pPr>
            <w:r>
              <w:rPr>
                <w:rFonts w:ascii="Arial" w:cs="Arial" w:eastAsia="Arial" w:hAnsi="Arial"/>
                <w:sz w:val="18"/>
                <w:szCs w:val="18"/>
                <w:b w:val="1"/>
                <w:bCs w:val="1"/>
                <w:color w:val="auto"/>
              </w:rPr>
              <w:t>(65)</w:t>
            </w:r>
          </w:p>
        </w:tc>
        <w:tc>
          <w:tcPr>
            <w:tcW w:w="300" w:type="dxa"/>
            <w:vAlign w:val="bottom"/>
            <w:tcBorders>
              <w:top w:val="single" w:sz="8" w:color="auto"/>
              <w:bottom w:val="single" w:sz="8" w:color="auto"/>
            </w:tcBorders>
            <w:shd w:val="clear" w:color="auto" w:fill="E6E7E7"/>
          </w:tcPr>
          <w:p>
            <w:pPr>
              <w:spacing w:after="0"/>
              <w:rPr>
                <w:sz w:val="17"/>
                <w:szCs w:val="17"/>
                <w:color w:val="auto"/>
              </w:rPr>
            </w:pPr>
          </w:p>
        </w:tc>
        <w:tc>
          <w:tcPr>
            <w:tcW w:w="520" w:type="dxa"/>
            <w:vAlign w:val="bottom"/>
            <w:tcBorders>
              <w:top w:val="single" w:sz="8" w:color="auto"/>
              <w:bottom w:val="single" w:sz="8" w:color="auto"/>
            </w:tcBorders>
            <w:shd w:val="clear" w:color="auto" w:fill="E6E7E7"/>
          </w:tcPr>
          <w:p>
            <w:pPr>
              <w:jc w:val="right"/>
              <w:ind w:right="54"/>
              <w:spacing w:after="0" w:line="202" w:lineRule="exact"/>
              <w:rPr>
                <w:sz w:val="20"/>
                <w:szCs w:val="20"/>
                <w:color w:val="auto"/>
              </w:rPr>
            </w:pPr>
            <w:r>
              <w:rPr>
                <w:rFonts w:ascii="Arial" w:cs="Arial" w:eastAsia="Arial" w:hAnsi="Arial"/>
                <w:sz w:val="18"/>
                <w:szCs w:val="18"/>
                <w:b w:val="1"/>
                <w:bCs w:val="1"/>
                <w:color w:val="auto"/>
              </w:rPr>
              <w:t>(6)</w:t>
            </w:r>
          </w:p>
        </w:tc>
        <w:tc>
          <w:tcPr>
            <w:tcW w:w="260" w:type="dxa"/>
            <w:vAlign w:val="bottom"/>
            <w:tcBorders>
              <w:top w:val="single" w:sz="8" w:color="auto"/>
              <w:bottom w:val="single" w:sz="8" w:color="auto"/>
            </w:tcBorders>
            <w:shd w:val="clear" w:color="auto" w:fill="E6E7E7"/>
          </w:tcPr>
          <w:p>
            <w:pPr>
              <w:spacing w:after="0"/>
              <w:rPr>
                <w:sz w:val="17"/>
                <w:szCs w:val="17"/>
                <w:color w:val="auto"/>
              </w:rPr>
            </w:pPr>
          </w:p>
        </w:tc>
        <w:tc>
          <w:tcPr>
            <w:tcW w:w="660" w:type="dxa"/>
            <w:vAlign w:val="bottom"/>
            <w:tcBorders>
              <w:top w:val="single" w:sz="8" w:color="auto"/>
              <w:bottom w:val="single" w:sz="8" w:color="auto"/>
            </w:tcBorders>
            <w:shd w:val="clear" w:color="auto" w:fill="E6E7E7"/>
          </w:tcPr>
          <w:p>
            <w:pPr>
              <w:jc w:val="right"/>
              <w:ind w:right="116"/>
              <w:spacing w:after="0" w:line="202" w:lineRule="exact"/>
              <w:rPr>
                <w:sz w:val="20"/>
                <w:szCs w:val="20"/>
                <w:color w:val="auto"/>
              </w:rPr>
            </w:pPr>
            <w:r>
              <w:rPr>
                <w:rFonts w:ascii="Arial" w:cs="Arial" w:eastAsia="Arial" w:hAnsi="Arial"/>
                <w:sz w:val="18"/>
                <w:szCs w:val="18"/>
                <w:b w:val="1"/>
                <w:bCs w:val="1"/>
                <w:color w:val="auto"/>
              </w:rPr>
              <w:t>357</w:t>
            </w:r>
          </w:p>
        </w:tc>
        <w:tc>
          <w:tcPr>
            <w:tcW w:w="260" w:type="dxa"/>
            <w:vAlign w:val="bottom"/>
            <w:tcBorders>
              <w:top w:val="single" w:sz="8" w:color="auto"/>
              <w:bottom w:val="single" w:sz="8" w:color="auto"/>
            </w:tcBorders>
            <w:shd w:val="clear" w:color="auto" w:fill="E6E7E7"/>
          </w:tcPr>
          <w:p>
            <w:pPr>
              <w:spacing w:after="0"/>
              <w:rPr>
                <w:sz w:val="17"/>
                <w:szCs w:val="17"/>
                <w:color w:val="auto"/>
              </w:rPr>
            </w:pPr>
          </w:p>
        </w:tc>
        <w:tc>
          <w:tcPr>
            <w:tcW w:w="500" w:type="dxa"/>
            <w:vAlign w:val="bottom"/>
            <w:tcBorders>
              <w:top w:val="single" w:sz="8" w:color="auto"/>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286</w:t>
            </w:r>
          </w:p>
        </w:tc>
        <w:tc>
          <w:tcPr>
            <w:tcW w:w="60" w:type="dxa"/>
            <w:vAlign w:val="bottom"/>
            <w:shd w:val="clear" w:color="auto" w:fill="E6E7E7"/>
          </w:tcPr>
          <w:p>
            <w:pPr>
              <w:spacing w:after="0"/>
              <w:rPr>
                <w:sz w:val="17"/>
                <w:szCs w:val="17"/>
                <w:color w:val="auto"/>
              </w:rPr>
            </w:pPr>
          </w:p>
        </w:tc>
      </w:tr>
      <w:tr>
        <w:trPr>
          <w:trHeight w:val="210"/>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Balance, December 31, 2006 (net of tax)</w:t>
            </w:r>
          </w:p>
        </w:tc>
        <w:tc>
          <w:tcPr>
            <w:tcW w:w="18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(6)</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357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left="460" w:right="120"/>
        <w:spacing w:after="0" w:line="238" w:lineRule="auto"/>
        <w:rPr>
          <w:sz w:val="20"/>
          <w:szCs w:val="20"/>
          <w:color w:val="auto"/>
        </w:rPr>
      </w:pPr>
      <w:r>
        <w:rPr>
          <w:rFonts w:ascii="Arial" w:cs="Arial" w:eastAsia="Arial" w:hAnsi="Arial"/>
          <w:sz w:val="18"/>
          <w:szCs w:val="18"/>
          <w:color w:val="auto"/>
        </w:rPr>
        <w:t>The estimated amounts of prior service cost and actuarial net loss included in AOCI as of December 31, 2006, that are expected to be amortized into net periodic benefit cost over the next fiscal year are $(3) million and $33 million for the defined benefit pension plans and $2 million and $7 million for the other defined benefit postretirement plans.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2006, we do not expect to return any of the assets of the plans to TI during the next 12 months.</w:t>
      </w:r>
    </w:p>
    <w:p>
      <w:pPr>
        <w:spacing w:after="0" w:line="158" w:lineRule="exact"/>
        <w:rPr>
          <w:sz w:val="20"/>
          <w:szCs w:val="20"/>
          <w:color w:val="auto"/>
        </w:rPr>
      </w:pPr>
    </w:p>
    <w:p>
      <w:pPr>
        <w:ind w:left="460" w:right="140"/>
        <w:spacing w:after="0" w:line="239" w:lineRule="auto"/>
        <w:rPr>
          <w:sz w:val="20"/>
          <w:szCs w:val="20"/>
          <w:color w:val="auto"/>
        </w:rPr>
      </w:pPr>
      <w:r>
        <w:rPr>
          <w:rFonts w:ascii="Arial" w:cs="Arial" w:eastAsia="Arial" w:hAnsi="Arial"/>
          <w:sz w:val="18"/>
          <w:szCs w:val="18"/>
          <w:u w:val="single" w:color="auto"/>
          <w:color w:val="auto"/>
        </w:rPr>
        <w:t>Plan Descriptions</w:t>
      </w:r>
      <w:r>
        <w:rPr>
          <w:rFonts w:ascii="Arial" w:cs="Arial" w:eastAsia="Arial" w:hAnsi="Arial"/>
          <w:sz w:val="18"/>
          <w:szCs w:val="18"/>
          <w:color w:val="auto"/>
        </w:rPr>
        <w:t>: We provide various retirement plans for employees including defined benefit, defined contribution and retiree health care benefit plans, as well as deferred compensation arrangements for qualifying employees.</w:t>
      </w:r>
    </w:p>
    <w:p>
      <w:pPr>
        <w:sectPr>
          <w:pgSz w:w="11900" w:h="16838" w:orient="portrait"/>
          <w:cols w:equalWidth="0" w:num="1">
            <w:col w:w="11400"/>
          </w:cols>
          <w:pgMar w:left="240" w:top="287" w:right="259" w:bottom="1440" w:gutter="0" w:footer="0" w:header="0"/>
        </w:sectPr>
      </w:pPr>
    </w:p>
    <w:bookmarkStart w:id="76" w:name="page77"/>
    <w:bookmarkEnd w:id="76"/>
    <w:p>
      <w:pPr>
        <w:jc w:val="right"/>
        <w:spacing w:after="0"/>
        <w:tabs>
          <w:tab w:leader="none" w:pos="12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2006 ANNUAL REPORT</w:t>
      </w:r>
      <w:r>
        <w:rPr>
          <w:sz w:val="20"/>
          <w:szCs w:val="20"/>
          <w:color w:val="auto"/>
        </w:rPr>
        <w:tab/>
      </w:r>
      <w:r>
        <w:rPr>
          <w:rFonts w:ascii="Arial" w:cs="Arial" w:eastAsia="Arial" w:hAnsi="Arial"/>
          <w:sz w:val="12"/>
          <w:szCs w:val="12"/>
          <w:color w:val="939598"/>
        </w:rPr>
        <w:t>27</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Retirement Plans:</w:t>
      </w:r>
    </w:p>
    <w:p>
      <w:pPr>
        <w:spacing w:after="0" w:line="176"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principal retirement plans in the U.S include a qualified defined benefit pension plan (which is closed to new participants hired after November 1997), a defined contribution plan and an enhanced defined contribution plan. Both defined contribution plans offer an employer-matching savings option that allows employees to make pre-tax contributions to various investment choices, including a TI common stock fund. Employees who remain in the qualified defined benefit pension plan may also participate in the defined contribution plan, where employer-matching contributions are provided for up to 2 percent of the employee’s annual eligible earnings. Employees who elected not to remain in the defined benefit pension plan, and new employees hired after November 1997 and through December 31, 2003, may participate in the enhanced defined contribution plan. This plan provides for a fixed employer contribution of 2 percent of the employee’s annual eligible earnings, plus an employer-matching contribution of up to 4 percent of the employee’s annual eligible earnings. Employees hired after December 31, 2003, may participate in the enhanced defined contribution plan, where employer-matching contributions are provided for up to 4 percent of the employee’s annual eligible earnings.</w:t>
      </w:r>
    </w:p>
    <w:p>
      <w:pPr>
        <w:spacing w:after="0" w:line="161"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At December 31, 2006 and 2005, in accordance with the election of employees, TI’s U.S. defined contribution plans held shares of TI common stock totaling 43 million shares and 53 million shares valued at $1.23 billion and $1.70 billion. Dividends paid on these shares for 2006 and 2005 totaled $6 million in 2006 and $6 million in 2005.</w:t>
      </w:r>
    </w:p>
    <w:p>
      <w:pPr>
        <w:spacing w:after="0" w:line="154"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Our aggregate expense for U.S. employees under the defined contribution plans was $56 million in 2006 and $53 million in both 2005 and 2004.</w:t>
      </w:r>
    </w:p>
    <w:p>
      <w:pPr>
        <w:spacing w:after="0" w:line="155"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The benefits under the qualified defined benefit pension plan are determined using a formula based upon years of service and the highest five consecutive years of compensation. We intend to contribute amounts to this plan to meet the minimum funding requirements of federal laws and regulations plus such additional amounts as we deem appropriate. During 2006, we contributed $125 million to our defined benefit pension plans of which $114 million were cash contributions to the qualified pension trust and $11 million were benefit payments related to our nonqualified defined benefit pension plans. The nonqualified plans are unfunded and closed to new participants.</w:t>
      </w:r>
    </w:p>
    <w:p>
      <w:pPr>
        <w:spacing w:after="0" w:line="129"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During 2006, the U.S. defined benefit plans made $124 million in total benefits payments, primarily for the qualified pension plan. Of that amount, $119 million was accounted for as settlements and $5 million as benefits paid. For comparison purposes, in 2005 the U.S. defined benefit plans made $62 million in benefit payments of which $12 million was accounted for as settlements and $50 million as benefits paid.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Retiree Health Care Benefit Plan:</w:t>
      </w:r>
    </w:p>
    <w:p>
      <w:pPr>
        <w:spacing w:after="0" w:line="17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offer access to group medical coverage during retirement to most of our U.S. employees. We make a contribution toward the cost of those retiree medical benefits for certain retirees and their dependents. The contribution rates are based upon various factors, the most important of which are an employee’s date of hire, date of retirement, years of service and eligibility for Medicare benefits. The balance of the cost is borne by the participants in the plan. Employees hired after January 1, 2001, are responsible for the full cost of their medical benefits during retirement. During 2006, we contributed $91 million to the retiree health care plan.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Retirement Plans:</w:t>
      </w:r>
    </w:p>
    <w:p>
      <w:pPr>
        <w:spacing w:after="0" w:line="17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Retirement coverage for non-U.S. employees is provided, to the extent deemed appropriate, through separate defined benefit and defined contribution plans. Retirement benefits are generally based on an employee’s years of service and compensation. Funding requirements are determined on an individual country and plan basis and subject to local country practices and market circumstances. During 2006, we contributed $143 million to our non-U.S. retirement plans.</w:t>
      </w:r>
    </w:p>
    <w:p>
      <w:pPr>
        <w:spacing w:after="0" w:line="155"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As of December 31, 2006 and 2005, in accordance with the election of employees, TI’s non-U.S. defined contribution plans held shares of TI common stock totaling 0.7 million shares valued at $19 million in 2006 and $22 million in 2005. Dividends paid on these shares for 2006 and 2005 totaled $88 thousand and $70 thousand.</w:t>
      </w:r>
    </w:p>
    <w:p>
      <w:pPr>
        <w:sectPr>
          <w:pgSz w:w="11900" w:h="16838" w:orient="portrait"/>
          <w:cols w:equalWidth="0" w:num="1">
            <w:col w:w="10960"/>
          </w:cols>
          <w:pgMar w:left="700" w:top="287" w:right="239" w:bottom="1440" w:gutter="0" w:footer="0" w:header="0"/>
        </w:sectPr>
      </w:pPr>
    </w:p>
    <w:bookmarkStart w:id="77" w:name="page78"/>
    <w:bookmarkEnd w:id="77"/>
    <w:p>
      <w:pPr>
        <w:spacing w:after="0"/>
        <w:tabs>
          <w:tab w:leader="none" w:pos="36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28</w:t>
        <w:tab/>
        <w:t>TEXAS INSTRUMENTS 2006 ANNUAL REPORT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Effect on the Statements of Income and Balance Sheets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Expense related to defined benefit and retiree health care benefit plans was as follows:</w:t>
      </w:r>
    </w:p>
    <w:p>
      <w:pPr>
        <w:spacing w:after="0" w:line="166"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3"/>
          </w:tcPr>
          <w:p>
            <w:pPr>
              <w:jc w:val="center"/>
              <w:ind w:right="54"/>
              <w:spacing w:after="0"/>
              <w:rPr>
                <w:sz w:val="20"/>
                <w:szCs w:val="20"/>
                <w:color w:val="auto"/>
              </w:rPr>
            </w:pPr>
            <w:r>
              <w:rPr>
                <w:rFonts w:ascii="Arial" w:cs="Arial" w:eastAsia="Arial" w:hAnsi="Arial"/>
                <w:sz w:val="14"/>
                <w:szCs w:val="14"/>
                <w:b w:val="1"/>
                <w:bCs w:val="1"/>
                <w:color w:val="939598"/>
                <w:w w:val="97"/>
              </w:rPr>
              <w:t>U.S. DEFINED</w:t>
            </w:r>
          </w:p>
        </w:tc>
        <w:tc>
          <w:tcPr>
            <w:tcW w:w="200" w:type="dxa"/>
            <w:vAlign w:val="bottom"/>
          </w:tcPr>
          <w:p>
            <w:pPr>
              <w:spacing w:after="0"/>
              <w:rPr>
                <w:sz w:val="14"/>
                <w:szCs w:val="14"/>
                <w:color w:val="auto"/>
              </w:rPr>
            </w:pPr>
          </w:p>
        </w:tc>
        <w:tc>
          <w:tcPr>
            <w:tcW w:w="1180" w:type="dxa"/>
            <w:vAlign w:val="bottom"/>
            <w:gridSpan w:val="4"/>
          </w:tcPr>
          <w:p>
            <w:pPr>
              <w:jc w:val="center"/>
              <w:ind w:left="76"/>
              <w:spacing w:after="0"/>
              <w:rPr>
                <w:sz w:val="20"/>
                <w:szCs w:val="20"/>
                <w:color w:val="auto"/>
              </w:rPr>
            </w:pPr>
            <w:r>
              <w:rPr>
                <w:rFonts w:ascii="Arial" w:cs="Arial" w:eastAsia="Arial" w:hAnsi="Arial"/>
                <w:sz w:val="14"/>
                <w:szCs w:val="14"/>
                <w:b w:val="1"/>
                <w:bCs w:val="1"/>
                <w:color w:val="939598"/>
                <w:w w:val="97"/>
              </w:rPr>
              <w:t>U.S. RETIREE</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939598"/>
                <w:w w:val="98"/>
              </w:rPr>
              <w:t>NON-U.S.</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8"/>
        </w:trPr>
        <w:tc>
          <w:tcPr>
            <w:tcW w:w="5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939598"/>
                <w:w w:val="96"/>
              </w:rPr>
              <w:t>BENEFIT</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4"/>
          </w:tcPr>
          <w:p>
            <w:pPr>
              <w:jc w:val="center"/>
              <w:ind w:left="56"/>
              <w:spacing w:after="0"/>
              <w:rPr>
                <w:sz w:val="20"/>
                <w:szCs w:val="20"/>
                <w:color w:val="auto"/>
              </w:rPr>
            </w:pPr>
            <w:r>
              <w:rPr>
                <w:rFonts w:ascii="Arial" w:cs="Arial" w:eastAsia="Arial" w:hAnsi="Arial"/>
                <w:sz w:val="14"/>
                <w:szCs w:val="14"/>
                <w:b w:val="1"/>
                <w:bCs w:val="1"/>
                <w:color w:val="939598"/>
                <w:w w:val="95"/>
              </w:rPr>
              <w:t>HEALTH CARE</w:t>
            </w:r>
          </w:p>
        </w:tc>
        <w:tc>
          <w:tcPr>
            <w:tcW w:w="400" w:type="dxa"/>
            <w:vAlign w:val="bottom"/>
          </w:tcPr>
          <w:p>
            <w:pPr>
              <w:spacing w:after="0"/>
              <w:rPr>
                <w:sz w:val="15"/>
                <w:szCs w:val="15"/>
                <w:color w:val="auto"/>
              </w:rPr>
            </w:pPr>
          </w:p>
        </w:tc>
        <w:tc>
          <w:tcPr>
            <w:tcW w:w="1720" w:type="dxa"/>
            <w:vAlign w:val="bottom"/>
            <w:gridSpan w:val="4"/>
          </w:tcPr>
          <w:p>
            <w:pPr>
              <w:jc w:val="center"/>
              <w:spacing w:after="0"/>
              <w:rPr>
                <w:sz w:val="20"/>
                <w:szCs w:val="20"/>
                <w:color w:val="auto"/>
              </w:rPr>
            </w:pPr>
            <w:r>
              <w:rPr>
                <w:rFonts w:ascii="Arial" w:cs="Arial" w:eastAsia="Arial" w:hAnsi="Arial"/>
                <w:sz w:val="14"/>
                <w:szCs w:val="14"/>
                <w:b w:val="1"/>
                <w:bCs w:val="1"/>
                <w:color w:val="939598"/>
                <w:w w:val="97"/>
              </w:rPr>
              <w:t>DEFINED BENEFIT</w:t>
            </w:r>
          </w:p>
        </w:tc>
      </w:tr>
      <w:tr>
        <w:trPr>
          <w:trHeight w:val="28"/>
        </w:trPr>
        <w:tc>
          <w:tcPr>
            <w:tcW w:w="55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5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49"/>
        </w:trPr>
        <w:tc>
          <w:tcPr>
            <w:tcW w:w="5520" w:type="dxa"/>
            <w:vAlign w:val="bottom"/>
            <w:shd w:val="clear" w:color="auto" w:fill="939598"/>
          </w:tcPr>
          <w:p>
            <w:pPr>
              <w:spacing w:after="0"/>
              <w:rPr>
                <w:sz w:val="12"/>
                <w:szCs w:val="12"/>
                <w:color w:val="auto"/>
              </w:rPr>
            </w:pPr>
          </w:p>
        </w:tc>
        <w:tc>
          <w:tcPr>
            <w:tcW w:w="460" w:type="dxa"/>
            <w:vAlign w:val="bottom"/>
            <w:gridSpan w:val="2"/>
            <w:shd w:val="clear" w:color="auto" w:fill="939598"/>
          </w:tcPr>
          <w:p>
            <w:pPr>
              <w:jc w:val="right"/>
              <w:ind w:right="36"/>
              <w:spacing w:after="0" w:line="149" w:lineRule="exact"/>
              <w:rPr>
                <w:sz w:val="20"/>
                <w:szCs w:val="20"/>
                <w:color w:val="auto"/>
              </w:rPr>
            </w:pPr>
            <w:r>
              <w:rPr>
                <w:rFonts w:ascii="Arial" w:cs="Arial" w:eastAsia="Arial" w:hAnsi="Arial"/>
                <w:sz w:val="14"/>
                <w:szCs w:val="14"/>
                <w:b w:val="1"/>
                <w:bCs w:val="1"/>
                <w:color w:val="FFFFFF"/>
              </w:rPr>
              <w:t>2006</w:t>
            </w:r>
          </w:p>
        </w:tc>
        <w:tc>
          <w:tcPr>
            <w:tcW w:w="680" w:type="dxa"/>
            <w:vAlign w:val="bottom"/>
            <w:shd w:val="clear" w:color="auto" w:fill="939598"/>
          </w:tcPr>
          <w:p>
            <w:pPr>
              <w:jc w:val="center"/>
              <w:spacing w:after="0" w:line="149" w:lineRule="exact"/>
              <w:rPr>
                <w:sz w:val="20"/>
                <w:szCs w:val="20"/>
                <w:color w:val="auto"/>
              </w:rPr>
            </w:pPr>
            <w:r>
              <w:rPr>
                <w:rFonts w:ascii="Arial" w:cs="Arial" w:eastAsia="Arial" w:hAnsi="Arial"/>
                <w:sz w:val="14"/>
                <w:szCs w:val="14"/>
                <w:b w:val="1"/>
                <w:bCs w:val="1"/>
                <w:color w:val="FFFFFF"/>
                <w:w w:val="96"/>
              </w:rPr>
              <w:t>2005</w:t>
            </w:r>
          </w:p>
        </w:tc>
        <w:tc>
          <w:tcPr>
            <w:tcW w:w="560" w:type="dxa"/>
            <w:vAlign w:val="bottom"/>
            <w:shd w:val="clear" w:color="auto" w:fill="939598"/>
          </w:tcPr>
          <w:p>
            <w:pPr>
              <w:jc w:val="right"/>
              <w:ind w:right="74"/>
              <w:spacing w:after="0" w:line="149" w:lineRule="exact"/>
              <w:rPr>
                <w:sz w:val="20"/>
                <w:szCs w:val="20"/>
                <w:color w:val="auto"/>
              </w:rPr>
            </w:pPr>
            <w:r>
              <w:rPr>
                <w:rFonts w:ascii="Arial" w:cs="Arial" w:eastAsia="Arial" w:hAnsi="Arial"/>
                <w:sz w:val="14"/>
                <w:szCs w:val="14"/>
                <w:b w:val="1"/>
                <w:bCs w:val="1"/>
                <w:color w:val="FFFFFF"/>
              </w:rPr>
              <w:t>2004</w:t>
            </w:r>
          </w:p>
        </w:tc>
        <w:tc>
          <w:tcPr>
            <w:tcW w:w="600" w:type="dxa"/>
            <w:vAlign w:val="bottom"/>
            <w:gridSpan w:val="2"/>
            <w:shd w:val="clear" w:color="auto" w:fill="939598"/>
          </w:tcPr>
          <w:p>
            <w:pPr>
              <w:jc w:val="right"/>
              <w:ind w:right="96"/>
              <w:spacing w:after="0" w:line="149" w:lineRule="exact"/>
              <w:rPr>
                <w:sz w:val="20"/>
                <w:szCs w:val="20"/>
                <w:color w:val="auto"/>
              </w:rPr>
            </w:pPr>
            <w:r>
              <w:rPr>
                <w:rFonts w:ascii="Arial" w:cs="Arial" w:eastAsia="Arial" w:hAnsi="Arial"/>
                <w:sz w:val="14"/>
                <w:szCs w:val="14"/>
                <w:b w:val="1"/>
                <w:bCs w:val="1"/>
                <w:color w:val="FFFFFF"/>
              </w:rPr>
              <w:t>2006</w:t>
            </w:r>
          </w:p>
        </w:tc>
        <w:tc>
          <w:tcPr>
            <w:tcW w:w="600" w:type="dxa"/>
            <w:vAlign w:val="bottom"/>
            <w:gridSpan w:val="2"/>
            <w:shd w:val="clear" w:color="auto" w:fill="939598"/>
          </w:tcPr>
          <w:p>
            <w:pPr>
              <w:jc w:val="center"/>
              <w:spacing w:after="0" w:line="149" w:lineRule="exact"/>
              <w:rPr>
                <w:sz w:val="20"/>
                <w:szCs w:val="20"/>
                <w:color w:val="auto"/>
              </w:rPr>
            </w:pPr>
            <w:r>
              <w:rPr>
                <w:rFonts w:ascii="Arial" w:cs="Arial" w:eastAsia="Arial" w:hAnsi="Arial"/>
                <w:sz w:val="14"/>
                <w:szCs w:val="14"/>
                <w:b w:val="1"/>
                <w:bCs w:val="1"/>
                <w:color w:val="FFFFFF"/>
                <w:w w:val="96"/>
              </w:rPr>
              <w:t>2005</w:t>
            </w:r>
          </w:p>
        </w:tc>
        <w:tc>
          <w:tcPr>
            <w:tcW w:w="580" w:type="dxa"/>
            <w:vAlign w:val="bottom"/>
            <w:gridSpan w:val="2"/>
            <w:shd w:val="clear" w:color="auto" w:fill="939598"/>
          </w:tcPr>
          <w:p>
            <w:pPr>
              <w:jc w:val="right"/>
              <w:ind w:right="72"/>
              <w:spacing w:after="0" w:line="149" w:lineRule="exact"/>
              <w:rPr>
                <w:sz w:val="20"/>
                <w:szCs w:val="20"/>
                <w:color w:val="auto"/>
              </w:rPr>
            </w:pPr>
            <w:r>
              <w:rPr>
                <w:rFonts w:ascii="Arial" w:cs="Arial" w:eastAsia="Arial" w:hAnsi="Arial"/>
                <w:sz w:val="14"/>
                <w:szCs w:val="14"/>
                <w:b w:val="1"/>
                <w:bCs w:val="1"/>
                <w:color w:val="FFFFFF"/>
              </w:rPr>
              <w:t>2004</w:t>
            </w:r>
          </w:p>
        </w:tc>
        <w:tc>
          <w:tcPr>
            <w:tcW w:w="540" w:type="dxa"/>
            <w:vAlign w:val="bottom"/>
            <w:shd w:val="clear" w:color="auto" w:fill="939598"/>
          </w:tcPr>
          <w:p>
            <w:pPr>
              <w:jc w:val="right"/>
              <w:ind w:right="36"/>
              <w:spacing w:after="0" w:line="149" w:lineRule="exact"/>
              <w:rPr>
                <w:sz w:val="20"/>
                <w:szCs w:val="20"/>
                <w:color w:val="auto"/>
              </w:rPr>
            </w:pPr>
            <w:r>
              <w:rPr>
                <w:rFonts w:ascii="Arial" w:cs="Arial" w:eastAsia="Arial" w:hAnsi="Arial"/>
                <w:sz w:val="14"/>
                <w:szCs w:val="14"/>
                <w:b w:val="1"/>
                <w:bCs w:val="1"/>
                <w:color w:val="FFFFFF"/>
              </w:rPr>
              <w:t>2006</w:t>
            </w:r>
          </w:p>
        </w:tc>
        <w:tc>
          <w:tcPr>
            <w:tcW w:w="680" w:type="dxa"/>
            <w:vAlign w:val="bottom"/>
            <w:shd w:val="clear" w:color="auto" w:fill="939598"/>
          </w:tcPr>
          <w:p>
            <w:pPr>
              <w:jc w:val="center"/>
              <w:spacing w:after="0" w:line="149" w:lineRule="exact"/>
              <w:rPr>
                <w:sz w:val="20"/>
                <w:szCs w:val="20"/>
                <w:color w:val="auto"/>
              </w:rPr>
            </w:pPr>
            <w:r>
              <w:rPr>
                <w:rFonts w:ascii="Arial" w:cs="Arial" w:eastAsia="Arial" w:hAnsi="Arial"/>
                <w:sz w:val="14"/>
                <w:szCs w:val="14"/>
                <w:b w:val="1"/>
                <w:bCs w:val="1"/>
                <w:color w:val="FFFFFF"/>
                <w:w w:val="96"/>
              </w:rPr>
              <w:t>2005</w:t>
            </w:r>
          </w:p>
        </w:tc>
        <w:tc>
          <w:tcPr>
            <w:tcW w:w="440" w:type="dxa"/>
            <w:vAlign w:val="bottom"/>
            <w:shd w:val="clear" w:color="auto" w:fill="939598"/>
          </w:tcPr>
          <w:p>
            <w:pPr>
              <w:jc w:val="right"/>
              <w:spacing w:after="0" w:line="149" w:lineRule="exact"/>
              <w:rPr>
                <w:sz w:val="20"/>
                <w:szCs w:val="20"/>
                <w:color w:val="auto"/>
              </w:rPr>
            </w:pPr>
            <w:r>
              <w:rPr>
                <w:rFonts w:ascii="Arial" w:cs="Arial" w:eastAsia="Arial" w:hAnsi="Arial"/>
                <w:sz w:val="14"/>
                <w:szCs w:val="14"/>
                <w:b w:val="1"/>
                <w:bCs w:val="1"/>
                <w:color w:val="FFFFFF"/>
              </w:rPr>
              <w:t>2004</w:t>
            </w:r>
          </w:p>
        </w:tc>
        <w:tc>
          <w:tcPr>
            <w:tcW w:w="60" w:type="dxa"/>
            <w:vAlign w:val="bottom"/>
            <w:shd w:val="clear" w:color="auto" w:fill="939598"/>
          </w:tcPr>
          <w:p>
            <w:pPr>
              <w:spacing w:after="0"/>
              <w:rPr>
                <w:sz w:val="12"/>
                <w:szCs w:val="12"/>
                <w:color w:val="auto"/>
              </w:rPr>
            </w:pPr>
          </w:p>
        </w:tc>
      </w:tr>
      <w:tr>
        <w:trPr>
          <w:trHeight w:val="270"/>
        </w:trPr>
        <w:tc>
          <w:tcPr>
            <w:tcW w:w="5520" w:type="dxa"/>
            <w:vAlign w:val="bottom"/>
          </w:tcPr>
          <w:p>
            <w:pPr>
              <w:spacing w:after="0"/>
              <w:rPr>
                <w:sz w:val="20"/>
                <w:szCs w:val="20"/>
                <w:color w:val="auto"/>
              </w:rPr>
            </w:pPr>
            <w:r>
              <w:rPr>
                <w:rFonts w:ascii="Arial" w:cs="Arial" w:eastAsia="Arial" w:hAnsi="Arial"/>
                <w:sz w:val="18"/>
                <w:szCs w:val="18"/>
                <w:color w:val="auto"/>
              </w:rPr>
              <w:t>Service cost</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$ 26</w:t>
            </w:r>
          </w:p>
        </w:tc>
        <w:tc>
          <w:tcPr>
            <w:tcW w:w="680" w:type="dxa"/>
            <w:vAlign w:val="bottom"/>
          </w:tcPr>
          <w:p>
            <w:pPr>
              <w:jc w:val="right"/>
              <w:ind w:right="96"/>
              <w:spacing w:after="0"/>
              <w:rPr>
                <w:sz w:val="20"/>
                <w:szCs w:val="20"/>
                <w:color w:val="auto"/>
              </w:rPr>
            </w:pPr>
            <w:r>
              <w:rPr>
                <w:rFonts w:ascii="Arial" w:cs="Arial" w:eastAsia="Arial" w:hAnsi="Arial"/>
                <w:sz w:val="18"/>
                <w:szCs w:val="18"/>
                <w:color w:val="auto"/>
              </w:rPr>
              <w:t>$ 27</w:t>
            </w:r>
          </w:p>
        </w:tc>
        <w:tc>
          <w:tcPr>
            <w:tcW w:w="560" w:type="dxa"/>
            <w:vAlign w:val="bottom"/>
          </w:tcPr>
          <w:p>
            <w:pPr>
              <w:jc w:val="right"/>
              <w:ind w:right="54"/>
              <w:spacing w:after="0"/>
              <w:rPr>
                <w:sz w:val="20"/>
                <w:szCs w:val="20"/>
                <w:color w:val="auto"/>
              </w:rPr>
            </w:pPr>
            <w:r>
              <w:rPr>
                <w:rFonts w:ascii="Arial" w:cs="Arial" w:eastAsia="Arial" w:hAnsi="Arial"/>
                <w:sz w:val="18"/>
                <w:szCs w:val="18"/>
                <w:color w:val="auto"/>
              </w:rPr>
              <w:t>$ 25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56"/>
              <w:spacing w:after="0"/>
              <w:rPr>
                <w:sz w:val="20"/>
                <w:szCs w:val="20"/>
                <w:color w:val="auto"/>
              </w:rPr>
            </w:pPr>
            <w:r>
              <w:rPr>
                <w:rFonts w:ascii="Arial" w:cs="Arial" w:eastAsia="Arial" w:hAnsi="Arial"/>
                <w:sz w:val="18"/>
                <w:szCs w:val="18"/>
                <w:b w:val="1"/>
                <w:bCs w:val="1"/>
                <w:color w:val="auto"/>
              </w:rPr>
              <w:t>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$ 44</w:t>
            </w:r>
          </w:p>
        </w:tc>
        <w:tc>
          <w:tcPr>
            <w:tcW w:w="680" w:type="dxa"/>
            <w:vAlign w:val="bottom"/>
          </w:tcPr>
          <w:p>
            <w:pPr>
              <w:jc w:val="right"/>
              <w:ind w:right="76"/>
              <w:spacing w:after="0"/>
              <w:rPr>
                <w:sz w:val="20"/>
                <w:szCs w:val="20"/>
                <w:color w:val="auto"/>
              </w:rPr>
            </w:pPr>
            <w:r>
              <w:rPr>
                <w:rFonts w:ascii="Arial" w:cs="Arial" w:eastAsia="Arial" w:hAnsi="Arial"/>
                <w:sz w:val="18"/>
                <w:szCs w:val="18"/>
                <w:color w:val="auto"/>
              </w:rPr>
              <w:t>$ 44</w:t>
            </w:r>
          </w:p>
        </w:tc>
        <w:tc>
          <w:tcPr>
            <w:tcW w:w="440" w:type="dxa"/>
            <w:vAlign w:val="bottom"/>
          </w:tcPr>
          <w:p>
            <w:pPr>
              <w:jc w:val="right"/>
              <w:spacing w:after="0"/>
              <w:rPr>
                <w:sz w:val="20"/>
                <w:szCs w:val="20"/>
                <w:color w:val="auto"/>
              </w:rPr>
            </w:pPr>
            <w:r>
              <w:rPr>
                <w:rFonts w:ascii="Arial" w:cs="Arial" w:eastAsia="Arial" w:hAnsi="Arial"/>
                <w:sz w:val="18"/>
                <w:szCs w:val="18"/>
                <w:color w:val="auto"/>
              </w:rPr>
              <w:t>$ 50</w:t>
            </w:r>
          </w:p>
        </w:tc>
        <w:tc>
          <w:tcPr>
            <w:tcW w:w="60" w:type="dxa"/>
            <w:vAlign w:val="bottom"/>
          </w:tcPr>
          <w:p>
            <w:pPr>
              <w:spacing w:after="0"/>
              <w:rPr>
                <w:sz w:val="23"/>
                <w:szCs w:val="23"/>
                <w:color w:val="auto"/>
              </w:rPr>
            </w:pPr>
          </w:p>
        </w:tc>
      </w:tr>
      <w:tr>
        <w:trPr>
          <w:trHeight w:val="203"/>
        </w:trPr>
        <w:tc>
          <w:tcPr>
            <w:tcW w:w="5520" w:type="dxa"/>
            <w:vAlign w:val="bottom"/>
            <w:shd w:val="clear" w:color="auto" w:fill="E6E7E7"/>
          </w:tcPr>
          <w:p>
            <w:pPr>
              <w:spacing w:after="0" w:line="202" w:lineRule="exact"/>
              <w:rPr>
                <w:sz w:val="20"/>
                <w:szCs w:val="20"/>
                <w:color w:val="auto"/>
              </w:rPr>
            </w:pPr>
            <w:r>
              <w:rPr>
                <w:rFonts w:ascii="Arial" w:cs="Arial" w:eastAsia="Arial" w:hAnsi="Arial"/>
                <w:sz w:val="18"/>
                <w:szCs w:val="18"/>
                <w:color w:val="auto"/>
              </w:rPr>
              <w:t>Interest cost</w:t>
            </w:r>
          </w:p>
        </w:tc>
        <w:tc>
          <w:tcPr>
            <w:tcW w:w="460" w:type="dxa"/>
            <w:vAlign w:val="bottom"/>
            <w:gridSpan w:val="2"/>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45</w:t>
            </w:r>
          </w:p>
        </w:tc>
        <w:tc>
          <w:tcPr>
            <w:tcW w:w="680" w:type="dxa"/>
            <w:vAlign w:val="bottom"/>
            <w:shd w:val="clear" w:color="auto" w:fill="E6E7E7"/>
          </w:tcPr>
          <w:p>
            <w:pPr>
              <w:jc w:val="right"/>
              <w:ind w:right="96"/>
              <w:spacing w:after="0" w:line="202" w:lineRule="exact"/>
              <w:rPr>
                <w:sz w:val="20"/>
                <w:szCs w:val="20"/>
                <w:color w:val="auto"/>
              </w:rPr>
            </w:pPr>
            <w:r>
              <w:rPr>
                <w:rFonts w:ascii="Arial" w:cs="Arial" w:eastAsia="Arial" w:hAnsi="Arial"/>
                <w:sz w:val="18"/>
                <w:szCs w:val="18"/>
                <w:color w:val="auto"/>
              </w:rPr>
              <w:t>40</w:t>
            </w:r>
          </w:p>
        </w:tc>
        <w:tc>
          <w:tcPr>
            <w:tcW w:w="560" w:type="dxa"/>
            <w:vAlign w:val="bottom"/>
            <w:shd w:val="clear" w:color="auto" w:fill="E6E7E7"/>
          </w:tcPr>
          <w:p>
            <w:pPr>
              <w:jc w:val="right"/>
              <w:ind w:right="54"/>
              <w:spacing w:after="0" w:line="202" w:lineRule="exact"/>
              <w:rPr>
                <w:sz w:val="20"/>
                <w:szCs w:val="20"/>
                <w:color w:val="auto"/>
              </w:rPr>
            </w:pPr>
            <w:r>
              <w:rPr>
                <w:rFonts w:ascii="Arial" w:cs="Arial" w:eastAsia="Arial" w:hAnsi="Arial"/>
                <w:sz w:val="18"/>
                <w:szCs w:val="18"/>
                <w:color w:val="auto"/>
              </w:rPr>
              <w:t>40</w:t>
            </w:r>
          </w:p>
        </w:tc>
        <w:tc>
          <w:tcPr>
            <w:tcW w:w="200" w:type="dxa"/>
            <w:vAlign w:val="bottom"/>
            <w:shd w:val="clear" w:color="auto" w:fill="E6E7E7"/>
          </w:tcPr>
          <w:p>
            <w:pPr>
              <w:spacing w:after="0"/>
              <w:rPr>
                <w:sz w:val="17"/>
                <w:szCs w:val="17"/>
                <w:color w:val="auto"/>
              </w:rPr>
            </w:pPr>
          </w:p>
        </w:tc>
        <w:tc>
          <w:tcPr>
            <w:tcW w:w="400" w:type="dxa"/>
            <w:vAlign w:val="bottom"/>
            <w:shd w:val="clear" w:color="auto" w:fill="E6E7E7"/>
          </w:tcPr>
          <w:p>
            <w:pPr>
              <w:jc w:val="right"/>
              <w:ind w:right="56"/>
              <w:spacing w:after="0" w:line="202" w:lineRule="exact"/>
              <w:rPr>
                <w:sz w:val="20"/>
                <w:szCs w:val="20"/>
                <w:color w:val="auto"/>
              </w:rPr>
            </w:pPr>
            <w:r>
              <w:rPr>
                <w:rFonts w:ascii="Arial" w:cs="Arial" w:eastAsia="Arial" w:hAnsi="Arial"/>
                <w:sz w:val="18"/>
                <w:szCs w:val="18"/>
                <w:b w:val="1"/>
                <w:bCs w:val="1"/>
                <w:color w:val="auto"/>
              </w:rPr>
              <w:t>25</w:t>
            </w:r>
          </w:p>
        </w:tc>
        <w:tc>
          <w:tcPr>
            <w:tcW w:w="200" w:type="dxa"/>
            <w:vAlign w:val="bottom"/>
            <w:shd w:val="clear" w:color="auto" w:fill="E6E7E7"/>
          </w:tcPr>
          <w:p>
            <w:pPr>
              <w:spacing w:after="0"/>
              <w:rPr>
                <w:sz w:val="17"/>
                <w:szCs w:val="17"/>
                <w:color w:val="auto"/>
              </w:rPr>
            </w:pPr>
          </w:p>
        </w:tc>
        <w:tc>
          <w:tcPr>
            <w:tcW w:w="400" w:type="dxa"/>
            <w:vAlign w:val="bottom"/>
            <w:shd w:val="clear" w:color="auto" w:fill="E6E7E7"/>
          </w:tcPr>
          <w:p>
            <w:pPr>
              <w:jc w:val="right"/>
              <w:ind w:right="52"/>
              <w:spacing w:after="0" w:line="202" w:lineRule="exact"/>
              <w:rPr>
                <w:sz w:val="20"/>
                <w:szCs w:val="20"/>
                <w:color w:val="auto"/>
              </w:rPr>
            </w:pPr>
            <w:r>
              <w:rPr>
                <w:rFonts w:ascii="Arial" w:cs="Arial" w:eastAsia="Arial" w:hAnsi="Arial"/>
                <w:sz w:val="18"/>
                <w:szCs w:val="18"/>
                <w:color w:val="auto"/>
              </w:rPr>
              <w:t>22</w:t>
            </w:r>
          </w:p>
        </w:tc>
        <w:tc>
          <w:tcPr>
            <w:tcW w:w="180" w:type="dxa"/>
            <w:vAlign w:val="bottom"/>
            <w:shd w:val="clear" w:color="auto" w:fill="E6E7E7"/>
          </w:tcPr>
          <w:p>
            <w:pPr>
              <w:spacing w:after="0"/>
              <w:rPr>
                <w:sz w:val="17"/>
                <w:szCs w:val="17"/>
                <w:color w:val="auto"/>
              </w:rPr>
            </w:pPr>
          </w:p>
        </w:tc>
        <w:tc>
          <w:tcPr>
            <w:tcW w:w="400" w:type="dxa"/>
            <w:vAlign w:val="bottom"/>
            <w:shd w:val="clear" w:color="auto" w:fill="E6E7E7"/>
          </w:tcPr>
          <w:p>
            <w:pPr>
              <w:jc w:val="right"/>
              <w:ind w:right="52"/>
              <w:spacing w:after="0" w:line="202" w:lineRule="exact"/>
              <w:rPr>
                <w:sz w:val="20"/>
                <w:szCs w:val="20"/>
                <w:color w:val="auto"/>
              </w:rPr>
            </w:pPr>
            <w:r>
              <w:rPr>
                <w:rFonts w:ascii="Arial" w:cs="Arial" w:eastAsia="Arial" w:hAnsi="Arial"/>
                <w:sz w:val="18"/>
                <w:szCs w:val="18"/>
                <w:color w:val="auto"/>
              </w:rPr>
              <w:t>21</w:t>
            </w:r>
          </w:p>
        </w:tc>
        <w:tc>
          <w:tcPr>
            <w:tcW w:w="5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46</w:t>
            </w:r>
          </w:p>
        </w:tc>
        <w:tc>
          <w:tcPr>
            <w:tcW w:w="680" w:type="dxa"/>
            <w:vAlign w:val="bottom"/>
            <w:shd w:val="clear" w:color="auto" w:fill="E6E7E7"/>
          </w:tcPr>
          <w:p>
            <w:pPr>
              <w:jc w:val="right"/>
              <w:ind w:right="76"/>
              <w:spacing w:after="0" w:line="202" w:lineRule="exact"/>
              <w:rPr>
                <w:sz w:val="20"/>
                <w:szCs w:val="20"/>
                <w:color w:val="auto"/>
              </w:rPr>
            </w:pPr>
            <w:r>
              <w:rPr>
                <w:rFonts w:ascii="Arial" w:cs="Arial" w:eastAsia="Arial" w:hAnsi="Arial"/>
                <w:sz w:val="18"/>
                <w:szCs w:val="18"/>
                <w:color w:val="auto"/>
              </w:rPr>
              <w:t>46</w:t>
            </w:r>
          </w:p>
        </w:tc>
        <w:tc>
          <w:tcPr>
            <w:tcW w:w="4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44</w:t>
            </w:r>
          </w:p>
        </w:tc>
        <w:tc>
          <w:tcPr>
            <w:tcW w:w="60" w:type="dxa"/>
            <w:vAlign w:val="bottom"/>
            <w:shd w:val="clear" w:color="auto" w:fill="E6E7E7"/>
          </w:tcPr>
          <w:p>
            <w:pPr>
              <w:spacing w:after="0"/>
              <w:rPr>
                <w:sz w:val="17"/>
                <w:szCs w:val="17"/>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(45)</w:t>
            </w:r>
          </w:p>
        </w:tc>
        <w:tc>
          <w:tcPr>
            <w:tcW w:w="6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(44)</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2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3"/>
              </w:rPr>
              <w:t>(21)</w:t>
            </w:r>
          </w:p>
        </w:tc>
        <w:tc>
          <w:tcPr>
            <w:tcW w:w="200" w:type="dxa"/>
            <w:vAlign w:val="bottom"/>
          </w:tcPr>
          <w:p>
            <w:pPr>
              <w:spacing w:after="0"/>
              <w:rPr>
                <w:sz w:val="17"/>
                <w:szCs w:val="17"/>
                <w:color w:val="auto"/>
              </w:rPr>
            </w:pPr>
          </w:p>
        </w:tc>
        <w:tc>
          <w:tcPr>
            <w:tcW w:w="4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87"/>
              </w:rPr>
              <w:t>(20)</w:t>
            </w:r>
          </w:p>
        </w:tc>
        <w:tc>
          <w:tcPr>
            <w:tcW w:w="18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w w:val="93"/>
              </w:rPr>
              <w:t>(15)</w:t>
            </w: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(66)</w:t>
            </w:r>
          </w:p>
        </w:tc>
        <w:tc>
          <w:tcPr>
            <w:tcW w:w="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(45)</w:t>
            </w: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(43)</w:t>
            </w:r>
          </w:p>
        </w:tc>
      </w:tr>
      <w:tr>
        <w:trPr>
          <w:trHeight w:val="203"/>
        </w:trPr>
        <w:tc>
          <w:tcPr>
            <w:tcW w:w="5520" w:type="dxa"/>
            <w:vAlign w:val="bottom"/>
            <w:shd w:val="clear" w:color="auto" w:fill="E6E7E7"/>
          </w:tcPr>
          <w:p>
            <w:pPr>
              <w:spacing w:after="0" w:line="202" w:lineRule="exact"/>
              <w:rPr>
                <w:sz w:val="20"/>
                <w:szCs w:val="20"/>
                <w:color w:val="auto"/>
              </w:rPr>
            </w:pPr>
            <w:r>
              <w:rPr>
                <w:rFonts w:ascii="Arial" w:cs="Arial" w:eastAsia="Arial" w:hAnsi="Arial"/>
                <w:sz w:val="18"/>
                <w:szCs w:val="18"/>
                <w:color w:val="auto"/>
              </w:rPr>
              <w:t>Amortization of prior service cost</w:t>
            </w:r>
          </w:p>
        </w:tc>
        <w:tc>
          <w:tcPr>
            <w:tcW w:w="20" w:type="dxa"/>
            <w:vAlign w:val="bottom"/>
            <w:shd w:val="clear" w:color="auto" w:fill="E6E7E7"/>
          </w:tcPr>
          <w:p>
            <w:pPr>
              <w:spacing w:after="0"/>
              <w:rPr>
                <w:sz w:val="17"/>
                <w:szCs w:val="17"/>
                <w:color w:val="auto"/>
              </w:rPr>
            </w:pPr>
          </w:p>
        </w:tc>
        <w:tc>
          <w:tcPr>
            <w:tcW w:w="4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E6E7E7"/>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6E7E7"/>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E6E7E7"/>
          </w:tcPr>
          <w:p>
            <w:pPr>
              <w:spacing w:after="0"/>
              <w:rPr>
                <w:sz w:val="17"/>
                <w:szCs w:val="17"/>
                <w:color w:val="auto"/>
              </w:rPr>
            </w:pPr>
          </w:p>
        </w:tc>
        <w:tc>
          <w:tcPr>
            <w:tcW w:w="400" w:type="dxa"/>
            <w:vAlign w:val="bottom"/>
            <w:shd w:val="clear" w:color="auto" w:fill="E6E7E7"/>
          </w:tcPr>
          <w:p>
            <w:pPr>
              <w:jc w:val="right"/>
              <w:ind w:right="56"/>
              <w:spacing w:after="0" w:line="202" w:lineRule="exact"/>
              <w:rPr>
                <w:sz w:val="20"/>
                <w:szCs w:val="20"/>
                <w:color w:val="auto"/>
              </w:rPr>
            </w:pPr>
            <w:r>
              <w:rPr>
                <w:rFonts w:ascii="Arial" w:cs="Arial" w:eastAsia="Arial" w:hAnsi="Arial"/>
                <w:sz w:val="18"/>
                <w:szCs w:val="18"/>
                <w:b w:val="1"/>
                <w:bCs w:val="1"/>
                <w:color w:val="auto"/>
              </w:rPr>
              <w:t>2</w:t>
            </w:r>
          </w:p>
        </w:tc>
        <w:tc>
          <w:tcPr>
            <w:tcW w:w="200" w:type="dxa"/>
            <w:vAlign w:val="bottom"/>
            <w:shd w:val="clear" w:color="auto" w:fill="E6E7E7"/>
          </w:tcPr>
          <w:p>
            <w:pPr>
              <w:spacing w:after="0"/>
              <w:rPr>
                <w:sz w:val="17"/>
                <w:szCs w:val="17"/>
                <w:color w:val="auto"/>
              </w:rPr>
            </w:pPr>
          </w:p>
        </w:tc>
        <w:tc>
          <w:tcPr>
            <w:tcW w:w="400" w:type="dxa"/>
            <w:vAlign w:val="bottom"/>
            <w:shd w:val="clear" w:color="auto" w:fill="E6E7E7"/>
          </w:tcPr>
          <w:p>
            <w:pPr>
              <w:jc w:val="right"/>
              <w:ind w:right="52"/>
              <w:spacing w:after="0" w:line="202" w:lineRule="exact"/>
              <w:rPr>
                <w:sz w:val="20"/>
                <w:szCs w:val="20"/>
                <w:color w:val="auto"/>
              </w:rPr>
            </w:pPr>
            <w:r>
              <w:rPr>
                <w:rFonts w:ascii="Arial" w:cs="Arial" w:eastAsia="Arial" w:hAnsi="Arial"/>
                <w:sz w:val="18"/>
                <w:szCs w:val="18"/>
                <w:color w:val="auto"/>
              </w:rPr>
              <w:t>3</w:t>
            </w:r>
          </w:p>
        </w:tc>
        <w:tc>
          <w:tcPr>
            <w:tcW w:w="180" w:type="dxa"/>
            <w:vAlign w:val="bottom"/>
            <w:shd w:val="clear" w:color="auto" w:fill="E6E7E7"/>
          </w:tcPr>
          <w:p>
            <w:pPr>
              <w:spacing w:after="0"/>
              <w:rPr>
                <w:sz w:val="17"/>
                <w:szCs w:val="17"/>
                <w:color w:val="auto"/>
              </w:rPr>
            </w:pPr>
          </w:p>
        </w:tc>
        <w:tc>
          <w:tcPr>
            <w:tcW w:w="4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(4)</w:t>
            </w:r>
          </w:p>
        </w:tc>
        <w:tc>
          <w:tcPr>
            <w:tcW w:w="5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680" w:type="dxa"/>
            <w:vAlign w:val="bottom"/>
            <w:shd w:val="clear" w:color="auto" w:fill="E6E7E7"/>
          </w:tcPr>
          <w:p>
            <w:pPr>
              <w:jc w:val="right"/>
              <w:ind w:right="16"/>
              <w:spacing w:after="0" w:line="202" w:lineRule="exact"/>
              <w:rPr>
                <w:sz w:val="20"/>
                <w:szCs w:val="20"/>
                <w:color w:val="auto"/>
              </w:rPr>
            </w:pPr>
            <w:r>
              <w:rPr>
                <w:rFonts w:ascii="Arial" w:cs="Arial" w:eastAsia="Arial" w:hAnsi="Arial"/>
                <w:sz w:val="18"/>
                <w:szCs w:val="18"/>
                <w:color w:val="auto"/>
              </w:rPr>
              <w:t>(2)</w:t>
            </w:r>
          </w:p>
        </w:tc>
        <w:tc>
          <w:tcPr>
            <w:tcW w:w="4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shd w:val="clear" w:color="auto" w:fill="E6E7E7"/>
          </w:tcPr>
          <w:p>
            <w:pPr>
              <w:spacing w:after="0"/>
              <w:rPr>
                <w:sz w:val="17"/>
                <w:szCs w:val="17"/>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Amortization of transition obligation</w:t>
            </w:r>
          </w:p>
        </w:tc>
        <w:tc>
          <w:tcPr>
            <w:tcW w:w="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0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4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4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7"/>
                <w:szCs w:val="17"/>
                <w:color w:val="auto"/>
              </w:rPr>
            </w:pPr>
          </w:p>
        </w:tc>
      </w:tr>
      <w:tr>
        <w:trPr>
          <w:trHeight w:val="203"/>
        </w:trPr>
        <w:tc>
          <w:tcPr>
            <w:tcW w:w="5520" w:type="dxa"/>
            <w:vAlign w:val="bottom"/>
            <w:shd w:val="clear" w:color="auto" w:fill="E6E7E7"/>
          </w:tcPr>
          <w:p>
            <w:pPr>
              <w:spacing w:after="0" w:line="202" w:lineRule="exact"/>
              <w:rPr>
                <w:sz w:val="20"/>
                <w:szCs w:val="20"/>
                <w:color w:val="auto"/>
              </w:rPr>
            </w:pPr>
            <w:r>
              <w:rPr>
                <w:rFonts w:ascii="Arial" w:cs="Arial" w:eastAsia="Arial" w:hAnsi="Arial"/>
                <w:sz w:val="18"/>
                <w:szCs w:val="18"/>
                <w:color w:val="auto"/>
              </w:rPr>
              <w:t>Recognized net actuarial loss</w:t>
            </w:r>
          </w:p>
        </w:tc>
        <w:tc>
          <w:tcPr>
            <w:tcW w:w="460" w:type="dxa"/>
            <w:vAlign w:val="bottom"/>
            <w:gridSpan w:val="2"/>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21</w:t>
            </w:r>
          </w:p>
        </w:tc>
        <w:tc>
          <w:tcPr>
            <w:tcW w:w="680" w:type="dxa"/>
            <w:vAlign w:val="bottom"/>
            <w:shd w:val="clear" w:color="auto" w:fill="E6E7E7"/>
          </w:tcPr>
          <w:p>
            <w:pPr>
              <w:jc w:val="right"/>
              <w:ind w:right="96"/>
              <w:spacing w:after="0" w:line="202" w:lineRule="exact"/>
              <w:rPr>
                <w:sz w:val="20"/>
                <w:szCs w:val="20"/>
                <w:color w:val="auto"/>
              </w:rPr>
            </w:pPr>
            <w:r>
              <w:rPr>
                <w:rFonts w:ascii="Arial" w:cs="Arial" w:eastAsia="Arial" w:hAnsi="Arial"/>
                <w:sz w:val="18"/>
                <w:szCs w:val="18"/>
                <w:color w:val="auto"/>
              </w:rPr>
              <w:t>23</w:t>
            </w:r>
          </w:p>
        </w:tc>
        <w:tc>
          <w:tcPr>
            <w:tcW w:w="560" w:type="dxa"/>
            <w:vAlign w:val="bottom"/>
            <w:shd w:val="clear" w:color="auto" w:fill="E6E7E7"/>
          </w:tcPr>
          <w:p>
            <w:pPr>
              <w:jc w:val="right"/>
              <w:ind w:right="54"/>
              <w:spacing w:after="0" w:line="202" w:lineRule="exact"/>
              <w:rPr>
                <w:sz w:val="20"/>
                <w:szCs w:val="20"/>
                <w:color w:val="auto"/>
              </w:rPr>
            </w:pPr>
            <w:r>
              <w:rPr>
                <w:rFonts w:ascii="Arial" w:cs="Arial" w:eastAsia="Arial" w:hAnsi="Arial"/>
                <w:sz w:val="18"/>
                <w:szCs w:val="18"/>
                <w:color w:val="auto"/>
              </w:rPr>
              <w:t>20</w:t>
            </w:r>
          </w:p>
        </w:tc>
        <w:tc>
          <w:tcPr>
            <w:tcW w:w="200" w:type="dxa"/>
            <w:vAlign w:val="bottom"/>
            <w:shd w:val="clear" w:color="auto" w:fill="E6E7E7"/>
          </w:tcPr>
          <w:p>
            <w:pPr>
              <w:spacing w:after="0"/>
              <w:rPr>
                <w:sz w:val="17"/>
                <w:szCs w:val="17"/>
                <w:color w:val="auto"/>
              </w:rPr>
            </w:pPr>
          </w:p>
        </w:tc>
        <w:tc>
          <w:tcPr>
            <w:tcW w:w="400" w:type="dxa"/>
            <w:vAlign w:val="bottom"/>
            <w:shd w:val="clear" w:color="auto" w:fill="E6E7E7"/>
          </w:tcPr>
          <w:p>
            <w:pPr>
              <w:jc w:val="right"/>
              <w:ind w:right="56"/>
              <w:spacing w:after="0" w:line="202" w:lineRule="exact"/>
              <w:rPr>
                <w:sz w:val="20"/>
                <w:szCs w:val="20"/>
                <w:color w:val="auto"/>
              </w:rPr>
            </w:pPr>
            <w:r>
              <w:rPr>
                <w:rFonts w:ascii="Arial" w:cs="Arial" w:eastAsia="Arial" w:hAnsi="Arial"/>
                <w:sz w:val="18"/>
                <w:szCs w:val="18"/>
                <w:b w:val="1"/>
                <w:bCs w:val="1"/>
                <w:color w:val="auto"/>
              </w:rPr>
              <w:t>6</w:t>
            </w:r>
          </w:p>
        </w:tc>
        <w:tc>
          <w:tcPr>
            <w:tcW w:w="200" w:type="dxa"/>
            <w:vAlign w:val="bottom"/>
            <w:shd w:val="clear" w:color="auto" w:fill="E6E7E7"/>
          </w:tcPr>
          <w:p>
            <w:pPr>
              <w:spacing w:after="0"/>
              <w:rPr>
                <w:sz w:val="17"/>
                <w:szCs w:val="17"/>
                <w:color w:val="auto"/>
              </w:rPr>
            </w:pPr>
          </w:p>
        </w:tc>
        <w:tc>
          <w:tcPr>
            <w:tcW w:w="400" w:type="dxa"/>
            <w:vAlign w:val="bottom"/>
            <w:shd w:val="clear" w:color="auto" w:fill="E6E7E7"/>
          </w:tcPr>
          <w:p>
            <w:pPr>
              <w:jc w:val="right"/>
              <w:ind w:right="52"/>
              <w:spacing w:after="0" w:line="202" w:lineRule="exact"/>
              <w:rPr>
                <w:sz w:val="20"/>
                <w:szCs w:val="20"/>
                <w:color w:val="auto"/>
              </w:rPr>
            </w:pPr>
            <w:r>
              <w:rPr>
                <w:rFonts w:ascii="Arial" w:cs="Arial" w:eastAsia="Arial" w:hAnsi="Arial"/>
                <w:sz w:val="18"/>
                <w:szCs w:val="18"/>
                <w:color w:val="auto"/>
              </w:rPr>
              <w:t>8</w:t>
            </w:r>
          </w:p>
        </w:tc>
        <w:tc>
          <w:tcPr>
            <w:tcW w:w="180" w:type="dxa"/>
            <w:vAlign w:val="bottom"/>
            <w:shd w:val="clear" w:color="auto" w:fill="E6E7E7"/>
          </w:tcPr>
          <w:p>
            <w:pPr>
              <w:spacing w:after="0"/>
              <w:rPr>
                <w:sz w:val="17"/>
                <w:szCs w:val="17"/>
                <w:color w:val="auto"/>
              </w:rPr>
            </w:pPr>
          </w:p>
        </w:tc>
        <w:tc>
          <w:tcPr>
            <w:tcW w:w="400" w:type="dxa"/>
            <w:vAlign w:val="bottom"/>
            <w:shd w:val="clear" w:color="auto" w:fill="E6E7E7"/>
          </w:tcPr>
          <w:p>
            <w:pPr>
              <w:jc w:val="right"/>
              <w:ind w:right="52"/>
              <w:spacing w:after="0" w:line="202" w:lineRule="exact"/>
              <w:rPr>
                <w:sz w:val="20"/>
                <w:szCs w:val="20"/>
                <w:color w:val="auto"/>
              </w:rPr>
            </w:pPr>
            <w:r>
              <w:rPr>
                <w:rFonts w:ascii="Arial" w:cs="Arial" w:eastAsia="Arial" w:hAnsi="Arial"/>
                <w:sz w:val="18"/>
                <w:szCs w:val="18"/>
                <w:color w:val="auto"/>
              </w:rPr>
              <w:t>10</w:t>
            </w:r>
          </w:p>
        </w:tc>
        <w:tc>
          <w:tcPr>
            <w:tcW w:w="5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13</w:t>
            </w:r>
          </w:p>
        </w:tc>
        <w:tc>
          <w:tcPr>
            <w:tcW w:w="680" w:type="dxa"/>
            <w:vAlign w:val="bottom"/>
            <w:shd w:val="clear" w:color="auto" w:fill="E6E7E7"/>
          </w:tcPr>
          <w:p>
            <w:pPr>
              <w:jc w:val="right"/>
              <w:ind w:right="76"/>
              <w:spacing w:after="0" w:line="202" w:lineRule="exact"/>
              <w:rPr>
                <w:sz w:val="20"/>
                <w:szCs w:val="20"/>
                <w:color w:val="auto"/>
              </w:rPr>
            </w:pPr>
            <w:r>
              <w:rPr>
                <w:rFonts w:ascii="Arial" w:cs="Arial" w:eastAsia="Arial" w:hAnsi="Arial"/>
                <w:sz w:val="18"/>
                <w:szCs w:val="18"/>
                <w:color w:val="auto"/>
              </w:rPr>
              <w:t>22</w:t>
            </w:r>
          </w:p>
        </w:tc>
        <w:tc>
          <w:tcPr>
            <w:tcW w:w="4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20</w:t>
            </w:r>
          </w:p>
        </w:tc>
        <w:tc>
          <w:tcPr>
            <w:tcW w:w="60" w:type="dxa"/>
            <w:vAlign w:val="bottom"/>
            <w:shd w:val="clear" w:color="auto" w:fill="E6E7E7"/>
          </w:tcPr>
          <w:p>
            <w:pPr>
              <w:spacing w:after="0"/>
              <w:rPr>
                <w:sz w:val="17"/>
                <w:szCs w:val="17"/>
                <w:color w:val="auto"/>
              </w:rPr>
            </w:pPr>
          </w:p>
        </w:tc>
      </w:tr>
      <w:tr>
        <w:trPr>
          <w:trHeight w:val="210"/>
        </w:trPr>
        <w:tc>
          <w:tcPr>
            <w:tcW w:w="552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68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46</w:t>
            </w:r>
          </w:p>
        </w:tc>
        <w:tc>
          <w:tcPr>
            <w:tcW w:w="5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41</w:t>
            </w:r>
          </w:p>
        </w:tc>
        <w:tc>
          <w:tcPr>
            <w:tcW w:w="2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16</w:t>
            </w:r>
          </w:p>
        </w:tc>
        <w:tc>
          <w:tcPr>
            <w:tcW w:w="2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17</w:t>
            </w:r>
          </w:p>
        </w:tc>
        <w:tc>
          <w:tcPr>
            <w:tcW w:w="1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14</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6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65</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r>
      <w:tr>
        <w:trPr>
          <w:trHeight w:val="203"/>
        </w:trPr>
        <w:tc>
          <w:tcPr>
            <w:tcW w:w="5520" w:type="dxa"/>
            <w:vAlign w:val="bottom"/>
            <w:shd w:val="clear" w:color="auto" w:fill="E6E7E7"/>
          </w:tcPr>
          <w:p>
            <w:pPr>
              <w:spacing w:after="0" w:line="202" w:lineRule="exact"/>
              <w:rPr>
                <w:sz w:val="20"/>
                <w:szCs w:val="20"/>
                <w:color w:val="auto"/>
              </w:rPr>
            </w:pPr>
            <w:r>
              <w:rPr>
                <w:rFonts w:ascii="Arial" w:cs="Arial" w:eastAsia="Arial" w:hAnsi="Arial"/>
                <w:sz w:val="18"/>
                <w:szCs w:val="18"/>
                <w:color w:val="auto"/>
              </w:rPr>
              <w:t>Settlement, curtailment and special termination benefit charges</w:t>
            </w:r>
          </w:p>
        </w:tc>
        <w:tc>
          <w:tcPr>
            <w:tcW w:w="460" w:type="dxa"/>
            <w:vAlign w:val="bottom"/>
            <w:gridSpan w:val="2"/>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26</w:t>
            </w:r>
          </w:p>
        </w:tc>
        <w:tc>
          <w:tcPr>
            <w:tcW w:w="680" w:type="dxa"/>
            <w:vAlign w:val="bottom"/>
            <w:shd w:val="clear" w:color="auto" w:fill="E6E7E7"/>
          </w:tcPr>
          <w:p>
            <w:pPr>
              <w:jc w:val="right"/>
              <w:ind w:right="96"/>
              <w:spacing w:after="0" w:line="202" w:lineRule="exact"/>
              <w:rPr>
                <w:sz w:val="20"/>
                <w:szCs w:val="20"/>
                <w:color w:val="auto"/>
              </w:rPr>
            </w:pPr>
            <w:r>
              <w:rPr>
                <w:rFonts w:ascii="Arial" w:cs="Arial" w:eastAsia="Arial" w:hAnsi="Arial"/>
                <w:sz w:val="18"/>
                <w:szCs w:val="18"/>
                <w:color w:val="auto"/>
              </w:rPr>
              <w:t>1</w:t>
            </w:r>
          </w:p>
        </w:tc>
        <w:tc>
          <w:tcPr>
            <w:tcW w:w="560" w:type="dxa"/>
            <w:vAlign w:val="bottom"/>
            <w:shd w:val="clear" w:color="auto" w:fill="E6E7E7"/>
          </w:tcPr>
          <w:p>
            <w:pPr>
              <w:jc w:val="right"/>
              <w:ind w:right="54"/>
              <w:spacing w:after="0" w:line="202" w:lineRule="exact"/>
              <w:rPr>
                <w:sz w:val="20"/>
                <w:szCs w:val="20"/>
                <w:color w:val="auto"/>
              </w:rPr>
            </w:pPr>
            <w:r>
              <w:rPr>
                <w:rFonts w:ascii="Arial" w:cs="Arial" w:eastAsia="Arial" w:hAnsi="Arial"/>
                <w:sz w:val="18"/>
                <w:szCs w:val="18"/>
                <w:color w:val="auto"/>
              </w:rPr>
              <w:t>2</w:t>
            </w:r>
          </w:p>
        </w:tc>
        <w:tc>
          <w:tcPr>
            <w:tcW w:w="200" w:type="dxa"/>
            <w:vAlign w:val="bottom"/>
            <w:shd w:val="clear" w:color="auto" w:fill="E6E7E7"/>
          </w:tcPr>
          <w:p>
            <w:pPr>
              <w:spacing w:after="0"/>
              <w:rPr>
                <w:sz w:val="17"/>
                <w:szCs w:val="17"/>
                <w:color w:val="auto"/>
              </w:rPr>
            </w:pPr>
          </w:p>
        </w:tc>
        <w:tc>
          <w:tcPr>
            <w:tcW w:w="400" w:type="dxa"/>
            <w:vAlign w:val="bottom"/>
            <w:shd w:val="clear" w:color="auto" w:fill="E6E7E7"/>
          </w:tcPr>
          <w:p>
            <w:pPr>
              <w:jc w:val="right"/>
              <w:ind w:right="56"/>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E6E7E7"/>
          </w:tcPr>
          <w:p>
            <w:pPr>
              <w:spacing w:after="0"/>
              <w:rPr>
                <w:sz w:val="17"/>
                <w:szCs w:val="17"/>
                <w:color w:val="auto"/>
              </w:rPr>
            </w:pPr>
          </w:p>
        </w:tc>
        <w:tc>
          <w:tcPr>
            <w:tcW w:w="400" w:type="dxa"/>
            <w:vAlign w:val="bottom"/>
            <w:shd w:val="clear" w:color="auto" w:fill="E6E7E7"/>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6E7E7"/>
          </w:tcPr>
          <w:p>
            <w:pPr>
              <w:spacing w:after="0"/>
              <w:rPr>
                <w:sz w:val="17"/>
                <w:szCs w:val="17"/>
                <w:color w:val="auto"/>
              </w:rPr>
            </w:pPr>
          </w:p>
        </w:tc>
        <w:tc>
          <w:tcPr>
            <w:tcW w:w="400" w:type="dxa"/>
            <w:vAlign w:val="bottom"/>
            <w:shd w:val="clear" w:color="auto" w:fill="E6E7E7"/>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E6E7E7"/>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E6E7E7"/>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10"/>
        </w:trPr>
        <w:tc>
          <w:tcPr>
            <w:tcW w:w="5520" w:type="dxa"/>
            <w:vAlign w:val="bottom"/>
          </w:tcPr>
          <w:p>
            <w:pPr>
              <w:spacing w:after="0"/>
              <w:rPr>
                <w:sz w:val="20"/>
                <w:szCs w:val="20"/>
                <w:color w:val="auto"/>
              </w:rPr>
            </w:pPr>
            <w:r>
              <w:rPr>
                <w:rFonts w:ascii="Arial" w:cs="Arial" w:eastAsia="Arial" w:hAnsi="Arial"/>
                <w:sz w:val="18"/>
                <w:szCs w:val="18"/>
                <w:color w:val="auto"/>
              </w:rPr>
              <w:t>Total including charges</w:t>
            </w:r>
          </w:p>
        </w:tc>
        <w:tc>
          <w:tcPr>
            <w:tcW w:w="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$ 73</w:t>
            </w:r>
          </w:p>
        </w:tc>
        <w:tc>
          <w:tcPr>
            <w:tcW w:w="6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rPr>
              <w:t>$ 47</w:t>
            </w:r>
          </w:p>
        </w:tc>
        <w:tc>
          <w:tcPr>
            <w:tcW w:w="5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$ 43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16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14</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$ 34</w:t>
            </w:r>
          </w:p>
        </w:tc>
        <w:tc>
          <w:tcPr>
            <w:tcW w:w="6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$ 65</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$ 73</w:t>
            </w:r>
          </w:p>
        </w:tc>
        <w:tc>
          <w:tcPr>
            <w:tcW w:w="6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left="460"/>
        <w:spacing w:after="0" w:line="239" w:lineRule="auto"/>
        <w:rPr>
          <w:sz w:val="20"/>
          <w:szCs w:val="20"/>
          <w:color w:val="auto"/>
        </w:rPr>
      </w:pPr>
      <w:r>
        <w:rPr>
          <w:rFonts w:ascii="Arial" w:cs="Arial" w:eastAsia="Arial" w:hAnsi="Arial"/>
          <w:sz w:val="18"/>
          <w:szCs w:val="18"/>
          <w:color w:val="auto"/>
        </w:rPr>
        <w:t>The increase in settlement costs in 2006 is primarily due to an increase in lump-sum distributions elected by retirees in 2006 as compared with previous years.</w:t>
      </w:r>
    </w:p>
    <w:p>
      <w:pPr>
        <w:spacing w:after="0" w:line="155" w:lineRule="exact"/>
        <w:rPr>
          <w:sz w:val="20"/>
          <w:szCs w:val="20"/>
          <w:color w:val="auto"/>
        </w:rPr>
      </w:pPr>
    </w:p>
    <w:p>
      <w:pPr>
        <w:jc w:val="both"/>
        <w:ind w:left="460" w:right="140"/>
        <w:spacing w:after="0" w:line="238" w:lineRule="auto"/>
        <w:rPr>
          <w:sz w:val="20"/>
          <w:szCs w:val="20"/>
          <w:color w:val="auto"/>
        </w:rPr>
      </w:pPr>
      <w:r>
        <w:rPr>
          <w:rFonts w:ascii="Arial" w:cs="Arial" w:eastAsia="Arial" w:hAnsi="Arial"/>
          <w:sz w:val="18"/>
          <w:szCs w:val="18"/>
          <w:color w:val="auto"/>
        </w:rPr>
        <w:t>For the U.S. plans, the expected return on plan assets component of net periodic benefit cost is based upon the market-related value of assets. In accordance with U.S. GAAP, the market-related value of assets utilizes a smoothing technique whereby investment gains and losses that differ from plan assumptions are phased into the value over a period of three years.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benefit obligations and plan assets for the defined benefit and retiree health care benefit plans were as follows:</w:t>
      </w:r>
    </w:p>
    <w:p>
      <w:pPr>
        <w:spacing w:after="0" w:line="166"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right"/>
              <w:ind w:right="213"/>
              <w:spacing w:after="0"/>
              <w:rPr>
                <w:sz w:val="20"/>
                <w:szCs w:val="20"/>
                <w:color w:val="auto"/>
              </w:rPr>
            </w:pPr>
            <w:r>
              <w:rPr>
                <w:rFonts w:ascii="Arial" w:cs="Arial" w:eastAsia="Arial" w:hAnsi="Arial"/>
                <w:sz w:val="14"/>
                <w:szCs w:val="14"/>
                <w:b w:val="1"/>
                <w:bCs w:val="1"/>
                <w:color w:val="939598"/>
                <w:w w:val="99"/>
              </w:rPr>
              <w:t>U.S. DEFINED</w:t>
            </w:r>
          </w:p>
        </w:tc>
        <w:tc>
          <w:tcPr>
            <w:tcW w:w="180" w:type="dxa"/>
            <w:vAlign w:val="bottom"/>
          </w:tcPr>
          <w:p>
            <w:pPr>
              <w:spacing w:after="0"/>
              <w:rPr>
                <w:sz w:val="14"/>
                <w:szCs w:val="14"/>
                <w:color w:val="auto"/>
              </w:rPr>
            </w:pPr>
          </w:p>
        </w:tc>
        <w:tc>
          <w:tcPr>
            <w:tcW w:w="1240" w:type="dxa"/>
            <w:vAlign w:val="bottom"/>
            <w:gridSpan w:val="2"/>
          </w:tcPr>
          <w:p>
            <w:pPr>
              <w:jc w:val="right"/>
              <w:ind w:right="213"/>
              <w:spacing w:after="0"/>
              <w:rPr>
                <w:sz w:val="20"/>
                <w:szCs w:val="20"/>
                <w:color w:val="auto"/>
              </w:rPr>
            </w:pPr>
            <w:r>
              <w:rPr>
                <w:rFonts w:ascii="Arial" w:cs="Arial" w:eastAsia="Arial" w:hAnsi="Arial"/>
                <w:sz w:val="14"/>
                <w:szCs w:val="14"/>
                <w:b w:val="1"/>
                <w:bCs w:val="1"/>
                <w:color w:val="939598"/>
              </w:rPr>
              <w:t>U.S. RETIREE</w:t>
            </w:r>
          </w:p>
        </w:tc>
        <w:tc>
          <w:tcPr>
            <w:tcW w:w="220" w:type="dxa"/>
            <w:vAlign w:val="bottom"/>
          </w:tcPr>
          <w:p>
            <w:pPr>
              <w:spacing w:after="0"/>
              <w:rPr>
                <w:sz w:val="14"/>
                <w:szCs w:val="14"/>
                <w:color w:val="auto"/>
              </w:rPr>
            </w:pPr>
          </w:p>
        </w:tc>
        <w:tc>
          <w:tcPr>
            <w:tcW w:w="16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939598"/>
              </w:rPr>
              <w:t>NON-U.S. DEFINED</w:t>
            </w:r>
          </w:p>
        </w:tc>
        <w:tc>
          <w:tcPr>
            <w:tcW w:w="0" w:type="dxa"/>
            <w:vAlign w:val="bottom"/>
          </w:tcPr>
          <w:p>
            <w:pPr>
              <w:spacing w:after="0"/>
              <w:rPr>
                <w:sz w:val="1"/>
                <w:szCs w:val="1"/>
                <w:color w:val="auto"/>
              </w:rPr>
            </w:pPr>
          </w:p>
        </w:tc>
      </w:tr>
      <w:tr>
        <w:trPr>
          <w:trHeight w:val="178"/>
        </w:trPr>
        <w:tc>
          <w:tcPr>
            <w:tcW w:w="6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tcPr>
          <w:p>
            <w:pPr>
              <w:jc w:val="right"/>
              <w:ind w:right="373"/>
              <w:spacing w:after="0"/>
              <w:rPr>
                <w:sz w:val="20"/>
                <w:szCs w:val="20"/>
                <w:color w:val="auto"/>
              </w:rPr>
            </w:pPr>
            <w:r>
              <w:rPr>
                <w:rFonts w:ascii="Arial" w:cs="Arial" w:eastAsia="Arial" w:hAnsi="Arial"/>
                <w:sz w:val="14"/>
                <w:szCs w:val="14"/>
                <w:b w:val="1"/>
                <w:bCs w:val="1"/>
                <w:color w:val="939598"/>
              </w:rPr>
              <w:t>BENEFIT</w:t>
            </w:r>
          </w:p>
        </w:tc>
        <w:tc>
          <w:tcPr>
            <w:tcW w:w="180" w:type="dxa"/>
            <w:vAlign w:val="bottom"/>
          </w:tcPr>
          <w:p>
            <w:pPr>
              <w:spacing w:after="0"/>
              <w:rPr>
                <w:sz w:val="15"/>
                <w:szCs w:val="15"/>
                <w:color w:val="auto"/>
              </w:rPr>
            </w:pPr>
          </w:p>
        </w:tc>
        <w:tc>
          <w:tcPr>
            <w:tcW w:w="1240" w:type="dxa"/>
            <w:vAlign w:val="bottom"/>
            <w:gridSpan w:val="2"/>
          </w:tcPr>
          <w:p>
            <w:pPr>
              <w:jc w:val="right"/>
              <w:ind w:right="173"/>
              <w:spacing w:after="0"/>
              <w:rPr>
                <w:sz w:val="20"/>
                <w:szCs w:val="20"/>
                <w:color w:val="auto"/>
              </w:rPr>
            </w:pPr>
            <w:r>
              <w:rPr>
                <w:rFonts w:ascii="Arial" w:cs="Arial" w:eastAsia="Arial" w:hAnsi="Arial"/>
                <w:sz w:val="14"/>
                <w:szCs w:val="14"/>
                <w:b w:val="1"/>
                <w:bCs w:val="1"/>
                <w:color w:val="939598"/>
                <w:w w:val="95"/>
              </w:rPr>
              <w:t>HEALTH CARE</w:t>
            </w:r>
          </w:p>
        </w:tc>
        <w:tc>
          <w:tcPr>
            <w:tcW w:w="22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939598"/>
              </w:rPr>
              <w:t>BENEFIT</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6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120" w:type="dxa"/>
            <w:vAlign w:val="bottom"/>
            <w:shd w:val="clear" w:color="auto" w:fill="939598"/>
          </w:tcPr>
          <w:p>
            <w:pPr>
              <w:spacing w:after="0"/>
              <w:rPr>
                <w:sz w:val="12"/>
                <w:szCs w:val="12"/>
                <w:color w:val="auto"/>
              </w:rPr>
            </w:pPr>
          </w:p>
        </w:tc>
        <w:tc>
          <w:tcPr>
            <w:tcW w:w="600" w:type="dxa"/>
            <w:vAlign w:val="bottom"/>
            <w:gridSpan w:val="3"/>
            <w:shd w:val="clear" w:color="auto" w:fill="939598"/>
          </w:tcPr>
          <w:p>
            <w:pPr>
              <w:jc w:val="right"/>
              <w:ind w:right="134"/>
              <w:spacing w:after="0" w:line="149" w:lineRule="exact"/>
              <w:rPr>
                <w:sz w:val="20"/>
                <w:szCs w:val="20"/>
                <w:color w:val="auto"/>
              </w:rPr>
            </w:pPr>
            <w:r>
              <w:rPr>
                <w:rFonts w:ascii="Arial" w:cs="Arial" w:eastAsia="Arial" w:hAnsi="Arial"/>
                <w:sz w:val="14"/>
                <w:szCs w:val="14"/>
                <w:b w:val="1"/>
                <w:bCs w:val="1"/>
                <w:color w:val="FFFFFF"/>
              </w:rPr>
              <w:t>2006</w:t>
            </w:r>
          </w:p>
        </w:tc>
        <w:tc>
          <w:tcPr>
            <w:tcW w:w="200" w:type="dxa"/>
            <w:vAlign w:val="bottom"/>
            <w:shd w:val="clear" w:color="auto" w:fill="939598"/>
          </w:tcPr>
          <w:p>
            <w:pPr>
              <w:spacing w:after="0"/>
              <w:rPr>
                <w:sz w:val="12"/>
                <w:szCs w:val="12"/>
                <w:color w:val="auto"/>
              </w:rPr>
            </w:pPr>
          </w:p>
        </w:tc>
        <w:tc>
          <w:tcPr>
            <w:tcW w:w="540" w:type="dxa"/>
            <w:vAlign w:val="bottom"/>
            <w:shd w:val="clear" w:color="auto" w:fill="939598"/>
          </w:tcPr>
          <w:p>
            <w:pPr>
              <w:jc w:val="right"/>
              <w:ind w:right="153"/>
              <w:spacing w:after="0" w:line="149" w:lineRule="exact"/>
              <w:rPr>
                <w:sz w:val="20"/>
                <w:szCs w:val="20"/>
                <w:color w:val="auto"/>
              </w:rPr>
            </w:pPr>
            <w:r>
              <w:rPr>
                <w:rFonts w:ascii="Arial" w:cs="Arial" w:eastAsia="Arial" w:hAnsi="Arial"/>
                <w:sz w:val="14"/>
                <w:szCs w:val="14"/>
                <w:b w:val="1"/>
                <w:bCs w:val="1"/>
                <w:color w:val="FFFFFF"/>
                <w:w w:val="89"/>
              </w:rPr>
              <w:t>2005</w:t>
            </w:r>
          </w:p>
        </w:tc>
        <w:tc>
          <w:tcPr>
            <w:tcW w:w="180" w:type="dxa"/>
            <w:vAlign w:val="bottom"/>
            <w:shd w:val="clear" w:color="auto" w:fill="939598"/>
          </w:tcPr>
          <w:p>
            <w:pPr>
              <w:spacing w:after="0"/>
              <w:rPr>
                <w:sz w:val="12"/>
                <w:szCs w:val="12"/>
                <w:color w:val="auto"/>
              </w:rPr>
            </w:pPr>
          </w:p>
        </w:tc>
        <w:tc>
          <w:tcPr>
            <w:tcW w:w="540" w:type="dxa"/>
            <w:vAlign w:val="bottom"/>
            <w:shd w:val="clear" w:color="auto" w:fill="939598"/>
          </w:tcPr>
          <w:p>
            <w:pPr>
              <w:jc w:val="right"/>
              <w:ind w:right="155"/>
              <w:spacing w:after="0" w:line="149" w:lineRule="exact"/>
              <w:rPr>
                <w:sz w:val="20"/>
                <w:szCs w:val="20"/>
                <w:color w:val="auto"/>
              </w:rPr>
            </w:pPr>
            <w:r>
              <w:rPr>
                <w:rFonts w:ascii="Arial" w:cs="Arial" w:eastAsia="Arial" w:hAnsi="Arial"/>
                <w:sz w:val="14"/>
                <w:szCs w:val="14"/>
                <w:b w:val="1"/>
                <w:bCs w:val="1"/>
                <w:color w:val="FFFFFF"/>
                <w:w w:val="89"/>
              </w:rPr>
              <w:t>2006</w:t>
            </w:r>
          </w:p>
        </w:tc>
        <w:tc>
          <w:tcPr>
            <w:tcW w:w="700" w:type="dxa"/>
            <w:vAlign w:val="bottom"/>
            <w:shd w:val="clear" w:color="auto" w:fill="939598"/>
          </w:tcPr>
          <w:p>
            <w:pPr>
              <w:jc w:val="right"/>
              <w:ind w:right="133"/>
              <w:spacing w:after="0" w:line="149" w:lineRule="exact"/>
              <w:rPr>
                <w:sz w:val="20"/>
                <w:szCs w:val="20"/>
                <w:color w:val="auto"/>
              </w:rPr>
            </w:pPr>
            <w:r>
              <w:rPr>
                <w:rFonts w:ascii="Arial" w:cs="Arial" w:eastAsia="Arial" w:hAnsi="Arial"/>
                <w:sz w:val="14"/>
                <w:szCs w:val="14"/>
                <w:b w:val="1"/>
                <w:bCs w:val="1"/>
                <w:color w:val="FFFFFF"/>
              </w:rPr>
              <w:t>2005</w:t>
            </w:r>
          </w:p>
        </w:tc>
        <w:tc>
          <w:tcPr>
            <w:tcW w:w="220" w:type="dxa"/>
            <w:vAlign w:val="bottom"/>
            <w:shd w:val="clear" w:color="auto" w:fill="939598"/>
          </w:tcPr>
          <w:p>
            <w:pPr>
              <w:spacing w:after="0"/>
              <w:rPr>
                <w:sz w:val="12"/>
                <w:szCs w:val="12"/>
                <w:color w:val="auto"/>
              </w:rPr>
            </w:pPr>
          </w:p>
        </w:tc>
        <w:tc>
          <w:tcPr>
            <w:tcW w:w="820" w:type="dxa"/>
            <w:vAlign w:val="bottom"/>
            <w:shd w:val="clear" w:color="auto" w:fill="939598"/>
          </w:tcPr>
          <w:p>
            <w:pPr>
              <w:jc w:val="right"/>
              <w:ind w:right="395"/>
              <w:spacing w:after="0" w:line="149" w:lineRule="exact"/>
              <w:rPr>
                <w:sz w:val="20"/>
                <w:szCs w:val="20"/>
                <w:color w:val="auto"/>
              </w:rPr>
            </w:pPr>
            <w:r>
              <w:rPr>
                <w:rFonts w:ascii="Arial" w:cs="Arial" w:eastAsia="Arial" w:hAnsi="Arial"/>
                <w:sz w:val="14"/>
                <w:szCs w:val="14"/>
                <w:b w:val="1"/>
                <w:bCs w:val="1"/>
                <w:color w:val="FFFFFF"/>
              </w:rPr>
              <w:t>2006</w:t>
            </w:r>
          </w:p>
        </w:tc>
        <w:tc>
          <w:tcPr>
            <w:tcW w:w="220" w:type="dxa"/>
            <w:vAlign w:val="bottom"/>
            <w:shd w:val="clear" w:color="auto" w:fill="939598"/>
          </w:tcPr>
          <w:p>
            <w:pPr>
              <w:spacing w:after="0"/>
              <w:rPr>
                <w:sz w:val="12"/>
                <w:szCs w:val="12"/>
                <w:color w:val="auto"/>
              </w:rPr>
            </w:pPr>
          </w:p>
        </w:tc>
        <w:tc>
          <w:tcPr>
            <w:tcW w:w="500" w:type="dxa"/>
            <w:vAlign w:val="bottom"/>
            <w:shd w:val="clear" w:color="auto" w:fill="939598"/>
          </w:tcPr>
          <w:p>
            <w:pPr>
              <w:jc w:val="right"/>
              <w:ind w:right="73"/>
              <w:spacing w:after="0" w:line="149" w:lineRule="exact"/>
              <w:rPr>
                <w:sz w:val="20"/>
                <w:szCs w:val="20"/>
                <w:color w:val="auto"/>
              </w:rPr>
            </w:pPr>
            <w:r>
              <w:rPr>
                <w:rFonts w:ascii="Arial" w:cs="Arial" w:eastAsia="Arial" w:hAnsi="Arial"/>
                <w:sz w:val="14"/>
                <w:szCs w:val="14"/>
                <w:b w:val="1"/>
                <w:bCs w:val="1"/>
                <w:color w:val="FFFFFF"/>
              </w:rPr>
              <w:t>2005</w:t>
            </w:r>
          </w:p>
        </w:tc>
        <w:tc>
          <w:tcPr>
            <w:tcW w:w="20" w:type="dxa"/>
            <w:vAlign w:val="bottom"/>
            <w:shd w:val="clear" w:color="auto" w:fill="939598"/>
          </w:tcPr>
          <w:p>
            <w:pPr>
              <w:spacing w:after="0"/>
              <w:rPr>
                <w:sz w:val="12"/>
                <w:szCs w:val="12"/>
                <w:color w:val="auto"/>
              </w:rPr>
            </w:pPr>
          </w:p>
        </w:tc>
        <w:tc>
          <w:tcPr>
            <w:tcW w:w="60" w:type="dxa"/>
            <w:vAlign w:val="bottom"/>
            <w:shd w:val="clear" w:color="auto" w:fill="939598"/>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Obligation and funded status of plans:</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Benefit obligation at beginning of year</w:t>
            </w:r>
          </w:p>
        </w:tc>
        <w:tc>
          <w:tcPr>
            <w:tcW w:w="100" w:type="dxa"/>
            <w:vAlign w:val="bottom"/>
            <w:gridSpan w:val="2"/>
            <w:shd w:val="clear" w:color="auto" w:fill="E6E7E7"/>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E6E7E7"/>
          </w:tcPr>
          <w:p>
            <w:pPr>
              <w:jc w:val="right"/>
              <w:ind w:right="54"/>
              <w:spacing w:after="0" w:line="202" w:lineRule="exact"/>
              <w:rPr>
                <w:sz w:val="20"/>
                <w:szCs w:val="20"/>
                <w:color w:val="auto"/>
              </w:rPr>
            </w:pPr>
            <w:r>
              <w:rPr>
                <w:rFonts w:ascii="Arial" w:cs="Arial" w:eastAsia="Arial" w:hAnsi="Arial"/>
                <w:sz w:val="18"/>
                <w:szCs w:val="18"/>
                <w:b w:val="1"/>
                <w:bCs w:val="1"/>
                <w:color w:val="auto"/>
              </w:rPr>
              <w:t>798</w:t>
            </w:r>
          </w:p>
        </w:tc>
        <w:tc>
          <w:tcPr>
            <w:tcW w:w="2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6E7E7"/>
          </w:tcPr>
          <w:p>
            <w:pPr>
              <w:jc w:val="right"/>
              <w:ind w:right="53"/>
              <w:spacing w:after="0" w:line="202" w:lineRule="exact"/>
              <w:rPr>
                <w:sz w:val="20"/>
                <w:szCs w:val="20"/>
                <w:color w:val="auto"/>
              </w:rPr>
            </w:pPr>
            <w:r>
              <w:rPr>
                <w:rFonts w:ascii="Arial" w:cs="Arial" w:eastAsia="Arial" w:hAnsi="Arial"/>
                <w:sz w:val="18"/>
                <w:szCs w:val="18"/>
                <w:color w:val="auto"/>
              </w:rPr>
              <w:t>740</w:t>
            </w:r>
          </w:p>
        </w:tc>
        <w:tc>
          <w:tcPr>
            <w:tcW w:w="1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E6E7E7"/>
          </w:tcPr>
          <w:p>
            <w:pPr>
              <w:jc w:val="right"/>
              <w:ind w:right="55"/>
              <w:spacing w:after="0" w:line="202" w:lineRule="exact"/>
              <w:rPr>
                <w:sz w:val="20"/>
                <w:szCs w:val="20"/>
                <w:color w:val="auto"/>
              </w:rPr>
            </w:pPr>
            <w:r>
              <w:rPr>
                <w:rFonts w:ascii="Arial" w:cs="Arial" w:eastAsia="Arial" w:hAnsi="Arial"/>
                <w:sz w:val="18"/>
                <w:szCs w:val="18"/>
                <w:b w:val="1"/>
                <w:bCs w:val="1"/>
                <w:color w:val="auto"/>
              </w:rPr>
              <w:t>442</w:t>
            </w:r>
          </w:p>
        </w:tc>
        <w:tc>
          <w:tcPr>
            <w:tcW w:w="700" w:type="dxa"/>
            <w:vAlign w:val="bottom"/>
            <w:shd w:val="clear" w:color="auto" w:fill="E6E7E7"/>
          </w:tcPr>
          <w:p>
            <w:pPr>
              <w:jc w:val="right"/>
              <w:ind w:right="53"/>
              <w:spacing w:after="0" w:line="202" w:lineRule="exact"/>
              <w:rPr>
                <w:sz w:val="20"/>
                <w:szCs w:val="20"/>
                <w:color w:val="auto"/>
              </w:rPr>
            </w:pPr>
            <w:r>
              <w:rPr>
                <w:rFonts w:ascii="Arial" w:cs="Arial" w:eastAsia="Arial" w:hAnsi="Arial"/>
                <w:sz w:val="18"/>
                <w:szCs w:val="18"/>
                <w:color w:val="auto"/>
              </w:rPr>
              <w:t>$ 420</w:t>
            </w:r>
          </w:p>
        </w:tc>
        <w:tc>
          <w:tcPr>
            <w:tcW w:w="2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6E7E7"/>
          </w:tcPr>
          <w:p>
            <w:pPr>
              <w:jc w:val="right"/>
              <w:ind w:right="215"/>
              <w:spacing w:after="0" w:line="202" w:lineRule="exact"/>
              <w:rPr>
                <w:sz w:val="20"/>
                <w:szCs w:val="20"/>
                <w:color w:val="auto"/>
              </w:rPr>
            </w:pPr>
            <w:r>
              <w:rPr>
                <w:rFonts w:ascii="Arial" w:cs="Arial" w:eastAsia="Arial" w:hAnsi="Arial"/>
                <w:sz w:val="18"/>
                <w:szCs w:val="18"/>
                <w:b w:val="1"/>
                <w:bCs w:val="1"/>
                <w:color w:val="auto"/>
              </w:rPr>
              <w:t>1,603</w:t>
            </w:r>
          </w:p>
        </w:tc>
        <w:tc>
          <w:tcPr>
            <w:tcW w:w="2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1,571</w:t>
            </w:r>
          </w:p>
        </w:tc>
        <w:tc>
          <w:tcPr>
            <w:tcW w:w="2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420"/>
              <w:spacing w:after="0" w:line="202" w:lineRule="exact"/>
              <w:rPr>
                <w:sz w:val="20"/>
                <w:szCs w:val="20"/>
                <w:color w:val="auto"/>
              </w:rPr>
            </w:pPr>
            <w:r>
              <w:rPr>
                <w:rFonts w:ascii="Arial" w:cs="Arial" w:eastAsia="Arial" w:hAnsi="Arial"/>
                <w:sz w:val="18"/>
                <w:szCs w:val="18"/>
                <w:color w:val="auto"/>
              </w:rPr>
              <w:t>Service cost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26</w:t>
            </w:r>
          </w:p>
        </w:tc>
        <w:tc>
          <w:tcPr>
            <w:tcW w:w="200" w:type="dxa"/>
            <w:vAlign w:val="bottom"/>
          </w:tcPr>
          <w:p>
            <w:pPr>
              <w:spacing w:after="0"/>
              <w:rPr>
                <w:sz w:val="17"/>
                <w:szCs w:val="17"/>
                <w:color w:val="auto"/>
              </w:rPr>
            </w:pPr>
          </w:p>
        </w:tc>
        <w:tc>
          <w:tcPr>
            <w:tcW w:w="5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27</w:t>
            </w:r>
          </w:p>
        </w:tc>
        <w:tc>
          <w:tcPr>
            <w:tcW w:w="180" w:type="dxa"/>
            <w:vAlign w:val="bottom"/>
          </w:tcPr>
          <w:p>
            <w:pPr>
              <w:spacing w:after="0"/>
              <w:rPr>
                <w:sz w:val="17"/>
                <w:szCs w:val="17"/>
                <w:color w:val="auto"/>
              </w:rPr>
            </w:pPr>
          </w:p>
        </w:tc>
        <w:tc>
          <w:tcPr>
            <w:tcW w:w="54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4</w:t>
            </w:r>
          </w:p>
        </w:tc>
        <w:tc>
          <w:tcPr>
            <w:tcW w:w="7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820" w:type="dxa"/>
            <w:vAlign w:val="bottom"/>
          </w:tcPr>
          <w:p>
            <w:pPr>
              <w:jc w:val="right"/>
              <w:ind w:right="215"/>
              <w:spacing w:after="0" w:line="202" w:lineRule="exact"/>
              <w:rPr>
                <w:sz w:val="20"/>
                <w:szCs w:val="20"/>
                <w:color w:val="auto"/>
              </w:rPr>
            </w:pPr>
            <w:r>
              <w:rPr>
                <w:rFonts w:ascii="Arial" w:cs="Arial" w:eastAsia="Arial" w:hAnsi="Arial"/>
                <w:sz w:val="18"/>
                <w:szCs w:val="18"/>
                <w:b w:val="1"/>
                <w:bCs w:val="1"/>
                <w:color w:val="auto"/>
              </w:rPr>
              <w:t>44</w:t>
            </w:r>
          </w:p>
        </w:tc>
        <w:tc>
          <w:tcPr>
            <w:tcW w:w="2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Interest cost</w:t>
            </w:r>
          </w:p>
        </w:tc>
        <w:tc>
          <w:tcPr>
            <w:tcW w:w="20" w:type="dxa"/>
            <w:vAlign w:val="bottom"/>
            <w:shd w:val="clear" w:color="auto" w:fill="E6E7E7"/>
          </w:tcPr>
          <w:p>
            <w:pPr>
              <w:spacing w:after="0"/>
              <w:rPr>
                <w:sz w:val="17"/>
                <w:szCs w:val="17"/>
                <w:color w:val="auto"/>
              </w:rPr>
            </w:pPr>
          </w:p>
        </w:tc>
        <w:tc>
          <w:tcPr>
            <w:tcW w:w="80" w:type="dxa"/>
            <w:vAlign w:val="bottom"/>
            <w:shd w:val="clear" w:color="auto" w:fill="E6E7E7"/>
          </w:tcPr>
          <w:p>
            <w:pPr>
              <w:spacing w:after="0"/>
              <w:rPr>
                <w:sz w:val="17"/>
                <w:szCs w:val="17"/>
                <w:color w:val="auto"/>
              </w:rPr>
            </w:pPr>
          </w:p>
        </w:tc>
        <w:tc>
          <w:tcPr>
            <w:tcW w:w="500" w:type="dxa"/>
            <w:vAlign w:val="bottom"/>
            <w:shd w:val="clear" w:color="auto" w:fill="E6E7E7"/>
          </w:tcPr>
          <w:p>
            <w:pPr>
              <w:jc w:val="right"/>
              <w:ind w:right="54"/>
              <w:spacing w:after="0" w:line="202" w:lineRule="exact"/>
              <w:rPr>
                <w:sz w:val="20"/>
                <w:szCs w:val="20"/>
                <w:color w:val="auto"/>
              </w:rPr>
            </w:pPr>
            <w:r>
              <w:rPr>
                <w:rFonts w:ascii="Arial" w:cs="Arial" w:eastAsia="Arial" w:hAnsi="Arial"/>
                <w:sz w:val="18"/>
                <w:szCs w:val="18"/>
                <w:b w:val="1"/>
                <w:bCs w:val="1"/>
                <w:color w:val="auto"/>
              </w:rPr>
              <w:t>45</w:t>
            </w:r>
          </w:p>
        </w:tc>
        <w:tc>
          <w:tcPr>
            <w:tcW w:w="200" w:type="dxa"/>
            <w:vAlign w:val="bottom"/>
            <w:shd w:val="clear" w:color="auto" w:fill="E6E7E7"/>
          </w:tcPr>
          <w:p>
            <w:pPr>
              <w:spacing w:after="0"/>
              <w:rPr>
                <w:sz w:val="17"/>
                <w:szCs w:val="17"/>
                <w:color w:val="auto"/>
              </w:rPr>
            </w:pPr>
          </w:p>
        </w:tc>
        <w:tc>
          <w:tcPr>
            <w:tcW w:w="540" w:type="dxa"/>
            <w:vAlign w:val="bottom"/>
            <w:shd w:val="clear" w:color="auto" w:fill="E6E7E7"/>
          </w:tcPr>
          <w:p>
            <w:pPr>
              <w:jc w:val="right"/>
              <w:ind w:right="53"/>
              <w:spacing w:after="0" w:line="202" w:lineRule="exact"/>
              <w:rPr>
                <w:sz w:val="20"/>
                <w:szCs w:val="20"/>
                <w:color w:val="auto"/>
              </w:rPr>
            </w:pPr>
            <w:r>
              <w:rPr>
                <w:rFonts w:ascii="Arial" w:cs="Arial" w:eastAsia="Arial" w:hAnsi="Arial"/>
                <w:sz w:val="18"/>
                <w:szCs w:val="18"/>
                <w:color w:val="auto"/>
              </w:rPr>
              <w:t>40</w:t>
            </w:r>
          </w:p>
        </w:tc>
        <w:tc>
          <w:tcPr>
            <w:tcW w:w="180" w:type="dxa"/>
            <w:vAlign w:val="bottom"/>
            <w:shd w:val="clear" w:color="auto" w:fill="E6E7E7"/>
          </w:tcPr>
          <w:p>
            <w:pPr>
              <w:spacing w:after="0"/>
              <w:rPr>
                <w:sz w:val="17"/>
                <w:szCs w:val="17"/>
                <w:color w:val="auto"/>
              </w:rPr>
            </w:pPr>
          </w:p>
        </w:tc>
        <w:tc>
          <w:tcPr>
            <w:tcW w:w="540" w:type="dxa"/>
            <w:vAlign w:val="bottom"/>
            <w:shd w:val="clear" w:color="auto" w:fill="E6E7E7"/>
          </w:tcPr>
          <w:p>
            <w:pPr>
              <w:jc w:val="right"/>
              <w:ind w:right="55"/>
              <w:spacing w:after="0" w:line="202" w:lineRule="exact"/>
              <w:rPr>
                <w:sz w:val="20"/>
                <w:szCs w:val="20"/>
                <w:color w:val="auto"/>
              </w:rPr>
            </w:pPr>
            <w:r>
              <w:rPr>
                <w:rFonts w:ascii="Arial" w:cs="Arial" w:eastAsia="Arial" w:hAnsi="Arial"/>
                <w:sz w:val="18"/>
                <w:szCs w:val="18"/>
                <w:b w:val="1"/>
                <w:bCs w:val="1"/>
                <w:color w:val="auto"/>
              </w:rPr>
              <w:t>25</w:t>
            </w:r>
          </w:p>
        </w:tc>
        <w:tc>
          <w:tcPr>
            <w:tcW w:w="700" w:type="dxa"/>
            <w:vAlign w:val="bottom"/>
            <w:shd w:val="clear" w:color="auto" w:fill="E6E7E7"/>
          </w:tcPr>
          <w:p>
            <w:pPr>
              <w:jc w:val="right"/>
              <w:ind w:right="53"/>
              <w:spacing w:after="0" w:line="202" w:lineRule="exact"/>
              <w:rPr>
                <w:sz w:val="20"/>
                <w:szCs w:val="20"/>
                <w:color w:val="auto"/>
              </w:rPr>
            </w:pPr>
            <w:r>
              <w:rPr>
                <w:rFonts w:ascii="Arial" w:cs="Arial" w:eastAsia="Arial" w:hAnsi="Arial"/>
                <w:sz w:val="18"/>
                <w:szCs w:val="18"/>
                <w:color w:val="auto"/>
              </w:rPr>
              <w:t>22</w:t>
            </w:r>
          </w:p>
        </w:tc>
        <w:tc>
          <w:tcPr>
            <w:tcW w:w="220" w:type="dxa"/>
            <w:vAlign w:val="bottom"/>
            <w:shd w:val="clear" w:color="auto" w:fill="E6E7E7"/>
          </w:tcPr>
          <w:p>
            <w:pPr>
              <w:spacing w:after="0"/>
              <w:rPr>
                <w:sz w:val="17"/>
                <w:szCs w:val="17"/>
                <w:color w:val="auto"/>
              </w:rPr>
            </w:pPr>
          </w:p>
        </w:tc>
        <w:tc>
          <w:tcPr>
            <w:tcW w:w="820" w:type="dxa"/>
            <w:vAlign w:val="bottom"/>
            <w:shd w:val="clear" w:color="auto" w:fill="E6E7E7"/>
          </w:tcPr>
          <w:p>
            <w:pPr>
              <w:jc w:val="right"/>
              <w:ind w:right="215"/>
              <w:spacing w:after="0" w:line="202" w:lineRule="exact"/>
              <w:rPr>
                <w:sz w:val="20"/>
                <w:szCs w:val="20"/>
                <w:color w:val="auto"/>
              </w:rPr>
            </w:pPr>
            <w:r>
              <w:rPr>
                <w:rFonts w:ascii="Arial" w:cs="Arial" w:eastAsia="Arial" w:hAnsi="Arial"/>
                <w:sz w:val="18"/>
                <w:szCs w:val="18"/>
                <w:b w:val="1"/>
                <w:bCs w:val="1"/>
                <w:color w:val="auto"/>
              </w:rPr>
              <w:t>46</w:t>
            </w:r>
          </w:p>
        </w:tc>
        <w:tc>
          <w:tcPr>
            <w:tcW w:w="220" w:type="dxa"/>
            <w:vAlign w:val="bottom"/>
            <w:shd w:val="clear" w:color="auto" w:fill="E6E7E7"/>
          </w:tcPr>
          <w:p>
            <w:pPr>
              <w:spacing w:after="0"/>
              <w:rPr>
                <w:sz w:val="17"/>
                <w:szCs w:val="17"/>
                <w:color w:val="auto"/>
              </w:rPr>
            </w:pPr>
          </w:p>
        </w:tc>
        <w:tc>
          <w:tcPr>
            <w:tcW w:w="5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46</w:t>
            </w:r>
          </w:p>
        </w:tc>
        <w:tc>
          <w:tcPr>
            <w:tcW w:w="2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420"/>
              <w:spacing w:after="0" w:line="202" w:lineRule="exact"/>
              <w:rPr>
                <w:sz w:val="20"/>
                <w:szCs w:val="20"/>
                <w:color w:val="auto"/>
              </w:rPr>
            </w:pPr>
            <w:r>
              <w:rPr>
                <w:rFonts w:ascii="Arial" w:cs="Arial" w:eastAsia="Arial" w:hAnsi="Arial"/>
                <w:sz w:val="18"/>
                <w:szCs w:val="18"/>
                <w:color w:val="auto"/>
              </w:rPr>
              <w:t>Change in measurement date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5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20" w:type="dxa"/>
            <w:vAlign w:val="bottom"/>
          </w:tcPr>
          <w:p>
            <w:pPr>
              <w:jc w:val="right"/>
              <w:ind w:right="215"/>
              <w:spacing w:after="0" w:line="202" w:lineRule="exact"/>
              <w:rPr>
                <w:sz w:val="20"/>
                <w:szCs w:val="20"/>
                <w:color w:val="auto"/>
              </w:rPr>
            </w:pPr>
            <w:r>
              <w:rPr>
                <w:rFonts w:ascii="Arial" w:cs="Arial" w:eastAsia="Arial" w:hAnsi="Arial"/>
                <w:sz w:val="18"/>
                <w:szCs w:val="18"/>
                <w:b w:val="1"/>
                <w:bCs w:val="1"/>
                <w:color w:val="auto"/>
              </w:rPr>
              <w:t>22</w:t>
            </w:r>
          </w:p>
        </w:tc>
        <w:tc>
          <w:tcPr>
            <w:tcW w:w="220" w:type="dxa"/>
            <w:vAlign w:val="bottom"/>
          </w:tcPr>
          <w:p>
            <w:pPr>
              <w:spacing w:after="0"/>
              <w:rPr>
                <w:sz w:val="17"/>
                <w:szCs w:val="17"/>
                <w:color w:val="auto"/>
              </w:rPr>
            </w:pPr>
          </w:p>
        </w:tc>
        <w:tc>
          <w:tcPr>
            <w:tcW w:w="5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2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Participant contributions</w:t>
            </w:r>
          </w:p>
        </w:tc>
        <w:tc>
          <w:tcPr>
            <w:tcW w:w="20" w:type="dxa"/>
            <w:vAlign w:val="bottom"/>
            <w:shd w:val="clear" w:color="auto" w:fill="E6E7E7"/>
          </w:tcPr>
          <w:p>
            <w:pPr>
              <w:spacing w:after="0"/>
              <w:rPr>
                <w:sz w:val="17"/>
                <w:szCs w:val="17"/>
                <w:color w:val="auto"/>
              </w:rPr>
            </w:pPr>
          </w:p>
        </w:tc>
        <w:tc>
          <w:tcPr>
            <w:tcW w:w="80" w:type="dxa"/>
            <w:vAlign w:val="bottom"/>
            <w:shd w:val="clear" w:color="auto" w:fill="E6E7E7"/>
          </w:tcPr>
          <w:p>
            <w:pPr>
              <w:spacing w:after="0"/>
              <w:rPr>
                <w:sz w:val="17"/>
                <w:szCs w:val="17"/>
                <w:color w:val="auto"/>
              </w:rPr>
            </w:pPr>
          </w:p>
        </w:tc>
        <w:tc>
          <w:tcPr>
            <w:tcW w:w="500" w:type="dxa"/>
            <w:vAlign w:val="bottom"/>
            <w:shd w:val="clear" w:color="auto" w:fill="E6E7E7"/>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E6E7E7"/>
          </w:tcPr>
          <w:p>
            <w:pPr>
              <w:spacing w:after="0"/>
              <w:rPr>
                <w:sz w:val="17"/>
                <w:szCs w:val="17"/>
                <w:color w:val="auto"/>
              </w:rPr>
            </w:pPr>
          </w:p>
        </w:tc>
        <w:tc>
          <w:tcPr>
            <w:tcW w:w="540" w:type="dxa"/>
            <w:vAlign w:val="bottom"/>
            <w:shd w:val="clear" w:color="auto" w:fill="E6E7E7"/>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6E7E7"/>
          </w:tcPr>
          <w:p>
            <w:pPr>
              <w:spacing w:after="0"/>
              <w:rPr>
                <w:sz w:val="17"/>
                <w:szCs w:val="17"/>
                <w:color w:val="auto"/>
              </w:rPr>
            </w:pPr>
          </w:p>
        </w:tc>
        <w:tc>
          <w:tcPr>
            <w:tcW w:w="540" w:type="dxa"/>
            <w:vAlign w:val="bottom"/>
            <w:shd w:val="clear" w:color="auto" w:fill="E6E7E7"/>
          </w:tcPr>
          <w:p>
            <w:pPr>
              <w:jc w:val="right"/>
              <w:ind w:right="55"/>
              <w:spacing w:after="0" w:line="202" w:lineRule="exact"/>
              <w:rPr>
                <w:sz w:val="20"/>
                <w:szCs w:val="20"/>
                <w:color w:val="auto"/>
              </w:rPr>
            </w:pPr>
            <w:r>
              <w:rPr>
                <w:rFonts w:ascii="Arial" w:cs="Arial" w:eastAsia="Arial" w:hAnsi="Arial"/>
                <w:sz w:val="18"/>
                <w:szCs w:val="18"/>
                <w:b w:val="1"/>
                <w:bCs w:val="1"/>
                <w:color w:val="auto"/>
              </w:rPr>
              <w:t>15</w:t>
            </w:r>
          </w:p>
        </w:tc>
        <w:tc>
          <w:tcPr>
            <w:tcW w:w="700" w:type="dxa"/>
            <w:vAlign w:val="bottom"/>
            <w:shd w:val="clear" w:color="auto" w:fill="E6E7E7"/>
          </w:tcPr>
          <w:p>
            <w:pPr>
              <w:jc w:val="right"/>
              <w:ind w:right="53"/>
              <w:spacing w:after="0" w:line="202" w:lineRule="exact"/>
              <w:rPr>
                <w:sz w:val="20"/>
                <w:szCs w:val="20"/>
                <w:color w:val="auto"/>
              </w:rPr>
            </w:pPr>
            <w:r>
              <w:rPr>
                <w:rFonts w:ascii="Arial" w:cs="Arial" w:eastAsia="Arial" w:hAnsi="Arial"/>
                <w:sz w:val="18"/>
                <w:szCs w:val="18"/>
                <w:color w:val="auto"/>
              </w:rPr>
              <w:t>16</w:t>
            </w:r>
          </w:p>
        </w:tc>
        <w:tc>
          <w:tcPr>
            <w:tcW w:w="220" w:type="dxa"/>
            <w:vAlign w:val="bottom"/>
            <w:shd w:val="clear" w:color="auto" w:fill="E6E7E7"/>
          </w:tcPr>
          <w:p>
            <w:pPr>
              <w:spacing w:after="0"/>
              <w:rPr>
                <w:sz w:val="17"/>
                <w:szCs w:val="17"/>
                <w:color w:val="auto"/>
              </w:rPr>
            </w:pPr>
          </w:p>
        </w:tc>
        <w:tc>
          <w:tcPr>
            <w:tcW w:w="820" w:type="dxa"/>
            <w:vAlign w:val="bottom"/>
            <w:shd w:val="clear" w:color="auto" w:fill="E6E7E7"/>
          </w:tcPr>
          <w:p>
            <w:pPr>
              <w:jc w:val="right"/>
              <w:ind w:right="215"/>
              <w:spacing w:after="0" w:line="202" w:lineRule="exact"/>
              <w:rPr>
                <w:sz w:val="20"/>
                <w:szCs w:val="20"/>
                <w:color w:val="auto"/>
              </w:rPr>
            </w:pPr>
            <w:r>
              <w:rPr>
                <w:rFonts w:ascii="Arial" w:cs="Arial" w:eastAsia="Arial" w:hAnsi="Arial"/>
                <w:sz w:val="18"/>
                <w:szCs w:val="18"/>
                <w:b w:val="1"/>
                <w:bCs w:val="1"/>
                <w:color w:val="auto"/>
              </w:rPr>
              <w:t>4</w:t>
            </w:r>
          </w:p>
        </w:tc>
        <w:tc>
          <w:tcPr>
            <w:tcW w:w="220" w:type="dxa"/>
            <w:vAlign w:val="bottom"/>
            <w:shd w:val="clear" w:color="auto" w:fill="E6E7E7"/>
          </w:tcPr>
          <w:p>
            <w:pPr>
              <w:spacing w:after="0"/>
              <w:rPr>
                <w:sz w:val="17"/>
                <w:szCs w:val="17"/>
                <w:color w:val="auto"/>
              </w:rPr>
            </w:pPr>
          </w:p>
        </w:tc>
        <w:tc>
          <w:tcPr>
            <w:tcW w:w="520" w:type="dxa"/>
            <w:vAlign w:val="bottom"/>
            <w:gridSpan w:val="2"/>
            <w:shd w:val="clear" w:color="auto" w:fill="E6E7E7"/>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420"/>
              <w:spacing w:after="0" w:line="202" w:lineRule="exact"/>
              <w:rPr>
                <w:sz w:val="20"/>
                <w:szCs w:val="20"/>
                <w:color w:val="auto"/>
              </w:rPr>
            </w:pPr>
            <w:r>
              <w:rPr>
                <w:rFonts w:ascii="Arial" w:cs="Arial" w:eastAsia="Arial" w:hAnsi="Arial"/>
                <w:sz w:val="18"/>
                <w:szCs w:val="18"/>
                <w:color w:val="auto"/>
              </w:rPr>
              <w:t>Benefits paid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2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1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(45)</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220" w:type="dxa"/>
            <w:vAlign w:val="bottom"/>
          </w:tcPr>
          <w:p>
            <w:pPr>
              <w:spacing w:after="0"/>
              <w:rPr>
                <w:sz w:val="17"/>
                <w:szCs w:val="17"/>
                <w:color w:val="auto"/>
              </w:rPr>
            </w:pPr>
          </w:p>
        </w:tc>
        <w:tc>
          <w:tcPr>
            <w:tcW w:w="82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(55)</w:t>
            </w:r>
          </w:p>
        </w:tc>
        <w:tc>
          <w:tcPr>
            <w:tcW w:w="220" w:type="dxa"/>
            <w:vAlign w:val="bottom"/>
          </w:tcPr>
          <w:p>
            <w:pPr>
              <w:spacing w:after="0"/>
              <w:rPr>
                <w:sz w:val="17"/>
                <w:szCs w:val="17"/>
                <w:color w:val="auto"/>
              </w:rPr>
            </w:pPr>
          </w:p>
        </w:tc>
        <w:tc>
          <w:tcPr>
            <w:tcW w:w="5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612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Medicare subsidy</w:t>
            </w:r>
          </w:p>
        </w:tc>
        <w:tc>
          <w:tcPr>
            <w:tcW w:w="20" w:type="dxa"/>
            <w:vAlign w:val="bottom"/>
            <w:shd w:val="clear" w:color="auto" w:fill="E6E7E7"/>
          </w:tcPr>
          <w:p>
            <w:pPr>
              <w:spacing w:after="0"/>
              <w:rPr>
                <w:sz w:val="17"/>
                <w:szCs w:val="17"/>
                <w:color w:val="auto"/>
              </w:rPr>
            </w:pPr>
          </w:p>
        </w:tc>
        <w:tc>
          <w:tcPr>
            <w:tcW w:w="80" w:type="dxa"/>
            <w:vAlign w:val="bottom"/>
            <w:shd w:val="clear" w:color="auto" w:fill="E6E7E7"/>
          </w:tcPr>
          <w:p>
            <w:pPr>
              <w:spacing w:after="0"/>
              <w:rPr>
                <w:sz w:val="17"/>
                <w:szCs w:val="17"/>
                <w:color w:val="auto"/>
              </w:rPr>
            </w:pPr>
          </w:p>
        </w:tc>
        <w:tc>
          <w:tcPr>
            <w:tcW w:w="500" w:type="dxa"/>
            <w:vAlign w:val="bottom"/>
            <w:shd w:val="clear" w:color="auto" w:fill="E6E7E7"/>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E6E7E7"/>
          </w:tcPr>
          <w:p>
            <w:pPr>
              <w:spacing w:after="0"/>
              <w:rPr>
                <w:sz w:val="17"/>
                <w:szCs w:val="17"/>
                <w:color w:val="auto"/>
              </w:rPr>
            </w:pPr>
          </w:p>
        </w:tc>
        <w:tc>
          <w:tcPr>
            <w:tcW w:w="540" w:type="dxa"/>
            <w:vAlign w:val="bottom"/>
            <w:shd w:val="clear" w:color="auto" w:fill="E6E7E7"/>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6E7E7"/>
          </w:tcPr>
          <w:p>
            <w:pPr>
              <w:spacing w:after="0"/>
              <w:rPr>
                <w:sz w:val="17"/>
                <w:szCs w:val="17"/>
                <w:color w:val="auto"/>
              </w:rPr>
            </w:pPr>
          </w:p>
        </w:tc>
        <w:tc>
          <w:tcPr>
            <w:tcW w:w="540" w:type="dxa"/>
            <w:vAlign w:val="bottom"/>
            <w:shd w:val="clear" w:color="auto" w:fill="E6E7E7"/>
          </w:tcPr>
          <w:p>
            <w:pPr>
              <w:jc w:val="right"/>
              <w:ind w:right="55"/>
              <w:spacing w:after="0" w:line="202" w:lineRule="exact"/>
              <w:rPr>
                <w:sz w:val="20"/>
                <w:szCs w:val="20"/>
                <w:color w:val="auto"/>
              </w:rPr>
            </w:pPr>
            <w:r>
              <w:rPr>
                <w:rFonts w:ascii="Arial" w:cs="Arial" w:eastAsia="Arial" w:hAnsi="Arial"/>
                <w:sz w:val="18"/>
                <w:szCs w:val="18"/>
                <w:b w:val="1"/>
                <w:bCs w:val="1"/>
                <w:color w:val="auto"/>
              </w:rPr>
              <w:t>4</w:t>
            </w:r>
          </w:p>
        </w:tc>
        <w:tc>
          <w:tcPr>
            <w:tcW w:w="700" w:type="dxa"/>
            <w:vAlign w:val="bottom"/>
            <w:shd w:val="clear" w:color="auto" w:fill="E6E7E7"/>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7E7"/>
          </w:tcPr>
          <w:p>
            <w:pPr>
              <w:spacing w:after="0"/>
              <w:rPr>
                <w:sz w:val="17"/>
                <w:szCs w:val="17"/>
                <w:color w:val="auto"/>
              </w:rPr>
            </w:pPr>
          </w:p>
        </w:tc>
        <w:tc>
          <w:tcPr>
            <w:tcW w:w="820" w:type="dxa"/>
            <w:vAlign w:val="bottom"/>
            <w:shd w:val="clear" w:color="auto" w:fill="E6E7E7"/>
          </w:tcPr>
          <w:p>
            <w:pPr>
              <w:jc w:val="right"/>
              <w:ind w:right="215"/>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E6E7E7"/>
          </w:tcPr>
          <w:p>
            <w:pPr>
              <w:spacing w:after="0"/>
              <w:rPr>
                <w:sz w:val="17"/>
                <w:szCs w:val="17"/>
                <w:color w:val="auto"/>
              </w:rPr>
            </w:pPr>
          </w:p>
        </w:tc>
        <w:tc>
          <w:tcPr>
            <w:tcW w:w="580" w:type="dxa"/>
            <w:vAlign w:val="bottom"/>
            <w:gridSpan w:val="3"/>
            <w:shd w:val="clear" w:color="auto" w:fill="E6E7E7"/>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20" w:type="dxa"/>
            <w:vAlign w:val="bottom"/>
          </w:tcPr>
          <w:p>
            <w:pPr>
              <w:ind w:left="420"/>
              <w:spacing w:after="0" w:line="202" w:lineRule="exact"/>
              <w:rPr>
                <w:sz w:val="20"/>
                <w:szCs w:val="20"/>
                <w:color w:val="auto"/>
              </w:rPr>
            </w:pPr>
            <w:r>
              <w:rPr>
                <w:rFonts w:ascii="Arial" w:cs="Arial" w:eastAsia="Arial" w:hAnsi="Arial"/>
                <w:sz w:val="18"/>
                <w:szCs w:val="18"/>
                <w:color w:val="auto"/>
              </w:rPr>
              <w:t>Plan amendments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5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820" w:type="dxa"/>
            <w:vAlign w:val="bottom"/>
          </w:tcPr>
          <w:p>
            <w:pPr>
              <w:jc w:val="right"/>
              <w:ind w:right="215"/>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5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612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Actuarial (gain) loss</w:t>
            </w:r>
          </w:p>
        </w:tc>
        <w:tc>
          <w:tcPr>
            <w:tcW w:w="20" w:type="dxa"/>
            <w:vAlign w:val="bottom"/>
            <w:shd w:val="clear" w:color="auto" w:fill="E6E7E7"/>
          </w:tcPr>
          <w:p>
            <w:pPr>
              <w:spacing w:after="0"/>
              <w:rPr>
                <w:sz w:val="17"/>
                <w:szCs w:val="17"/>
                <w:color w:val="auto"/>
              </w:rPr>
            </w:pPr>
          </w:p>
        </w:tc>
        <w:tc>
          <w:tcPr>
            <w:tcW w:w="80" w:type="dxa"/>
            <w:vAlign w:val="bottom"/>
            <w:shd w:val="clear" w:color="auto" w:fill="E6E7E7"/>
          </w:tcPr>
          <w:p>
            <w:pPr>
              <w:spacing w:after="0"/>
              <w:rPr>
                <w:sz w:val="17"/>
                <w:szCs w:val="17"/>
                <w:color w:val="auto"/>
              </w:rPr>
            </w:pPr>
          </w:p>
        </w:tc>
        <w:tc>
          <w:tcPr>
            <w:tcW w:w="500" w:type="dxa"/>
            <w:vAlign w:val="bottom"/>
            <w:shd w:val="clear" w:color="auto" w:fill="E6E7E7"/>
          </w:tcPr>
          <w:p>
            <w:pPr>
              <w:jc w:val="right"/>
              <w:ind w:right="54"/>
              <w:spacing w:after="0" w:line="202" w:lineRule="exact"/>
              <w:rPr>
                <w:sz w:val="20"/>
                <w:szCs w:val="20"/>
                <w:color w:val="auto"/>
              </w:rPr>
            </w:pPr>
            <w:r>
              <w:rPr>
                <w:rFonts w:ascii="Arial" w:cs="Arial" w:eastAsia="Arial" w:hAnsi="Arial"/>
                <w:sz w:val="18"/>
                <w:szCs w:val="18"/>
                <w:b w:val="1"/>
                <w:bCs w:val="1"/>
                <w:color w:val="auto"/>
              </w:rPr>
              <w:t>44</w:t>
            </w:r>
          </w:p>
        </w:tc>
        <w:tc>
          <w:tcPr>
            <w:tcW w:w="200" w:type="dxa"/>
            <w:vAlign w:val="bottom"/>
            <w:shd w:val="clear" w:color="auto" w:fill="E6E7E7"/>
          </w:tcPr>
          <w:p>
            <w:pPr>
              <w:spacing w:after="0"/>
              <w:rPr>
                <w:sz w:val="17"/>
                <w:szCs w:val="17"/>
                <w:color w:val="auto"/>
              </w:rPr>
            </w:pPr>
          </w:p>
        </w:tc>
        <w:tc>
          <w:tcPr>
            <w:tcW w:w="540" w:type="dxa"/>
            <w:vAlign w:val="bottom"/>
            <w:shd w:val="clear" w:color="auto" w:fill="E6E7E7"/>
          </w:tcPr>
          <w:p>
            <w:pPr>
              <w:jc w:val="right"/>
              <w:ind w:right="53"/>
              <w:spacing w:after="0" w:line="202" w:lineRule="exact"/>
              <w:rPr>
                <w:sz w:val="20"/>
                <w:szCs w:val="20"/>
                <w:color w:val="auto"/>
              </w:rPr>
            </w:pPr>
            <w:r>
              <w:rPr>
                <w:rFonts w:ascii="Arial" w:cs="Arial" w:eastAsia="Arial" w:hAnsi="Arial"/>
                <w:sz w:val="18"/>
                <w:szCs w:val="18"/>
                <w:color w:val="auto"/>
              </w:rPr>
              <w:t>48</w:t>
            </w:r>
          </w:p>
        </w:tc>
        <w:tc>
          <w:tcPr>
            <w:tcW w:w="180" w:type="dxa"/>
            <w:vAlign w:val="bottom"/>
            <w:shd w:val="clear" w:color="auto" w:fill="E6E7E7"/>
          </w:tcPr>
          <w:p>
            <w:pPr>
              <w:spacing w:after="0"/>
              <w:rPr>
                <w:sz w:val="17"/>
                <w:szCs w:val="17"/>
                <w:color w:val="auto"/>
              </w:rPr>
            </w:pPr>
          </w:p>
        </w:tc>
        <w:tc>
          <w:tcPr>
            <w:tcW w:w="5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700" w:type="dxa"/>
            <w:vAlign w:val="bottom"/>
            <w:shd w:val="clear" w:color="auto" w:fill="E6E7E7"/>
          </w:tcPr>
          <w:p>
            <w:pPr>
              <w:jc w:val="right"/>
              <w:ind w:right="53"/>
              <w:spacing w:after="0" w:line="202" w:lineRule="exact"/>
              <w:rPr>
                <w:sz w:val="20"/>
                <w:szCs w:val="20"/>
                <w:color w:val="auto"/>
              </w:rPr>
            </w:pPr>
            <w:r>
              <w:rPr>
                <w:rFonts w:ascii="Arial" w:cs="Arial" w:eastAsia="Arial" w:hAnsi="Arial"/>
                <w:sz w:val="18"/>
                <w:szCs w:val="18"/>
                <w:color w:val="auto"/>
              </w:rPr>
              <w:t>26</w:t>
            </w:r>
          </w:p>
        </w:tc>
        <w:tc>
          <w:tcPr>
            <w:tcW w:w="220" w:type="dxa"/>
            <w:vAlign w:val="bottom"/>
            <w:shd w:val="clear" w:color="auto" w:fill="E6E7E7"/>
          </w:tcPr>
          <w:p>
            <w:pPr>
              <w:spacing w:after="0"/>
              <w:rPr>
                <w:sz w:val="17"/>
                <w:szCs w:val="17"/>
                <w:color w:val="auto"/>
              </w:rPr>
            </w:pPr>
          </w:p>
        </w:tc>
        <w:tc>
          <w:tcPr>
            <w:tcW w:w="820" w:type="dxa"/>
            <w:vAlign w:val="bottom"/>
            <w:shd w:val="clear" w:color="auto" w:fill="E6E7E7"/>
          </w:tcPr>
          <w:p>
            <w:pPr>
              <w:jc w:val="right"/>
              <w:ind w:right="215"/>
              <w:spacing w:after="0" w:line="202" w:lineRule="exact"/>
              <w:rPr>
                <w:sz w:val="20"/>
                <w:szCs w:val="20"/>
                <w:color w:val="auto"/>
              </w:rPr>
            </w:pPr>
            <w:r>
              <w:rPr>
                <w:rFonts w:ascii="Arial" w:cs="Arial" w:eastAsia="Arial" w:hAnsi="Arial"/>
                <w:sz w:val="18"/>
                <w:szCs w:val="18"/>
                <w:b w:val="1"/>
                <w:bCs w:val="1"/>
                <w:color w:val="auto"/>
              </w:rPr>
              <w:t>31</w:t>
            </w:r>
          </w:p>
        </w:tc>
        <w:tc>
          <w:tcPr>
            <w:tcW w:w="220" w:type="dxa"/>
            <w:vAlign w:val="bottom"/>
            <w:shd w:val="clear" w:color="auto" w:fill="E6E7E7"/>
          </w:tcPr>
          <w:p>
            <w:pPr>
              <w:spacing w:after="0"/>
              <w:rPr>
                <w:sz w:val="17"/>
                <w:szCs w:val="17"/>
                <w:color w:val="auto"/>
              </w:rPr>
            </w:pPr>
          </w:p>
        </w:tc>
        <w:tc>
          <w:tcPr>
            <w:tcW w:w="5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44</w:t>
            </w:r>
          </w:p>
        </w:tc>
        <w:tc>
          <w:tcPr>
            <w:tcW w:w="2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420"/>
              <w:spacing w:after="0" w:line="202" w:lineRule="exact"/>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5"/>
              </w:rPr>
              <w:t>(119)</w:t>
            </w:r>
          </w:p>
        </w:tc>
        <w:tc>
          <w:tcPr>
            <w:tcW w:w="2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80" w:type="dxa"/>
            <w:vAlign w:val="bottom"/>
          </w:tcPr>
          <w:p>
            <w:pPr>
              <w:spacing w:after="0"/>
              <w:rPr>
                <w:sz w:val="17"/>
                <w:szCs w:val="17"/>
                <w:color w:val="auto"/>
              </w:rPr>
            </w:pPr>
          </w:p>
        </w:tc>
        <w:tc>
          <w:tcPr>
            <w:tcW w:w="54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20" w:type="dxa"/>
            <w:vAlign w:val="bottom"/>
          </w:tcPr>
          <w:p>
            <w:pPr>
              <w:jc w:val="right"/>
              <w:ind w:right="215"/>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5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2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Curtailments</w:t>
            </w:r>
          </w:p>
        </w:tc>
        <w:tc>
          <w:tcPr>
            <w:tcW w:w="20" w:type="dxa"/>
            <w:vAlign w:val="bottom"/>
            <w:shd w:val="clear" w:color="auto" w:fill="E6E7E7"/>
          </w:tcPr>
          <w:p>
            <w:pPr>
              <w:spacing w:after="0"/>
              <w:rPr>
                <w:sz w:val="17"/>
                <w:szCs w:val="17"/>
                <w:color w:val="auto"/>
              </w:rPr>
            </w:pPr>
          </w:p>
        </w:tc>
        <w:tc>
          <w:tcPr>
            <w:tcW w:w="80" w:type="dxa"/>
            <w:vAlign w:val="bottom"/>
            <w:shd w:val="clear" w:color="auto" w:fill="E6E7E7"/>
          </w:tcPr>
          <w:p>
            <w:pPr>
              <w:spacing w:after="0"/>
              <w:rPr>
                <w:sz w:val="17"/>
                <w:szCs w:val="17"/>
                <w:color w:val="auto"/>
              </w:rPr>
            </w:pPr>
          </w:p>
        </w:tc>
        <w:tc>
          <w:tcPr>
            <w:tcW w:w="5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200" w:type="dxa"/>
            <w:vAlign w:val="bottom"/>
            <w:shd w:val="clear" w:color="auto" w:fill="E6E7E7"/>
          </w:tcPr>
          <w:p>
            <w:pPr>
              <w:spacing w:after="0"/>
              <w:rPr>
                <w:sz w:val="17"/>
                <w:szCs w:val="17"/>
                <w:color w:val="auto"/>
              </w:rPr>
            </w:pPr>
          </w:p>
        </w:tc>
        <w:tc>
          <w:tcPr>
            <w:tcW w:w="540" w:type="dxa"/>
            <w:vAlign w:val="bottom"/>
            <w:shd w:val="clear" w:color="auto" w:fill="E6E7E7"/>
          </w:tcPr>
          <w:p>
            <w:pPr>
              <w:jc w:val="right"/>
              <w:ind w:right="53"/>
              <w:spacing w:after="0" w:line="202" w:lineRule="exact"/>
              <w:rPr>
                <w:sz w:val="20"/>
                <w:szCs w:val="20"/>
                <w:color w:val="auto"/>
              </w:rPr>
            </w:pPr>
            <w:r>
              <w:rPr>
                <w:rFonts w:ascii="Arial" w:cs="Arial" w:eastAsia="Arial" w:hAnsi="Arial"/>
                <w:sz w:val="18"/>
                <w:szCs w:val="18"/>
                <w:color w:val="auto"/>
              </w:rPr>
              <w:t>4</w:t>
            </w:r>
          </w:p>
        </w:tc>
        <w:tc>
          <w:tcPr>
            <w:tcW w:w="180" w:type="dxa"/>
            <w:vAlign w:val="bottom"/>
            <w:shd w:val="clear" w:color="auto" w:fill="E6E7E7"/>
          </w:tcPr>
          <w:p>
            <w:pPr>
              <w:spacing w:after="0"/>
              <w:rPr>
                <w:sz w:val="17"/>
                <w:szCs w:val="17"/>
                <w:color w:val="auto"/>
              </w:rPr>
            </w:pPr>
          </w:p>
        </w:tc>
        <w:tc>
          <w:tcPr>
            <w:tcW w:w="540" w:type="dxa"/>
            <w:vAlign w:val="bottom"/>
            <w:shd w:val="clear" w:color="auto" w:fill="E6E7E7"/>
          </w:tcPr>
          <w:p>
            <w:pPr>
              <w:jc w:val="right"/>
              <w:ind w:right="55"/>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E6E7E7"/>
          </w:tcPr>
          <w:p>
            <w:pPr>
              <w:jc w:val="right"/>
              <w:ind w:right="53"/>
              <w:spacing w:after="0" w:line="202" w:lineRule="exact"/>
              <w:rPr>
                <w:sz w:val="20"/>
                <w:szCs w:val="20"/>
                <w:color w:val="auto"/>
              </w:rPr>
            </w:pPr>
            <w:r>
              <w:rPr>
                <w:rFonts w:ascii="Arial" w:cs="Arial" w:eastAsia="Arial" w:hAnsi="Arial"/>
                <w:sz w:val="18"/>
                <w:szCs w:val="18"/>
                <w:color w:val="auto"/>
              </w:rPr>
              <w:t>2</w:t>
            </w:r>
          </w:p>
        </w:tc>
        <w:tc>
          <w:tcPr>
            <w:tcW w:w="220" w:type="dxa"/>
            <w:vAlign w:val="bottom"/>
            <w:shd w:val="clear" w:color="auto" w:fill="E6E7E7"/>
          </w:tcPr>
          <w:p>
            <w:pPr>
              <w:spacing w:after="0"/>
              <w:rPr>
                <w:sz w:val="17"/>
                <w:szCs w:val="17"/>
                <w:color w:val="auto"/>
              </w:rPr>
            </w:pPr>
          </w:p>
        </w:tc>
        <w:tc>
          <w:tcPr>
            <w:tcW w:w="820" w:type="dxa"/>
            <w:vAlign w:val="bottom"/>
            <w:shd w:val="clear" w:color="auto" w:fill="E6E7E7"/>
          </w:tcPr>
          <w:p>
            <w:pPr>
              <w:jc w:val="right"/>
              <w:ind w:right="215"/>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E6E7E7"/>
          </w:tcPr>
          <w:p>
            <w:pPr>
              <w:spacing w:after="0"/>
              <w:rPr>
                <w:sz w:val="17"/>
                <w:szCs w:val="17"/>
                <w:color w:val="auto"/>
              </w:rPr>
            </w:pPr>
          </w:p>
        </w:tc>
        <w:tc>
          <w:tcPr>
            <w:tcW w:w="580" w:type="dxa"/>
            <w:vAlign w:val="bottom"/>
            <w:gridSpan w:val="3"/>
            <w:shd w:val="clear" w:color="auto" w:fill="E6E7E7"/>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120" w:type="dxa"/>
            <w:vAlign w:val="bottom"/>
          </w:tcPr>
          <w:p>
            <w:pPr>
              <w:ind w:left="420"/>
              <w:spacing w:after="0" w:line="202" w:lineRule="exact"/>
              <w:rPr>
                <w:sz w:val="20"/>
                <w:szCs w:val="20"/>
                <w:color w:val="auto"/>
              </w:rPr>
            </w:pPr>
            <w:r>
              <w:rPr>
                <w:rFonts w:ascii="Arial" w:cs="Arial" w:eastAsia="Arial" w:hAnsi="Arial"/>
                <w:sz w:val="18"/>
                <w:szCs w:val="18"/>
                <w:color w:val="auto"/>
              </w:rPr>
              <w:t>Special termination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5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54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ind w:right="215"/>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5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2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Benefit obligation at end of year (BO)</w:t>
            </w:r>
          </w:p>
        </w:tc>
        <w:tc>
          <w:tcPr>
            <w:tcW w:w="20" w:type="dxa"/>
            <w:vAlign w:val="bottom"/>
            <w:shd w:val="clear" w:color="auto" w:fill="E6E7E7"/>
          </w:tcPr>
          <w:p>
            <w:pPr>
              <w:spacing w:after="0"/>
              <w:rPr>
                <w:sz w:val="17"/>
                <w:szCs w:val="17"/>
                <w:color w:val="auto"/>
              </w:rPr>
            </w:pPr>
          </w:p>
        </w:tc>
        <w:tc>
          <w:tcPr>
            <w:tcW w:w="80" w:type="dxa"/>
            <w:vAlign w:val="bottom"/>
            <w:tcBorders>
              <w:top w:val="single" w:sz="8" w:color="auto"/>
              <w:bottom w:val="single" w:sz="8" w:color="auto"/>
            </w:tcBorders>
            <w:shd w:val="clear" w:color="auto" w:fill="E6E7E7"/>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shd w:val="clear" w:color="auto" w:fill="E6E7E7"/>
          </w:tcPr>
          <w:p>
            <w:pPr>
              <w:jc w:val="right"/>
              <w:ind w:right="54"/>
              <w:spacing w:after="0" w:line="202" w:lineRule="exact"/>
              <w:rPr>
                <w:sz w:val="20"/>
                <w:szCs w:val="20"/>
                <w:color w:val="auto"/>
              </w:rPr>
            </w:pPr>
            <w:r>
              <w:rPr>
                <w:rFonts w:ascii="Arial" w:cs="Arial" w:eastAsia="Arial" w:hAnsi="Arial"/>
                <w:sz w:val="18"/>
                <w:szCs w:val="18"/>
                <w:b w:val="1"/>
                <w:bCs w:val="1"/>
                <w:color w:val="auto"/>
              </w:rPr>
              <w:t>788</w:t>
            </w:r>
          </w:p>
        </w:tc>
        <w:tc>
          <w:tcPr>
            <w:tcW w:w="200" w:type="dxa"/>
            <w:vAlign w:val="bottom"/>
            <w:tcBorders>
              <w:top w:val="single" w:sz="8" w:color="auto"/>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E6E7E7"/>
          </w:tcPr>
          <w:p>
            <w:pPr>
              <w:jc w:val="right"/>
              <w:ind w:right="53"/>
              <w:spacing w:after="0" w:line="202" w:lineRule="exact"/>
              <w:rPr>
                <w:sz w:val="20"/>
                <w:szCs w:val="20"/>
                <w:color w:val="auto"/>
              </w:rPr>
            </w:pPr>
            <w:r>
              <w:rPr>
                <w:rFonts w:ascii="Arial" w:cs="Arial" w:eastAsia="Arial" w:hAnsi="Arial"/>
                <w:sz w:val="18"/>
                <w:szCs w:val="18"/>
                <w:color w:val="auto"/>
              </w:rPr>
              <w:t>798</w:t>
            </w:r>
          </w:p>
        </w:tc>
        <w:tc>
          <w:tcPr>
            <w:tcW w:w="180" w:type="dxa"/>
            <w:vAlign w:val="bottom"/>
            <w:tcBorders>
              <w:top w:val="single" w:sz="8" w:color="auto"/>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shd w:val="clear" w:color="auto" w:fill="E6E7E7"/>
          </w:tcPr>
          <w:p>
            <w:pPr>
              <w:jc w:val="right"/>
              <w:ind w:right="55"/>
              <w:spacing w:after="0" w:line="202" w:lineRule="exact"/>
              <w:rPr>
                <w:sz w:val="20"/>
                <w:szCs w:val="20"/>
                <w:color w:val="auto"/>
              </w:rPr>
            </w:pPr>
            <w:r>
              <w:rPr>
                <w:rFonts w:ascii="Arial" w:cs="Arial" w:eastAsia="Arial" w:hAnsi="Arial"/>
                <w:sz w:val="18"/>
                <w:szCs w:val="18"/>
                <w:b w:val="1"/>
                <w:bCs w:val="1"/>
                <w:color w:val="auto"/>
              </w:rPr>
              <w:t>444</w:t>
            </w:r>
          </w:p>
        </w:tc>
        <w:tc>
          <w:tcPr>
            <w:tcW w:w="700" w:type="dxa"/>
            <w:vAlign w:val="bottom"/>
            <w:tcBorders>
              <w:top w:val="single" w:sz="8" w:color="auto"/>
              <w:bottom w:val="single" w:sz="8" w:color="auto"/>
            </w:tcBorders>
            <w:shd w:val="clear" w:color="auto" w:fill="E6E7E7"/>
          </w:tcPr>
          <w:p>
            <w:pPr>
              <w:jc w:val="right"/>
              <w:ind w:right="53"/>
              <w:spacing w:after="0" w:line="202" w:lineRule="exact"/>
              <w:rPr>
                <w:sz w:val="20"/>
                <w:szCs w:val="20"/>
                <w:color w:val="auto"/>
              </w:rPr>
            </w:pPr>
            <w:r>
              <w:rPr>
                <w:rFonts w:ascii="Arial" w:cs="Arial" w:eastAsia="Arial" w:hAnsi="Arial"/>
                <w:sz w:val="18"/>
                <w:szCs w:val="18"/>
                <w:color w:val="auto"/>
              </w:rPr>
              <w:t>$ 442</w:t>
            </w:r>
          </w:p>
        </w:tc>
        <w:tc>
          <w:tcPr>
            <w:tcW w:w="220" w:type="dxa"/>
            <w:vAlign w:val="bottom"/>
            <w:tcBorders>
              <w:top w:val="single" w:sz="8" w:color="auto"/>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E6E7E7"/>
          </w:tcPr>
          <w:p>
            <w:pPr>
              <w:jc w:val="right"/>
              <w:ind w:right="215"/>
              <w:spacing w:after="0" w:line="202" w:lineRule="exact"/>
              <w:rPr>
                <w:sz w:val="20"/>
                <w:szCs w:val="20"/>
                <w:color w:val="auto"/>
              </w:rPr>
            </w:pPr>
            <w:r>
              <w:rPr>
                <w:rFonts w:ascii="Arial" w:cs="Arial" w:eastAsia="Arial" w:hAnsi="Arial"/>
                <w:sz w:val="18"/>
                <w:szCs w:val="18"/>
                <w:b w:val="1"/>
                <w:bCs w:val="1"/>
                <w:color w:val="auto"/>
              </w:rPr>
              <w:t>1,695</w:t>
            </w:r>
          </w:p>
        </w:tc>
        <w:tc>
          <w:tcPr>
            <w:tcW w:w="220" w:type="dxa"/>
            <w:vAlign w:val="bottom"/>
            <w:tcBorders>
              <w:top w:val="single" w:sz="8" w:color="auto"/>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gridSpan w:val="2"/>
            <w:shd w:val="clear" w:color="auto" w:fill="E6E7E7"/>
          </w:tcPr>
          <w:p>
            <w:pPr>
              <w:jc w:val="right"/>
              <w:ind w:right="20"/>
              <w:spacing w:after="0" w:line="202" w:lineRule="exact"/>
              <w:rPr>
                <w:sz w:val="20"/>
                <w:szCs w:val="20"/>
                <w:color w:val="auto"/>
              </w:rPr>
            </w:pPr>
            <w:r>
              <w:rPr>
                <w:rFonts w:ascii="Arial" w:cs="Arial" w:eastAsia="Arial" w:hAnsi="Arial"/>
                <w:sz w:val="18"/>
                <w:szCs w:val="18"/>
                <w:color w:val="auto"/>
              </w:rPr>
              <w:t>1,603</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Change in plan assets:</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Fair value of plan assets at beginning of year</w:t>
            </w:r>
          </w:p>
        </w:tc>
        <w:tc>
          <w:tcPr>
            <w:tcW w:w="100" w:type="dxa"/>
            <w:vAlign w:val="bottom"/>
            <w:gridSpan w:val="2"/>
            <w:shd w:val="clear" w:color="auto" w:fill="E6E7E7"/>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E6E7E7"/>
          </w:tcPr>
          <w:p>
            <w:pPr>
              <w:jc w:val="right"/>
              <w:ind w:right="54"/>
              <w:spacing w:after="0" w:line="202" w:lineRule="exact"/>
              <w:rPr>
                <w:sz w:val="20"/>
                <w:szCs w:val="20"/>
                <w:color w:val="auto"/>
              </w:rPr>
            </w:pPr>
            <w:r>
              <w:rPr>
                <w:rFonts w:ascii="Arial" w:cs="Arial" w:eastAsia="Arial" w:hAnsi="Arial"/>
                <w:sz w:val="18"/>
                <w:szCs w:val="18"/>
                <w:b w:val="1"/>
                <w:bCs w:val="1"/>
                <w:color w:val="auto"/>
              </w:rPr>
              <w:t>724</w:t>
            </w:r>
          </w:p>
        </w:tc>
        <w:tc>
          <w:tcPr>
            <w:tcW w:w="2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6E7E7"/>
          </w:tcPr>
          <w:p>
            <w:pPr>
              <w:jc w:val="right"/>
              <w:ind w:right="53"/>
              <w:spacing w:after="0" w:line="202" w:lineRule="exact"/>
              <w:rPr>
                <w:sz w:val="20"/>
                <w:szCs w:val="20"/>
                <w:color w:val="auto"/>
              </w:rPr>
            </w:pPr>
            <w:r>
              <w:rPr>
                <w:rFonts w:ascii="Arial" w:cs="Arial" w:eastAsia="Arial" w:hAnsi="Arial"/>
                <w:sz w:val="18"/>
                <w:szCs w:val="18"/>
                <w:color w:val="auto"/>
              </w:rPr>
              <w:t>736</w:t>
            </w:r>
          </w:p>
        </w:tc>
        <w:tc>
          <w:tcPr>
            <w:tcW w:w="1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E6E7E7"/>
          </w:tcPr>
          <w:p>
            <w:pPr>
              <w:jc w:val="right"/>
              <w:ind w:right="55"/>
              <w:spacing w:after="0" w:line="202" w:lineRule="exact"/>
              <w:rPr>
                <w:sz w:val="20"/>
                <w:szCs w:val="20"/>
                <w:color w:val="auto"/>
              </w:rPr>
            </w:pPr>
            <w:r>
              <w:rPr>
                <w:rFonts w:ascii="Arial" w:cs="Arial" w:eastAsia="Arial" w:hAnsi="Arial"/>
                <w:sz w:val="18"/>
                <w:szCs w:val="18"/>
                <w:b w:val="1"/>
                <w:bCs w:val="1"/>
                <w:color w:val="auto"/>
              </w:rPr>
              <w:t>303</w:t>
            </w:r>
          </w:p>
        </w:tc>
        <w:tc>
          <w:tcPr>
            <w:tcW w:w="700" w:type="dxa"/>
            <w:vAlign w:val="bottom"/>
            <w:shd w:val="clear" w:color="auto" w:fill="E6E7E7"/>
          </w:tcPr>
          <w:p>
            <w:pPr>
              <w:jc w:val="right"/>
              <w:ind w:right="53"/>
              <w:spacing w:after="0" w:line="202" w:lineRule="exact"/>
              <w:rPr>
                <w:sz w:val="20"/>
                <w:szCs w:val="20"/>
                <w:color w:val="auto"/>
              </w:rPr>
            </w:pPr>
            <w:r>
              <w:rPr>
                <w:rFonts w:ascii="Arial" w:cs="Arial" w:eastAsia="Arial" w:hAnsi="Arial"/>
                <w:sz w:val="18"/>
                <w:szCs w:val="18"/>
                <w:color w:val="auto"/>
              </w:rPr>
              <w:t>$ 315</w:t>
            </w:r>
          </w:p>
        </w:tc>
        <w:tc>
          <w:tcPr>
            <w:tcW w:w="2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6E7E7"/>
          </w:tcPr>
          <w:p>
            <w:pPr>
              <w:jc w:val="right"/>
              <w:ind w:right="215"/>
              <w:spacing w:after="0" w:line="202" w:lineRule="exact"/>
              <w:rPr>
                <w:sz w:val="20"/>
                <w:szCs w:val="20"/>
                <w:color w:val="auto"/>
              </w:rPr>
            </w:pPr>
            <w:r>
              <w:rPr>
                <w:rFonts w:ascii="Arial" w:cs="Arial" w:eastAsia="Arial" w:hAnsi="Arial"/>
                <w:sz w:val="18"/>
                <w:szCs w:val="18"/>
                <w:b w:val="1"/>
                <w:bCs w:val="1"/>
                <w:color w:val="auto"/>
              </w:rPr>
              <w:t>1,054</w:t>
            </w:r>
          </w:p>
        </w:tc>
        <w:tc>
          <w:tcPr>
            <w:tcW w:w="2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827</w:t>
            </w:r>
          </w:p>
        </w:tc>
        <w:tc>
          <w:tcPr>
            <w:tcW w:w="2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420"/>
              <w:spacing w:after="0" w:line="202" w:lineRule="exact"/>
              <w:rPr>
                <w:sz w:val="20"/>
                <w:szCs w:val="20"/>
                <w:color w:val="auto"/>
              </w:rPr>
            </w:pPr>
            <w:r>
              <w:rPr>
                <w:rFonts w:ascii="Arial" w:cs="Arial" w:eastAsia="Arial" w:hAnsi="Arial"/>
                <w:sz w:val="18"/>
                <w:szCs w:val="18"/>
                <w:color w:val="auto"/>
              </w:rPr>
              <w:t>Actual return on plan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71</w:t>
            </w:r>
          </w:p>
        </w:tc>
        <w:tc>
          <w:tcPr>
            <w:tcW w:w="200" w:type="dxa"/>
            <w:vAlign w:val="bottom"/>
          </w:tcPr>
          <w:p>
            <w:pPr>
              <w:spacing w:after="0"/>
              <w:rPr>
                <w:sz w:val="17"/>
                <w:szCs w:val="17"/>
                <w:color w:val="auto"/>
              </w:rPr>
            </w:pPr>
          </w:p>
        </w:tc>
        <w:tc>
          <w:tcPr>
            <w:tcW w:w="5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47</w:t>
            </w:r>
          </w:p>
        </w:tc>
        <w:tc>
          <w:tcPr>
            <w:tcW w:w="180" w:type="dxa"/>
            <w:vAlign w:val="bottom"/>
          </w:tcPr>
          <w:p>
            <w:pPr>
              <w:spacing w:after="0"/>
              <w:rPr>
                <w:sz w:val="17"/>
                <w:szCs w:val="17"/>
                <w:color w:val="auto"/>
              </w:rPr>
            </w:pPr>
          </w:p>
        </w:tc>
        <w:tc>
          <w:tcPr>
            <w:tcW w:w="54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37</w:t>
            </w:r>
          </w:p>
        </w:tc>
        <w:tc>
          <w:tcPr>
            <w:tcW w:w="7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7"/>
                <w:szCs w:val="17"/>
                <w:color w:val="auto"/>
              </w:rPr>
            </w:pPr>
          </w:p>
        </w:tc>
        <w:tc>
          <w:tcPr>
            <w:tcW w:w="820" w:type="dxa"/>
            <w:vAlign w:val="bottom"/>
          </w:tcPr>
          <w:p>
            <w:pPr>
              <w:jc w:val="right"/>
              <w:ind w:right="215"/>
              <w:spacing w:after="0" w:line="202" w:lineRule="exact"/>
              <w:rPr>
                <w:sz w:val="20"/>
                <w:szCs w:val="20"/>
                <w:color w:val="auto"/>
              </w:rPr>
            </w:pPr>
            <w:r>
              <w:rPr>
                <w:rFonts w:ascii="Arial" w:cs="Arial" w:eastAsia="Arial" w:hAnsi="Arial"/>
                <w:sz w:val="18"/>
                <w:szCs w:val="18"/>
                <w:b w:val="1"/>
                <w:bCs w:val="1"/>
                <w:color w:val="auto"/>
              </w:rPr>
              <w:t>171</w:t>
            </w:r>
          </w:p>
        </w:tc>
        <w:tc>
          <w:tcPr>
            <w:tcW w:w="2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177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Change in measurement date</w:t>
            </w:r>
          </w:p>
        </w:tc>
        <w:tc>
          <w:tcPr>
            <w:tcW w:w="20" w:type="dxa"/>
            <w:vAlign w:val="bottom"/>
            <w:shd w:val="clear" w:color="auto" w:fill="E6E7E7"/>
          </w:tcPr>
          <w:p>
            <w:pPr>
              <w:spacing w:after="0"/>
              <w:rPr>
                <w:sz w:val="17"/>
                <w:szCs w:val="17"/>
                <w:color w:val="auto"/>
              </w:rPr>
            </w:pPr>
          </w:p>
        </w:tc>
        <w:tc>
          <w:tcPr>
            <w:tcW w:w="80" w:type="dxa"/>
            <w:vAlign w:val="bottom"/>
            <w:shd w:val="clear" w:color="auto" w:fill="E6E7E7"/>
          </w:tcPr>
          <w:p>
            <w:pPr>
              <w:spacing w:after="0"/>
              <w:rPr>
                <w:sz w:val="17"/>
                <w:szCs w:val="17"/>
                <w:color w:val="auto"/>
              </w:rPr>
            </w:pPr>
          </w:p>
        </w:tc>
        <w:tc>
          <w:tcPr>
            <w:tcW w:w="500" w:type="dxa"/>
            <w:vAlign w:val="bottom"/>
            <w:shd w:val="clear" w:color="auto" w:fill="E6E7E7"/>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E6E7E7"/>
          </w:tcPr>
          <w:p>
            <w:pPr>
              <w:spacing w:after="0"/>
              <w:rPr>
                <w:sz w:val="17"/>
                <w:szCs w:val="17"/>
                <w:color w:val="auto"/>
              </w:rPr>
            </w:pPr>
          </w:p>
        </w:tc>
        <w:tc>
          <w:tcPr>
            <w:tcW w:w="540" w:type="dxa"/>
            <w:vAlign w:val="bottom"/>
            <w:shd w:val="clear" w:color="auto" w:fill="E6E7E7"/>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6E7E7"/>
          </w:tcPr>
          <w:p>
            <w:pPr>
              <w:spacing w:after="0"/>
              <w:rPr>
                <w:sz w:val="17"/>
                <w:szCs w:val="17"/>
                <w:color w:val="auto"/>
              </w:rPr>
            </w:pPr>
          </w:p>
        </w:tc>
        <w:tc>
          <w:tcPr>
            <w:tcW w:w="540" w:type="dxa"/>
            <w:vAlign w:val="bottom"/>
            <w:shd w:val="clear" w:color="auto" w:fill="E6E7E7"/>
          </w:tcPr>
          <w:p>
            <w:pPr>
              <w:jc w:val="right"/>
              <w:ind w:right="55"/>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E6E7E7"/>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7E7"/>
          </w:tcPr>
          <w:p>
            <w:pPr>
              <w:spacing w:after="0"/>
              <w:rPr>
                <w:sz w:val="17"/>
                <w:szCs w:val="17"/>
                <w:color w:val="auto"/>
              </w:rPr>
            </w:pPr>
          </w:p>
        </w:tc>
        <w:tc>
          <w:tcPr>
            <w:tcW w:w="820" w:type="dxa"/>
            <w:vAlign w:val="bottom"/>
            <w:shd w:val="clear" w:color="auto" w:fill="E6E7E7"/>
          </w:tcPr>
          <w:p>
            <w:pPr>
              <w:jc w:val="right"/>
              <w:ind w:right="215"/>
              <w:spacing w:after="0" w:line="202" w:lineRule="exact"/>
              <w:rPr>
                <w:sz w:val="20"/>
                <w:szCs w:val="20"/>
                <w:color w:val="auto"/>
              </w:rPr>
            </w:pPr>
            <w:r>
              <w:rPr>
                <w:rFonts w:ascii="Arial" w:cs="Arial" w:eastAsia="Arial" w:hAnsi="Arial"/>
                <w:sz w:val="18"/>
                <w:szCs w:val="18"/>
                <w:b w:val="1"/>
                <w:bCs w:val="1"/>
                <w:color w:val="auto"/>
              </w:rPr>
              <w:t>16</w:t>
            </w:r>
          </w:p>
        </w:tc>
        <w:tc>
          <w:tcPr>
            <w:tcW w:w="220" w:type="dxa"/>
            <w:vAlign w:val="bottom"/>
            <w:shd w:val="clear" w:color="auto" w:fill="E6E7E7"/>
          </w:tcPr>
          <w:p>
            <w:pPr>
              <w:spacing w:after="0"/>
              <w:rPr>
                <w:sz w:val="17"/>
                <w:szCs w:val="17"/>
                <w:color w:val="auto"/>
              </w:rPr>
            </w:pPr>
          </w:p>
        </w:tc>
        <w:tc>
          <w:tcPr>
            <w:tcW w:w="580" w:type="dxa"/>
            <w:vAlign w:val="bottom"/>
            <w:gridSpan w:val="3"/>
            <w:shd w:val="clear" w:color="auto" w:fill="E6E7E7"/>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20" w:type="dxa"/>
            <w:vAlign w:val="bottom"/>
          </w:tcPr>
          <w:p>
            <w:pPr>
              <w:ind w:left="420"/>
              <w:spacing w:after="0" w:line="202" w:lineRule="exact"/>
              <w:rPr>
                <w:sz w:val="20"/>
                <w:szCs w:val="20"/>
                <w:color w:val="auto"/>
              </w:rPr>
            </w:pPr>
            <w:r>
              <w:rPr>
                <w:rFonts w:ascii="Arial" w:cs="Arial" w:eastAsia="Arial" w:hAnsi="Arial"/>
                <w:sz w:val="18"/>
                <w:szCs w:val="18"/>
                <w:color w:val="auto"/>
              </w:rPr>
              <w:t>Employer contributions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125</w:t>
            </w:r>
          </w:p>
        </w:tc>
        <w:tc>
          <w:tcPr>
            <w:tcW w:w="200" w:type="dxa"/>
            <w:vAlign w:val="bottom"/>
          </w:tcPr>
          <w:p>
            <w:pPr>
              <w:spacing w:after="0"/>
              <w:rPr>
                <w:sz w:val="17"/>
                <w:szCs w:val="17"/>
                <w:color w:val="auto"/>
              </w:rPr>
            </w:pPr>
          </w:p>
        </w:tc>
        <w:tc>
          <w:tcPr>
            <w:tcW w:w="5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54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91</w:t>
            </w:r>
          </w:p>
        </w:tc>
        <w:tc>
          <w:tcPr>
            <w:tcW w:w="7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379(a)</w:t>
            </w:r>
          </w:p>
        </w:tc>
        <w:tc>
          <w:tcPr>
            <w:tcW w:w="2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Participant contributions</w:t>
            </w:r>
          </w:p>
        </w:tc>
        <w:tc>
          <w:tcPr>
            <w:tcW w:w="20" w:type="dxa"/>
            <w:vAlign w:val="bottom"/>
            <w:shd w:val="clear" w:color="auto" w:fill="E6E7E7"/>
          </w:tcPr>
          <w:p>
            <w:pPr>
              <w:spacing w:after="0"/>
              <w:rPr>
                <w:sz w:val="17"/>
                <w:szCs w:val="17"/>
                <w:color w:val="auto"/>
              </w:rPr>
            </w:pPr>
          </w:p>
        </w:tc>
        <w:tc>
          <w:tcPr>
            <w:tcW w:w="80" w:type="dxa"/>
            <w:vAlign w:val="bottom"/>
            <w:shd w:val="clear" w:color="auto" w:fill="E6E7E7"/>
          </w:tcPr>
          <w:p>
            <w:pPr>
              <w:spacing w:after="0"/>
              <w:rPr>
                <w:sz w:val="17"/>
                <w:szCs w:val="17"/>
                <w:color w:val="auto"/>
              </w:rPr>
            </w:pPr>
          </w:p>
        </w:tc>
        <w:tc>
          <w:tcPr>
            <w:tcW w:w="500" w:type="dxa"/>
            <w:vAlign w:val="bottom"/>
            <w:shd w:val="clear" w:color="auto" w:fill="E6E7E7"/>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E6E7E7"/>
          </w:tcPr>
          <w:p>
            <w:pPr>
              <w:spacing w:after="0"/>
              <w:rPr>
                <w:sz w:val="17"/>
                <w:szCs w:val="17"/>
                <w:color w:val="auto"/>
              </w:rPr>
            </w:pPr>
          </w:p>
        </w:tc>
        <w:tc>
          <w:tcPr>
            <w:tcW w:w="540" w:type="dxa"/>
            <w:vAlign w:val="bottom"/>
            <w:shd w:val="clear" w:color="auto" w:fill="E6E7E7"/>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6E7E7"/>
          </w:tcPr>
          <w:p>
            <w:pPr>
              <w:spacing w:after="0"/>
              <w:rPr>
                <w:sz w:val="17"/>
                <w:szCs w:val="17"/>
                <w:color w:val="auto"/>
              </w:rPr>
            </w:pPr>
          </w:p>
        </w:tc>
        <w:tc>
          <w:tcPr>
            <w:tcW w:w="540" w:type="dxa"/>
            <w:vAlign w:val="bottom"/>
            <w:shd w:val="clear" w:color="auto" w:fill="E6E7E7"/>
          </w:tcPr>
          <w:p>
            <w:pPr>
              <w:jc w:val="right"/>
              <w:ind w:right="55"/>
              <w:spacing w:after="0" w:line="202" w:lineRule="exact"/>
              <w:rPr>
                <w:sz w:val="20"/>
                <w:szCs w:val="20"/>
                <w:color w:val="auto"/>
              </w:rPr>
            </w:pPr>
            <w:r>
              <w:rPr>
                <w:rFonts w:ascii="Arial" w:cs="Arial" w:eastAsia="Arial" w:hAnsi="Arial"/>
                <w:sz w:val="18"/>
                <w:szCs w:val="18"/>
                <w:b w:val="1"/>
                <w:bCs w:val="1"/>
                <w:color w:val="auto"/>
              </w:rPr>
              <w:t>15</w:t>
            </w:r>
          </w:p>
        </w:tc>
        <w:tc>
          <w:tcPr>
            <w:tcW w:w="700" w:type="dxa"/>
            <w:vAlign w:val="bottom"/>
            <w:shd w:val="clear" w:color="auto" w:fill="E6E7E7"/>
          </w:tcPr>
          <w:p>
            <w:pPr>
              <w:jc w:val="right"/>
              <w:ind w:right="53"/>
              <w:spacing w:after="0" w:line="202" w:lineRule="exact"/>
              <w:rPr>
                <w:sz w:val="20"/>
                <w:szCs w:val="20"/>
                <w:color w:val="auto"/>
              </w:rPr>
            </w:pPr>
            <w:r>
              <w:rPr>
                <w:rFonts w:ascii="Arial" w:cs="Arial" w:eastAsia="Arial" w:hAnsi="Arial"/>
                <w:sz w:val="18"/>
                <w:szCs w:val="18"/>
                <w:color w:val="auto"/>
              </w:rPr>
              <w:t>16</w:t>
            </w:r>
          </w:p>
        </w:tc>
        <w:tc>
          <w:tcPr>
            <w:tcW w:w="220" w:type="dxa"/>
            <w:vAlign w:val="bottom"/>
            <w:shd w:val="clear" w:color="auto" w:fill="E6E7E7"/>
          </w:tcPr>
          <w:p>
            <w:pPr>
              <w:spacing w:after="0"/>
              <w:rPr>
                <w:sz w:val="17"/>
                <w:szCs w:val="17"/>
                <w:color w:val="auto"/>
              </w:rPr>
            </w:pPr>
          </w:p>
        </w:tc>
        <w:tc>
          <w:tcPr>
            <w:tcW w:w="820" w:type="dxa"/>
            <w:vAlign w:val="bottom"/>
            <w:shd w:val="clear" w:color="auto" w:fill="E6E7E7"/>
          </w:tcPr>
          <w:p>
            <w:pPr>
              <w:jc w:val="right"/>
              <w:ind w:right="215"/>
              <w:spacing w:after="0" w:line="202" w:lineRule="exact"/>
              <w:rPr>
                <w:sz w:val="20"/>
                <w:szCs w:val="20"/>
                <w:color w:val="auto"/>
              </w:rPr>
            </w:pPr>
            <w:r>
              <w:rPr>
                <w:rFonts w:ascii="Arial" w:cs="Arial" w:eastAsia="Arial" w:hAnsi="Arial"/>
                <w:sz w:val="18"/>
                <w:szCs w:val="18"/>
                <w:b w:val="1"/>
                <w:bCs w:val="1"/>
                <w:color w:val="auto"/>
              </w:rPr>
              <w:t>4</w:t>
            </w:r>
          </w:p>
        </w:tc>
        <w:tc>
          <w:tcPr>
            <w:tcW w:w="220" w:type="dxa"/>
            <w:vAlign w:val="bottom"/>
            <w:shd w:val="clear" w:color="auto" w:fill="E6E7E7"/>
          </w:tcPr>
          <w:p>
            <w:pPr>
              <w:spacing w:after="0"/>
              <w:rPr>
                <w:sz w:val="17"/>
                <w:szCs w:val="17"/>
                <w:color w:val="auto"/>
              </w:rPr>
            </w:pPr>
          </w:p>
        </w:tc>
        <w:tc>
          <w:tcPr>
            <w:tcW w:w="520" w:type="dxa"/>
            <w:vAlign w:val="bottom"/>
            <w:gridSpan w:val="2"/>
            <w:shd w:val="clear" w:color="auto" w:fill="E6E7E7"/>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420"/>
              <w:spacing w:after="0" w:line="202" w:lineRule="exact"/>
              <w:rPr>
                <w:sz w:val="20"/>
                <w:szCs w:val="20"/>
                <w:color w:val="auto"/>
              </w:rPr>
            </w:pPr>
            <w:r>
              <w:rPr>
                <w:rFonts w:ascii="Arial" w:cs="Arial" w:eastAsia="Arial" w:hAnsi="Arial"/>
                <w:sz w:val="18"/>
                <w:szCs w:val="18"/>
                <w:color w:val="auto"/>
              </w:rPr>
              <w:t>Benefits paid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2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1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(45)</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220" w:type="dxa"/>
            <w:vAlign w:val="bottom"/>
          </w:tcPr>
          <w:p>
            <w:pPr>
              <w:spacing w:after="0"/>
              <w:rPr>
                <w:sz w:val="17"/>
                <w:szCs w:val="17"/>
                <w:color w:val="auto"/>
              </w:rPr>
            </w:pPr>
          </w:p>
        </w:tc>
        <w:tc>
          <w:tcPr>
            <w:tcW w:w="82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(55)</w:t>
            </w:r>
          </w:p>
        </w:tc>
        <w:tc>
          <w:tcPr>
            <w:tcW w:w="220" w:type="dxa"/>
            <w:vAlign w:val="bottom"/>
          </w:tcPr>
          <w:p>
            <w:pPr>
              <w:spacing w:after="0"/>
              <w:rPr>
                <w:sz w:val="17"/>
                <w:szCs w:val="17"/>
                <w:color w:val="auto"/>
              </w:rPr>
            </w:pPr>
          </w:p>
        </w:tc>
        <w:tc>
          <w:tcPr>
            <w:tcW w:w="5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612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Settlements</w:t>
            </w:r>
          </w:p>
        </w:tc>
        <w:tc>
          <w:tcPr>
            <w:tcW w:w="20" w:type="dxa"/>
            <w:vAlign w:val="bottom"/>
            <w:shd w:val="clear" w:color="auto" w:fill="E6E7E7"/>
          </w:tcPr>
          <w:p>
            <w:pPr>
              <w:spacing w:after="0"/>
              <w:rPr>
                <w:sz w:val="17"/>
                <w:szCs w:val="17"/>
                <w:color w:val="auto"/>
              </w:rPr>
            </w:pPr>
          </w:p>
        </w:tc>
        <w:tc>
          <w:tcPr>
            <w:tcW w:w="80" w:type="dxa"/>
            <w:vAlign w:val="bottom"/>
            <w:shd w:val="clear" w:color="auto" w:fill="E6E7E7"/>
          </w:tcPr>
          <w:p>
            <w:pPr>
              <w:spacing w:after="0"/>
              <w:rPr>
                <w:sz w:val="17"/>
                <w:szCs w:val="17"/>
                <w:color w:val="auto"/>
              </w:rPr>
            </w:pPr>
          </w:p>
        </w:tc>
        <w:tc>
          <w:tcPr>
            <w:tcW w:w="5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w w:val="95"/>
              </w:rPr>
              <w:t>(119)</w:t>
            </w:r>
          </w:p>
        </w:tc>
        <w:tc>
          <w:tcPr>
            <w:tcW w:w="200" w:type="dxa"/>
            <w:vAlign w:val="bottom"/>
            <w:shd w:val="clear" w:color="auto" w:fill="E6E7E7"/>
          </w:tcPr>
          <w:p>
            <w:pPr>
              <w:spacing w:after="0"/>
              <w:rPr>
                <w:sz w:val="17"/>
                <w:szCs w:val="17"/>
                <w:color w:val="auto"/>
              </w:rPr>
            </w:pPr>
          </w:p>
        </w:tc>
        <w:tc>
          <w:tcPr>
            <w:tcW w:w="5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(12)</w:t>
            </w:r>
          </w:p>
        </w:tc>
        <w:tc>
          <w:tcPr>
            <w:tcW w:w="180" w:type="dxa"/>
            <w:vAlign w:val="bottom"/>
            <w:shd w:val="clear" w:color="auto" w:fill="E6E7E7"/>
          </w:tcPr>
          <w:p>
            <w:pPr>
              <w:spacing w:after="0"/>
              <w:rPr>
                <w:sz w:val="17"/>
                <w:szCs w:val="17"/>
                <w:color w:val="auto"/>
              </w:rPr>
            </w:pPr>
          </w:p>
        </w:tc>
        <w:tc>
          <w:tcPr>
            <w:tcW w:w="540" w:type="dxa"/>
            <w:vAlign w:val="bottom"/>
            <w:shd w:val="clear" w:color="auto" w:fill="E6E7E7"/>
          </w:tcPr>
          <w:p>
            <w:pPr>
              <w:jc w:val="right"/>
              <w:ind w:right="55"/>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E6E7E7"/>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7E7"/>
          </w:tcPr>
          <w:p>
            <w:pPr>
              <w:spacing w:after="0"/>
              <w:rPr>
                <w:sz w:val="17"/>
                <w:szCs w:val="17"/>
                <w:color w:val="auto"/>
              </w:rPr>
            </w:pPr>
          </w:p>
        </w:tc>
        <w:tc>
          <w:tcPr>
            <w:tcW w:w="820" w:type="dxa"/>
            <w:vAlign w:val="bottom"/>
            <w:shd w:val="clear" w:color="auto" w:fill="E6E7E7"/>
          </w:tcPr>
          <w:p>
            <w:pPr>
              <w:jc w:val="right"/>
              <w:ind w:right="215"/>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E6E7E7"/>
          </w:tcPr>
          <w:p>
            <w:pPr>
              <w:spacing w:after="0"/>
              <w:rPr>
                <w:sz w:val="17"/>
                <w:szCs w:val="17"/>
                <w:color w:val="auto"/>
              </w:rPr>
            </w:pPr>
          </w:p>
        </w:tc>
        <w:tc>
          <w:tcPr>
            <w:tcW w:w="580" w:type="dxa"/>
            <w:vAlign w:val="bottom"/>
            <w:gridSpan w:val="3"/>
            <w:shd w:val="clear" w:color="auto" w:fill="E6E7E7"/>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120" w:type="dxa"/>
            <w:vAlign w:val="bottom"/>
          </w:tcPr>
          <w:p>
            <w:pPr>
              <w:ind w:left="420"/>
              <w:spacing w:after="0" w:line="202" w:lineRule="exact"/>
              <w:rPr>
                <w:sz w:val="20"/>
                <w:szCs w:val="20"/>
                <w:color w:val="auto"/>
              </w:rPr>
            </w:pPr>
            <w:r>
              <w:rPr>
                <w:rFonts w:ascii="Arial" w:cs="Arial" w:eastAsia="Arial" w:hAnsi="Arial"/>
                <w:sz w:val="18"/>
                <w:szCs w:val="18"/>
                <w:color w:val="auto"/>
              </w:rPr>
              <w:t>Actuarial gain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5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4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18"/>
                <w:szCs w:val="18"/>
                <w:color w:val="auto"/>
              </w:rPr>
            </w:pPr>
          </w:p>
        </w:tc>
        <w:tc>
          <w:tcPr>
            <w:tcW w:w="5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612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Fair value of plan assets at end of year (FVPA)</w:t>
            </w:r>
          </w:p>
        </w:tc>
        <w:tc>
          <w:tcPr>
            <w:tcW w:w="20" w:type="dxa"/>
            <w:vAlign w:val="bottom"/>
            <w:shd w:val="clear" w:color="auto" w:fill="E6E7E7"/>
          </w:tcPr>
          <w:p>
            <w:pPr>
              <w:spacing w:after="0"/>
              <w:rPr>
                <w:sz w:val="17"/>
                <w:szCs w:val="17"/>
                <w:color w:val="auto"/>
              </w:rPr>
            </w:pPr>
          </w:p>
        </w:tc>
        <w:tc>
          <w:tcPr>
            <w:tcW w:w="80" w:type="dxa"/>
            <w:vAlign w:val="bottom"/>
            <w:tcBorders>
              <w:top w:val="single" w:sz="8" w:color="auto"/>
              <w:bottom w:val="single" w:sz="8" w:color="auto"/>
            </w:tcBorders>
            <w:shd w:val="clear" w:color="auto" w:fill="E6E7E7"/>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shd w:val="clear" w:color="auto" w:fill="E6E7E7"/>
          </w:tcPr>
          <w:p>
            <w:pPr>
              <w:jc w:val="right"/>
              <w:ind w:right="54"/>
              <w:spacing w:after="0" w:line="202" w:lineRule="exact"/>
              <w:rPr>
                <w:sz w:val="20"/>
                <w:szCs w:val="20"/>
                <w:color w:val="auto"/>
              </w:rPr>
            </w:pPr>
            <w:r>
              <w:rPr>
                <w:rFonts w:ascii="Arial" w:cs="Arial" w:eastAsia="Arial" w:hAnsi="Arial"/>
                <w:sz w:val="18"/>
                <w:szCs w:val="18"/>
                <w:b w:val="1"/>
                <w:bCs w:val="1"/>
                <w:color w:val="auto"/>
              </w:rPr>
              <w:t>796</w:t>
            </w:r>
          </w:p>
        </w:tc>
        <w:tc>
          <w:tcPr>
            <w:tcW w:w="200" w:type="dxa"/>
            <w:vAlign w:val="bottom"/>
            <w:tcBorders>
              <w:top w:val="single" w:sz="8" w:color="auto"/>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E6E7E7"/>
          </w:tcPr>
          <w:p>
            <w:pPr>
              <w:jc w:val="right"/>
              <w:ind w:right="53"/>
              <w:spacing w:after="0" w:line="202" w:lineRule="exact"/>
              <w:rPr>
                <w:sz w:val="20"/>
                <w:szCs w:val="20"/>
                <w:color w:val="auto"/>
              </w:rPr>
            </w:pPr>
            <w:r>
              <w:rPr>
                <w:rFonts w:ascii="Arial" w:cs="Arial" w:eastAsia="Arial" w:hAnsi="Arial"/>
                <w:sz w:val="18"/>
                <w:szCs w:val="18"/>
                <w:color w:val="auto"/>
              </w:rPr>
              <w:t>724</w:t>
            </w:r>
          </w:p>
        </w:tc>
        <w:tc>
          <w:tcPr>
            <w:tcW w:w="180" w:type="dxa"/>
            <w:vAlign w:val="bottom"/>
            <w:tcBorders>
              <w:top w:val="single" w:sz="8" w:color="auto"/>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shd w:val="clear" w:color="auto" w:fill="E6E7E7"/>
          </w:tcPr>
          <w:p>
            <w:pPr>
              <w:jc w:val="right"/>
              <w:ind w:right="55"/>
              <w:spacing w:after="0" w:line="202" w:lineRule="exact"/>
              <w:rPr>
                <w:sz w:val="20"/>
                <w:szCs w:val="20"/>
                <w:color w:val="auto"/>
              </w:rPr>
            </w:pPr>
            <w:r>
              <w:rPr>
                <w:rFonts w:ascii="Arial" w:cs="Arial" w:eastAsia="Arial" w:hAnsi="Arial"/>
                <w:sz w:val="18"/>
                <w:szCs w:val="18"/>
                <w:b w:val="1"/>
                <w:bCs w:val="1"/>
                <w:color w:val="auto"/>
              </w:rPr>
              <w:t>401</w:t>
            </w:r>
          </w:p>
        </w:tc>
        <w:tc>
          <w:tcPr>
            <w:tcW w:w="700" w:type="dxa"/>
            <w:vAlign w:val="bottom"/>
            <w:tcBorders>
              <w:top w:val="single" w:sz="8" w:color="auto"/>
              <w:bottom w:val="single" w:sz="8" w:color="auto"/>
            </w:tcBorders>
            <w:shd w:val="clear" w:color="auto" w:fill="E6E7E7"/>
          </w:tcPr>
          <w:p>
            <w:pPr>
              <w:jc w:val="right"/>
              <w:ind w:right="53"/>
              <w:spacing w:after="0" w:line="202" w:lineRule="exact"/>
              <w:rPr>
                <w:sz w:val="20"/>
                <w:szCs w:val="20"/>
                <w:color w:val="auto"/>
              </w:rPr>
            </w:pPr>
            <w:r>
              <w:rPr>
                <w:rFonts w:ascii="Arial" w:cs="Arial" w:eastAsia="Arial" w:hAnsi="Arial"/>
                <w:sz w:val="18"/>
                <w:szCs w:val="18"/>
                <w:color w:val="auto"/>
              </w:rPr>
              <w:t>$ 303</w:t>
            </w:r>
          </w:p>
        </w:tc>
        <w:tc>
          <w:tcPr>
            <w:tcW w:w="220" w:type="dxa"/>
            <w:vAlign w:val="bottom"/>
            <w:tcBorders>
              <w:top w:val="single" w:sz="8" w:color="auto"/>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E6E7E7"/>
          </w:tcPr>
          <w:p>
            <w:pPr>
              <w:jc w:val="right"/>
              <w:ind w:right="215"/>
              <w:spacing w:after="0" w:line="202" w:lineRule="exact"/>
              <w:rPr>
                <w:sz w:val="20"/>
                <w:szCs w:val="20"/>
                <w:color w:val="auto"/>
              </w:rPr>
            </w:pPr>
            <w:r>
              <w:rPr>
                <w:rFonts w:ascii="Arial" w:cs="Arial" w:eastAsia="Arial" w:hAnsi="Arial"/>
                <w:sz w:val="18"/>
                <w:szCs w:val="18"/>
                <w:b w:val="1"/>
                <w:bCs w:val="1"/>
                <w:color w:val="auto"/>
              </w:rPr>
              <w:t>1,566</w:t>
            </w:r>
          </w:p>
        </w:tc>
        <w:tc>
          <w:tcPr>
            <w:tcW w:w="220" w:type="dxa"/>
            <w:vAlign w:val="bottom"/>
            <w:tcBorders>
              <w:top w:val="single" w:sz="8" w:color="auto"/>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1,054</w:t>
            </w:r>
          </w:p>
        </w:tc>
        <w:tc>
          <w:tcPr>
            <w:tcW w:w="20" w:type="dxa"/>
            <w:vAlign w:val="bottom"/>
            <w:tcBorders>
              <w:top w:val="single" w:sz="8" w:color="auto"/>
              <w:bottom w:val="single" w:sz="8" w:color="auto"/>
            </w:tcBorders>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tcPr>
          <w:p>
            <w:pPr>
              <w:spacing w:after="0" w:line="196" w:lineRule="exact"/>
              <w:rPr>
                <w:sz w:val="20"/>
                <w:szCs w:val="20"/>
                <w:color w:val="auto"/>
              </w:rPr>
            </w:pPr>
            <w:r>
              <w:rPr>
                <w:rFonts w:ascii="Arial" w:cs="Arial" w:eastAsia="Arial" w:hAnsi="Arial"/>
                <w:sz w:val="18"/>
                <w:szCs w:val="18"/>
                <w:color w:val="auto"/>
              </w:rPr>
              <w:t>Funded status (FVPA–BO) at end of year</w:t>
            </w: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Pr>
          <w:p>
            <w:pPr>
              <w:jc w:val="right"/>
              <w:ind w:right="54"/>
              <w:spacing w:after="0" w:line="196" w:lineRule="exact"/>
              <w:rPr>
                <w:sz w:val="20"/>
                <w:szCs w:val="20"/>
                <w:color w:val="auto"/>
              </w:rPr>
            </w:pPr>
            <w:r>
              <w:rPr>
                <w:rFonts w:ascii="Arial" w:cs="Arial" w:eastAsia="Arial" w:hAnsi="Arial"/>
                <w:sz w:val="18"/>
                <w:szCs w:val="18"/>
                <w:b w:val="1"/>
                <w:bCs w:val="1"/>
                <w:color w:val="auto"/>
              </w:rPr>
              <w:t>8</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(43)</w:t>
            </w:r>
          </w:p>
        </w:tc>
        <w:tc>
          <w:tcPr>
            <w:tcW w:w="700" w:type="dxa"/>
            <w:vAlign w:val="bottom"/>
          </w:tcPr>
          <w:p>
            <w:pPr>
              <w:jc w:val="right"/>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(139)</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55"/>
              <w:spacing w:after="0" w:line="196" w:lineRule="exact"/>
              <w:rPr>
                <w:sz w:val="20"/>
                <w:szCs w:val="20"/>
                <w:color w:val="auto"/>
              </w:rPr>
            </w:pPr>
            <w:r>
              <w:rPr>
                <w:rFonts w:ascii="Arial" w:cs="Arial" w:eastAsia="Arial" w:hAnsi="Arial"/>
                <w:sz w:val="18"/>
                <w:szCs w:val="18"/>
                <w:b w:val="1"/>
                <w:bCs w:val="1"/>
                <w:color w:val="auto"/>
              </w:rPr>
              <w:t>(129)</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800" w:hanging="346"/>
        <w:spacing w:after="0"/>
        <w:tabs>
          <w:tab w:leader="none" w:pos="80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Includes $236 million contributed to non-U.S. plans in 2005 after the September 30 measurement date for those plans.</w:t>
      </w:r>
    </w:p>
    <w:p>
      <w:pPr>
        <w:sectPr>
          <w:pgSz w:w="11900" w:h="16838" w:orient="portrait"/>
          <w:cols w:equalWidth="0" w:num="1">
            <w:col w:w="11140"/>
          </w:cols>
          <w:pgMar w:left="240" w:top="287" w:right="519" w:bottom="1440" w:gutter="0" w:footer="0" w:header="0"/>
        </w:sectPr>
      </w:pPr>
    </w:p>
    <w:bookmarkStart w:id="78" w:name="page79"/>
    <w:bookmarkEnd w:id="78"/>
    <w:p>
      <w:pPr>
        <w:jc w:val="right"/>
        <w:spacing w:after="0"/>
        <w:tabs>
          <w:tab w:leader="none" w:pos="12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2006 ANNUAL REPORT</w:t>
      </w:r>
      <w:r>
        <w:rPr>
          <w:sz w:val="20"/>
          <w:szCs w:val="20"/>
          <w:color w:val="auto"/>
        </w:rPr>
        <w:tab/>
      </w:r>
      <w:r>
        <w:rPr>
          <w:rFonts w:ascii="Arial" w:cs="Arial" w:eastAsia="Arial" w:hAnsi="Arial"/>
          <w:sz w:val="12"/>
          <w:szCs w:val="12"/>
          <w:color w:val="939598"/>
        </w:rPr>
        <w:t>29</w:t>
      </w:r>
    </w:p>
    <w:p>
      <w:pPr>
        <w:spacing w:after="0" w:line="14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Amounts recognized on the balance sheet as of December 31, 2006, under SFAS 158: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shd w:val="clear" w:color="auto" w:fill="939598"/>
          </w:tcPr>
          <w:p>
            <w:pPr>
              <w:spacing w:after="0"/>
              <w:rPr>
                <w:sz w:val="14"/>
                <w:szCs w:val="14"/>
                <w:color w:val="auto"/>
              </w:rPr>
            </w:pPr>
          </w:p>
        </w:tc>
        <w:tc>
          <w:tcPr>
            <w:tcW w:w="1980" w:type="dxa"/>
            <w:vAlign w:val="bottom"/>
            <w:shd w:val="clear" w:color="auto" w:fill="939598"/>
          </w:tcPr>
          <w:p>
            <w:pPr>
              <w:spacing w:after="0"/>
              <w:rPr>
                <w:sz w:val="14"/>
                <w:szCs w:val="14"/>
                <w:color w:val="auto"/>
              </w:rPr>
            </w:pPr>
          </w:p>
        </w:tc>
        <w:tc>
          <w:tcPr>
            <w:tcW w:w="100" w:type="dxa"/>
            <w:vAlign w:val="bottom"/>
            <w:shd w:val="clear" w:color="auto" w:fill="939598"/>
          </w:tcPr>
          <w:p>
            <w:pPr>
              <w:spacing w:after="0"/>
              <w:rPr>
                <w:sz w:val="14"/>
                <w:szCs w:val="14"/>
                <w:color w:val="auto"/>
              </w:rPr>
            </w:pPr>
          </w:p>
        </w:tc>
        <w:tc>
          <w:tcPr>
            <w:tcW w:w="640" w:type="dxa"/>
            <w:vAlign w:val="bottom"/>
            <w:shd w:val="clear" w:color="auto" w:fill="939598"/>
          </w:tcPr>
          <w:p>
            <w:pPr>
              <w:spacing w:after="0"/>
              <w:rPr>
                <w:sz w:val="14"/>
                <w:szCs w:val="14"/>
                <w:color w:val="auto"/>
              </w:rPr>
            </w:pPr>
          </w:p>
        </w:tc>
        <w:tc>
          <w:tcPr>
            <w:tcW w:w="200" w:type="dxa"/>
            <w:vAlign w:val="bottom"/>
            <w:shd w:val="clear" w:color="auto" w:fill="939598"/>
          </w:tcPr>
          <w:p>
            <w:pPr>
              <w:spacing w:after="0"/>
              <w:rPr>
                <w:sz w:val="14"/>
                <w:szCs w:val="14"/>
                <w:color w:val="auto"/>
              </w:rPr>
            </w:pPr>
          </w:p>
        </w:tc>
        <w:tc>
          <w:tcPr>
            <w:tcW w:w="600" w:type="dxa"/>
            <w:vAlign w:val="bottom"/>
            <w:shd w:val="clear" w:color="auto" w:fill="939598"/>
          </w:tcPr>
          <w:p>
            <w:pPr>
              <w:jc w:val="right"/>
              <w:ind w:right="243"/>
              <w:spacing w:after="0"/>
              <w:rPr>
                <w:sz w:val="20"/>
                <w:szCs w:val="20"/>
                <w:color w:val="auto"/>
              </w:rPr>
            </w:pPr>
            <w:r>
              <w:rPr>
                <w:rFonts w:ascii="Arial" w:cs="Arial" w:eastAsia="Arial" w:hAnsi="Arial"/>
                <w:sz w:val="14"/>
                <w:szCs w:val="14"/>
                <w:b w:val="1"/>
                <w:bCs w:val="1"/>
                <w:color w:val="FFFFFF"/>
                <w:w w:val="95"/>
              </w:rPr>
              <w:t>U.S.</w:t>
            </w:r>
          </w:p>
        </w:tc>
        <w:tc>
          <w:tcPr>
            <w:tcW w:w="220" w:type="dxa"/>
            <w:vAlign w:val="bottom"/>
            <w:shd w:val="clear" w:color="auto" w:fill="939598"/>
          </w:tcPr>
          <w:p>
            <w:pPr>
              <w:spacing w:after="0"/>
              <w:rPr>
                <w:sz w:val="14"/>
                <w:szCs w:val="14"/>
                <w:color w:val="auto"/>
              </w:rPr>
            </w:pPr>
          </w:p>
        </w:tc>
        <w:tc>
          <w:tcPr>
            <w:tcW w:w="720" w:type="dxa"/>
            <w:vAlign w:val="bottom"/>
            <w:shd w:val="clear" w:color="auto" w:fill="939598"/>
          </w:tcPr>
          <w:p>
            <w:pPr>
              <w:spacing w:after="0"/>
              <w:rPr>
                <w:sz w:val="14"/>
                <w:szCs w:val="14"/>
                <w:color w:val="auto"/>
              </w:rPr>
            </w:pPr>
          </w:p>
        </w:tc>
        <w:tc>
          <w:tcPr>
            <w:tcW w:w="260" w:type="dxa"/>
            <w:vAlign w:val="bottom"/>
            <w:shd w:val="clear" w:color="auto" w:fill="939598"/>
          </w:tcPr>
          <w:p>
            <w:pPr>
              <w:spacing w:after="0"/>
              <w:rPr>
                <w:sz w:val="14"/>
                <w:szCs w:val="14"/>
                <w:color w:val="auto"/>
              </w:rPr>
            </w:pPr>
          </w:p>
        </w:tc>
        <w:tc>
          <w:tcPr>
            <w:tcW w:w="480" w:type="dxa"/>
            <w:vAlign w:val="bottom"/>
            <w:shd w:val="clear" w:color="auto" w:fill="939598"/>
          </w:tcPr>
          <w:p>
            <w:pPr>
              <w:spacing w:after="0"/>
              <w:rPr>
                <w:sz w:val="14"/>
                <w:szCs w:val="14"/>
                <w:color w:val="auto"/>
              </w:rPr>
            </w:pPr>
          </w:p>
        </w:tc>
        <w:tc>
          <w:tcPr>
            <w:tcW w:w="20" w:type="dxa"/>
            <w:vAlign w:val="bottom"/>
            <w:shd w:val="clear" w:color="auto" w:fill="939598"/>
          </w:tcPr>
          <w:p>
            <w:pPr>
              <w:spacing w:after="0"/>
              <w:rPr>
                <w:sz w:val="14"/>
                <w:szCs w:val="14"/>
                <w:color w:val="auto"/>
              </w:rPr>
            </w:pPr>
          </w:p>
        </w:tc>
        <w:tc>
          <w:tcPr>
            <w:tcW w:w="60" w:type="dxa"/>
            <w:vAlign w:val="bottom"/>
            <w:shd w:val="clear" w:color="auto" w:fill="939598"/>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939598"/>
          </w:tcPr>
          <w:p>
            <w:pPr>
              <w:spacing w:after="0"/>
              <w:rPr>
                <w:sz w:val="12"/>
                <w:szCs w:val="12"/>
                <w:color w:val="auto"/>
              </w:rPr>
            </w:pPr>
          </w:p>
        </w:tc>
        <w:tc>
          <w:tcPr>
            <w:tcW w:w="1980" w:type="dxa"/>
            <w:vAlign w:val="bottom"/>
            <w:shd w:val="clear" w:color="auto" w:fill="939598"/>
          </w:tcPr>
          <w:p>
            <w:pPr>
              <w:spacing w:after="0"/>
              <w:rPr>
                <w:sz w:val="12"/>
                <w:szCs w:val="12"/>
                <w:color w:val="auto"/>
              </w:rPr>
            </w:pPr>
          </w:p>
        </w:tc>
        <w:tc>
          <w:tcPr>
            <w:tcW w:w="100" w:type="dxa"/>
            <w:vAlign w:val="bottom"/>
            <w:shd w:val="clear" w:color="auto" w:fill="939598"/>
          </w:tcPr>
          <w:p>
            <w:pPr>
              <w:spacing w:after="0"/>
              <w:rPr>
                <w:sz w:val="12"/>
                <w:szCs w:val="12"/>
                <w:color w:val="auto"/>
              </w:rPr>
            </w:pPr>
          </w:p>
        </w:tc>
        <w:tc>
          <w:tcPr>
            <w:tcW w:w="640" w:type="dxa"/>
            <w:vAlign w:val="bottom"/>
            <w:shd w:val="clear" w:color="auto" w:fill="939598"/>
          </w:tcPr>
          <w:p>
            <w:pPr>
              <w:jc w:val="right"/>
              <w:ind w:right="282"/>
              <w:spacing w:after="0" w:line="149" w:lineRule="exact"/>
              <w:rPr>
                <w:sz w:val="20"/>
                <w:szCs w:val="20"/>
                <w:color w:val="auto"/>
              </w:rPr>
            </w:pPr>
            <w:r>
              <w:rPr>
                <w:rFonts w:ascii="Arial" w:cs="Arial" w:eastAsia="Arial" w:hAnsi="Arial"/>
                <w:sz w:val="14"/>
                <w:szCs w:val="14"/>
                <w:b w:val="1"/>
                <w:bCs w:val="1"/>
                <w:color w:val="FFFFFF"/>
                <w:w w:val="95"/>
              </w:rPr>
              <w:t>U.S.</w:t>
            </w:r>
          </w:p>
        </w:tc>
        <w:tc>
          <w:tcPr>
            <w:tcW w:w="800" w:type="dxa"/>
            <w:vAlign w:val="bottom"/>
            <w:gridSpan w:val="2"/>
            <w:shd w:val="clear" w:color="auto" w:fill="939598"/>
          </w:tcPr>
          <w:p>
            <w:pPr>
              <w:ind w:left="120"/>
              <w:spacing w:after="0" w:line="149" w:lineRule="exact"/>
              <w:rPr>
                <w:sz w:val="20"/>
                <w:szCs w:val="20"/>
                <w:color w:val="auto"/>
              </w:rPr>
            </w:pPr>
            <w:r>
              <w:rPr>
                <w:rFonts w:ascii="Arial" w:cs="Arial" w:eastAsia="Arial" w:hAnsi="Arial"/>
                <w:sz w:val="14"/>
                <w:szCs w:val="14"/>
                <w:b w:val="1"/>
                <w:bCs w:val="1"/>
                <w:color w:val="FFFFFF"/>
              </w:rPr>
              <w:t>Retiree</w:t>
            </w:r>
          </w:p>
        </w:tc>
        <w:tc>
          <w:tcPr>
            <w:tcW w:w="940" w:type="dxa"/>
            <w:vAlign w:val="bottom"/>
            <w:gridSpan w:val="2"/>
            <w:shd w:val="clear" w:color="auto" w:fill="939598"/>
          </w:tcPr>
          <w:p>
            <w:pPr>
              <w:ind w:left="140"/>
              <w:spacing w:after="0" w:line="149" w:lineRule="exact"/>
              <w:rPr>
                <w:sz w:val="20"/>
                <w:szCs w:val="20"/>
                <w:color w:val="auto"/>
              </w:rPr>
            </w:pPr>
            <w:r>
              <w:rPr>
                <w:rFonts w:ascii="Arial" w:cs="Arial" w:eastAsia="Arial" w:hAnsi="Arial"/>
                <w:sz w:val="14"/>
                <w:szCs w:val="14"/>
                <w:b w:val="1"/>
                <w:bCs w:val="1"/>
                <w:color w:val="FFFFFF"/>
              </w:rPr>
              <w:t>Non-U.S.</w:t>
            </w:r>
          </w:p>
        </w:tc>
        <w:tc>
          <w:tcPr>
            <w:tcW w:w="260" w:type="dxa"/>
            <w:vAlign w:val="bottom"/>
            <w:shd w:val="clear" w:color="auto" w:fill="939598"/>
          </w:tcPr>
          <w:p>
            <w:pPr>
              <w:spacing w:after="0"/>
              <w:rPr>
                <w:sz w:val="12"/>
                <w:szCs w:val="12"/>
                <w:color w:val="auto"/>
              </w:rPr>
            </w:pPr>
          </w:p>
        </w:tc>
        <w:tc>
          <w:tcPr>
            <w:tcW w:w="480" w:type="dxa"/>
            <w:vAlign w:val="bottom"/>
            <w:shd w:val="clear" w:color="auto" w:fill="939598"/>
          </w:tcPr>
          <w:p>
            <w:pPr>
              <w:spacing w:after="0"/>
              <w:rPr>
                <w:sz w:val="12"/>
                <w:szCs w:val="12"/>
                <w:color w:val="auto"/>
              </w:rPr>
            </w:pPr>
          </w:p>
        </w:tc>
        <w:tc>
          <w:tcPr>
            <w:tcW w:w="20" w:type="dxa"/>
            <w:vAlign w:val="bottom"/>
            <w:shd w:val="clear" w:color="auto" w:fill="939598"/>
          </w:tcPr>
          <w:p>
            <w:pPr>
              <w:spacing w:after="0"/>
              <w:rPr>
                <w:sz w:val="12"/>
                <w:szCs w:val="12"/>
                <w:color w:val="auto"/>
              </w:rPr>
            </w:pPr>
          </w:p>
        </w:tc>
        <w:tc>
          <w:tcPr>
            <w:tcW w:w="60" w:type="dxa"/>
            <w:vAlign w:val="bottom"/>
            <w:shd w:val="clear" w:color="auto" w:fill="93959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939598"/>
          </w:tcPr>
          <w:p>
            <w:pPr>
              <w:spacing w:after="0"/>
              <w:rPr>
                <w:sz w:val="12"/>
                <w:szCs w:val="12"/>
                <w:color w:val="auto"/>
              </w:rPr>
            </w:pPr>
          </w:p>
        </w:tc>
        <w:tc>
          <w:tcPr>
            <w:tcW w:w="2720" w:type="dxa"/>
            <w:vAlign w:val="bottom"/>
            <w:gridSpan w:val="3"/>
            <w:shd w:val="clear" w:color="auto" w:fill="939598"/>
          </w:tcPr>
          <w:p>
            <w:pPr>
              <w:ind w:left="1980"/>
              <w:spacing w:after="0" w:line="149" w:lineRule="exact"/>
              <w:rPr>
                <w:sz w:val="20"/>
                <w:szCs w:val="20"/>
                <w:color w:val="auto"/>
              </w:rPr>
            </w:pPr>
            <w:r>
              <w:rPr>
                <w:rFonts w:ascii="Arial" w:cs="Arial" w:eastAsia="Arial" w:hAnsi="Arial"/>
                <w:sz w:val="14"/>
                <w:szCs w:val="14"/>
                <w:b w:val="1"/>
                <w:bCs w:val="1"/>
                <w:color w:val="FFFFFF"/>
              </w:rPr>
              <w:t>Defined</w:t>
            </w:r>
          </w:p>
        </w:tc>
        <w:tc>
          <w:tcPr>
            <w:tcW w:w="800" w:type="dxa"/>
            <w:vAlign w:val="bottom"/>
            <w:gridSpan w:val="2"/>
            <w:shd w:val="clear" w:color="auto" w:fill="939598"/>
          </w:tcPr>
          <w:p>
            <w:pPr>
              <w:ind w:left="140"/>
              <w:spacing w:after="0" w:line="149" w:lineRule="exact"/>
              <w:rPr>
                <w:sz w:val="20"/>
                <w:szCs w:val="20"/>
                <w:color w:val="auto"/>
              </w:rPr>
            </w:pPr>
            <w:r>
              <w:rPr>
                <w:rFonts w:ascii="Arial" w:cs="Arial" w:eastAsia="Arial" w:hAnsi="Arial"/>
                <w:sz w:val="14"/>
                <w:szCs w:val="14"/>
                <w:b w:val="1"/>
                <w:bCs w:val="1"/>
                <w:color w:val="FFFFFF"/>
              </w:rPr>
              <w:t>Health</w:t>
            </w:r>
          </w:p>
        </w:tc>
        <w:tc>
          <w:tcPr>
            <w:tcW w:w="940" w:type="dxa"/>
            <w:vAlign w:val="bottom"/>
            <w:gridSpan w:val="2"/>
            <w:shd w:val="clear" w:color="auto" w:fill="939598"/>
          </w:tcPr>
          <w:p>
            <w:pPr>
              <w:jc w:val="right"/>
              <w:ind w:right="181"/>
              <w:spacing w:after="0" w:line="149" w:lineRule="exact"/>
              <w:rPr>
                <w:sz w:val="20"/>
                <w:szCs w:val="20"/>
                <w:color w:val="auto"/>
              </w:rPr>
            </w:pPr>
            <w:r>
              <w:rPr>
                <w:rFonts w:ascii="Arial" w:cs="Arial" w:eastAsia="Arial" w:hAnsi="Arial"/>
                <w:sz w:val="14"/>
                <w:szCs w:val="14"/>
                <w:b w:val="1"/>
                <w:bCs w:val="1"/>
                <w:color w:val="FFFFFF"/>
              </w:rPr>
              <w:t>Defined</w:t>
            </w:r>
          </w:p>
        </w:tc>
        <w:tc>
          <w:tcPr>
            <w:tcW w:w="260" w:type="dxa"/>
            <w:vAlign w:val="bottom"/>
            <w:shd w:val="clear" w:color="auto" w:fill="939598"/>
          </w:tcPr>
          <w:p>
            <w:pPr>
              <w:spacing w:after="0"/>
              <w:rPr>
                <w:sz w:val="12"/>
                <w:szCs w:val="12"/>
                <w:color w:val="auto"/>
              </w:rPr>
            </w:pPr>
          </w:p>
        </w:tc>
        <w:tc>
          <w:tcPr>
            <w:tcW w:w="480" w:type="dxa"/>
            <w:vAlign w:val="bottom"/>
            <w:shd w:val="clear" w:color="auto" w:fill="939598"/>
          </w:tcPr>
          <w:p>
            <w:pPr>
              <w:spacing w:after="0"/>
              <w:rPr>
                <w:sz w:val="12"/>
                <w:szCs w:val="12"/>
                <w:color w:val="auto"/>
              </w:rPr>
            </w:pPr>
          </w:p>
        </w:tc>
        <w:tc>
          <w:tcPr>
            <w:tcW w:w="20" w:type="dxa"/>
            <w:vAlign w:val="bottom"/>
            <w:shd w:val="clear" w:color="auto" w:fill="939598"/>
          </w:tcPr>
          <w:p>
            <w:pPr>
              <w:spacing w:after="0"/>
              <w:rPr>
                <w:sz w:val="12"/>
                <w:szCs w:val="12"/>
                <w:color w:val="auto"/>
              </w:rPr>
            </w:pPr>
          </w:p>
        </w:tc>
        <w:tc>
          <w:tcPr>
            <w:tcW w:w="60" w:type="dxa"/>
            <w:vAlign w:val="bottom"/>
            <w:shd w:val="clear" w:color="auto" w:fill="939598"/>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420" w:type="dxa"/>
            <w:vAlign w:val="bottom"/>
            <w:shd w:val="clear" w:color="auto" w:fill="939598"/>
          </w:tcPr>
          <w:p>
            <w:pPr>
              <w:spacing w:after="0"/>
              <w:rPr>
                <w:sz w:val="14"/>
                <w:szCs w:val="14"/>
                <w:color w:val="auto"/>
              </w:rPr>
            </w:pPr>
          </w:p>
        </w:tc>
        <w:tc>
          <w:tcPr>
            <w:tcW w:w="1980" w:type="dxa"/>
            <w:vAlign w:val="bottom"/>
            <w:shd w:val="clear" w:color="auto" w:fill="939598"/>
          </w:tcPr>
          <w:p>
            <w:pPr>
              <w:spacing w:after="0"/>
              <w:rPr>
                <w:sz w:val="14"/>
                <w:szCs w:val="14"/>
                <w:color w:val="auto"/>
              </w:rPr>
            </w:pPr>
          </w:p>
        </w:tc>
        <w:tc>
          <w:tcPr>
            <w:tcW w:w="740" w:type="dxa"/>
            <w:vAlign w:val="bottom"/>
            <w:gridSpan w:val="2"/>
            <w:shd w:val="clear" w:color="auto" w:fill="939598"/>
          </w:tcPr>
          <w:p>
            <w:pPr>
              <w:ind w:left="20"/>
              <w:spacing w:after="0"/>
              <w:rPr>
                <w:sz w:val="20"/>
                <w:szCs w:val="20"/>
                <w:color w:val="auto"/>
              </w:rPr>
            </w:pPr>
            <w:r>
              <w:rPr>
                <w:rFonts w:ascii="Arial" w:cs="Arial" w:eastAsia="Arial" w:hAnsi="Arial"/>
                <w:sz w:val="14"/>
                <w:szCs w:val="14"/>
                <w:b w:val="1"/>
                <w:bCs w:val="1"/>
                <w:color w:val="FFFFFF"/>
              </w:rPr>
              <w:t>Benefit</w:t>
            </w:r>
          </w:p>
        </w:tc>
        <w:tc>
          <w:tcPr>
            <w:tcW w:w="800" w:type="dxa"/>
            <w:vAlign w:val="bottom"/>
            <w:gridSpan w:val="2"/>
            <w:shd w:val="clear" w:color="auto" w:fill="939598"/>
          </w:tcPr>
          <w:p>
            <w:pPr>
              <w:jc w:val="right"/>
              <w:ind w:right="223"/>
              <w:spacing w:after="0"/>
              <w:rPr>
                <w:sz w:val="20"/>
                <w:szCs w:val="20"/>
                <w:color w:val="auto"/>
              </w:rPr>
            </w:pPr>
            <w:r>
              <w:rPr>
                <w:rFonts w:ascii="Arial" w:cs="Arial" w:eastAsia="Arial" w:hAnsi="Arial"/>
                <w:sz w:val="14"/>
                <w:szCs w:val="14"/>
                <w:b w:val="1"/>
                <w:bCs w:val="1"/>
                <w:color w:val="FFFFFF"/>
              </w:rPr>
              <w:t>Care</w:t>
            </w:r>
          </w:p>
        </w:tc>
        <w:tc>
          <w:tcPr>
            <w:tcW w:w="940" w:type="dxa"/>
            <w:vAlign w:val="bottom"/>
            <w:gridSpan w:val="2"/>
            <w:shd w:val="clear" w:color="auto" w:fill="939598"/>
          </w:tcPr>
          <w:p>
            <w:pPr>
              <w:jc w:val="right"/>
              <w:ind w:right="201"/>
              <w:spacing w:after="0"/>
              <w:rPr>
                <w:sz w:val="20"/>
                <w:szCs w:val="20"/>
                <w:color w:val="auto"/>
              </w:rPr>
            </w:pPr>
            <w:r>
              <w:rPr>
                <w:rFonts w:ascii="Arial" w:cs="Arial" w:eastAsia="Arial" w:hAnsi="Arial"/>
                <w:sz w:val="14"/>
                <w:szCs w:val="14"/>
                <w:b w:val="1"/>
                <w:bCs w:val="1"/>
                <w:color w:val="FFFFFF"/>
              </w:rPr>
              <w:t>Benefit</w:t>
            </w:r>
          </w:p>
        </w:tc>
        <w:tc>
          <w:tcPr>
            <w:tcW w:w="260" w:type="dxa"/>
            <w:vAlign w:val="bottom"/>
            <w:shd w:val="clear" w:color="auto" w:fill="939598"/>
          </w:tcPr>
          <w:p>
            <w:pPr>
              <w:spacing w:after="0"/>
              <w:rPr>
                <w:sz w:val="14"/>
                <w:szCs w:val="14"/>
                <w:color w:val="auto"/>
              </w:rPr>
            </w:pPr>
          </w:p>
        </w:tc>
        <w:tc>
          <w:tcPr>
            <w:tcW w:w="560" w:type="dxa"/>
            <w:vAlign w:val="bottom"/>
            <w:gridSpan w:val="3"/>
            <w:shd w:val="clear" w:color="auto" w:fill="939598"/>
          </w:tcPr>
          <w:p>
            <w:pPr>
              <w:jc w:val="right"/>
              <w:ind w:right="220"/>
              <w:spacing w:after="0"/>
              <w:rPr>
                <w:sz w:val="20"/>
                <w:szCs w:val="20"/>
                <w:color w:val="auto"/>
              </w:rPr>
            </w:pPr>
            <w:r>
              <w:rPr>
                <w:rFonts w:ascii="Arial" w:cs="Arial" w:eastAsia="Arial" w:hAnsi="Arial"/>
                <w:sz w:val="14"/>
                <w:szCs w:val="14"/>
                <w:b w:val="1"/>
                <w:bCs w:val="1"/>
                <w:color w:val="FFFFFF"/>
                <w:w w:val="95"/>
              </w:rPr>
              <w:t>Total</w:t>
            </w:r>
          </w:p>
        </w:tc>
        <w:tc>
          <w:tcPr>
            <w:tcW w:w="0" w:type="dxa"/>
            <w:vAlign w:val="bottom"/>
          </w:tcPr>
          <w:p>
            <w:pPr>
              <w:spacing w:after="0"/>
              <w:rPr>
                <w:sz w:val="1"/>
                <w:szCs w:val="1"/>
                <w:color w:val="auto"/>
              </w:rPr>
            </w:pPr>
          </w:p>
        </w:tc>
      </w:tr>
      <w:tr>
        <w:trPr>
          <w:trHeight w:val="270"/>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Overfunded retirement plans</w:t>
            </w:r>
          </w:p>
        </w:tc>
        <w:tc>
          <w:tcPr>
            <w:tcW w:w="2080" w:type="dxa"/>
            <w:vAlign w:val="bottom"/>
            <w:gridSpan w:val="2"/>
          </w:tcPr>
          <w:p>
            <w:pPr>
              <w:ind w:left="198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ind w:right="162"/>
              <w:spacing w:after="0"/>
              <w:rPr>
                <w:sz w:val="20"/>
                <w:szCs w:val="20"/>
                <w:color w:val="auto"/>
              </w:rPr>
            </w:pPr>
            <w:r>
              <w:rPr>
                <w:rFonts w:ascii="Arial" w:cs="Arial" w:eastAsia="Arial" w:hAnsi="Arial"/>
                <w:sz w:val="18"/>
                <w:szCs w:val="18"/>
                <w:b w:val="1"/>
                <w:bCs w:val="1"/>
                <w:color w:val="auto"/>
              </w:rPr>
              <w:t>42</w:t>
            </w:r>
          </w:p>
        </w:tc>
        <w:tc>
          <w:tcPr>
            <w:tcW w:w="200" w:type="dxa"/>
            <w:vAlign w:val="bottom"/>
          </w:tcPr>
          <w:p>
            <w:pPr>
              <w:ind w:left="12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ind w:right="143"/>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ind w:right="141"/>
              <w:spacing w:after="0"/>
              <w:rPr>
                <w:sz w:val="20"/>
                <w:szCs w:val="20"/>
                <w:color w:val="auto"/>
              </w:rPr>
            </w:pPr>
            <w:r>
              <w:rPr>
                <w:rFonts w:ascii="Arial" w:cs="Arial" w:eastAsia="Arial" w:hAnsi="Arial"/>
                <w:sz w:val="18"/>
                <w:szCs w:val="18"/>
                <w:b w:val="1"/>
                <w:bCs w:val="1"/>
                <w:color w:val="auto"/>
              </w:rPr>
              <w:t>16</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58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E6E7E7"/>
          </w:tcPr>
          <w:p>
            <w:pPr>
              <w:spacing w:after="0" w:line="202" w:lineRule="exact"/>
              <w:rPr>
                <w:sz w:val="20"/>
                <w:szCs w:val="20"/>
                <w:color w:val="auto"/>
              </w:rPr>
            </w:pPr>
            <w:r>
              <w:rPr>
                <w:rFonts w:ascii="Arial" w:cs="Arial" w:eastAsia="Arial" w:hAnsi="Arial"/>
                <w:sz w:val="18"/>
                <w:szCs w:val="18"/>
                <w:b w:val="1"/>
                <w:bCs w:val="1"/>
                <w:color w:val="auto"/>
              </w:rPr>
              <w:t>Accrued profit sharing and retirement</w:t>
            </w:r>
          </w:p>
        </w:tc>
        <w:tc>
          <w:tcPr>
            <w:tcW w:w="1980" w:type="dxa"/>
            <w:vAlign w:val="bottom"/>
            <w:shd w:val="clear" w:color="auto" w:fill="E6E7E7"/>
          </w:tcPr>
          <w:p>
            <w:pPr>
              <w:spacing w:after="0"/>
              <w:rPr>
                <w:sz w:val="17"/>
                <w:szCs w:val="17"/>
                <w:color w:val="auto"/>
              </w:rPr>
            </w:pPr>
          </w:p>
        </w:tc>
        <w:tc>
          <w:tcPr>
            <w:tcW w:w="100" w:type="dxa"/>
            <w:vAlign w:val="bottom"/>
            <w:shd w:val="clear" w:color="auto" w:fill="E6E7E7"/>
          </w:tcPr>
          <w:p>
            <w:pPr>
              <w:spacing w:after="0"/>
              <w:rPr>
                <w:sz w:val="17"/>
                <w:szCs w:val="17"/>
                <w:color w:val="auto"/>
              </w:rPr>
            </w:pPr>
          </w:p>
        </w:tc>
        <w:tc>
          <w:tcPr>
            <w:tcW w:w="640" w:type="dxa"/>
            <w:vAlign w:val="bottom"/>
            <w:shd w:val="clear" w:color="auto" w:fill="E6E7E7"/>
          </w:tcPr>
          <w:p>
            <w:pPr>
              <w:jc w:val="right"/>
              <w:ind w:right="102"/>
              <w:spacing w:after="0" w:line="202" w:lineRule="exact"/>
              <w:rPr>
                <w:sz w:val="20"/>
                <w:szCs w:val="20"/>
                <w:color w:val="auto"/>
              </w:rPr>
            </w:pPr>
            <w:r>
              <w:rPr>
                <w:rFonts w:ascii="Arial" w:cs="Arial" w:eastAsia="Arial" w:hAnsi="Arial"/>
                <w:sz w:val="18"/>
                <w:szCs w:val="18"/>
                <w:b w:val="1"/>
                <w:bCs w:val="1"/>
                <w:color w:val="auto"/>
              </w:rPr>
              <w:t>(4)</w:t>
            </w:r>
          </w:p>
        </w:tc>
        <w:tc>
          <w:tcPr>
            <w:tcW w:w="200" w:type="dxa"/>
            <w:vAlign w:val="bottom"/>
            <w:shd w:val="clear" w:color="auto" w:fill="E6E7E7"/>
          </w:tcPr>
          <w:p>
            <w:pPr>
              <w:spacing w:after="0"/>
              <w:rPr>
                <w:sz w:val="17"/>
                <w:szCs w:val="17"/>
                <w:color w:val="auto"/>
              </w:rPr>
            </w:pPr>
          </w:p>
        </w:tc>
        <w:tc>
          <w:tcPr>
            <w:tcW w:w="600" w:type="dxa"/>
            <w:vAlign w:val="bottom"/>
            <w:shd w:val="clear" w:color="auto" w:fill="E6E7E7"/>
          </w:tcPr>
          <w:p>
            <w:pPr>
              <w:jc w:val="right"/>
              <w:ind w:right="103"/>
              <w:spacing w:after="0" w:line="202" w:lineRule="exact"/>
              <w:rPr>
                <w:sz w:val="20"/>
                <w:szCs w:val="20"/>
                <w:color w:val="auto"/>
              </w:rPr>
            </w:pPr>
            <w:r>
              <w:rPr>
                <w:rFonts w:ascii="Arial" w:cs="Arial" w:eastAsia="Arial" w:hAnsi="Arial"/>
                <w:sz w:val="18"/>
                <w:szCs w:val="18"/>
                <w:b w:val="1"/>
                <w:bCs w:val="1"/>
                <w:color w:val="auto"/>
              </w:rPr>
              <w:t>(1)</w:t>
            </w:r>
          </w:p>
        </w:tc>
        <w:tc>
          <w:tcPr>
            <w:tcW w:w="220" w:type="dxa"/>
            <w:vAlign w:val="bottom"/>
            <w:shd w:val="clear" w:color="auto" w:fill="E6E7E7"/>
          </w:tcPr>
          <w:p>
            <w:pPr>
              <w:spacing w:after="0"/>
              <w:rPr>
                <w:sz w:val="17"/>
                <w:szCs w:val="17"/>
                <w:color w:val="auto"/>
              </w:rPr>
            </w:pPr>
          </w:p>
        </w:tc>
        <w:tc>
          <w:tcPr>
            <w:tcW w:w="720" w:type="dxa"/>
            <w:vAlign w:val="bottom"/>
            <w:shd w:val="clear" w:color="auto" w:fill="E6E7E7"/>
          </w:tcPr>
          <w:p>
            <w:pPr>
              <w:jc w:val="right"/>
              <w:ind w:right="81"/>
              <w:spacing w:after="0" w:line="202" w:lineRule="exact"/>
              <w:rPr>
                <w:sz w:val="20"/>
                <w:szCs w:val="20"/>
                <w:color w:val="auto"/>
              </w:rPr>
            </w:pPr>
            <w:r>
              <w:rPr>
                <w:rFonts w:ascii="Arial" w:cs="Arial" w:eastAsia="Arial" w:hAnsi="Arial"/>
                <w:sz w:val="18"/>
                <w:szCs w:val="18"/>
                <w:b w:val="1"/>
                <w:bCs w:val="1"/>
                <w:color w:val="auto"/>
              </w:rPr>
              <w:t>(9)</w:t>
            </w:r>
          </w:p>
        </w:tc>
        <w:tc>
          <w:tcPr>
            <w:tcW w:w="260" w:type="dxa"/>
            <w:vAlign w:val="bottom"/>
            <w:shd w:val="clear" w:color="auto" w:fill="E6E7E7"/>
          </w:tcPr>
          <w:p>
            <w:pPr>
              <w:spacing w:after="0"/>
              <w:rPr>
                <w:sz w:val="17"/>
                <w:szCs w:val="17"/>
                <w:color w:val="auto"/>
              </w:rPr>
            </w:pPr>
          </w:p>
        </w:tc>
        <w:tc>
          <w:tcPr>
            <w:tcW w:w="560" w:type="dxa"/>
            <w:vAlign w:val="bottom"/>
            <w:gridSpan w:val="3"/>
            <w:shd w:val="clear" w:color="auto" w:fill="E6E7E7"/>
          </w:tcPr>
          <w:p>
            <w:pPr>
              <w:jc w:val="right"/>
              <w:ind w:right="20"/>
              <w:spacing w:after="0" w:line="202" w:lineRule="exact"/>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spacing w:after="0" w:line="202" w:lineRule="exact"/>
              <w:rPr>
                <w:sz w:val="20"/>
                <w:szCs w:val="20"/>
                <w:color w:val="auto"/>
              </w:rPr>
            </w:pPr>
            <w:r>
              <w:rPr>
                <w:rFonts w:ascii="Arial" w:cs="Arial" w:eastAsia="Arial" w:hAnsi="Arial"/>
                <w:sz w:val="18"/>
                <w:szCs w:val="18"/>
                <w:b w:val="1"/>
                <w:bCs w:val="1"/>
                <w:color w:val="auto"/>
              </w:rPr>
              <w:t>Underfunded retirement plans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02"/>
              <w:spacing w:after="0" w:line="202" w:lineRule="exact"/>
              <w:rPr>
                <w:sz w:val="20"/>
                <w:szCs w:val="20"/>
                <w:color w:val="auto"/>
              </w:rPr>
            </w:pPr>
            <w:r>
              <w:rPr>
                <w:rFonts w:ascii="Arial" w:cs="Arial" w:eastAsia="Arial" w:hAnsi="Arial"/>
                <w:sz w:val="18"/>
                <w:szCs w:val="18"/>
                <w:b w:val="1"/>
                <w:bCs w:val="1"/>
                <w:color w:val="auto"/>
              </w:rPr>
              <w:t>(30)</w:t>
            </w:r>
          </w:p>
        </w:tc>
        <w:tc>
          <w:tcPr>
            <w:tcW w:w="200" w:type="dxa"/>
            <w:vAlign w:val="bottom"/>
          </w:tcPr>
          <w:p>
            <w:pPr>
              <w:spacing w:after="0"/>
              <w:rPr>
                <w:sz w:val="18"/>
                <w:szCs w:val="18"/>
                <w:color w:val="auto"/>
              </w:rPr>
            </w:pPr>
          </w:p>
        </w:tc>
        <w:tc>
          <w:tcPr>
            <w:tcW w:w="600" w:type="dxa"/>
            <w:vAlign w:val="bottom"/>
          </w:tcPr>
          <w:p>
            <w:pPr>
              <w:jc w:val="right"/>
              <w:ind w:right="103"/>
              <w:spacing w:after="0" w:line="202" w:lineRule="exact"/>
              <w:rPr>
                <w:sz w:val="20"/>
                <w:szCs w:val="20"/>
                <w:color w:val="auto"/>
              </w:rPr>
            </w:pPr>
            <w:r>
              <w:rPr>
                <w:rFonts w:ascii="Arial" w:cs="Arial" w:eastAsia="Arial" w:hAnsi="Arial"/>
                <w:sz w:val="18"/>
                <w:szCs w:val="18"/>
                <w:b w:val="1"/>
                <w:bCs w:val="1"/>
                <w:color w:val="auto"/>
              </w:rPr>
              <w:t>(42)</w:t>
            </w:r>
          </w:p>
        </w:tc>
        <w:tc>
          <w:tcPr>
            <w:tcW w:w="220" w:type="dxa"/>
            <w:vAlign w:val="bottom"/>
          </w:tcPr>
          <w:p>
            <w:pPr>
              <w:spacing w:after="0"/>
              <w:rPr>
                <w:sz w:val="18"/>
                <w:szCs w:val="18"/>
                <w:color w:val="auto"/>
              </w:rPr>
            </w:pPr>
          </w:p>
        </w:tc>
        <w:tc>
          <w:tcPr>
            <w:tcW w:w="720" w:type="dxa"/>
            <w:vAlign w:val="bottom"/>
          </w:tcPr>
          <w:p>
            <w:pPr>
              <w:jc w:val="right"/>
              <w:ind w:right="81"/>
              <w:spacing w:after="0" w:line="202" w:lineRule="exact"/>
              <w:rPr>
                <w:sz w:val="20"/>
                <w:szCs w:val="20"/>
                <w:color w:val="auto"/>
              </w:rPr>
            </w:pPr>
            <w:r>
              <w:rPr>
                <w:rFonts w:ascii="Arial" w:cs="Arial" w:eastAsia="Arial" w:hAnsi="Arial"/>
                <w:sz w:val="18"/>
                <w:szCs w:val="18"/>
                <w:b w:val="1"/>
                <w:bCs w:val="1"/>
                <w:color w:val="auto"/>
              </w:rPr>
              <w:t>(136)</w:t>
            </w:r>
          </w:p>
        </w:tc>
        <w:tc>
          <w:tcPr>
            <w:tcW w:w="260" w:type="dxa"/>
            <w:vAlign w:val="bottom"/>
          </w:tcPr>
          <w:p>
            <w:pPr>
              <w:spacing w:after="0"/>
              <w:rPr>
                <w:sz w:val="18"/>
                <w:szCs w:val="18"/>
                <w:color w:val="auto"/>
              </w:rPr>
            </w:pPr>
          </w:p>
        </w:tc>
        <w:tc>
          <w:tcPr>
            <w:tcW w:w="560" w:type="dxa"/>
            <w:vAlign w:val="bottom"/>
            <w:gridSpan w:val="3"/>
          </w:tcPr>
          <w:p>
            <w:pPr>
              <w:jc w:val="right"/>
              <w:ind w:right="20"/>
              <w:spacing w:after="0" w:line="202" w:lineRule="exact"/>
              <w:rPr>
                <w:sz w:val="20"/>
                <w:szCs w:val="20"/>
                <w:color w:val="auto"/>
              </w:rPr>
            </w:pPr>
            <w:r>
              <w:rPr>
                <w:rFonts w:ascii="Arial" w:cs="Arial" w:eastAsia="Arial" w:hAnsi="Arial"/>
                <w:sz w:val="18"/>
                <w:szCs w:val="18"/>
                <w:b w:val="1"/>
                <w:bCs w:val="1"/>
                <w:color w:val="auto"/>
              </w:rPr>
              <w:t>(208)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E6E7E7"/>
          </w:tcPr>
          <w:p>
            <w:pPr>
              <w:spacing w:after="0" w:line="202" w:lineRule="exact"/>
              <w:rPr>
                <w:sz w:val="20"/>
                <w:szCs w:val="20"/>
                <w:color w:val="auto"/>
              </w:rPr>
            </w:pPr>
            <w:r>
              <w:rPr>
                <w:rFonts w:ascii="Arial" w:cs="Arial" w:eastAsia="Arial" w:hAnsi="Arial"/>
                <w:sz w:val="18"/>
                <w:szCs w:val="18"/>
                <w:b w:val="1"/>
                <w:bCs w:val="1"/>
                <w:color w:val="auto"/>
              </w:rPr>
              <w:t>Funded status (FVPA – BO) at end of year</w:t>
            </w:r>
          </w:p>
        </w:tc>
        <w:tc>
          <w:tcPr>
            <w:tcW w:w="1980" w:type="dxa"/>
            <w:vAlign w:val="bottom"/>
            <w:shd w:val="clear" w:color="auto" w:fill="E6E7E7"/>
          </w:tcPr>
          <w:p>
            <w:pPr>
              <w:spacing w:after="0"/>
              <w:rPr>
                <w:sz w:val="17"/>
                <w:szCs w:val="17"/>
                <w:color w:val="auto"/>
              </w:rPr>
            </w:pPr>
          </w:p>
        </w:tc>
        <w:tc>
          <w:tcPr>
            <w:tcW w:w="100" w:type="dxa"/>
            <w:vAlign w:val="bottom"/>
            <w:tcBorders>
              <w:top w:val="single" w:sz="8" w:color="auto"/>
            </w:tcBorders>
            <w:shd w:val="clear" w:color="auto" w:fill="E6E7E7"/>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E6E7E7"/>
          </w:tcPr>
          <w:p>
            <w:pPr>
              <w:jc w:val="right"/>
              <w:ind w:right="162"/>
              <w:spacing w:after="0" w:line="202" w:lineRule="exact"/>
              <w:rPr>
                <w:sz w:val="20"/>
                <w:szCs w:val="20"/>
                <w:color w:val="auto"/>
              </w:rPr>
            </w:pPr>
            <w:r>
              <w:rPr>
                <w:rFonts w:ascii="Arial" w:cs="Arial" w:eastAsia="Arial" w:hAnsi="Arial"/>
                <w:sz w:val="18"/>
                <w:szCs w:val="18"/>
                <w:b w:val="1"/>
                <w:bCs w:val="1"/>
                <w:color w:val="auto"/>
              </w:rPr>
              <w:t>8</w:t>
            </w:r>
          </w:p>
        </w:tc>
        <w:tc>
          <w:tcPr>
            <w:tcW w:w="200" w:type="dxa"/>
            <w:vAlign w:val="bottom"/>
            <w:tcBorders>
              <w:top w:val="single" w:sz="8" w:color="auto"/>
            </w:tcBorders>
            <w:shd w:val="clear" w:color="auto" w:fill="E6E7E7"/>
          </w:tcPr>
          <w:p>
            <w:pPr>
              <w:ind w:left="12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E6E7E7"/>
          </w:tcPr>
          <w:p>
            <w:pPr>
              <w:jc w:val="right"/>
              <w:ind w:right="103"/>
              <w:spacing w:after="0" w:line="202" w:lineRule="exact"/>
              <w:rPr>
                <w:sz w:val="20"/>
                <w:szCs w:val="20"/>
                <w:color w:val="auto"/>
              </w:rPr>
            </w:pPr>
            <w:r>
              <w:rPr>
                <w:rFonts w:ascii="Arial" w:cs="Arial" w:eastAsia="Arial" w:hAnsi="Arial"/>
                <w:sz w:val="18"/>
                <w:szCs w:val="18"/>
                <w:b w:val="1"/>
                <w:bCs w:val="1"/>
                <w:color w:val="auto"/>
              </w:rPr>
              <w:t>(43)</w:t>
            </w:r>
          </w:p>
        </w:tc>
        <w:tc>
          <w:tcPr>
            <w:tcW w:w="220" w:type="dxa"/>
            <w:vAlign w:val="bottom"/>
            <w:tcBorders>
              <w:top w:val="single" w:sz="8" w:color="auto"/>
            </w:tcBorders>
            <w:shd w:val="clear" w:color="auto" w:fill="E6E7E7"/>
          </w:tcPr>
          <w:p>
            <w:pPr>
              <w:ind w:left="120"/>
              <w:spacing w:after="0" w:line="202" w:lineRule="exact"/>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E6E7E7"/>
          </w:tcPr>
          <w:p>
            <w:pPr>
              <w:jc w:val="right"/>
              <w:ind w:right="81"/>
              <w:spacing w:after="0" w:line="202" w:lineRule="exact"/>
              <w:rPr>
                <w:sz w:val="20"/>
                <w:szCs w:val="20"/>
                <w:color w:val="auto"/>
              </w:rPr>
            </w:pPr>
            <w:r>
              <w:rPr>
                <w:rFonts w:ascii="Arial" w:cs="Arial" w:eastAsia="Arial" w:hAnsi="Arial"/>
                <w:sz w:val="18"/>
                <w:szCs w:val="18"/>
                <w:b w:val="1"/>
                <w:bCs w:val="1"/>
                <w:color w:val="auto"/>
              </w:rPr>
              <w:t>(129)</w:t>
            </w:r>
          </w:p>
        </w:tc>
        <w:tc>
          <w:tcPr>
            <w:tcW w:w="260" w:type="dxa"/>
            <w:vAlign w:val="bottom"/>
            <w:tcBorders>
              <w:top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(164</w:t>
            </w:r>
          </w:p>
        </w:tc>
        <w:tc>
          <w:tcPr>
            <w:tcW w:w="80" w:type="dxa"/>
            <w:vAlign w:val="bottom"/>
            <w:gridSpan w:val="2"/>
            <w:shd w:val="clear" w:color="auto" w:fill="E6E7E7"/>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140" w:type="dxa"/>
            <w:vAlign w:val="bottom"/>
            <w:gridSpan w:val="4"/>
          </w:tcPr>
          <w:p>
            <w:pPr>
              <w:jc w:val="right"/>
              <w:ind w:right="222"/>
              <w:spacing w:after="0"/>
              <w:rPr>
                <w:sz w:val="20"/>
                <w:szCs w:val="20"/>
                <w:color w:val="auto"/>
              </w:rPr>
            </w:pPr>
            <w:r>
              <w:rPr>
                <w:rFonts w:ascii="Arial" w:cs="Arial" w:eastAsia="Arial" w:hAnsi="Arial"/>
                <w:sz w:val="18"/>
                <w:szCs w:val="18"/>
                <w:color w:val="auto"/>
                <w:w w:val="98"/>
              </w:rPr>
              <w:t>Amounts recognized on the balance sheet as of December 31, 2005, prior to adoption of SFAS 158:</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20" w:type="dxa"/>
            <w:vAlign w:val="bottom"/>
            <w:shd w:val="clear" w:color="auto" w:fill="939598"/>
          </w:tcPr>
          <w:p>
            <w:pPr>
              <w:spacing w:after="0"/>
              <w:rPr>
                <w:sz w:val="11"/>
                <w:szCs w:val="11"/>
                <w:color w:val="auto"/>
              </w:rPr>
            </w:pPr>
          </w:p>
        </w:tc>
        <w:tc>
          <w:tcPr>
            <w:tcW w:w="1980" w:type="dxa"/>
            <w:vAlign w:val="bottom"/>
            <w:shd w:val="clear" w:color="auto" w:fill="939598"/>
          </w:tcPr>
          <w:p>
            <w:pPr>
              <w:spacing w:after="0"/>
              <w:rPr>
                <w:sz w:val="11"/>
                <w:szCs w:val="11"/>
                <w:color w:val="auto"/>
              </w:rPr>
            </w:pPr>
          </w:p>
        </w:tc>
        <w:tc>
          <w:tcPr>
            <w:tcW w:w="100" w:type="dxa"/>
            <w:vAlign w:val="bottom"/>
            <w:shd w:val="clear" w:color="auto" w:fill="939598"/>
          </w:tcPr>
          <w:p>
            <w:pPr>
              <w:spacing w:after="0"/>
              <w:rPr>
                <w:sz w:val="11"/>
                <w:szCs w:val="11"/>
                <w:color w:val="auto"/>
              </w:rPr>
            </w:pPr>
          </w:p>
        </w:tc>
        <w:tc>
          <w:tcPr>
            <w:tcW w:w="640" w:type="dxa"/>
            <w:vAlign w:val="bottom"/>
            <w:shd w:val="clear" w:color="auto" w:fill="939598"/>
          </w:tcPr>
          <w:p>
            <w:pPr>
              <w:spacing w:after="0"/>
              <w:rPr>
                <w:sz w:val="11"/>
                <w:szCs w:val="11"/>
                <w:color w:val="auto"/>
              </w:rPr>
            </w:pPr>
          </w:p>
        </w:tc>
        <w:tc>
          <w:tcPr>
            <w:tcW w:w="200" w:type="dxa"/>
            <w:vAlign w:val="bottom"/>
            <w:shd w:val="clear" w:color="auto" w:fill="939598"/>
          </w:tcPr>
          <w:p>
            <w:pPr>
              <w:spacing w:after="0"/>
              <w:rPr>
                <w:sz w:val="11"/>
                <w:szCs w:val="11"/>
                <w:color w:val="auto"/>
              </w:rPr>
            </w:pPr>
          </w:p>
        </w:tc>
        <w:tc>
          <w:tcPr>
            <w:tcW w:w="600" w:type="dxa"/>
            <w:vAlign w:val="bottom"/>
            <w:shd w:val="clear" w:color="auto" w:fill="939598"/>
          </w:tcPr>
          <w:p>
            <w:pPr>
              <w:jc w:val="center"/>
              <w:ind w:right="23"/>
              <w:spacing w:after="0" w:line="132" w:lineRule="exact"/>
              <w:rPr>
                <w:sz w:val="20"/>
                <w:szCs w:val="20"/>
                <w:color w:val="auto"/>
              </w:rPr>
            </w:pPr>
            <w:r>
              <w:rPr>
                <w:rFonts w:ascii="Arial" w:cs="Arial" w:eastAsia="Arial" w:hAnsi="Arial"/>
                <w:sz w:val="14"/>
                <w:szCs w:val="14"/>
                <w:b w:val="1"/>
                <w:bCs w:val="1"/>
                <w:color w:val="FFFFFF"/>
                <w:w w:val="95"/>
              </w:rPr>
              <w:t>U.S.</w:t>
            </w:r>
          </w:p>
        </w:tc>
        <w:tc>
          <w:tcPr>
            <w:tcW w:w="220" w:type="dxa"/>
            <w:vAlign w:val="bottom"/>
            <w:shd w:val="clear" w:color="auto" w:fill="939598"/>
          </w:tcPr>
          <w:p>
            <w:pPr>
              <w:spacing w:after="0"/>
              <w:rPr>
                <w:sz w:val="11"/>
                <w:szCs w:val="11"/>
                <w:color w:val="auto"/>
              </w:rPr>
            </w:pPr>
          </w:p>
        </w:tc>
        <w:tc>
          <w:tcPr>
            <w:tcW w:w="720" w:type="dxa"/>
            <w:vAlign w:val="bottom"/>
            <w:vMerge w:val="restart"/>
            <w:shd w:val="clear" w:color="auto" w:fill="939598"/>
          </w:tcPr>
          <w:p>
            <w:pPr>
              <w:jc w:val="center"/>
              <w:ind w:right="41"/>
              <w:spacing w:after="0"/>
              <w:rPr>
                <w:sz w:val="20"/>
                <w:szCs w:val="20"/>
                <w:color w:val="auto"/>
              </w:rPr>
            </w:pPr>
            <w:r>
              <w:rPr>
                <w:rFonts w:ascii="Arial" w:cs="Arial" w:eastAsia="Arial" w:hAnsi="Arial"/>
                <w:sz w:val="14"/>
                <w:szCs w:val="14"/>
                <w:b w:val="1"/>
                <w:bCs w:val="1"/>
                <w:color w:val="FFFFFF"/>
                <w:w w:val="94"/>
              </w:rPr>
              <w:t>Non-U.S.</w:t>
            </w:r>
          </w:p>
        </w:tc>
        <w:tc>
          <w:tcPr>
            <w:tcW w:w="260" w:type="dxa"/>
            <w:vAlign w:val="bottom"/>
            <w:shd w:val="clear" w:color="auto" w:fill="939598"/>
          </w:tcPr>
          <w:p>
            <w:pPr>
              <w:spacing w:after="0"/>
              <w:rPr>
                <w:sz w:val="11"/>
                <w:szCs w:val="11"/>
                <w:color w:val="auto"/>
              </w:rPr>
            </w:pPr>
          </w:p>
        </w:tc>
        <w:tc>
          <w:tcPr>
            <w:tcW w:w="480" w:type="dxa"/>
            <w:vAlign w:val="bottom"/>
            <w:shd w:val="clear" w:color="auto" w:fill="939598"/>
          </w:tcPr>
          <w:p>
            <w:pPr>
              <w:spacing w:after="0"/>
              <w:rPr>
                <w:sz w:val="11"/>
                <w:szCs w:val="11"/>
                <w:color w:val="auto"/>
              </w:rPr>
            </w:pPr>
          </w:p>
        </w:tc>
        <w:tc>
          <w:tcPr>
            <w:tcW w:w="20" w:type="dxa"/>
            <w:vAlign w:val="bottom"/>
            <w:shd w:val="clear" w:color="auto" w:fill="939598"/>
          </w:tcPr>
          <w:p>
            <w:pPr>
              <w:spacing w:after="0"/>
              <w:rPr>
                <w:sz w:val="11"/>
                <w:szCs w:val="11"/>
                <w:color w:val="auto"/>
              </w:rPr>
            </w:pPr>
          </w:p>
        </w:tc>
        <w:tc>
          <w:tcPr>
            <w:tcW w:w="60" w:type="dxa"/>
            <w:vAlign w:val="bottom"/>
            <w:shd w:val="clear" w:color="auto" w:fill="939598"/>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420" w:type="dxa"/>
            <w:vAlign w:val="bottom"/>
            <w:shd w:val="clear" w:color="auto" w:fill="939598"/>
          </w:tcPr>
          <w:p>
            <w:pPr>
              <w:spacing w:after="0"/>
              <w:rPr>
                <w:sz w:val="12"/>
                <w:szCs w:val="12"/>
                <w:color w:val="auto"/>
              </w:rPr>
            </w:pPr>
          </w:p>
        </w:tc>
        <w:tc>
          <w:tcPr>
            <w:tcW w:w="1980" w:type="dxa"/>
            <w:vAlign w:val="bottom"/>
            <w:shd w:val="clear" w:color="auto" w:fill="939598"/>
          </w:tcPr>
          <w:p>
            <w:pPr>
              <w:spacing w:after="0"/>
              <w:rPr>
                <w:sz w:val="12"/>
                <w:szCs w:val="12"/>
                <w:color w:val="auto"/>
              </w:rPr>
            </w:pPr>
          </w:p>
        </w:tc>
        <w:tc>
          <w:tcPr>
            <w:tcW w:w="100" w:type="dxa"/>
            <w:vAlign w:val="bottom"/>
            <w:shd w:val="clear" w:color="auto" w:fill="939598"/>
          </w:tcPr>
          <w:p>
            <w:pPr>
              <w:spacing w:after="0"/>
              <w:rPr>
                <w:sz w:val="12"/>
                <w:szCs w:val="12"/>
                <w:color w:val="auto"/>
              </w:rPr>
            </w:pPr>
          </w:p>
        </w:tc>
        <w:tc>
          <w:tcPr>
            <w:tcW w:w="640" w:type="dxa"/>
            <w:vAlign w:val="bottom"/>
            <w:shd w:val="clear" w:color="auto" w:fill="939598"/>
          </w:tcPr>
          <w:p>
            <w:pPr>
              <w:jc w:val="center"/>
              <w:spacing w:after="0" w:line="139" w:lineRule="exact"/>
              <w:rPr>
                <w:sz w:val="20"/>
                <w:szCs w:val="20"/>
                <w:color w:val="auto"/>
              </w:rPr>
            </w:pPr>
            <w:r>
              <w:rPr>
                <w:rFonts w:ascii="Arial" w:cs="Arial" w:eastAsia="Arial" w:hAnsi="Arial"/>
                <w:sz w:val="14"/>
                <w:szCs w:val="14"/>
                <w:b w:val="1"/>
                <w:bCs w:val="1"/>
                <w:color w:val="FFFFFF"/>
                <w:w w:val="95"/>
              </w:rPr>
              <w:t>U.S.</w:t>
            </w:r>
          </w:p>
        </w:tc>
        <w:tc>
          <w:tcPr>
            <w:tcW w:w="200" w:type="dxa"/>
            <w:vAlign w:val="bottom"/>
            <w:shd w:val="clear" w:color="auto" w:fill="939598"/>
          </w:tcPr>
          <w:p>
            <w:pPr>
              <w:spacing w:after="0"/>
              <w:rPr>
                <w:sz w:val="12"/>
                <w:szCs w:val="12"/>
                <w:color w:val="auto"/>
              </w:rPr>
            </w:pPr>
          </w:p>
        </w:tc>
        <w:tc>
          <w:tcPr>
            <w:tcW w:w="600" w:type="dxa"/>
            <w:vAlign w:val="bottom"/>
            <w:shd w:val="clear" w:color="auto" w:fill="939598"/>
          </w:tcPr>
          <w:p>
            <w:pPr>
              <w:jc w:val="center"/>
              <w:ind w:right="23"/>
              <w:spacing w:after="0" w:line="139" w:lineRule="exact"/>
              <w:rPr>
                <w:sz w:val="20"/>
                <w:szCs w:val="20"/>
                <w:color w:val="auto"/>
              </w:rPr>
            </w:pPr>
            <w:r>
              <w:rPr>
                <w:rFonts w:ascii="Arial" w:cs="Arial" w:eastAsia="Arial" w:hAnsi="Arial"/>
                <w:sz w:val="14"/>
                <w:szCs w:val="14"/>
                <w:b w:val="1"/>
                <w:bCs w:val="1"/>
                <w:color w:val="FFFFFF"/>
                <w:w w:val="96"/>
              </w:rPr>
              <w:t>Retiree</w:t>
            </w:r>
          </w:p>
        </w:tc>
        <w:tc>
          <w:tcPr>
            <w:tcW w:w="220" w:type="dxa"/>
            <w:vAlign w:val="bottom"/>
            <w:shd w:val="clear" w:color="auto" w:fill="939598"/>
          </w:tcPr>
          <w:p>
            <w:pPr>
              <w:spacing w:after="0"/>
              <w:rPr>
                <w:sz w:val="12"/>
                <w:szCs w:val="12"/>
                <w:color w:val="auto"/>
              </w:rPr>
            </w:pPr>
          </w:p>
        </w:tc>
        <w:tc>
          <w:tcPr>
            <w:tcW w:w="720" w:type="dxa"/>
            <w:vAlign w:val="bottom"/>
            <w:vMerge w:val="continue"/>
            <w:shd w:val="clear" w:color="auto" w:fill="939598"/>
          </w:tcPr>
          <w:p>
            <w:pPr>
              <w:spacing w:after="0"/>
              <w:rPr>
                <w:sz w:val="12"/>
                <w:szCs w:val="12"/>
                <w:color w:val="auto"/>
              </w:rPr>
            </w:pPr>
          </w:p>
        </w:tc>
        <w:tc>
          <w:tcPr>
            <w:tcW w:w="260" w:type="dxa"/>
            <w:vAlign w:val="bottom"/>
            <w:shd w:val="clear" w:color="auto" w:fill="939598"/>
          </w:tcPr>
          <w:p>
            <w:pPr>
              <w:spacing w:after="0"/>
              <w:rPr>
                <w:sz w:val="12"/>
                <w:szCs w:val="12"/>
                <w:color w:val="auto"/>
              </w:rPr>
            </w:pPr>
          </w:p>
        </w:tc>
        <w:tc>
          <w:tcPr>
            <w:tcW w:w="480" w:type="dxa"/>
            <w:vAlign w:val="bottom"/>
            <w:shd w:val="clear" w:color="auto" w:fill="939598"/>
          </w:tcPr>
          <w:p>
            <w:pPr>
              <w:spacing w:after="0"/>
              <w:rPr>
                <w:sz w:val="12"/>
                <w:szCs w:val="12"/>
                <w:color w:val="auto"/>
              </w:rPr>
            </w:pPr>
          </w:p>
        </w:tc>
        <w:tc>
          <w:tcPr>
            <w:tcW w:w="20" w:type="dxa"/>
            <w:vAlign w:val="bottom"/>
            <w:shd w:val="clear" w:color="auto" w:fill="939598"/>
          </w:tcPr>
          <w:p>
            <w:pPr>
              <w:spacing w:after="0"/>
              <w:rPr>
                <w:sz w:val="12"/>
                <w:szCs w:val="12"/>
                <w:color w:val="auto"/>
              </w:rPr>
            </w:pPr>
          </w:p>
        </w:tc>
        <w:tc>
          <w:tcPr>
            <w:tcW w:w="60" w:type="dxa"/>
            <w:vAlign w:val="bottom"/>
            <w:shd w:val="clear" w:color="auto" w:fill="93959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939598"/>
          </w:tcPr>
          <w:p>
            <w:pPr>
              <w:spacing w:after="0"/>
              <w:rPr>
                <w:sz w:val="12"/>
                <w:szCs w:val="12"/>
                <w:color w:val="auto"/>
              </w:rPr>
            </w:pPr>
          </w:p>
        </w:tc>
        <w:tc>
          <w:tcPr>
            <w:tcW w:w="1980" w:type="dxa"/>
            <w:vAlign w:val="bottom"/>
            <w:shd w:val="clear" w:color="auto" w:fill="939598"/>
          </w:tcPr>
          <w:p>
            <w:pPr>
              <w:spacing w:after="0"/>
              <w:rPr>
                <w:sz w:val="12"/>
                <w:szCs w:val="12"/>
                <w:color w:val="auto"/>
              </w:rPr>
            </w:pPr>
          </w:p>
        </w:tc>
        <w:tc>
          <w:tcPr>
            <w:tcW w:w="100" w:type="dxa"/>
            <w:vAlign w:val="bottom"/>
            <w:shd w:val="clear" w:color="auto" w:fill="939598"/>
          </w:tcPr>
          <w:p>
            <w:pPr>
              <w:spacing w:after="0"/>
              <w:rPr>
                <w:sz w:val="12"/>
                <w:szCs w:val="12"/>
                <w:color w:val="auto"/>
              </w:rPr>
            </w:pPr>
          </w:p>
        </w:tc>
        <w:tc>
          <w:tcPr>
            <w:tcW w:w="640" w:type="dxa"/>
            <w:vAlign w:val="bottom"/>
            <w:shd w:val="clear" w:color="auto" w:fill="939598"/>
          </w:tcPr>
          <w:p>
            <w:pPr>
              <w:jc w:val="center"/>
              <w:spacing w:after="0" w:line="149" w:lineRule="exact"/>
              <w:rPr>
                <w:sz w:val="20"/>
                <w:szCs w:val="20"/>
                <w:color w:val="auto"/>
              </w:rPr>
            </w:pPr>
            <w:r>
              <w:rPr>
                <w:rFonts w:ascii="Arial" w:cs="Arial" w:eastAsia="Arial" w:hAnsi="Arial"/>
                <w:sz w:val="14"/>
                <w:szCs w:val="14"/>
                <w:b w:val="1"/>
                <w:bCs w:val="1"/>
                <w:color w:val="FFFFFF"/>
                <w:w w:val="97"/>
              </w:rPr>
              <w:t>Defined</w:t>
            </w:r>
          </w:p>
        </w:tc>
        <w:tc>
          <w:tcPr>
            <w:tcW w:w="200" w:type="dxa"/>
            <w:vAlign w:val="bottom"/>
            <w:shd w:val="clear" w:color="auto" w:fill="939598"/>
          </w:tcPr>
          <w:p>
            <w:pPr>
              <w:spacing w:after="0"/>
              <w:rPr>
                <w:sz w:val="12"/>
                <w:szCs w:val="12"/>
                <w:color w:val="auto"/>
              </w:rPr>
            </w:pPr>
          </w:p>
        </w:tc>
        <w:tc>
          <w:tcPr>
            <w:tcW w:w="600" w:type="dxa"/>
            <w:vAlign w:val="bottom"/>
            <w:shd w:val="clear" w:color="auto" w:fill="939598"/>
          </w:tcPr>
          <w:p>
            <w:pPr>
              <w:jc w:val="center"/>
              <w:ind w:right="23"/>
              <w:spacing w:after="0" w:line="149" w:lineRule="exact"/>
              <w:rPr>
                <w:sz w:val="20"/>
                <w:szCs w:val="20"/>
                <w:color w:val="auto"/>
              </w:rPr>
            </w:pPr>
            <w:r>
              <w:rPr>
                <w:rFonts w:ascii="Arial" w:cs="Arial" w:eastAsia="Arial" w:hAnsi="Arial"/>
                <w:sz w:val="14"/>
                <w:szCs w:val="14"/>
                <w:b w:val="1"/>
                <w:bCs w:val="1"/>
                <w:color w:val="FFFFFF"/>
                <w:w w:val="98"/>
              </w:rPr>
              <w:t>Health</w:t>
            </w:r>
          </w:p>
        </w:tc>
        <w:tc>
          <w:tcPr>
            <w:tcW w:w="220" w:type="dxa"/>
            <w:vAlign w:val="bottom"/>
            <w:shd w:val="clear" w:color="auto" w:fill="939598"/>
          </w:tcPr>
          <w:p>
            <w:pPr>
              <w:spacing w:after="0"/>
              <w:rPr>
                <w:sz w:val="12"/>
                <w:szCs w:val="12"/>
                <w:color w:val="auto"/>
              </w:rPr>
            </w:pPr>
          </w:p>
        </w:tc>
        <w:tc>
          <w:tcPr>
            <w:tcW w:w="720" w:type="dxa"/>
            <w:vAlign w:val="bottom"/>
            <w:shd w:val="clear" w:color="auto" w:fill="939598"/>
          </w:tcPr>
          <w:p>
            <w:pPr>
              <w:jc w:val="center"/>
              <w:ind w:right="41"/>
              <w:spacing w:after="0" w:line="149" w:lineRule="exact"/>
              <w:rPr>
                <w:sz w:val="20"/>
                <w:szCs w:val="20"/>
                <w:color w:val="auto"/>
              </w:rPr>
            </w:pPr>
            <w:r>
              <w:rPr>
                <w:rFonts w:ascii="Arial" w:cs="Arial" w:eastAsia="Arial" w:hAnsi="Arial"/>
                <w:sz w:val="14"/>
                <w:szCs w:val="14"/>
                <w:b w:val="1"/>
                <w:bCs w:val="1"/>
                <w:color w:val="FFFFFF"/>
                <w:w w:val="93"/>
              </w:rPr>
              <w:t>Defined</w:t>
            </w:r>
          </w:p>
        </w:tc>
        <w:tc>
          <w:tcPr>
            <w:tcW w:w="260" w:type="dxa"/>
            <w:vAlign w:val="bottom"/>
            <w:shd w:val="clear" w:color="auto" w:fill="939598"/>
          </w:tcPr>
          <w:p>
            <w:pPr>
              <w:spacing w:after="0"/>
              <w:rPr>
                <w:sz w:val="12"/>
                <w:szCs w:val="12"/>
                <w:color w:val="auto"/>
              </w:rPr>
            </w:pPr>
          </w:p>
        </w:tc>
        <w:tc>
          <w:tcPr>
            <w:tcW w:w="480" w:type="dxa"/>
            <w:vAlign w:val="bottom"/>
            <w:shd w:val="clear" w:color="auto" w:fill="939598"/>
          </w:tcPr>
          <w:p>
            <w:pPr>
              <w:spacing w:after="0"/>
              <w:rPr>
                <w:sz w:val="12"/>
                <w:szCs w:val="12"/>
                <w:color w:val="auto"/>
              </w:rPr>
            </w:pPr>
          </w:p>
        </w:tc>
        <w:tc>
          <w:tcPr>
            <w:tcW w:w="20" w:type="dxa"/>
            <w:vAlign w:val="bottom"/>
            <w:shd w:val="clear" w:color="auto" w:fill="939598"/>
          </w:tcPr>
          <w:p>
            <w:pPr>
              <w:spacing w:after="0"/>
              <w:rPr>
                <w:sz w:val="12"/>
                <w:szCs w:val="12"/>
                <w:color w:val="auto"/>
              </w:rPr>
            </w:pPr>
          </w:p>
        </w:tc>
        <w:tc>
          <w:tcPr>
            <w:tcW w:w="60" w:type="dxa"/>
            <w:vAlign w:val="bottom"/>
            <w:shd w:val="clear" w:color="auto" w:fill="939598"/>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20" w:type="dxa"/>
            <w:vAlign w:val="bottom"/>
            <w:shd w:val="clear" w:color="auto" w:fill="939598"/>
          </w:tcPr>
          <w:p>
            <w:pPr>
              <w:spacing w:after="0"/>
              <w:rPr>
                <w:sz w:val="15"/>
                <w:szCs w:val="15"/>
                <w:color w:val="auto"/>
              </w:rPr>
            </w:pPr>
          </w:p>
        </w:tc>
        <w:tc>
          <w:tcPr>
            <w:tcW w:w="1980" w:type="dxa"/>
            <w:vAlign w:val="bottom"/>
            <w:shd w:val="clear" w:color="auto" w:fill="939598"/>
          </w:tcPr>
          <w:p>
            <w:pPr>
              <w:spacing w:after="0"/>
              <w:rPr>
                <w:sz w:val="15"/>
                <w:szCs w:val="15"/>
                <w:color w:val="auto"/>
              </w:rPr>
            </w:pPr>
          </w:p>
        </w:tc>
        <w:tc>
          <w:tcPr>
            <w:tcW w:w="100" w:type="dxa"/>
            <w:vAlign w:val="bottom"/>
            <w:shd w:val="clear" w:color="auto" w:fill="939598"/>
          </w:tcPr>
          <w:p>
            <w:pPr>
              <w:spacing w:after="0"/>
              <w:rPr>
                <w:sz w:val="15"/>
                <w:szCs w:val="15"/>
                <w:color w:val="auto"/>
              </w:rPr>
            </w:pPr>
          </w:p>
        </w:tc>
        <w:tc>
          <w:tcPr>
            <w:tcW w:w="640" w:type="dxa"/>
            <w:vAlign w:val="bottom"/>
            <w:shd w:val="clear" w:color="auto" w:fill="939598"/>
          </w:tcPr>
          <w:p>
            <w:pPr>
              <w:jc w:val="center"/>
              <w:spacing w:after="0"/>
              <w:rPr>
                <w:sz w:val="20"/>
                <w:szCs w:val="20"/>
                <w:color w:val="auto"/>
              </w:rPr>
            </w:pPr>
            <w:r>
              <w:rPr>
                <w:rFonts w:ascii="Arial" w:cs="Arial" w:eastAsia="Arial" w:hAnsi="Arial"/>
                <w:sz w:val="14"/>
                <w:szCs w:val="14"/>
                <w:b w:val="1"/>
                <w:bCs w:val="1"/>
                <w:color w:val="FFFFFF"/>
                <w:w w:val="96"/>
              </w:rPr>
              <w:t>Benefit</w:t>
            </w:r>
          </w:p>
        </w:tc>
        <w:tc>
          <w:tcPr>
            <w:tcW w:w="200" w:type="dxa"/>
            <w:vAlign w:val="bottom"/>
            <w:shd w:val="clear" w:color="auto" w:fill="939598"/>
          </w:tcPr>
          <w:p>
            <w:pPr>
              <w:spacing w:after="0"/>
              <w:rPr>
                <w:sz w:val="15"/>
                <w:szCs w:val="15"/>
                <w:color w:val="auto"/>
              </w:rPr>
            </w:pPr>
          </w:p>
        </w:tc>
        <w:tc>
          <w:tcPr>
            <w:tcW w:w="600" w:type="dxa"/>
            <w:vAlign w:val="bottom"/>
            <w:shd w:val="clear" w:color="auto" w:fill="939598"/>
          </w:tcPr>
          <w:p>
            <w:pPr>
              <w:jc w:val="center"/>
              <w:ind w:right="23"/>
              <w:spacing w:after="0"/>
              <w:rPr>
                <w:sz w:val="20"/>
                <w:szCs w:val="20"/>
                <w:color w:val="auto"/>
              </w:rPr>
            </w:pPr>
            <w:r>
              <w:rPr>
                <w:rFonts w:ascii="Arial" w:cs="Arial" w:eastAsia="Arial" w:hAnsi="Arial"/>
                <w:sz w:val="14"/>
                <w:szCs w:val="14"/>
                <w:b w:val="1"/>
                <w:bCs w:val="1"/>
                <w:color w:val="FFFFFF"/>
                <w:w w:val="96"/>
              </w:rPr>
              <w:t>Care</w:t>
            </w:r>
          </w:p>
        </w:tc>
        <w:tc>
          <w:tcPr>
            <w:tcW w:w="220" w:type="dxa"/>
            <w:vAlign w:val="bottom"/>
            <w:shd w:val="clear" w:color="auto" w:fill="939598"/>
          </w:tcPr>
          <w:p>
            <w:pPr>
              <w:spacing w:after="0"/>
              <w:rPr>
                <w:sz w:val="15"/>
                <w:szCs w:val="15"/>
                <w:color w:val="auto"/>
              </w:rPr>
            </w:pPr>
          </w:p>
        </w:tc>
        <w:tc>
          <w:tcPr>
            <w:tcW w:w="720" w:type="dxa"/>
            <w:vAlign w:val="bottom"/>
            <w:shd w:val="clear" w:color="auto" w:fill="939598"/>
          </w:tcPr>
          <w:p>
            <w:pPr>
              <w:jc w:val="center"/>
              <w:ind w:right="41"/>
              <w:spacing w:after="0"/>
              <w:rPr>
                <w:sz w:val="20"/>
                <w:szCs w:val="20"/>
                <w:color w:val="auto"/>
              </w:rPr>
            </w:pPr>
            <w:r>
              <w:rPr>
                <w:rFonts w:ascii="Arial" w:cs="Arial" w:eastAsia="Arial" w:hAnsi="Arial"/>
                <w:sz w:val="14"/>
                <w:szCs w:val="14"/>
                <w:b w:val="1"/>
                <w:bCs w:val="1"/>
                <w:color w:val="FFFFFF"/>
                <w:w w:val="92"/>
              </w:rPr>
              <w:t>Benefit</w:t>
            </w:r>
          </w:p>
        </w:tc>
        <w:tc>
          <w:tcPr>
            <w:tcW w:w="260" w:type="dxa"/>
            <w:vAlign w:val="bottom"/>
            <w:shd w:val="clear" w:color="auto" w:fill="939598"/>
          </w:tcPr>
          <w:p>
            <w:pPr>
              <w:spacing w:after="0"/>
              <w:rPr>
                <w:sz w:val="15"/>
                <w:szCs w:val="15"/>
                <w:color w:val="auto"/>
              </w:rPr>
            </w:pPr>
          </w:p>
        </w:tc>
        <w:tc>
          <w:tcPr>
            <w:tcW w:w="560" w:type="dxa"/>
            <w:vAlign w:val="bottom"/>
            <w:gridSpan w:val="3"/>
            <w:shd w:val="clear" w:color="auto" w:fill="939598"/>
          </w:tcPr>
          <w:p>
            <w:pPr>
              <w:jc w:val="right"/>
              <w:ind w:right="220"/>
              <w:spacing w:after="0"/>
              <w:rPr>
                <w:sz w:val="20"/>
                <w:szCs w:val="20"/>
                <w:color w:val="auto"/>
              </w:rPr>
            </w:pPr>
            <w:r>
              <w:rPr>
                <w:rFonts w:ascii="Arial" w:cs="Arial" w:eastAsia="Arial" w:hAnsi="Arial"/>
                <w:sz w:val="14"/>
                <w:szCs w:val="14"/>
                <w:b w:val="1"/>
                <w:bCs w:val="1"/>
                <w:color w:val="FFFFFF"/>
                <w:w w:val="95"/>
              </w:rPr>
              <w:t>Total</w:t>
            </w:r>
          </w:p>
        </w:tc>
        <w:tc>
          <w:tcPr>
            <w:tcW w:w="0" w:type="dxa"/>
            <w:vAlign w:val="bottom"/>
          </w:tcPr>
          <w:p>
            <w:pPr>
              <w:spacing w:after="0"/>
              <w:rPr>
                <w:sz w:val="1"/>
                <w:szCs w:val="1"/>
                <w:color w:val="auto"/>
              </w:rPr>
            </w:pPr>
          </w:p>
        </w:tc>
      </w:tr>
    </w:tbl>
    <w:p>
      <w:pPr>
        <w:spacing w:after="0" w:line="66" w:lineRule="exact"/>
        <w:rPr>
          <w:sz w:val="20"/>
          <w:szCs w:val="20"/>
          <w:color w:val="auto"/>
        </w:rPr>
      </w:pPr>
    </w:p>
    <w:p>
      <w:pPr>
        <w:sectPr>
          <w:pgSz w:w="11900" w:h="16838" w:orient="portrait"/>
          <w:cols w:equalWidth="0" w:num="1">
            <w:col w:w="11060"/>
          </w:cols>
          <w:pgMar w:left="600" w:top="287" w:right="239" w:bottom="1440" w:gutter="0" w:footer="0" w:header="0"/>
        </w:sectPr>
      </w:pPr>
    </w:p>
    <w:p>
      <w:pPr>
        <w:spacing w:after="0"/>
        <w:rPr>
          <w:sz w:val="20"/>
          <w:szCs w:val="20"/>
          <w:color w:val="auto"/>
        </w:rPr>
      </w:pPr>
      <w:r>
        <w:rPr>
          <w:rFonts w:ascii="Arial" w:cs="Arial" w:eastAsia="Arial" w:hAnsi="Arial"/>
          <w:sz w:val="18"/>
          <w:szCs w:val="18"/>
          <w:color w:val="auto"/>
        </w:rPr>
        <w:t>Funded status (FVPA-BO)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6809105"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Unrecognized net actuarial loss</w:t>
      </w:r>
    </w:p>
    <w:p>
      <w:pPr>
        <w:spacing w:after="0" w:line="235" w:lineRule="auto"/>
        <w:rPr>
          <w:sz w:val="20"/>
          <w:szCs w:val="20"/>
          <w:color w:val="auto"/>
        </w:rPr>
      </w:pPr>
      <w:r>
        <w:rPr>
          <w:rFonts w:ascii="Arial" w:cs="Arial" w:eastAsia="Arial" w:hAnsi="Arial"/>
          <w:sz w:val="18"/>
          <w:szCs w:val="18"/>
          <w:color w:val="auto"/>
        </w:rPr>
        <w:t>Unrecognized net prior service cost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6809105" cy="1289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Adjustments for funding from Sept. 30 to Dec. 31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Accrued retirement costs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6809105" cy="1974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09105" cy="19748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Amounts recognized on the balance sheet as of December 31, 2005:</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profit sharing and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6809105" cy="1289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ind w:left="420"/>
        <w:spacing w:after="0" w:line="234" w:lineRule="auto"/>
        <w:rPr>
          <w:sz w:val="20"/>
          <w:szCs w:val="20"/>
          <w:color w:val="auto"/>
        </w:rPr>
      </w:pPr>
      <w:r>
        <w:rPr>
          <w:rFonts w:ascii="Arial" w:cs="Arial" w:eastAsia="Arial" w:hAnsi="Arial"/>
          <w:sz w:val="18"/>
          <w:szCs w:val="18"/>
          <w:color w:val="auto"/>
        </w:rPr>
        <w:t>Accrued retirement costs</w:t>
      </w:r>
    </w:p>
    <w:p>
      <w:pPr>
        <w:ind w:left="420"/>
        <w:spacing w:after="0" w:line="235" w:lineRule="auto"/>
        <w:rPr>
          <w:sz w:val="20"/>
          <w:szCs w:val="20"/>
          <w:color w:val="auto"/>
        </w:rPr>
      </w:pPr>
      <w:r>
        <w:rPr>
          <w:rFonts w:ascii="Arial" w:cs="Arial" w:eastAsia="Arial" w:hAnsi="Arial"/>
          <w:sz w:val="18"/>
          <w:szCs w:val="18"/>
          <w:color w:val="auto"/>
        </w:rPr>
        <w:t>Prepaid retirement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6809105"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ind w:left="420"/>
        <w:spacing w:after="0" w:line="235" w:lineRule="auto"/>
        <w:rPr>
          <w:sz w:val="20"/>
          <w:szCs w:val="20"/>
          <w:color w:val="auto"/>
        </w:rPr>
      </w:pPr>
      <w:r>
        <w:rPr>
          <w:rFonts w:ascii="Arial" w:cs="Arial" w:eastAsia="Arial" w:hAnsi="Arial"/>
          <w:sz w:val="18"/>
          <w:szCs w:val="18"/>
          <w:color w:val="auto"/>
        </w:rPr>
        <w:t>Other assets</w:t>
      </w:r>
    </w:p>
    <w:p>
      <w:pPr>
        <w:spacing w:after="0" w:line="1" w:lineRule="exact"/>
        <w:rPr>
          <w:sz w:val="20"/>
          <w:szCs w:val="20"/>
          <w:color w:val="auto"/>
        </w:rPr>
      </w:pPr>
    </w:p>
    <w:p>
      <w:pPr>
        <w:ind w:left="420" w:right="1280"/>
        <w:spacing w:after="0" w:line="270" w:lineRule="auto"/>
        <w:rPr>
          <w:sz w:val="20"/>
          <w:szCs w:val="20"/>
          <w:color w:val="auto"/>
        </w:rPr>
      </w:pPr>
      <w:r>
        <w:rPr>
          <w:rFonts w:ascii="Arial" w:cs="Arial" w:eastAsia="Arial" w:hAnsi="Arial"/>
          <w:sz w:val="18"/>
          <w:szCs w:val="18"/>
          <w:color w:val="auto"/>
        </w:rPr>
        <w:t>Accumulated other comprehensive income before income taxes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809105" cy="1289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(74)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(139)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(549)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(762)</w:t>
            </w:r>
          </w:p>
        </w:tc>
      </w:tr>
      <w:tr>
        <w:trPr>
          <w:trHeight w:val="203"/>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196</w:t>
            </w:r>
          </w:p>
        </w:tc>
        <w:tc>
          <w:tcPr>
            <w:tcW w:w="260" w:type="dxa"/>
            <w:vAlign w:val="bottom"/>
          </w:tcPr>
          <w:p>
            <w:pPr>
              <w:spacing w:after="0"/>
              <w:rPr>
                <w:sz w:val="17"/>
                <w:szCs w:val="17"/>
                <w:color w:val="auto"/>
              </w:rPr>
            </w:pPr>
          </w:p>
        </w:tc>
        <w:tc>
          <w:tcPr>
            <w:tcW w:w="6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143</w:t>
            </w:r>
          </w:p>
        </w:tc>
        <w:tc>
          <w:tcPr>
            <w:tcW w:w="280" w:type="dxa"/>
            <w:vAlign w:val="bottom"/>
          </w:tcPr>
          <w:p>
            <w:pPr>
              <w:spacing w:after="0"/>
              <w:rPr>
                <w:sz w:val="17"/>
                <w:szCs w:val="17"/>
                <w:color w:val="auto"/>
              </w:rPr>
            </w:pP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381</w:t>
            </w:r>
          </w:p>
        </w:tc>
        <w:tc>
          <w:tcPr>
            <w:tcW w:w="28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720</w:t>
            </w:r>
          </w:p>
        </w:tc>
        <w:tc>
          <w:tcPr>
            <w:tcW w:w="6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6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24</w:t>
            </w:r>
          </w:p>
        </w:tc>
        <w:tc>
          <w:tcPr>
            <w:tcW w:w="280" w:type="dxa"/>
            <w:vAlign w:val="bottom"/>
          </w:tcPr>
          <w:p>
            <w:pPr>
              <w:spacing w:after="0"/>
              <w:rPr>
                <w:sz w:val="17"/>
                <w:szCs w:val="17"/>
                <w:color w:val="auto"/>
              </w:rPr>
            </w:pP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(46)</w:t>
            </w:r>
          </w:p>
        </w:tc>
        <w:tc>
          <w:tcPr>
            <w:tcW w:w="280" w:type="dxa"/>
            <w:vAlign w:val="bottom"/>
          </w:tcPr>
          <w:p>
            <w:pPr>
              <w:spacing w:after="0"/>
              <w:rPr>
                <w:sz w:val="17"/>
                <w:szCs w:val="17"/>
                <w:color w:val="auto"/>
              </w:rPr>
            </w:pP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w:t>
            </w:r>
          </w:p>
        </w:tc>
      </w:tr>
      <w:tr>
        <w:trPr>
          <w:trHeight w:val="199"/>
        </w:trPr>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72"/>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72"/>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72"/>
              <w:spacing w:after="0" w:line="200" w:lineRule="exact"/>
              <w:rPr>
                <w:sz w:val="20"/>
                <w:szCs w:val="20"/>
                <w:color w:val="auto"/>
              </w:rPr>
            </w:pPr>
            <w:r>
              <w:rPr>
                <w:rFonts w:ascii="Arial" w:cs="Arial" w:eastAsia="Arial" w:hAnsi="Arial"/>
                <w:sz w:val="18"/>
                <w:szCs w:val="18"/>
                <w:color w:val="auto"/>
              </w:rPr>
              <w:t>223</w:t>
            </w:r>
          </w:p>
        </w:tc>
        <w:tc>
          <w:tcPr>
            <w:tcW w:w="2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223</w:t>
            </w:r>
          </w:p>
        </w:tc>
        <w:tc>
          <w:tcPr>
            <w:tcW w:w="60" w:type="dxa"/>
            <w:vAlign w:val="bottom"/>
          </w:tcPr>
          <w:p>
            <w:pPr>
              <w:spacing w:after="0"/>
              <w:rPr>
                <w:sz w:val="17"/>
                <w:szCs w:val="17"/>
                <w:color w:val="auto"/>
              </w:rPr>
            </w:pPr>
          </w:p>
        </w:tc>
      </w:tr>
      <w:tr>
        <w:trPr>
          <w:trHeight w:val="210"/>
        </w:trPr>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123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180" w:type="dxa"/>
            <w:vAlign w:val="bottom"/>
            <w:shd w:val="clear" w:color="auto" w:fill="E6E7E7"/>
          </w:tcPr>
          <w:p>
            <w:pPr>
              <w:spacing w:after="0"/>
              <w:rPr>
                <w:sz w:val="17"/>
                <w:szCs w:val="17"/>
                <w:color w:val="auto"/>
              </w:rPr>
            </w:pPr>
          </w:p>
        </w:tc>
        <w:tc>
          <w:tcPr>
            <w:tcW w:w="140" w:type="dxa"/>
            <w:vAlign w:val="bottom"/>
            <w:shd w:val="clear" w:color="auto" w:fill="E6E7E7"/>
          </w:tcPr>
          <w:p>
            <w:pPr>
              <w:spacing w:after="0"/>
              <w:rPr>
                <w:sz w:val="17"/>
                <w:szCs w:val="17"/>
                <w:color w:val="auto"/>
              </w:rPr>
            </w:pPr>
          </w:p>
        </w:tc>
        <w:tc>
          <w:tcPr>
            <w:tcW w:w="520" w:type="dxa"/>
            <w:vAlign w:val="bottom"/>
            <w:shd w:val="clear" w:color="auto" w:fill="E6E7E7"/>
          </w:tcPr>
          <w:p>
            <w:pPr>
              <w:spacing w:after="0"/>
              <w:rPr>
                <w:sz w:val="17"/>
                <w:szCs w:val="17"/>
                <w:color w:val="auto"/>
              </w:rPr>
            </w:pPr>
          </w:p>
        </w:tc>
        <w:tc>
          <w:tcPr>
            <w:tcW w:w="260" w:type="dxa"/>
            <w:vAlign w:val="bottom"/>
            <w:shd w:val="clear" w:color="auto" w:fill="E6E7E7"/>
          </w:tcPr>
          <w:p>
            <w:pPr>
              <w:spacing w:after="0"/>
              <w:rPr>
                <w:sz w:val="17"/>
                <w:szCs w:val="17"/>
                <w:color w:val="auto"/>
              </w:rPr>
            </w:pPr>
          </w:p>
        </w:tc>
        <w:tc>
          <w:tcPr>
            <w:tcW w:w="600" w:type="dxa"/>
            <w:vAlign w:val="bottom"/>
            <w:shd w:val="clear" w:color="auto" w:fill="E6E7E7"/>
          </w:tcPr>
          <w:p>
            <w:pPr>
              <w:spacing w:after="0"/>
              <w:rPr>
                <w:sz w:val="17"/>
                <w:szCs w:val="17"/>
                <w:color w:val="auto"/>
              </w:rPr>
            </w:pPr>
          </w:p>
        </w:tc>
        <w:tc>
          <w:tcPr>
            <w:tcW w:w="280" w:type="dxa"/>
            <w:vAlign w:val="bottom"/>
            <w:shd w:val="clear" w:color="auto" w:fill="E6E7E7"/>
          </w:tcPr>
          <w:p>
            <w:pPr>
              <w:spacing w:after="0"/>
              <w:rPr>
                <w:sz w:val="17"/>
                <w:szCs w:val="17"/>
                <w:color w:val="auto"/>
              </w:rPr>
            </w:pPr>
          </w:p>
        </w:tc>
        <w:tc>
          <w:tcPr>
            <w:tcW w:w="580" w:type="dxa"/>
            <w:vAlign w:val="bottom"/>
            <w:shd w:val="clear" w:color="auto" w:fill="E6E7E7"/>
          </w:tcPr>
          <w:p>
            <w:pPr>
              <w:spacing w:after="0"/>
              <w:rPr>
                <w:sz w:val="17"/>
                <w:szCs w:val="17"/>
                <w:color w:val="auto"/>
              </w:rPr>
            </w:pPr>
          </w:p>
        </w:tc>
        <w:tc>
          <w:tcPr>
            <w:tcW w:w="280" w:type="dxa"/>
            <w:vAlign w:val="bottom"/>
            <w:shd w:val="clear" w:color="auto" w:fill="E6E7E7"/>
          </w:tcPr>
          <w:p>
            <w:pPr>
              <w:spacing w:after="0"/>
              <w:rPr>
                <w:sz w:val="17"/>
                <w:szCs w:val="17"/>
                <w:color w:val="auto"/>
              </w:rPr>
            </w:pPr>
          </w:p>
        </w:tc>
        <w:tc>
          <w:tcPr>
            <w:tcW w:w="44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r>
    </w:tbl>
    <w:p>
      <w:pPr>
        <w:ind w:left="500" w:hanging="325"/>
        <w:spacing w:after="0" w:line="238" w:lineRule="auto"/>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    —   $   (10)  $   (10)</w:t>
      </w:r>
    </w:p>
    <w:tbl>
      <w:tblPr>
        <w:tblLayout w:type="fixed"/>
        <w:tblInd w:w="180" w:type="dxa"/>
        <w:tblCellMar>
          <w:top w:w="0" w:type="dxa"/>
          <w:left w:w="0" w:type="dxa"/>
          <w:bottom w:w="0" w:type="dxa"/>
          <w:right w:w="0" w:type="dxa"/>
        </w:tblCellMar>
      </w:tblPr>
      <w:tr>
        <w:trPr>
          <w:trHeight w:val="203"/>
        </w:trPr>
        <w:tc>
          <w:tcPr>
            <w:tcW w:w="660" w:type="dxa"/>
            <w:vAlign w:val="bottom"/>
          </w:tcPr>
          <w:p>
            <w:pPr>
              <w:jc w:val="right"/>
              <w:ind w:right="12"/>
              <w:spacing w:after="0" w:line="203" w:lineRule="exact"/>
              <w:rPr>
                <w:sz w:val="20"/>
                <w:szCs w:val="20"/>
                <w:color w:val="auto"/>
              </w:rPr>
            </w:pPr>
            <w:r>
              <w:rPr>
                <w:rFonts w:ascii="Arial" w:cs="Arial" w:eastAsia="Arial" w:hAnsi="Arial"/>
                <w:sz w:val="18"/>
                <w:szCs w:val="18"/>
                <w:color w:val="auto"/>
              </w:rPr>
              <w:t>(23)</w:t>
            </w:r>
          </w:p>
        </w:tc>
        <w:tc>
          <w:tcPr>
            <w:tcW w:w="34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Arial" w:cs="Arial" w:eastAsia="Arial" w:hAnsi="Arial"/>
                <w:sz w:val="18"/>
                <w:szCs w:val="18"/>
                <w:color w:val="auto"/>
              </w:rPr>
              <w:t>(3)</w:t>
            </w:r>
          </w:p>
        </w:tc>
        <w:tc>
          <w:tcPr>
            <w:tcW w:w="28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Arial" w:cs="Arial" w:eastAsia="Arial" w:hAnsi="Arial"/>
                <w:sz w:val="18"/>
                <w:szCs w:val="18"/>
                <w:color w:val="auto"/>
              </w:rPr>
              <w:t>(110)</w:t>
            </w:r>
          </w:p>
        </w:tc>
        <w:tc>
          <w:tcPr>
            <w:tcW w:w="7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(136)</w:t>
            </w:r>
          </w:p>
        </w:tc>
      </w:tr>
      <w:tr>
        <w:trPr>
          <w:trHeight w:val="203"/>
        </w:trPr>
        <w:tc>
          <w:tcPr>
            <w:tcW w:w="6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139</w:t>
            </w:r>
          </w:p>
        </w:tc>
        <w:tc>
          <w:tcPr>
            <w:tcW w:w="340" w:type="dxa"/>
            <w:vAlign w:val="bottom"/>
          </w:tcPr>
          <w:p>
            <w:pPr>
              <w:spacing w:after="0"/>
              <w:rPr>
                <w:sz w:val="17"/>
                <w:szCs w:val="17"/>
                <w:color w:val="auto"/>
              </w:rPr>
            </w:pPr>
          </w:p>
        </w:tc>
        <w:tc>
          <w:tcPr>
            <w:tcW w:w="5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31</w:t>
            </w:r>
          </w:p>
        </w:tc>
        <w:tc>
          <w:tcPr>
            <w:tcW w:w="280" w:type="dxa"/>
            <w:vAlign w:val="bottom"/>
          </w:tcPr>
          <w:p>
            <w:pPr>
              <w:spacing w:after="0"/>
              <w:rPr>
                <w:sz w:val="17"/>
                <w:szCs w:val="17"/>
                <w:color w:val="auto"/>
              </w:rPr>
            </w:pP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29</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199</w:t>
            </w:r>
          </w:p>
        </w:tc>
        <w:tc>
          <w:tcPr>
            <w:tcW w:w="40" w:type="dxa"/>
            <w:vAlign w:val="bottom"/>
          </w:tcPr>
          <w:p>
            <w:pPr>
              <w:spacing w:after="0"/>
              <w:rPr>
                <w:sz w:val="17"/>
                <w:szCs w:val="17"/>
                <w:color w:val="auto"/>
              </w:rPr>
            </w:pPr>
          </w:p>
        </w:tc>
      </w:tr>
      <w:tr>
        <w:trPr>
          <w:trHeight w:val="203"/>
        </w:trPr>
        <w:tc>
          <w:tcPr>
            <w:tcW w:w="6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5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7"/>
                <w:szCs w:val="17"/>
                <w:color w:val="auto"/>
              </w:rPr>
            </w:pPr>
          </w:p>
        </w:tc>
      </w:tr>
      <w:tr>
        <w:trPr>
          <w:trHeight w:val="199"/>
        </w:trPr>
        <w:tc>
          <w:tcPr>
            <w:tcW w:w="660" w:type="dxa"/>
            <w:vAlign w:val="bottom"/>
            <w:tcBorders>
              <w:bottom w:val="single" w:sz="8" w:color="auto"/>
            </w:tcBorders>
          </w:tcPr>
          <w:p>
            <w:pPr>
              <w:jc w:val="right"/>
              <w:ind w:right="72"/>
              <w:spacing w:after="0" w:line="200" w:lineRule="exact"/>
              <w:rPr>
                <w:sz w:val="20"/>
                <w:szCs w:val="20"/>
                <w:color w:val="auto"/>
              </w:rPr>
            </w:pPr>
            <w:r>
              <w:rPr>
                <w:rFonts w:ascii="Arial" w:cs="Arial" w:eastAsia="Arial" w:hAnsi="Arial"/>
                <w:sz w:val="18"/>
                <w:szCs w:val="18"/>
                <w:color w:val="auto"/>
              </w:rPr>
              <w:t>5</w:t>
            </w:r>
          </w:p>
        </w:tc>
        <w:tc>
          <w:tcPr>
            <w:tcW w:w="3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72"/>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72"/>
              <w:spacing w:after="0" w:line="200" w:lineRule="exact"/>
              <w:rPr>
                <w:sz w:val="20"/>
                <w:szCs w:val="20"/>
                <w:color w:val="auto"/>
              </w:rPr>
            </w:pPr>
            <w:r>
              <w:rPr>
                <w:rFonts w:ascii="Arial" w:cs="Arial" w:eastAsia="Arial" w:hAnsi="Arial"/>
                <w:sz w:val="18"/>
                <w:szCs w:val="18"/>
                <w:color w:val="auto"/>
              </w:rPr>
              <w:t>100</w:t>
            </w: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105</w:t>
            </w:r>
          </w:p>
        </w:tc>
        <w:tc>
          <w:tcPr>
            <w:tcW w:w="40" w:type="dxa"/>
            <w:vAlign w:val="bottom"/>
          </w:tcPr>
          <w:p>
            <w:pPr>
              <w:spacing w:after="0"/>
              <w:rPr>
                <w:sz w:val="17"/>
                <w:szCs w:val="17"/>
                <w:color w:val="auto"/>
              </w:rPr>
            </w:pPr>
          </w:p>
        </w:tc>
      </w:tr>
      <w:tr>
        <w:trPr>
          <w:trHeight w:val="210"/>
        </w:trPr>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$ 123</w:t>
            </w: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160</w:t>
            </w:r>
          </w:p>
        </w:tc>
        <w:tc>
          <w:tcPr>
            <w:tcW w:w="40" w:type="dxa"/>
            <w:vAlign w:val="bottom"/>
          </w:tcPr>
          <w:p>
            <w:pPr>
              <w:spacing w:after="0"/>
              <w:rPr>
                <w:sz w:val="18"/>
                <w:szCs w:val="18"/>
                <w:color w:val="auto"/>
              </w:rPr>
            </w:pP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9" w:lineRule="exact"/>
        <w:rPr>
          <w:sz w:val="20"/>
          <w:szCs w:val="20"/>
          <w:color w:val="auto"/>
        </w:rPr>
      </w:pPr>
    </w:p>
    <w:p>
      <w:pPr>
        <w:sectPr>
          <w:pgSz w:w="11900" w:h="16838" w:orient="portrait"/>
          <w:cols w:equalWidth="0" w:num="2">
            <w:col w:w="6660" w:space="720"/>
            <w:col w:w="3680"/>
          </w:cols>
          <w:pgMar w:left="600" w:top="287" w:right="239" w:bottom="1440" w:gutter="0" w:footer="0" w:header="0"/>
          <w:type w:val="continuous"/>
        </w:sectPr>
      </w:pPr>
    </w:p>
    <w:p>
      <w:pPr>
        <w:ind w:left="100" w:right="180"/>
        <w:spacing w:after="0" w:line="238" w:lineRule="auto"/>
        <w:rPr>
          <w:sz w:val="20"/>
          <w:szCs w:val="20"/>
          <w:color w:val="auto"/>
        </w:rPr>
      </w:pPr>
      <w:r>
        <w:rPr>
          <w:rFonts w:ascii="Arial" w:cs="Arial" w:eastAsia="Arial" w:hAnsi="Arial"/>
          <w:sz w:val="18"/>
          <w:szCs w:val="18"/>
          <w:color w:val="auto"/>
        </w:rPr>
        <w:t>The preceding tables present aggregate information for all plans reported. The following table presents the obligation and asset information for only those plans that have projected benefit obligations in excess of plan assets or plans that have accumulated benefit obligations in excess of plan assets.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939598"/>
                <w:w w:val="95"/>
              </w:rPr>
              <w:t>U.S.</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939598"/>
              </w:rPr>
              <w:t>NON-U.S.</w:t>
            </w:r>
          </w:p>
        </w:tc>
      </w:tr>
      <w:tr>
        <w:trPr>
          <w:trHeight w:val="178"/>
        </w:trPr>
        <w:tc>
          <w:tcPr>
            <w:tcW w:w="6300" w:type="dxa"/>
            <w:vAlign w:val="bottom"/>
          </w:tcPr>
          <w:p>
            <w:pPr>
              <w:spacing w:after="0"/>
              <w:rPr>
                <w:sz w:val="15"/>
                <w:szCs w:val="15"/>
                <w:color w:val="auto"/>
              </w:rPr>
            </w:pPr>
          </w:p>
        </w:tc>
        <w:tc>
          <w:tcPr>
            <w:tcW w:w="2840" w:type="dxa"/>
            <w:vAlign w:val="bottom"/>
            <w:gridSpan w:val="4"/>
          </w:tcPr>
          <w:p>
            <w:pPr>
              <w:jc w:val="right"/>
              <w:ind w:right="76"/>
              <w:spacing w:after="0"/>
              <w:rPr>
                <w:sz w:val="20"/>
                <w:szCs w:val="20"/>
                <w:color w:val="auto"/>
              </w:rPr>
            </w:pPr>
            <w:r>
              <w:rPr>
                <w:rFonts w:ascii="Arial" w:cs="Arial" w:eastAsia="Arial" w:hAnsi="Arial"/>
                <w:sz w:val="14"/>
                <w:szCs w:val="14"/>
                <w:b w:val="1"/>
                <w:bCs w:val="1"/>
                <w:color w:val="939598"/>
              </w:rPr>
              <w:t>DEFINED BENEFIT</w:t>
            </w:r>
          </w:p>
        </w:tc>
        <w:tc>
          <w:tcPr>
            <w:tcW w:w="200" w:type="dxa"/>
            <w:vAlign w:val="bottom"/>
          </w:tcPr>
          <w:p>
            <w:pPr>
              <w:spacing w:after="0"/>
              <w:rPr>
                <w:sz w:val="15"/>
                <w:szCs w:val="15"/>
                <w:color w:val="auto"/>
              </w:rPr>
            </w:pPr>
          </w:p>
        </w:tc>
        <w:tc>
          <w:tcPr>
            <w:tcW w:w="1380" w:type="dxa"/>
            <w:vAlign w:val="bottom"/>
            <w:gridSpan w:val="3"/>
          </w:tcPr>
          <w:p>
            <w:pPr>
              <w:jc w:val="right"/>
              <w:ind w:right="56"/>
              <w:spacing w:after="0"/>
              <w:rPr>
                <w:sz w:val="20"/>
                <w:szCs w:val="20"/>
                <w:color w:val="auto"/>
              </w:rPr>
            </w:pPr>
            <w:r>
              <w:rPr>
                <w:rFonts w:ascii="Arial" w:cs="Arial" w:eastAsia="Arial" w:hAnsi="Arial"/>
                <w:sz w:val="14"/>
                <w:szCs w:val="14"/>
                <w:b w:val="1"/>
                <w:bCs w:val="1"/>
                <w:color w:val="939598"/>
                <w:w w:val="97"/>
              </w:rPr>
              <w:t>DEFINED BENEFIT</w:t>
            </w:r>
          </w:p>
        </w:tc>
      </w:tr>
      <w:tr>
        <w:trPr>
          <w:trHeight w:val="162"/>
        </w:trPr>
        <w:tc>
          <w:tcPr>
            <w:tcW w:w="6300" w:type="dxa"/>
            <w:vAlign w:val="bottom"/>
            <w:shd w:val="clear" w:color="auto" w:fill="939598"/>
          </w:tcPr>
          <w:p>
            <w:pPr>
              <w:spacing w:after="0"/>
              <w:rPr>
                <w:sz w:val="14"/>
                <w:szCs w:val="14"/>
                <w:color w:val="auto"/>
              </w:rPr>
            </w:pPr>
          </w:p>
        </w:tc>
        <w:tc>
          <w:tcPr>
            <w:tcW w:w="1500" w:type="dxa"/>
            <w:vAlign w:val="bottom"/>
            <w:shd w:val="clear" w:color="auto" w:fill="939598"/>
          </w:tcPr>
          <w:p>
            <w:pPr>
              <w:spacing w:after="0"/>
              <w:rPr>
                <w:sz w:val="14"/>
                <w:szCs w:val="14"/>
                <w:color w:val="auto"/>
              </w:rPr>
            </w:pPr>
          </w:p>
        </w:tc>
        <w:tc>
          <w:tcPr>
            <w:tcW w:w="420" w:type="dxa"/>
            <w:vAlign w:val="bottom"/>
            <w:shd w:val="clear" w:color="auto" w:fill="939598"/>
          </w:tcPr>
          <w:p>
            <w:pPr>
              <w:jc w:val="right"/>
              <w:ind w:right="36"/>
              <w:spacing w:after="0"/>
              <w:rPr>
                <w:sz w:val="20"/>
                <w:szCs w:val="20"/>
                <w:color w:val="auto"/>
              </w:rPr>
            </w:pPr>
            <w:r>
              <w:rPr>
                <w:rFonts w:ascii="Arial" w:cs="Arial" w:eastAsia="Arial" w:hAnsi="Arial"/>
                <w:sz w:val="14"/>
                <w:szCs w:val="14"/>
                <w:b w:val="1"/>
                <w:bCs w:val="1"/>
                <w:color w:val="FFFFFF"/>
                <w:w w:val="89"/>
              </w:rPr>
              <w:t>2006</w:t>
            </w:r>
          </w:p>
        </w:tc>
        <w:tc>
          <w:tcPr>
            <w:tcW w:w="320" w:type="dxa"/>
            <w:vAlign w:val="bottom"/>
            <w:shd w:val="clear" w:color="auto" w:fill="939598"/>
          </w:tcPr>
          <w:p>
            <w:pPr>
              <w:spacing w:after="0"/>
              <w:rPr>
                <w:sz w:val="14"/>
                <w:szCs w:val="14"/>
                <w:color w:val="auto"/>
              </w:rPr>
            </w:pPr>
          </w:p>
        </w:tc>
        <w:tc>
          <w:tcPr>
            <w:tcW w:w="600" w:type="dxa"/>
            <w:vAlign w:val="bottom"/>
            <w:shd w:val="clear" w:color="auto" w:fill="939598"/>
          </w:tcPr>
          <w:p>
            <w:pPr>
              <w:jc w:val="right"/>
              <w:ind w:right="176"/>
              <w:spacing w:after="0"/>
              <w:rPr>
                <w:sz w:val="20"/>
                <w:szCs w:val="20"/>
                <w:color w:val="auto"/>
              </w:rPr>
            </w:pPr>
            <w:r>
              <w:rPr>
                <w:rFonts w:ascii="Arial" w:cs="Arial" w:eastAsia="Arial" w:hAnsi="Arial"/>
                <w:sz w:val="14"/>
                <w:szCs w:val="14"/>
                <w:b w:val="1"/>
                <w:bCs w:val="1"/>
                <w:color w:val="FFFFFF"/>
              </w:rPr>
              <w:t>2005</w:t>
            </w:r>
          </w:p>
        </w:tc>
        <w:tc>
          <w:tcPr>
            <w:tcW w:w="200" w:type="dxa"/>
            <w:vAlign w:val="bottom"/>
            <w:shd w:val="clear" w:color="auto" w:fill="939598"/>
          </w:tcPr>
          <w:p>
            <w:pPr>
              <w:spacing w:after="0"/>
              <w:rPr>
                <w:sz w:val="14"/>
                <w:szCs w:val="14"/>
                <w:color w:val="auto"/>
              </w:rPr>
            </w:pPr>
          </w:p>
        </w:tc>
        <w:tc>
          <w:tcPr>
            <w:tcW w:w="640" w:type="dxa"/>
            <w:vAlign w:val="bottom"/>
            <w:shd w:val="clear" w:color="auto" w:fill="939598"/>
          </w:tcPr>
          <w:p>
            <w:pPr>
              <w:jc w:val="right"/>
              <w:ind w:right="201"/>
              <w:spacing w:after="0"/>
              <w:rPr>
                <w:sz w:val="20"/>
                <w:szCs w:val="20"/>
                <w:color w:val="auto"/>
              </w:rPr>
            </w:pPr>
            <w:r>
              <w:rPr>
                <w:rFonts w:ascii="Arial" w:cs="Arial" w:eastAsia="Arial" w:hAnsi="Arial"/>
                <w:sz w:val="14"/>
                <w:szCs w:val="14"/>
                <w:b w:val="1"/>
                <w:bCs w:val="1"/>
                <w:color w:val="FFFFFF"/>
              </w:rPr>
              <w:t>2006</w:t>
            </w:r>
          </w:p>
        </w:tc>
        <w:tc>
          <w:tcPr>
            <w:tcW w:w="220" w:type="dxa"/>
            <w:vAlign w:val="bottom"/>
            <w:shd w:val="clear" w:color="auto" w:fill="939598"/>
          </w:tcPr>
          <w:p>
            <w:pPr>
              <w:spacing w:after="0"/>
              <w:rPr>
                <w:sz w:val="14"/>
                <w:szCs w:val="14"/>
                <w:color w:val="auto"/>
              </w:rPr>
            </w:pPr>
          </w:p>
        </w:tc>
        <w:tc>
          <w:tcPr>
            <w:tcW w:w="520" w:type="dxa"/>
            <w:vAlign w:val="bottom"/>
            <w:shd w:val="clear" w:color="auto" w:fill="939598"/>
          </w:tcPr>
          <w:p>
            <w:pPr>
              <w:jc w:val="right"/>
              <w:ind w:right="96"/>
              <w:spacing w:after="0"/>
              <w:rPr>
                <w:sz w:val="20"/>
                <w:szCs w:val="20"/>
                <w:color w:val="auto"/>
              </w:rPr>
            </w:pPr>
            <w:r>
              <w:rPr>
                <w:rFonts w:ascii="Arial" w:cs="Arial" w:eastAsia="Arial" w:hAnsi="Arial"/>
                <w:sz w:val="14"/>
                <w:szCs w:val="14"/>
                <w:b w:val="1"/>
                <w:bCs w:val="1"/>
                <w:color w:val="FFFFFF"/>
              </w:rPr>
              <w:t>2005</w:t>
            </w:r>
          </w:p>
        </w:tc>
      </w:tr>
      <w:tr>
        <w:trPr>
          <w:trHeight w:val="270"/>
        </w:trPr>
        <w:tc>
          <w:tcPr>
            <w:tcW w:w="6300" w:type="dxa"/>
            <w:vAlign w:val="bottom"/>
          </w:tcPr>
          <w:p>
            <w:pPr>
              <w:spacing w:after="0"/>
              <w:rPr>
                <w:sz w:val="20"/>
                <w:szCs w:val="20"/>
                <w:color w:val="auto"/>
              </w:rPr>
            </w:pPr>
            <w:r>
              <w:rPr>
                <w:rFonts w:ascii="Arial" w:cs="Arial" w:eastAsia="Arial" w:hAnsi="Arial"/>
                <w:sz w:val="18"/>
                <w:szCs w:val="18"/>
                <w:color w:val="auto"/>
              </w:rPr>
              <w:t>Plans with projected benefit obligations greater than assets:</w:t>
            </w:r>
          </w:p>
        </w:tc>
        <w:tc>
          <w:tcPr>
            <w:tcW w:w="1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03"/>
        </w:trPr>
        <w:tc>
          <w:tcPr>
            <w:tcW w:w="630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Projected benefit obligations</w:t>
            </w:r>
          </w:p>
        </w:tc>
        <w:tc>
          <w:tcPr>
            <w:tcW w:w="15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34</w:t>
            </w:r>
          </w:p>
        </w:tc>
        <w:tc>
          <w:tcPr>
            <w:tcW w:w="3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E6E7E7"/>
          </w:tcPr>
          <w:p>
            <w:pPr>
              <w:jc w:val="right"/>
              <w:ind w:right="16"/>
              <w:spacing w:after="0" w:line="202" w:lineRule="exact"/>
              <w:rPr>
                <w:sz w:val="20"/>
                <w:szCs w:val="20"/>
                <w:color w:val="auto"/>
              </w:rPr>
            </w:pPr>
            <w:r>
              <w:rPr>
                <w:rFonts w:ascii="Arial" w:cs="Arial" w:eastAsia="Arial" w:hAnsi="Arial"/>
                <w:sz w:val="18"/>
                <w:szCs w:val="18"/>
                <w:color w:val="auto"/>
              </w:rPr>
              <w:t>798</w:t>
            </w:r>
          </w:p>
        </w:tc>
        <w:tc>
          <w:tcPr>
            <w:tcW w:w="2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E6E7E7"/>
          </w:tcPr>
          <w:p>
            <w:pPr>
              <w:jc w:val="right"/>
              <w:ind w:right="21"/>
              <w:spacing w:after="0" w:line="202" w:lineRule="exact"/>
              <w:rPr>
                <w:sz w:val="20"/>
                <w:szCs w:val="20"/>
                <w:color w:val="auto"/>
              </w:rPr>
            </w:pPr>
            <w:r>
              <w:rPr>
                <w:rFonts w:ascii="Arial" w:cs="Arial" w:eastAsia="Arial" w:hAnsi="Arial"/>
                <w:sz w:val="18"/>
                <w:szCs w:val="18"/>
                <w:b w:val="1"/>
                <w:bCs w:val="1"/>
                <w:color w:val="auto"/>
              </w:rPr>
              <w:t>1,145</w:t>
            </w:r>
          </w:p>
        </w:tc>
        <w:tc>
          <w:tcPr>
            <w:tcW w:w="2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1,603</w:t>
            </w:r>
          </w:p>
        </w:tc>
      </w:tr>
      <w:tr>
        <w:trPr>
          <w:trHeight w:val="203"/>
        </w:trPr>
        <w:tc>
          <w:tcPr>
            <w:tcW w:w="6300" w:type="dxa"/>
            <w:vAlign w:val="bottom"/>
          </w:tcPr>
          <w:p>
            <w:pPr>
              <w:ind w:left="420"/>
              <w:spacing w:after="0" w:line="202" w:lineRule="exact"/>
              <w:rPr>
                <w:sz w:val="20"/>
                <w:szCs w:val="20"/>
                <w:color w:val="auto"/>
              </w:rPr>
            </w:pPr>
            <w:r>
              <w:rPr>
                <w:rFonts w:ascii="Arial" w:cs="Arial" w:eastAsia="Arial" w:hAnsi="Arial"/>
                <w:sz w:val="18"/>
                <w:szCs w:val="18"/>
                <w:color w:val="auto"/>
              </w:rPr>
              <w:t>Plan assets</w:t>
            </w:r>
          </w:p>
        </w:tc>
        <w:tc>
          <w:tcPr>
            <w:tcW w:w="15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6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724</w:t>
            </w:r>
          </w:p>
        </w:tc>
        <w:tc>
          <w:tcPr>
            <w:tcW w:w="200" w:type="dxa"/>
            <w:vAlign w:val="bottom"/>
          </w:tcPr>
          <w:p>
            <w:pPr>
              <w:spacing w:after="0"/>
              <w:rPr>
                <w:sz w:val="17"/>
                <w:szCs w:val="17"/>
                <w:color w:val="auto"/>
              </w:rPr>
            </w:pPr>
          </w:p>
        </w:tc>
        <w:tc>
          <w:tcPr>
            <w:tcW w:w="640" w:type="dxa"/>
            <w:vAlign w:val="bottom"/>
          </w:tcPr>
          <w:p>
            <w:pPr>
              <w:jc w:val="right"/>
              <w:ind w:right="21"/>
              <w:spacing w:after="0" w:line="202" w:lineRule="exact"/>
              <w:rPr>
                <w:sz w:val="20"/>
                <w:szCs w:val="20"/>
                <w:color w:val="auto"/>
              </w:rPr>
            </w:pPr>
            <w:r>
              <w:rPr>
                <w:rFonts w:ascii="Arial" w:cs="Arial" w:eastAsia="Arial" w:hAnsi="Arial"/>
                <w:sz w:val="18"/>
                <w:szCs w:val="18"/>
                <w:b w:val="1"/>
                <w:bCs w:val="1"/>
                <w:color w:val="auto"/>
              </w:rPr>
              <w:t>1,001</w:t>
            </w:r>
          </w:p>
        </w:tc>
        <w:tc>
          <w:tcPr>
            <w:tcW w:w="2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1,054</w:t>
            </w:r>
          </w:p>
        </w:tc>
      </w:tr>
      <w:tr>
        <w:trPr>
          <w:trHeight w:val="203"/>
        </w:trPr>
        <w:tc>
          <w:tcPr>
            <w:tcW w:w="6300" w:type="dxa"/>
            <w:vAlign w:val="bottom"/>
            <w:shd w:val="clear" w:color="auto" w:fill="E6E7E7"/>
          </w:tcPr>
          <w:p>
            <w:pPr>
              <w:spacing w:after="0" w:line="202" w:lineRule="exact"/>
              <w:rPr>
                <w:sz w:val="20"/>
                <w:szCs w:val="20"/>
                <w:color w:val="auto"/>
              </w:rPr>
            </w:pPr>
            <w:r>
              <w:rPr>
                <w:rFonts w:ascii="Arial" w:cs="Arial" w:eastAsia="Arial" w:hAnsi="Arial"/>
                <w:sz w:val="18"/>
                <w:szCs w:val="18"/>
                <w:color w:val="auto"/>
              </w:rPr>
              <w:t>Plans with accumulated benefit obligations greater than assets:</w:t>
            </w:r>
          </w:p>
        </w:tc>
        <w:tc>
          <w:tcPr>
            <w:tcW w:w="1500" w:type="dxa"/>
            <w:vAlign w:val="bottom"/>
            <w:shd w:val="clear" w:color="auto" w:fill="E6E7E7"/>
          </w:tcPr>
          <w:p>
            <w:pPr>
              <w:spacing w:after="0"/>
              <w:rPr>
                <w:sz w:val="17"/>
                <w:szCs w:val="17"/>
                <w:color w:val="auto"/>
              </w:rPr>
            </w:pPr>
          </w:p>
        </w:tc>
        <w:tc>
          <w:tcPr>
            <w:tcW w:w="420" w:type="dxa"/>
            <w:vAlign w:val="bottom"/>
            <w:shd w:val="clear" w:color="auto" w:fill="E6E7E7"/>
          </w:tcPr>
          <w:p>
            <w:pPr>
              <w:spacing w:after="0"/>
              <w:rPr>
                <w:sz w:val="17"/>
                <w:szCs w:val="17"/>
                <w:color w:val="auto"/>
              </w:rPr>
            </w:pPr>
          </w:p>
        </w:tc>
        <w:tc>
          <w:tcPr>
            <w:tcW w:w="320" w:type="dxa"/>
            <w:vAlign w:val="bottom"/>
            <w:shd w:val="clear" w:color="auto" w:fill="E6E7E7"/>
          </w:tcPr>
          <w:p>
            <w:pPr>
              <w:spacing w:after="0"/>
              <w:rPr>
                <w:sz w:val="17"/>
                <w:szCs w:val="17"/>
                <w:color w:val="auto"/>
              </w:rPr>
            </w:pPr>
          </w:p>
        </w:tc>
        <w:tc>
          <w:tcPr>
            <w:tcW w:w="600" w:type="dxa"/>
            <w:vAlign w:val="bottom"/>
            <w:shd w:val="clear" w:color="auto" w:fill="E6E7E7"/>
          </w:tcPr>
          <w:p>
            <w:pPr>
              <w:spacing w:after="0"/>
              <w:rPr>
                <w:sz w:val="17"/>
                <w:szCs w:val="17"/>
                <w:color w:val="auto"/>
              </w:rPr>
            </w:pPr>
          </w:p>
        </w:tc>
        <w:tc>
          <w:tcPr>
            <w:tcW w:w="200" w:type="dxa"/>
            <w:vAlign w:val="bottom"/>
            <w:shd w:val="clear" w:color="auto" w:fill="E6E7E7"/>
          </w:tcPr>
          <w:p>
            <w:pPr>
              <w:spacing w:after="0"/>
              <w:rPr>
                <w:sz w:val="17"/>
                <w:szCs w:val="17"/>
                <w:color w:val="auto"/>
              </w:rPr>
            </w:pPr>
          </w:p>
        </w:tc>
        <w:tc>
          <w:tcPr>
            <w:tcW w:w="640" w:type="dxa"/>
            <w:vAlign w:val="bottom"/>
            <w:shd w:val="clear" w:color="auto" w:fill="E6E7E7"/>
          </w:tcPr>
          <w:p>
            <w:pPr>
              <w:spacing w:after="0"/>
              <w:rPr>
                <w:sz w:val="17"/>
                <w:szCs w:val="17"/>
                <w:color w:val="auto"/>
              </w:rPr>
            </w:pPr>
          </w:p>
        </w:tc>
        <w:tc>
          <w:tcPr>
            <w:tcW w:w="220" w:type="dxa"/>
            <w:vAlign w:val="bottom"/>
            <w:shd w:val="clear" w:color="auto" w:fill="E6E7E7"/>
          </w:tcPr>
          <w:p>
            <w:pPr>
              <w:spacing w:after="0"/>
              <w:rPr>
                <w:sz w:val="17"/>
                <w:szCs w:val="17"/>
                <w:color w:val="auto"/>
              </w:rPr>
            </w:pPr>
          </w:p>
        </w:tc>
        <w:tc>
          <w:tcPr>
            <w:tcW w:w="520" w:type="dxa"/>
            <w:vAlign w:val="bottom"/>
            <w:shd w:val="clear" w:color="auto" w:fill="E6E7E7"/>
          </w:tcPr>
          <w:p>
            <w:pPr>
              <w:spacing w:after="0"/>
              <w:rPr>
                <w:sz w:val="17"/>
                <w:szCs w:val="17"/>
                <w:color w:val="auto"/>
              </w:rPr>
            </w:pPr>
          </w:p>
        </w:tc>
      </w:tr>
      <w:tr>
        <w:trPr>
          <w:trHeight w:val="203"/>
        </w:trPr>
        <w:tc>
          <w:tcPr>
            <w:tcW w:w="6300" w:type="dxa"/>
            <w:vAlign w:val="bottom"/>
          </w:tcPr>
          <w:p>
            <w:pPr>
              <w:ind w:left="420"/>
              <w:spacing w:after="0" w:line="202" w:lineRule="exact"/>
              <w:rPr>
                <w:sz w:val="20"/>
                <w:szCs w:val="20"/>
                <w:color w:val="auto"/>
              </w:rPr>
            </w:pPr>
            <w:r>
              <w:rPr>
                <w:rFonts w:ascii="Arial" w:cs="Arial" w:eastAsia="Arial" w:hAnsi="Arial"/>
                <w:sz w:val="18"/>
                <w:szCs w:val="18"/>
                <w:color w:val="auto"/>
              </w:rPr>
              <w:t>Accumulated benefit obligations</w:t>
            </w:r>
          </w:p>
        </w:tc>
        <w:tc>
          <w:tcPr>
            <w:tcW w:w="1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23</w:t>
            </w:r>
          </w:p>
        </w:tc>
        <w:tc>
          <w:tcPr>
            <w:tcW w:w="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21"/>
              <w:spacing w:after="0" w:line="202" w:lineRule="exact"/>
              <w:rPr>
                <w:sz w:val="20"/>
                <w:szCs w:val="20"/>
                <w:color w:val="auto"/>
              </w:rPr>
            </w:pPr>
            <w:r>
              <w:rPr>
                <w:rFonts w:ascii="Arial" w:cs="Arial" w:eastAsia="Arial" w:hAnsi="Arial"/>
                <w:sz w:val="18"/>
                <w:szCs w:val="18"/>
                <w:b w:val="1"/>
                <w:bCs w:val="1"/>
                <w:color w:val="auto"/>
              </w:rPr>
              <w:t>83</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1,169</w:t>
            </w:r>
          </w:p>
        </w:tc>
      </w:tr>
      <w:tr>
        <w:trPr>
          <w:trHeight w:val="203"/>
        </w:trPr>
        <w:tc>
          <w:tcPr>
            <w:tcW w:w="630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Plan assets</w:t>
            </w:r>
          </w:p>
        </w:tc>
        <w:tc>
          <w:tcPr>
            <w:tcW w:w="1500" w:type="dxa"/>
            <w:vAlign w:val="bottom"/>
            <w:shd w:val="clear" w:color="auto" w:fill="E6E7E7"/>
          </w:tcPr>
          <w:p>
            <w:pPr>
              <w:spacing w:after="0"/>
              <w:rPr>
                <w:sz w:val="17"/>
                <w:szCs w:val="17"/>
                <w:color w:val="auto"/>
              </w:rPr>
            </w:pPr>
          </w:p>
        </w:tc>
        <w:tc>
          <w:tcPr>
            <w:tcW w:w="4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E6E7E7"/>
          </w:tcPr>
          <w:p>
            <w:pPr>
              <w:spacing w:after="0"/>
              <w:rPr>
                <w:sz w:val="17"/>
                <w:szCs w:val="17"/>
                <w:color w:val="auto"/>
              </w:rPr>
            </w:pPr>
          </w:p>
        </w:tc>
        <w:tc>
          <w:tcPr>
            <w:tcW w:w="600" w:type="dxa"/>
            <w:vAlign w:val="bottom"/>
            <w:shd w:val="clear" w:color="auto" w:fill="E6E7E7"/>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E6E7E7"/>
          </w:tcPr>
          <w:p>
            <w:pPr>
              <w:spacing w:after="0"/>
              <w:rPr>
                <w:sz w:val="17"/>
                <w:szCs w:val="17"/>
                <w:color w:val="auto"/>
              </w:rPr>
            </w:pPr>
          </w:p>
        </w:tc>
        <w:tc>
          <w:tcPr>
            <w:tcW w:w="640" w:type="dxa"/>
            <w:vAlign w:val="bottom"/>
            <w:shd w:val="clear" w:color="auto" w:fill="E6E7E7"/>
          </w:tcPr>
          <w:p>
            <w:pPr>
              <w:jc w:val="right"/>
              <w:ind w:right="21"/>
              <w:spacing w:after="0" w:line="202" w:lineRule="exact"/>
              <w:rPr>
                <w:sz w:val="20"/>
                <w:szCs w:val="20"/>
                <w:color w:val="auto"/>
              </w:rPr>
            </w:pPr>
            <w:r>
              <w:rPr>
                <w:rFonts w:ascii="Arial" w:cs="Arial" w:eastAsia="Arial" w:hAnsi="Arial"/>
                <w:sz w:val="18"/>
                <w:szCs w:val="18"/>
                <w:b w:val="1"/>
                <w:bCs w:val="1"/>
                <w:color w:val="auto"/>
              </w:rPr>
              <w:t>40</w:t>
            </w:r>
          </w:p>
        </w:tc>
        <w:tc>
          <w:tcPr>
            <w:tcW w:w="220" w:type="dxa"/>
            <w:vAlign w:val="bottom"/>
            <w:shd w:val="clear" w:color="auto" w:fill="E6E7E7"/>
          </w:tcPr>
          <w:p>
            <w:pPr>
              <w:spacing w:after="0"/>
              <w:rPr>
                <w:sz w:val="17"/>
                <w:szCs w:val="17"/>
                <w:color w:val="auto"/>
              </w:rPr>
            </w:pPr>
          </w:p>
        </w:tc>
        <w:tc>
          <w:tcPr>
            <w:tcW w:w="5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832</w:t>
            </w:r>
          </w:p>
        </w:tc>
      </w:tr>
    </w:tbl>
    <w:p>
      <w:pPr>
        <w:spacing w:after="0" w:line="165" w:lineRule="exact"/>
        <w:rPr>
          <w:sz w:val="20"/>
          <w:szCs w:val="20"/>
          <w:color w:val="auto"/>
        </w:rPr>
      </w:pPr>
    </w:p>
    <w:p>
      <w:pPr>
        <w:ind w:left="100" w:right="160"/>
        <w:spacing w:after="0" w:line="239" w:lineRule="auto"/>
        <w:rPr>
          <w:sz w:val="20"/>
          <w:szCs w:val="20"/>
          <w:color w:val="auto"/>
        </w:rPr>
      </w:pPr>
      <w:r>
        <w:rPr>
          <w:rFonts w:ascii="Arial" w:cs="Arial" w:eastAsia="Arial" w:hAnsi="Arial"/>
          <w:sz w:val="18"/>
          <w:szCs w:val="18"/>
          <w:color w:val="auto"/>
        </w:rPr>
        <w:t>Accumulated benefit obligations were $711 million and $698 million at year-end 2006 and 2005 for the U.S. defined benefit plans, and were $1.47 billion and $1.38 billion at year-end 2006 and 2005 for the non-U.S. defined benefit plans.</w:t>
      </w:r>
    </w:p>
    <w:p>
      <w:pPr>
        <w:spacing w:after="0" w:line="236"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Assumptions and Investment Policies</w:t>
      </w:r>
    </w:p>
    <w:p>
      <w:pPr>
        <w:spacing w:after="0" w:line="158" w:lineRule="exact"/>
        <w:rPr>
          <w:sz w:val="20"/>
          <w:szCs w:val="20"/>
          <w:color w:val="auto"/>
        </w:rPr>
      </w:pPr>
    </w:p>
    <w:p>
      <w:pPr>
        <w:ind w:left="100" w:right="20"/>
        <w:spacing w:after="0" w:line="236" w:lineRule="auto"/>
        <w:rPr>
          <w:sz w:val="20"/>
          <w:szCs w:val="20"/>
          <w:color w:val="auto"/>
        </w:rPr>
      </w:pPr>
      <w:r>
        <w:rPr>
          <w:rFonts w:ascii="Arial" w:cs="Arial" w:eastAsia="Arial" w:hAnsi="Arial"/>
          <w:sz w:val="18"/>
          <w:szCs w:val="18"/>
          <w:color w:val="auto"/>
        </w:rPr>
        <w:t>In order to select a discount rate for purposes of valuing the plan obligations and for fiscal-year-end disclosure, an analysis is performed in which the projected cash flows from significant defined benefit and retiree health care plans are matched with a yield curve based on an appropriate universe of high-quality corporate bonds that are available in each country. Additionally, we also consider a bond matching analysis on the projected payment streams of the U.S. defined benefit and retiree health care plans. We use the results of the yield curve and bond matching analysis to select the discount rate that matches the payment stream of the benefits in each plan. Each rate is rounded to the nearest quarter of a percent.</w:t>
      </w:r>
    </w:p>
    <w:p>
      <w:pPr>
        <w:sectPr>
          <w:pgSz w:w="11900" w:h="16838" w:orient="portrait"/>
          <w:cols w:equalWidth="0" w:num="1">
            <w:col w:w="11060"/>
          </w:cols>
          <w:pgMar w:left="600" w:top="287" w:right="239" w:bottom="1440" w:gutter="0" w:footer="0" w:header="0"/>
          <w:type w:val="continuous"/>
        </w:sectPr>
      </w:pPr>
    </w:p>
    <w:bookmarkStart w:id="79" w:name="page80"/>
    <w:bookmarkEnd w:id="79"/>
    <w:p>
      <w:pPr>
        <w:spacing w:after="0"/>
        <w:tabs>
          <w:tab w:leader="none" w:pos="36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30</w:t>
        <w:tab/>
        <w:t>TEXAS INSTRUMENTS 2006 ANNUAL REPORT</w:t>
      </w:r>
    </w:p>
    <w:p>
      <w:pPr>
        <w:spacing w:after="0" w:line="140" w:lineRule="exact"/>
        <w:rPr>
          <w:sz w:val="20"/>
          <w:szCs w:val="20"/>
          <w:color w:val="auto"/>
        </w:rPr>
      </w:pPr>
    </w:p>
    <w:p>
      <w:pPr>
        <w:ind w:left="460" w:right="640"/>
        <w:spacing w:after="0" w:line="239" w:lineRule="auto"/>
        <w:rPr>
          <w:sz w:val="20"/>
          <w:szCs w:val="20"/>
          <w:color w:val="auto"/>
        </w:rPr>
      </w:pPr>
      <w:r>
        <w:rPr>
          <w:rFonts w:ascii="Arial" w:cs="Arial" w:eastAsia="Arial" w:hAnsi="Arial"/>
          <w:sz w:val="18"/>
          <w:szCs w:val="18"/>
          <w:color w:val="auto"/>
        </w:rPr>
        <w:t>The ranges of assumptions used for the non-U.S. defined benefit plans reflect the different economic environments within the various countries.</w:t>
      </w:r>
    </w:p>
    <w:p>
      <w:pPr>
        <w:spacing w:after="0" w:line="16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939598"/>
              </w:rPr>
              <w:t>RETIREE HEALTH</w:t>
            </w:r>
          </w:p>
        </w:tc>
      </w:tr>
      <w:tr>
        <w:trPr>
          <w:trHeight w:val="178"/>
        </w:trPr>
        <w:tc>
          <w:tcPr>
            <w:tcW w:w="7280" w:type="dxa"/>
            <w:vAlign w:val="bottom"/>
          </w:tcPr>
          <w:p>
            <w:pPr>
              <w:spacing w:after="0"/>
              <w:rPr>
                <w:sz w:val="15"/>
                <w:szCs w:val="15"/>
                <w:color w:val="auto"/>
              </w:rPr>
            </w:pPr>
          </w:p>
        </w:tc>
        <w:tc>
          <w:tcPr>
            <w:tcW w:w="1840" w:type="dxa"/>
            <w:vAlign w:val="bottom"/>
            <w:gridSpan w:val="2"/>
          </w:tcPr>
          <w:p>
            <w:pPr>
              <w:jc w:val="right"/>
              <w:ind w:right="293"/>
              <w:spacing w:after="0"/>
              <w:rPr>
                <w:sz w:val="20"/>
                <w:szCs w:val="20"/>
                <w:color w:val="auto"/>
              </w:rPr>
            </w:pPr>
            <w:r>
              <w:rPr>
                <w:rFonts w:ascii="Arial" w:cs="Arial" w:eastAsia="Arial" w:hAnsi="Arial"/>
                <w:sz w:val="14"/>
                <w:szCs w:val="14"/>
                <w:b w:val="1"/>
                <w:bCs w:val="1"/>
                <w:color w:val="939598"/>
              </w:rPr>
              <w:t>DEFINED BENEFIT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939598"/>
              </w:rPr>
              <w:t>CARE</w:t>
            </w:r>
          </w:p>
        </w:tc>
        <w:tc>
          <w:tcPr>
            <w:tcW w:w="640" w:type="dxa"/>
            <w:vAlign w:val="bottom"/>
          </w:tcPr>
          <w:p>
            <w:pPr>
              <w:spacing w:after="0"/>
              <w:rPr>
                <w:sz w:val="15"/>
                <w:szCs w:val="15"/>
                <w:color w:val="auto"/>
              </w:rPr>
            </w:pPr>
          </w:p>
        </w:tc>
      </w:tr>
      <w:tr>
        <w:trPr>
          <w:trHeight w:val="68"/>
        </w:trPr>
        <w:tc>
          <w:tcPr>
            <w:tcW w:w="7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40" w:type="dxa"/>
            <w:vAlign w:val="bottom"/>
          </w:tcPr>
          <w:p>
            <w:pPr>
              <w:spacing w:after="0"/>
              <w:rPr>
                <w:sz w:val="5"/>
                <w:szCs w:val="5"/>
                <w:color w:val="auto"/>
              </w:rPr>
            </w:pPr>
          </w:p>
        </w:tc>
      </w:tr>
      <w:tr>
        <w:trPr>
          <w:trHeight w:val="149"/>
        </w:trPr>
        <w:tc>
          <w:tcPr>
            <w:tcW w:w="7280" w:type="dxa"/>
            <w:vAlign w:val="bottom"/>
            <w:shd w:val="clear" w:color="auto" w:fill="939598"/>
          </w:tcPr>
          <w:p>
            <w:pPr>
              <w:spacing w:after="0"/>
              <w:rPr>
                <w:sz w:val="12"/>
                <w:szCs w:val="12"/>
                <w:color w:val="auto"/>
              </w:rPr>
            </w:pPr>
          </w:p>
        </w:tc>
        <w:tc>
          <w:tcPr>
            <w:tcW w:w="960" w:type="dxa"/>
            <w:vAlign w:val="bottom"/>
            <w:shd w:val="clear" w:color="auto" w:fill="939598"/>
          </w:tcPr>
          <w:p>
            <w:pPr>
              <w:jc w:val="right"/>
              <w:ind w:right="315"/>
              <w:spacing w:after="0" w:line="149" w:lineRule="exact"/>
              <w:rPr>
                <w:sz w:val="20"/>
                <w:szCs w:val="20"/>
                <w:color w:val="auto"/>
              </w:rPr>
            </w:pPr>
            <w:r>
              <w:rPr>
                <w:rFonts w:ascii="Arial" w:cs="Arial" w:eastAsia="Arial" w:hAnsi="Arial"/>
                <w:sz w:val="14"/>
                <w:szCs w:val="14"/>
                <w:b w:val="1"/>
                <w:bCs w:val="1"/>
                <w:color w:val="FFFFFF"/>
              </w:rPr>
              <w:t>2006</w:t>
            </w:r>
          </w:p>
        </w:tc>
        <w:tc>
          <w:tcPr>
            <w:tcW w:w="880" w:type="dxa"/>
            <w:vAlign w:val="bottom"/>
            <w:shd w:val="clear" w:color="auto" w:fill="939598"/>
          </w:tcPr>
          <w:p>
            <w:pPr>
              <w:jc w:val="right"/>
              <w:ind w:right="313"/>
              <w:spacing w:after="0" w:line="149" w:lineRule="exact"/>
              <w:rPr>
                <w:sz w:val="20"/>
                <w:szCs w:val="20"/>
                <w:color w:val="auto"/>
              </w:rPr>
            </w:pPr>
            <w:r>
              <w:rPr>
                <w:rFonts w:ascii="Arial" w:cs="Arial" w:eastAsia="Arial" w:hAnsi="Arial"/>
                <w:sz w:val="14"/>
                <w:szCs w:val="14"/>
                <w:b w:val="1"/>
                <w:bCs w:val="1"/>
                <w:color w:val="FFFFFF"/>
              </w:rPr>
              <w:t>2005</w:t>
            </w:r>
          </w:p>
        </w:tc>
        <w:tc>
          <w:tcPr>
            <w:tcW w:w="960" w:type="dxa"/>
            <w:vAlign w:val="bottom"/>
            <w:shd w:val="clear" w:color="auto" w:fill="939598"/>
          </w:tcPr>
          <w:p>
            <w:pPr>
              <w:ind w:left="160"/>
              <w:spacing w:after="0" w:line="149" w:lineRule="exact"/>
              <w:rPr>
                <w:sz w:val="20"/>
                <w:szCs w:val="20"/>
                <w:color w:val="auto"/>
              </w:rPr>
            </w:pPr>
            <w:r>
              <w:rPr>
                <w:rFonts w:ascii="Arial" w:cs="Arial" w:eastAsia="Arial" w:hAnsi="Arial"/>
                <w:sz w:val="14"/>
                <w:szCs w:val="14"/>
                <w:b w:val="1"/>
                <w:bCs w:val="1"/>
                <w:color w:val="FFFFFF"/>
              </w:rPr>
              <w:t>2006</w:t>
            </w:r>
          </w:p>
        </w:tc>
        <w:tc>
          <w:tcPr>
            <w:tcW w:w="640" w:type="dxa"/>
            <w:vAlign w:val="bottom"/>
            <w:shd w:val="clear" w:color="auto" w:fill="939598"/>
          </w:tcPr>
          <w:p>
            <w:pPr>
              <w:jc w:val="right"/>
              <w:ind w:right="217"/>
              <w:spacing w:after="0" w:line="149" w:lineRule="exact"/>
              <w:rPr>
                <w:sz w:val="20"/>
                <w:szCs w:val="20"/>
                <w:color w:val="auto"/>
              </w:rPr>
            </w:pPr>
            <w:r>
              <w:rPr>
                <w:rFonts w:ascii="Arial" w:cs="Arial" w:eastAsia="Arial" w:hAnsi="Arial"/>
                <w:sz w:val="14"/>
                <w:szCs w:val="14"/>
                <w:b w:val="1"/>
                <w:bCs w:val="1"/>
                <w:color w:val="FFFFFF"/>
              </w:rPr>
              <w:t>2005</w:t>
            </w:r>
          </w:p>
        </w:tc>
      </w:tr>
      <w:tr>
        <w:trPr>
          <w:trHeight w:val="311"/>
        </w:trPr>
        <w:tc>
          <w:tcPr>
            <w:tcW w:w="7280" w:type="dxa"/>
            <w:vAlign w:val="bottom"/>
          </w:tcPr>
          <w:p>
            <w:pPr>
              <w:spacing w:after="0"/>
              <w:rPr>
                <w:sz w:val="20"/>
                <w:szCs w:val="20"/>
                <w:color w:val="auto"/>
              </w:rPr>
            </w:pPr>
            <w:r>
              <w:rPr>
                <w:rFonts w:ascii="Arial" w:cs="Arial" w:eastAsia="Arial" w:hAnsi="Arial"/>
                <w:sz w:val="18"/>
                <w:szCs w:val="18"/>
                <w:b w:val="1"/>
                <w:bCs w:val="1"/>
                <w:color w:val="auto"/>
              </w:rPr>
              <w:t>Weighted average assumptions used to determine benefit obligations:</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728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U.S. assumed discount rate</w:t>
            </w:r>
          </w:p>
        </w:tc>
        <w:tc>
          <w:tcPr>
            <w:tcW w:w="960" w:type="dxa"/>
            <w:vAlign w:val="bottom"/>
            <w:shd w:val="clear" w:color="auto" w:fill="E6E7E7"/>
          </w:tcPr>
          <w:p>
            <w:pPr>
              <w:jc w:val="right"/>
              <w:ind w:right="75"/>
              <w:spacing w:after="0" w:line="202" w:lineRule="exact"/>
              <w:rPr>
                <w:sz w:val="20"/>
                <w:szCs w:val="20"/>
                <w:color w:val="auto"/>
              </w:rPr>
            </w:pPr>
            <w:r>
              <w:rPr>
                <w:rFonts w:ascii="Arial" w:cs="Arial" w:eastAsia="Arial" w:hAnsi="Arial"/>
                <w:sz w:val="18"/>
                <w:szCs w:val="18"/>
                <w:b w:val="1"/>
                <w:bCs w:val="1"/>
                <w:color w:val="auto"/>
              </w:rPr>
              <w:t>5.75%</w:t>
            </w:r>
          </w:p>
        </w:tc>
        <w:tc>
          <w:tcPr>
            <w:tcW w:w="880" w:type="dxa"/>
            <w:vAlign w:val="bottom"/>
            <w:shd w:val="clear" w:color="auto" w:fill="E6E7E7"/>
          </w:tcPr>
          <w:p>
            <w:pPr>
              <w:jc w:val="right"/>
              <w:ind w:right="73"/>
              <w:spacing w:after="0" w:line="202" w:lineRule="exact"/>
              <w:rPr>
                <w:sz w:val="20"/>
                <w:szCs w:val="20"/>
                <w:color w:val="auto"/>
              </w:rPr>
            </w:pPr>
            <w:r>
              <w:rPr>
                <w:rFonts w:ascii="Arial" w:cs="Arial" w:eastAsia="Arial" w:hAnsi="Arial"/>
                <w:sz w:val="18"/>
                <w:szCs w:val="18"/>
                <w:color w:val="auto"/>
              </w:rPr>
              <w:t>5.50%</w:t>
            </w:r>
          </w:p>
        </w:tc>
        <w:tc>
          <w:tcPr>
            <w:tcW w:w="960" w:type="dxa"/>
            <w:vAlign w:val="bottom"/>
            <w:shd w:val="clear" w:color="auto" w:fill="E6E7E7"/>
          </w:tcPr>
          <w:p>
            <w:pPr>
              <w:jc w:val="right"/>
              <w:ind w:right="202"/>
              <w:spacing w:after="0" w:line="202" w:lineRule="exact"/>
              <w:rPr>
                <w:sz w:val="20"/>
                <w:szCs w:val="20"/>
                <w:color w:val="auto"/>
              </w:rPr>
            </w:pPr>
            <w:r>
              <w:rPr>
                <w:rFonts w:ascii="Arial" w:cs="Arial" w:eastAsia="Arial" w:hAnsi="Arial"/>
                <w:sz w:val="18"/>
                <w:szCs w:val="18"/>
                <w:b w:val="1"/>
                <w:bCs w:val="1"/>
                <w:color w:val="auto"/>
              </w:rPr>
              <w:t>5.75%</w:t>
            </w:r>
          </w:p>
        </w:tc>
        <w:tc>
          <w:tcPr>
            <w:tcW w:w="6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5.50%</w:t>
            </w: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Non-U.S. assumed discount rate:</w:t>
            </w: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728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High</w:t>
            </w:r>
          </w:p>
        </w:tc>
        <w:tc>
          <w:tcPr>
            <w:tcW w:w="960" w:type="dxa"/>
            <w:vAlign w:val="bottom"/>
            <w:shd w:val="clear" w:color="auto" w:fill="E6E7E7"/>
          </w:tcPr>
          <w:p>
            <w:pPr>
              <w:jc w:val="right"/>
              <w:ind w:right="75"/>
              <w:spacing w:after="0" w:line="202" w:lineRule="exact"/>
              <w:rPr>
                <w:sz w:val="20"/>
                <w:szCs w:val="20"/>
                <w:color w:val="auto"/>
              </w:rPr>
            </w:pPr>
            <w:r>
              <w:rPr>
                <w:rFonts w:ascii="Arial" w:cs="Arial" w:eastAsia="Arial" w:hAnsi="Arial"/>
                <w:sz w:val="18"/>
                <w:szCs w:val="18"/>
                <w:b w:val="1"/>
                <w:bCs w:val="1"/>
                <w:color w:val="auto"/>
              </w:rPr>
              <w:t>5.00%</w:t>
            </w:r>
          </w:p>
        </w:tc>
        <w:tc>
          <w:tcPr>
            <w:tcW w:w="880" w:type="dxa"/>
            <w:vAlign w:val="bottom"/>
            <w:shd w:val="clear" w:color="auto" w:fill="E6E7E7"/>
          </w:tcPr>
          <w:p>
            <w:pPr>
              <w:jc w:val="right"/>
              <w:ind w:right="73"/>
              <w:spacing w:after="0" w:line="202" w:lineRule="exact"/>
              <w:rPr>
                <w:sz w:val="20"/>
                <w:szCs w:val="20"/>
                <w:color w:val="auto"/>
              </w:rPr>
            </w:pPr>
            <w:r>
              <w:rPr>
                <w:rFonts w:ascii="Arial" w:cs="Arial" w:eastAsia="Arial" w:hAnsi="Arial"/>
                <w:sz w:val="18"/>
                <w:szCs w:val="18"/>
                <w:color w:val="auto"/>
              </w:rPr>
              <w:t>5.00%</w:t>
            </w:r>
          </w:p>
        </w:tc>
        <w:tc>
          <w:tcPr>
            <w:tcW w:w="960" w:type="dxa"/>
            <w:vAlign w:val="bottom"/>
            <w:shd w:val="clear" w:color="auto" w:fill="E6E7E7"/>
          </w:tcPr>
          <w:p>
            <w:pPr>
              <w:spacing w:after="0"/>
              <w:rPr>
                <w:sz w:val="17"/>
                <w:szCs w:val="17"/>
                <w:color w:val="auto"/>
              </w:rPr>
            </w:pPr>
          </w:p>
        </w:tc>
        <w:tc>
          <w:tcPr>
            <w:tcW w:w="640" w:type="dxa"/>
            <w:vAlign w:val="bottom"/>
            <w:shd w:val="clear" w:color="auto" w:fill="E6E7E7"/>
          </w:tcPr>
          <w:p>
            <w:pPr>
              <w:spacing w:after="0"/>
              <w:rPr>
                <w:sz w:val="17"/>
                <w:szCs w:val="17"/>
                <w:color w:val="auto"/>
              </w:rPr>
            </w:pPr>
          </w:p>
        </w:tc>
      </w:tr>
      <w:tr>
        <w:trPr>
          <w:trHeight w:val="203"/>
        </w:trPr>
        <w:tc>
          <w:tcPr>
            <w:tcW w:w="7280" w:type="dxa"/>
            <w:vAlign w:val="bottom"/>
          </w:tcPr>
          <w:p>
            <w:pPr>
              <w:ind w:left="420"/>
              <w:spacing w:after="0" w:line="202" w:lineRule="exact"/>
              <w:rPr>
                <w:sz w:val="20"/>
                <w:szCs w:val="20"/>
                <w:color w:val="auto"/>
              </w:rPr>
            </w:pPr>
            <w:r>
              <w:rPr>
                <w:rFonts w:ascii="Arial" w:cs="Arial" w:eastAsia="Arial" w:hAnsi="Arial"/>
                <w:sz w:val="18"/>
                <w:szCs w:val="18"/>
                <w:color w:val="auto"/>
              </w:rPr>
              <w:t>Low</w:t>
            </w:r>
          </w:p>
        </w:tc>
        <w:tc>
          <w:tcPr>
            <w:tcW w:w="960" w:type="dxa"/>
            <w:vAlign w:val="bottom"/>
          </w:tcPr>
          <w:p>
            <w:pPr>
              <w:jc w:val="right"/>
              <w:ind w:right="75"/>
              <w:spacing w:after="0" w:line="202" w:lineRule="exact"/>
              <w:rPr>
                <w:sz w:val="20"/>
                <w:szCs w:val="20"/>
                <w:color w:val="auto"/>
              </w:rPr>
            </w:pPr>
            <w:r>
              <w:rPr>
                <w:rFonts w:ascii="Arial" w:cs="Arial" w:eastAsia="Arial" w:hAnsi="Arial"/>
                <w:sz w:val="18"/>
                <w:szCs w:val="18"/>
                <w:b w:val="1"/>
                <w:bCs w:val="1"/>
                <w:color w:val="auto"/>
              </w:rPr>
              <w:t>2.25%</w:t>
            </w:r>
          </w:p>
        </w:tc>
        <w:tc>
          <w:tcPr>
            <w:tcW w:w="8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2.25%</w:t>
            </w: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728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U.S. average long-term pay progression</w:t>
            </w:r>
          </w:p>
        </w:tc>
        <w:tc>
          <w:tcPr>
            <w:tcW w:w="960" w:type="dxa"/>
            <w:vAlign w:val="bottom"/>
            <w:shd w:val="clear" w:color="auto" w:fill="E6E7E7"/>
          </w:tcPr>
          <w:p>
            <w:pPr>
              <w:jc w:val="right"/>
              <w:ind w:right="75"/>
              <w:spacing w:after="0" w:line="202" w:lineRule="exact"/>
              <w:rPr>
                <w:sz w:val="20"/>
                <w:szCs w:val="20"/>
                <w:color w:val="auto"/>
              </w:rPr>
            </w:pPr>
            <w:r>
              <w:rPr>
                <w:rFonts w:ascii="Arial" w:cs="Arial" w:eastAsia="Arial" w:hAnsi="Arial"/>
                <w:sz w:val="18"/>
                <w:szCs w:val="18"/>
                <w:b w:val="1"/>
                <w:bCs w:val="1"/>
                <w:color w:val="auto"/>
              </w:rPr>
              <w:t>3.50%</w:t>
            </w:r>
          </w:p>
        </w:tc>
        <w:tc>
          <w:tcPr>
            <w:tcW w:w="880" w:type="dxa"/>
            <w:vAlign w:val="bottom"/>
            <w:shd w:val="clear" w:color="auto" w:fill="E6E7E7"/>
          </w:tcPr>
          <w:p>
            <w:pPr>
              <w:jc w:val="right"/>
              <w:ind w:right="73"/>
              <w:spacing w:after="0" w:line="202" w:lineRule="exact"/>
              <w:rPr>
                <w:sz w:val="20"/>
                <w:szCs w:val="20"/>
                <w:color w:val="auto"/>
              </w:rPr>
            </w:pPr>
            <w:r>
              <w:rPr>
                <w:rFonts w:ascii="Arial" w:cs="Arial" w:eastAsia="Arial" w:hAnsi="Arial"/>
                <w:sz w:val="18"/>
                <w:szCs w:val="18"/>
                <w:color w:val="auto"/>
              </w:rPr>
              <w:t>4.00%</w:t>
            </w:r>
          </w:p>
        </w:tc>
        <w:tc>
          <w:tcPr>
            <w:tcW w:w="960" w:type="dxa"/>
            <w:vAlign w:val="bottom"/>
            <w:shd w:val="clear" w:color="auto" w:fill="E6E7E7"/>
          </w:tcPr>
          <w:p>
            <w:pPr>
              <w:spacing w:after="0"/>
              <w:rPr>
                <w:sz w:val="17"/>
                <w:szCs w:val="17"/>
                <w:color w:val="auto"/>
              </w:rPr>
            </w:pPr>
          </w:p>
        </w:tc>
        <w:tc>
          <w:tcPr>
            <w:tcW w:w="640" w:type="dxa"/>
            <w:vAlign w:val="bottom"/>
            <w:shd w:val="clear" w:color="auto" w:fill="E6E7E7"/>
          </w:tcPr>
          <w:p>
            <w:pPr>
              <w:spacing w:after="0"/>
              <w:rPr>
                <w:sz w:val="17"/>
                <w:szCs w:val="17"/>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Non-U.S. average long-term pay progression:</w:t>
            </w: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728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High</w:t>
            </w:r>
          </w:p>
        </w:tc>
        <w:tc>
          <w:tcPr>
            <w:tcW w:w="960" w:type="dxa"/>
            <w:vAlign w:val="bottom"/>
            <w:shd w:val="clear" w:color="auto" w:fill="E6E7E7"/>
          </w:tcPr>
          <w:p>
            <w:pPr>
              <w:jc w:val="right"/>
              <w:ind w:right="75"/>
              <w:spacing w:after="0" w:line="202" w:lineRule="exact"/>
              <w:rPr>
                <w:sz w:val="20"/>
                <w:szCs w:val="20"/>
                <w:color w:val="auto"/>
              </w:rPr>
            </w:pPr>
            <w:r>
              <w:rPr>
                <w:rFonts w:ascii="Arial" w:cs="Arial" w:eastAsia="Arial" w:hAnsi="Arial"/>
                <w:sz w:val="18"/>
                <w:szCs w:val="18"/>
                <w:b w:val="1"/>
                <w:bCs w:val="1"/>
                <w:color w:val="auto"/>
              </w:rPr>
              <w:t>5.00%</w:t>
            </w:r>
          </w:p>
        </w:tc>
        <w:tc>
          <w:tcPr>
            <w:tcW w:w="880" w:type="dxa"/>
            <w:vAlign w:val="bottom"/>
            <w:shd w:val="clear" w:color="auto" w:fill="E6E7E7"/>
          </w:tcPr>
          <w:p>
            <w:pPr>
              <w:jc w:val="right"/>
              <w:ind w:right="73"/>
              <w:spacing w:after="0" w:line="202" w:lineRule="exact"/>
              <w:rPr>
                <w:sz w:val="20"/>
                <w:szCs w:val="20"/>
                <w:color w:val="auto"/>
              </w:rPr>
            </w:pPr>
            <w:r>
              <w:rPr>
                <w:rFonts w:ascii="Arial" w:cs="Arial" w:eastAsia="Arial" w:hAnsi="Arial"/>
                <w:sz w:val="18"/>
                <w:szCs w:val="18"/>
                <w:color w:val="auto"/>
              </w:rPr>
              <w:t>4.00%</w:t>
            </w:r>
          </w:p>
        </w:tc>
        <w:tc>
          <w:tcPr>
            <w:tcW w:w="960" w:type="dxa"/>
            <w:vAlign w:val="bottom"/>
            <w:shd w:val="clear" w:color="auto" w:fill="E6E7E7"/>
          </w:tcPr>
          <w:p>
            <w:pPr>
              <w:spacing w:after="0"/>
              <w:rPr>
                <w:sz w:val="17"/>
                <w:szCs w:val="17"/>
                <w:color w:val="auto"/>
              </w:rPr>
            </w:pPr>
          </w:p>
        </w:tc>
        <w:tc>
          <w:tcPr>
            <w:tcW w:w="640" w:type="dxa"/>
            <w:vAlign w:val="bottom"/>
            <w:shd w:val="clear" w:color="auto" w:fill="E6E7E7"/>
          </w:tcPr>
          <w:p>
            <w:pPr>
              <w:spacing w:after="0"/>
              <w:rPr>
                <w:sz w:val="17"/>
                <w:szCs w:val="17"/>
                <w:color w:val="auto"/>
              </w:rPr>
            </w:pPr>
          </w:p>
        </w:tc>
      </w:tr>
      <w:tr>
        <w:trPr>
          <w:trHeight w:val="203"/>
        </w:trPr>
        <w:tc>
          <w:tcPr>
            <w:tcW w:w="7280" w:type="dxa"/>
            <w:vAlign w:val="bottom"/>
          </w:tcPr>
          <w:p>
            <w:pPr>
              <w:ind w:left="420"/>
              <w:spacing w:after="0" w:line="202" w:lineRule="exact"/>
              <w:rPr>
                <w:sz w:val="20"/>
                <w:szCs w:val="20"/>
                <w:color w:val="auto"/>
              </w:rPr>
            </w:pPr>
            <w:r>
              <w:rPr>
                <w:rFonts w:ascii="Arial" w:cs="Arial" w:eastAsia="Arial" w:hAnsi="Arial"/>
                <w:sz w:val="18"/>
                <w:szCs w:val="18"/>
                <w:color w:val="auto"/>
              </w:rPr>
              <w:t>Low</w:t>
            </w:r>
          </w:p>
        </w:tc>
        <w:tc>
          <w:tcPr>
            <w:tcW w:w="960" w:type="dxa"/>
            <w:vAlign w:val="bottom"/>
          </w:tcPr>
          <w:p>
            <w:pPr>
              <w:jc w:val="right"/>
              <w:ind w:right="75"/>
              <w:spacing w:after="0" w:line="202" w:lineRule="exact"/>
              <w:rPr>
                <w:sz w:val="20"/>
                <w:szCs w:val="20"/>
                <w:color w:val="auto"/>
              </w:rPr>
            </w:pPr>
            <w:r>
              <w:rPr>
                <w:rFonts w:ascii="Arial" w:cs="Arial" w:eastAsia="Arial" w:hAnsi="Arial"/>
                <w:sz w:val="18"/>
                <w:szCs w:val="18"/>
                <w:b w:val="1"/>
                <w:bCs w:val="1"/>
                <w:color w:val="auto"/>
              </w:rPr>
              <w:t>3.00%</w:t>
            </w:r>
          </w:p>
        </w:tc>
        <w:tc>
          <w:tcPr>
            <w:tcW w:w="8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3.00%</w:t>
            </w: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92"/>
        </w:trPr>
        <w:tc>
          <w:tcPr>
            <w:tcW w:w="7280" w:type="dxa"/>
            <w:vAlign w:val="bottom"/>
            <w:shd w:val="clear" w:color="auto" w:fill="E6E7E7"/>
          </w:tcPr>
          <w:p>
            <w:pPr>
              <w:spacing w:after="0"/>
              <w:rPr>
                <w:sz w:val="20"/>
                <w:szCs w:val="20"/>
                <w:color w:val="auto"/>
              </w:rPr>
            </w:pPr>
            <w:r>
              <w:rPr>
                <w:rFonts w:ascii="Arial" w:cs="Arial" w:eastAsia="Arial" w:hAnsi="Arial"/>
                <w:sz w:val="18"/>
                <w:szCs w:val="18"/>
                <w:b w:val="1"/>
                <w:bCs w:val="1"/>
                <w:color w:val="auto"/>
              </w:rPr>
              <w:t>Weighted average assumptions used to determine net periodic benefit</w:t>
            </w:r>
          </w:p>
        </w:tc>
        <w:tc>
          <w:tcPr>
            <w:tcW w:w="960" w:type="dxa"/>
            <w:vAlign w:val="bottom"/>
            <w:shd w:val="clear" w:color="auto" w:fill="E6E7E7"/>
          </w:tcPr>
          <w:p>
            <w:pPr>
              <w:spacing w:after="0"/>
              <w:rPr>
                <w:sz w:val="24"/>
                <w:szCs w:val="24"/>
                <w:color w:val="auto"/>
              </w:rPr>
            </w:pPr>
          </w:p>
        </w:tc>
        <w:tc>
          <w:tcPr>
            <w:tcW w:w="880" w:type="dxa"/>
            <w:vAlign w:val="bottom"/>
            <w:shd w:val="clear" w:color="auto" w:fill="E6E7E7"/>
          </w:tcPr>
          <w:p>
            <w:pPr>
              <w:spacing w:after="0"/>
              <w:rPr>
                <w:sz w:val="24"/>
                <w:szCs w:val="24"/>
                <w:color w:val="auto"/>
              </w:rPr>
            </w:pPr>
          </w:p>
        </w:tc>
        <w:tc>
          <w:tcPr>
            <w:tcW w:w="960" w:type="dxa"/>
            <w:vAlign w:val="bottom"/>
            <w:shd w:val="clear" w:color="auto" w:fill="E6E7E7"/>
          </w:tcPr>
          <w:p>
            <w:pPr>
              <w:spacing w:after="0"/>
              <w:rPr>
                <w:sz w:val="24"/>
                <w:szCs w:val="24"/>
                <w:color w:val="auto"/>
              </w:rPr>
            </w:pPr>
          </w:p>
        </w:tc>
        <w:tc>
          <w:tcPr>
            <w:tcW w:w="640" w:type="dxa"/>
            <w:vAlign w:val="bottom"/>
            <w:shd w:val="clear" w:color="auto" w:fill="E6E7E7"/>
          </w:tcPr>
          <w:p>
            <w:pPr>
              <w:spacing w:after="0"/>
              <w:rPr>
                <w:sz w:val="24"/>
                <w:szCs w:val="24"/>
                <w:color w:val="auto"/>
              </w:rPr>
            </w:pPr>
          </w:p>
        </w:tc>
      </w:tr>
      <w:tr>
        <w:trPr>
          <w:trHeight w:val="221"/>
        </w:trPr>
        <w:tc>
          <w:tcPr>
            <w:tcW w:w="7280" w:type="dxa"/>
            <w:vAlign w:val="bottom"/>
            <w:shd w:val="clear" w:color="auto" w:fill="E6E7E7"/>
          </w:tcPr>
          <w:p>
            <w:pPr>
              <w:ind w:left="200"/>
              <w:spacing w:after="0"/>
              <w:rPr>
                <w:sz w:val="20"/>
                <w:szCs w:val="20"/>
                <w:color w:val="auto"/>
              </w:rPr>
            </w:pPr>
            <w:r>
              <w:rPr>
                <w:rFonts w:ascii="Arial" w:cs="Arial" w:eastAsia="Arial" w:hAnsi="Arial"/>
                <w:sz w:val="18"/>
                <w:szCs w:val="18"/>
                <w:b w:val="1"/>
                <w:bCs w:val="1"/>
                <w:color w:val="auto"/>
              </w:rPr>
              <w:t>cost:</w:t>
            </w:r>
          </w:p>
        </w:tc>
        <w:tc>
          <w:tcPr>
            <w:tcW w:w="960" w:type="dxa"/>
            <w:vAlign w:val="bottom"/>
            <w:shd w:val="clear" w:color="auto" w:fill="E6E7E7"/>
          </w:tcPr>
          <w:p>
            <w:pPr>
              <w:spacing w:after="0"/>
              <w:rPr>
                <w:sz w:val="19"/>
                <w:szCs w:val="19"/>
                <w:color w:val="auto"/>
              </w:rPr>
            </w:pPr>
          </w:p>
        </w:tc>
        <w:tc>
          <w:tcPr>
            <w:tcW w:w="880" w:type="dxa"/>
            <w:vAlign w:val="bottom"/>
            <w:shd w:val="clear" w:color="auto" w:fill="E6E7E7"/>
          </w:tcPr>
          <w:p>
            <w:pPr>
              <w:spacing w:after="0"/>
              <w:rPr>
                <w:sz w:val="19"/>
                <w:szCs w:val="19"/>
                <w:color w:val="auto"/>
              </w:rPr>
            </w:pPr>
          </w:p>
        </w:tc>
        <w:tc>
          <w:tcPr>
            <w:tcW w:w="960" w:type="dxa"/>
            <w:vAlign w:val="bottom"/>
            <w:shd w:val="clear" w:color="auto" w:fill="E6E7E7"/>
          </w:tcPr>
          <w:p>
            <w:pPr>
              <w:spacing w:after="0"/>
              <w:rPr>
                <w:sz w:val="19"/>
                <w:szCs w:val="19"/>
                <w:color w:val="auto"/>
              </w:rPr>
            </w:pPr>
          </w:p>
        </w:tc>
        <w:tc>
          <w:tcPr>
            <w:tcW w:w="640" w:type="dxa"/>
            <w:vAlign w:val="bottom"/>
            <w:shd w:val="clear" w:color="auto" w:fill="E6E7E7"/>
          </w:tcPr>
          <w:p>
            <w:pPr>
              <w:spacing w:after="0"/>
              <w:rPr>
                <w:sz w:val="19"/>
                <w:szCs w:val="19"/>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U.S. assumed discount rate</w:t>
            </w:r>
          </w:p>
        </w:tc>
        <w:tc>
          <w:tcPr>
            <w:tcW w:w="960" w:type="dxa"/>
            <w:vAlign w:val="bottom"/>
          </w:tcPr>
          <w:p>
            <w:pPr>
              <w:jc w:val="right"/>
              <w:ind w:right="75"/>
              <w:spacing w:after="0" w:line="202" w:lineRule="exact"/>
              <w:rPr>
                <w:sz w:val="20"/>
                <w:szCs w:val="20"/>
                <w:color w:val="auto"/>
              </w:rPr>
            </w:pPr>
            <w:r>
              <w:rPr>
                <w:rFonts w:ascii="Arial" w:cs="Arial" w:eastAsia="Arial" w:hAnsi="Arial"/>
                <w:sz w:val="18"/>
                <w:szCs w:val="18"/>
                <w:b w:val="1"/>
                <w:bCs w:val="1"/>
                <w:color w:val="auto"/>
              </w:rPr>
              <w:t>5.94%</w:t>
            </w:r>
          </w:p>
        </w:tc>
        <w:tc>
          <w:tcPr>
            <w:tcW w:w="8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5.38%</w:t>
            </w:r>
          </w:p>
        </w:tc>
        <w:tc>
          <w:tcPr>
            <w:tcW w:w="960" w:type="dxa"/>
            <w:vAlign w:val="bottom"/>
          </w:tcPr>
          <w:p>
            <w:pPr>
              <w:jc w:val="right"/>
              <w:ind w:right="202"/>
              <w:spacing w:after="0" w:line="202" w:lineRule="exact"/>
              <w:rPr>
                <w:sz w:val="20"/>
                <w:szCs w:val="20"/>
                <w:color w:val="auto"/>
              </w:rPr>
            </w:pPr>
            <w:r>
              <w:rPr>
                <w:rFonts w:ascii="Arial" w:cs="Arial" w:eastAsia="Arial" w:hAnsi="Arial"/>
                <w:sz w:val="18"/>
                <w:szCs w:val="18"/>
                <w:b w:val="1"/>
                <w:bCs w:val="1"/>
                <w:color w:val="auto"/>
              </w:rPr>
              <w:t>6.00%</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5.25%</w:t>
            </w:r>
          </w:p>
        </w:tc>
      </w:tr>
      <w:tr>
        <w:trPr>
          <w:trHeight w:val="203"/>
        </w:trPr>
        <w:tc>
          <w:tcPr>
            <w:tcW w:w="728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Non-U.S. assumed discount rate:</w:t>
            </w:r>
          </w:p>
        </w:tc>
        <w:tc>
          <w:tcPr>
            <w:tcW w:w="960" w:type="dxa"/>
            <w:vAlign w:val="bottom"/>
            <w:shd w:val="clear" w:color="auto" w:fill="E6E7E7"/>
          </w:tcPr>
          <w:p>
            <w:pPr>
              <w:spacing w:after="0"/>
              <w:rPr>
                <w:sz w:val="17"/>
                <w:szCs w:val="17"/>
                <w:color w:val="auto"/>
              </w:rPr>
            </w:pPr>
          </w:p>
        </w:tc>
        <w:tc>
          <w:tcPr>
            <w:tcW w:w="880" w:type="dxa"/>
            <w:vAlign w:val="bottom"/>
            <w:shd w:val="clear" w:color="auto" w:fill="E6E7E7"/>
          </w:tcPr>
          <w:p>
            <w:pPr>
              <w:spacing w:after="0"/>
              <w:rPr>
                <w:sz w:val="17"/>
                <w:szCs w:val="17"/>
                <w:color w:val="auto"/>
              </w:rPr>
            </w:pPr>
          </w:p>
        </w:tc>
        <w:tc>
          <w:tcPr>
            <w:tcW w:w="960" w:type="dxa"/>
            <w:vAlign w:val="bottom"/>
            <w:shd w:val="clear" w:color="auto" w:fill="E6E7E7"/>
          </w:tcPr>
          <w:p>
            <w:pPr>
              <w:spacing w:after="0"/>
              <w:rPr>
                <w:sz w:val="17"/>
                <w:szCs w:val="17"/>
                <w:color w:val="auto"/>
              </w:rPr>
            </w:pPr>
          </w:p>
        </w:tc>
        <w:tc>
          <w:tcPr>
            <w:tcW w:w="640" w:type="dxa"/>
            <w:vAlign w:val="bottom"/>
            <w:shd w:val="clear" w:color="auto" w:fill="E6E7E7"/>
          </w:tcPr>
          <w:p>
            <w:pPr>
              <w:spacing w:after="0"/>
              <w:rPr>
                <w:sz w:val="17"/>
                <w:szCs w:val="17"/>
                <w:color w:val="auto"/>
              </w:rPr>
            </w:pPr>
          </w:p>
        </w:tc>
      </w:tr>
      <w:tr>
        <w:trPr>
          <w:trHeight w:val="203"/>
        </w:trPr>
        <w:tc>
          <w:tcPr>
            <w:tcW w:w="7280" w:type="dxa"/>
            <w:vAlign w:val="bottom"/>
          </w:tcPr>
          <w:p>
            <w:pPr>
              <w:ind w:left="420"/>
              <w:spacing w:after="0" w:line="202" w:lineRule="exact"/>
              <w:rPr>
                <w:sz w:val="20"/>
                <w:szCs w:val="20"/>
                <w:color w:val="auto"/>
              </w:rPr>
            </w:pPr>
            <w:r>
              <w:rPr>
                <w:rFonts w:ascii="Arial" w:cs="Arial" w:eastAsia="Arial" w:hAnsi="Arial"/>
                <w:sz w:val="18"/>
                <w:szCs w:val="18"/>
                <w:color w:val="auto"/>
              </w:rPr>
              <w:t>High</w:t>
            </w:r>
          </w:p>
        </w:tc>
        <w:tc>
          <w:tcPr>
            <w:tcW w:w="960" w:type="dxa"/>
            <w:vAlign w:val="bottom"/>
          </w:tcPr>
          <w:p>
            <w:pPr>
              <w:jc w:val="right"/>
              <w:ind w:right="75"/>
              <w:spacing w:after="0" w:line="202" w:lineRule="exact"/>
              <w:rPr>
                <w:sz w:val="20"/>
                <w:szCs w:val="20"/>
                <w:color w:val="auto"/>
              </w:rPr>
            </w:pPr>
            <w:r>
              <w:rPr>
                <w:rFonts w:ascii="Arial" w:cs="Arial" w:eastAsia="Arial" w:hAnsi="Arial"/>
                <w:sz w:val="18"/>
                <w:szCs w:val="18"/>
                <w:b w:val="1"/>
                <w:bCs w:val="1"/>
                <w:color w:val="auto"/>
              </w:rPr>
              <w:t>5.00%</w:t>
            </w:r>
          </w:p>
        </w:tc>
        <w:tc>
          <w:tcPr>
            <w:tcW w:w="8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5.50%</w:t>
            </w: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728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Low</w:t>
            </w:r>
          </w:p>
        </w:tc>
        <w:tc>
          <w:tcPr>
            <w:tcW w:w="960" w:type="dxa"/>
            <w:vAlign w:val="bottom"/>
            <w:shd w:val="clear" w:color="auto" w:fill="E6E7E7"/>
          </w:tcPr>
          <w:p>
            <w:pPr>
              <w:jc w:val="right"/>
              <w:ind w:right="75"/>
              <w:spacing w:after="0" w:line="202" w:lineRule="exact"/>
              <w:rPr>
                <w:sz w:val="20"/>
                <w:szCs w:val="20"/>
                <w:color w:val="auto"/>
              </w:rPr>
            </w:pPr>
            <w:r>
              <w:rPr>
                <w:rFonts w:ascii="Arial" w:cs="Arial" w:eastAsia="Arial" w:hAnsi="Arial"/>
                <w:sz w:val="18"/>
                <w:szCs w:val="18"/>
                <w:b w:val="1"/>
                <w:bCs w:val="1"/>
                <w:color w:val="auto"/>
              </w:rPr>
              <w:t>2.25%</w:t>
            </w:r>
          </w:p>
        </w:tc>
        <w:tc>
          <w:tcPr>
            <w:tcW w:w="880" w:type="dxa"/>
            <w:vAlign w:val="bottom"/>
            <w:shd w:val="clear" w:color="auto" w:fill="E6E7E7"/>
          </w:tcPr>
          <w:p>
            <w:pPr>
              <w:jc w:val="right"/>
              <w:ind w:right="73"/>
              <w:spacing w:after="0" w:line="202" w:lineRule="exact"/>
              <w:rPr>
                <w:sz w:val="20"/>
                <w:szCs w:val="20"/>
                <w:color w:val="auto"/>
              </w:rPr>
            </w:pPr>
            <w:r>
              <w:rPr>
                <w:rFonts w:ascii="Arial" w:cs="Arial" w:eastAsia="Arial" w:hAnsi="Arial"/>
                <w:sz w:val="18"/>
                <w:szCs w:val="18"/>
                <w:color w:val="auto"/>
              </w:rPr>
              <w:t>2.25%</w:t>
            </w:r>
          </w:p>
        </w:tc>
        <w:tc>
          <w:tcPr>
            <w:tcW w:w="960" w:type="dxa"/>
            <w:vAlign w:val="bottom"/>
            <w:shd w:val="clear" w:color="auto" w:fill="E6E7E7"/>
          </w:tcPr>
          <w:p>
            <w:pPr>
              <w:spacing w:after="0"/>
              <w:rPr>
                <w:sz w:val="17"/>
                <w:szCs w:val="17"/>
                <w:color w:val="auto"/>
              </w:rPr>
            </w:pPr>
          </w:p>
        </w:tc>
        <w:tc>
          <w:tcPr>
            <w:tcW w:w="640" w:type="dxa"/>
            <w:vAlign w:val="bottom"/>
            <w:shd w:val="clear" w:color="auto" w:fill="E6E7E7"/>
          </w:tcPr>
          <w:p>
            <w:pPr>
              <w:spacing w:after="0"/>
              <w:rPr>
                <w:sz w:val="17"/>
                <w:szCs w:val="17"/>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U.S. assumed long-term rate of return on plan assets</w:t>
            </w:r>
          </w:p>
        </w:tc>
        <w:tc>
          <w:tcPr>
            <w:tcW w:w="960" w:type="dxa"/>
            <w:vAlign w:val="bottom"/>
          </w:tcPr>
          <w:p>
            <w:pPr>
              <w:jc w:val="right"/>
              <w:ind w:right="75"/>
              <w:spacing w:after="0" w:line="202" w:lineRule="exact"/>
              <w:rPr>
                <w:sz w:val="20"/>
                <w:szCs w:val="20"/>
                <w:color w:val="auto"/>
              </w:rPr>
            </w:pPr>
            <w:r>
              <w:rPr>
                <w:rFonts w:ascii="Arial" w:cs="Arial" w:eastAsia="Arial" w:hAnsi="Arial"/>
                <w:sz w:val="18"/>
                <w:szCs w:val="18"/>
                <w:b w:val="1"/>
                <w:bCs w:val="1"/>
                <w:color w:val="auto"/>
              </w:rPr>
              <w:t>7.00%</w:t>
            </w:r>
          </w:p>
        </w:tc>
        <w:tc>
          <w:tcPr>
            <w:tcW w:w="8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7.00%</w:t>
            </w:r>
          </w:p>
        </w:tc>
        <w:tc>
          <w:tcPr>
            <w:tcW w:w="960" w:type="dxa"/>
            <w:vAlign w:val="bottom"/>
          </w:tcPr>
          <w:p>
            <w:pPr>
              <w:jc w:val="right"/>
              <w:ind w:right="202"/>
              <w:spacing w:after="0" w:line="202" w:lineRule="exact"/>
              <w:rPr>
                <w:sz w:val="20"/>
                <w:szCs w:val="20"/>
                <w:color w:val="auto"/>
              </w:rPr>
            </w:pPr>
            <w:r>
              <w:rPr>
                <w:rFonts w:ascii="Arial" w:cs="Arial" w:eastAsia="Arial" w:hAnsi="Arial"/>
                <w:sz w:val="18"/>
                <w:szCs w:val="18"/>
                <w:b w:val="1"/>
                <w:bCs w:val="1"/>
                <w:color w:val="auto"/>
              </w:rPr>
              <w:t>7.00%</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7.00%</w:t>
            </w:r>
          </w:p>
        </w:tc>
      </w:tr>
      <w:tr>
        <w:trPr>
          <w:trHeight w:val="203"/>
        </w:trPr>
        <w:tc>
          <w:tcPr>
            <w:tcW w:w="728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Non-U.S. assumed long-term rate of return on plan assets:</w:t>
            </w:r>
          </w:p>
        </w:tc>
        <w:tc>
          <w:tcPr>
            <w:tcW w:w="960" w:type="dxa"/>
            <w:vAlign w:val="bottom"/>
            <w:shd w:val="clear" w:color="auto" w:fill="E6E7E7"/>
          </w:tcPr>
          <w:p>
            <w:pPr>
              <w:spacing w:after="0"/>
              <w:rPr>
                <w:sz w:val="17"/>
                <w:szCs w:val="17"/>
                <w:color w:val="auto"/>
              </w:rPr>
            </w:pPr>
          </w:p>
        </w:tc>
        <w:tc>
          <w:tcPr>
            <w:tcW w:w="880" w:type="dxa"/>
            <w:vAlign w:val="bottom"/>
            <w:shd w:val="clear" w:color="auto" w:fill="E6E7E7"/>
          </w:tcPr>
          <w:p>
            <w:pPr>
              <w:spacing w:after="0"/>
              <w:rPr>
                <w:sz w:val="17"/>
                <w:szCs w:val="17"/>
                <w:color w:val="auto"/>
              </w:rPr>
            </w:pPr>
          </w:p>
        </w:tc>
        <w:tc>
          <w:tcPr>
            <w:tcW w:w="960" w:type="dxa"/>
            <w:vAlign w:val="bottom"/>
            <w:shd w:val="clear" w:color="auto" w:fill="E6E7E7"/>
          </w:tcPr>
          <w:p>
            <w:pPr>
              <w:spacing w:after="0"/>
              <w:rPr>
                <w:sz w:val="17"/>
                <w:szCs w:val="17"/>
                <w:color w:val="auto"/>
              </w:rPr>
            </w:pPr>
          </w:p>
        </w:tc>
        <w:tc>
          <w:tcPr>
            <w:tcW w:w="640" w:type="dxa"/>
            <w:vAlign w:val="bottom"/>
            <w:shd w:val="clear" w:color="auto" w:fill="E6E7E7"/>
          </w:tcPr>
          <w:p>
            <w:pPr>
              <w:spacing w:after="0"/>
              <w:rPr>
                <w:sz w:val="17"/>
                <w:szCs w:val="17"/>
                <w:color w:val="auto"/>
              </w:rPr>
            </w:pPr>
          </w:p>
        </w:tc>
      </w:tr>
      <w:tr>
        <w:trPr>
          <w:trHeight w:val="203"/>
        </w:trPr>
        <w:tc>
          <w:tcPr>
            <w:tcW w:w="7280" w:type="dxa"/>
            <w:vAlign w:val="bottom"/>
          </w:tcPr>
          <w:p>
            <w:pPr>
              <w:ind w:left="420"/>
              <w:spacing w:after="0" w:line="202" w:lineRule="exact"/>
              <w:rPr>
                <w:sz w:val="20"/>
                <w:szCs w:val="20"/>
                <w:color w:val="auto"/>
              </w:rPr>
            </w:pPr>
            <w:r>
              <w:rPr>
                <w:rFonts w:ascii="Arial" w:cs="Arial" w:eastAsia="Arial" w:hAnsi="Arial"/>
                <w:sz w:val="18"/>
                <w:szCs w:val="18"/>
                <w:color w:val="auto"/>
              </w:rPr>
              <w:t>High</w:t>
            </w:r>
          </w:p>
        </w:tc>
        <w:tc>
          <w:tcPr>
            <w:tcW w:w="960" w:type="dxa"/>
            <w:vAlign w:val="bottom"/>
          </w:tcPr>
          <w:p>
            <w:pPr>
              <w:jc w:val="right"/>
              <w:ind w:right="75"/>
              <w:spacing w:after="0" w:line="202" w:lineRule="exact"/>
              <w:rPr>
                <w:sz w:val="20"/>
                <w:szCs w:val="20"/>
                <w:color w:val="auto"/>
              </w:rPr>
            </w:pPr>
            <w:r>
              <w:rPr>
                <w:rFonts w:ascii="Arial" w:cs="Arial" w:eastAsia="Arial" w:hAnsi="Arial"/>
                <w:sz w:val="18"/>
                <w:szCs w:val="18"/>
                <w:b w:val="1"/>
                <w:bCs w:val="1"/>
                <w:color w:val="auto"/>
              </w:rPr>
              <w:t>6.60%</w:t>
            </w:r>
          </w:p>
        </w:tc>
        <w:tc>
          <w:tcPr>
            <w:tcW w:w="8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6.00%</w:t>
            </w: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728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Low</w:t>
            </w:r>
          </w:p>
        </w:tc>
        <w:tc>
          <w:tcPr>
            <w:tcW w:w="960" w:type="dxa"/>
            <w:vAlign w:val="bottom"/>
            <w:shd w:val="clear" w:color="auto" w:fill="E6E7E7"/>
          </w:tcPr>
          <w:p>
            <w:pPr>
              <w:jc w:val="right"/>
              <w:ind w:right="75"/>
              <w:spacing w:after="0" w:line="202" w:lineRule="exact"/>
              <w:rPr>
                <w:sz w:val="20"/>
                <w:szCs w:val="20"/>
                <w:color w:val="auto"/>
              </w:rPr>
            </w:pPr>
            <w:r>
              <w:rPr>
                <w:rFonts w:ascii="Arial" w:cs="Arial" w:eastAsia="Arial" w:hAnsi="Arial"/>
                <w:sz w:val="18"/>
                <w:szCs w:val="18"/>
                <w:b w:val="1"/>
                <w:bCs w:val="1"/>
                <w:color w:val="auto"/>
              </w:rPr>
              <w:t>2.00%</w:t>
            </w:r>
          </w:p>
        </w:tc>
        <w:tc>
          <w:tcPr>
            <w:tcW w:w="880" w:type="dxa"/>
            <w:vAlign w:val="bottom"/>
            <w:shd w:val="clear" w:color="auto" w:fill="E6E7E7"/>
          </w:tcPr>
          <w:p>
            <w:pPr>
              <w:jc w:val="right"/>
              <w:ind w:right="73"/>
              <w:spacing w:after="0" w:line="202" w:lineRule="exact"/>
              <w:rPr>
                <w:sz w:val="20"/>
                <w:szCs w:val="20"/>
                <w:color w:val="auto"/>
              </w:rPr>
            </w:pPr>
            <w:r>
              <w:rPr>
                <w:rFonts w:ascii="Arial" w:cs="Arial" w:eastAsia="Arial" w:hAnsi="Arial"/>
                <w:sz w:val="18"/>
                <w:szCs w:val="18"/>
                <w:color w:val="auto"/>
              </w:rPr>
              <w:t>3.00%</w:t>
            </w:r>
          </w:p>
        </w:tc>
        <w:tc>
          <w:tcPr>
            <w:tcW w:w="960" w:type="dxa"/>
            <w:vAlign w:val="bottom"/>
            <w:shd w:val="clear" w:color="auto" w:fill="E6E7E7"/>
          </w:tcPr>
          <w:p>
            <w:pPr>
              <w:spacing w:after="0"/>
              <w:rPr>
                <w:sz w:val="17"/>
                <w:szCs w:val="17"/>
                <w:color w:val="auto"/>
              </w:rPr>
            </w:pPr>
          </w:p>
        </w:tc>
        <w:tc>
          <w:tcPr>
            <w:tcW w:w="640" w:type="dxa"/>
            <w:vAlign w:val="bottom"/>
            <w:shd w:val="clear" w:color="auto" w:fill="E6E7E7"/>
          </w:tcPr>
          <w:p>
            <w:pPr>
              <w:spacing w:after="0"/>
              <w:rPr>
                <w:sz w:val="17"/>
                <w:szCs w:val="17"/>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U.S. average long-term pay progression</w:t>
            </w:r>
          </w:p>
        </w:tc>
        <w:tc>
          <w:tcPr>
            <w:tcW w:w="960" w:type="dxa"/>
            <w:vAlign w:val="bottom"/>
          </w:tcPr>
          <w:p>
            <w:pPr>
              <w:jc w:val="right"/>
              <w:ind w:right="75"/>
              <w:spacing w:after="0" w:line="202" w:lineRule="exact"/>
              <w:rPr>
                <w:sz w:val="20"/>
                <w:szCs w:val="20"/>
                <w:color w:val="auto"/>
              </w:rPr>
            </w:pPr>
            <w:r>
              <w:rPr>
                <w:rFonts w:ascii="Arial" w:cs="Arial" w:eastAsia="Arial" w:hAnsi="Arial"/>
                <w:sz w:val="18"/>
                <w:szCs w:val="18"/>
                <w:b w:val="1"/>
                <w:bCs w:val="1"/>
                <w:color w:val="auto"/>
              </w:rPr>
              <w:t>4.00%</w:t>
            </w:r>
          </w:p>
        </w:tc>
        <w:tc>
          <w:tcPr>
            <w:tcW w:w="8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4.00%</w:t>
            </w: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728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Non-U.S. average long-term pay progression:</w:t>
            </w:r>
          </w:p>
        </w:tc>
        <w:tc>
          <w:tcPr>
            <w:tcW w:w="960" w:type="dxa"/>
            <w:vAlign w:val="bottom"/>
            <w:shd w:val="clear" w:color="auto" w:fill="E6E7E7"/>
          </w:tcPr>
          <w:p>
            <w:pPr>
              <w:spacing w:after="0"/>
              <w:rPr>
                <w:sz w:val="17"/>
                <w:szCs w:val="17"/>
                <w:color w:val="auto"/>
              </w:rPr>
            </w:pPr>
          </w:p>
        </w:tc>
        <w:tc>
          <w:tcPr>
            <w:tcW w:w="880" w:type="dxa"/>
            <w:vAlign w:val="bottom"/>
            <w:shd w:val="clear" w:color="auto" w:fill="E6E7E7"/>
          </w:tcPr>
          <w:p>
            <w:pPr>
              <w:spacing w:after="0"/>
              <w:rPr>
                <w:sz w:val="17"/>
                <w:szCs w:val="17"/>
                <w:color w:val="auto"/>
              </w:rPr>
            </w:pPr>
          </w:p>
        </w:tc>
        <w:tc>
          <w:tcPr>
            <w:tcW w:w="960" w:type="dxa"/>
            <w:vAlign w:val="bottom"/>
            <w:shd w:val="clear" w:color="auto" w:fill="E6E7E7"/>
          </w:tcPr>
          <w:p>
            <w:pPr>
              <w:spacing w:after="0"/>
              <w:rPr>
                <w:sz w:val="17"/>
                <w:szCs w:val="17"/>
                <w:color w:val="auto"/>
              </w:rPr>
            </w:pPr>
          </w:p>
        </w:tc>
        <w:tc>
          <w:tcPr>
            <w:tcW w:w="640" w:type="dxa"/>
            <w:vAlign w:val="bottom"/>
            <w:shd w:val="clear" w:color="auto" w:fill="E6E7E7"/>
          </w:tcPr>
          <w:p>
            <w:pPr>
              <w:spacing w:after="0"/>
              <w:rPr>
                <w:sz w:val="17"/>
                <w:szCs w:val="17"/>
                <w:color w:val="auto"/>
              </w:rPr>
            </w:pPr>
          </w:p>
        </w:tc>
      </w:tr>
      <w:tr>
        <w:trPr>
          <w:trHeight w:val="203"/>
        </w:trPr>
        <w:tc>
          <w:tcPr>
            <w:tcW w:w="7280" w:type="dxa"/>
            <w:vAlign w:val="bottom"/>
          </w:tcPr>
          <w:p>
            <w:pPr>
              <w:ind w:left="420"/>
              <w:spacing w:after="0" w:line="202" w:lineRule="exact"/>
              <w:rPr>
                <w:sz w:val="20"/>
                <w:szCs w:val="20"/>
                <w:color w:val="auto"/>
              </w:rPr>
            </w:pPr>
            <w:r>
              <w:rPr>
                <w:rFonts w:ascii="Arial" w:cs="Arial" w:eastAsia="Arial" w:hAnsi="Arial"/>
                <w:sz w:val="18"/>
                <w:szCs w:val="18"/>
                <w:color w:val="auto"/>
              </w:rPr>
              <w:t>High</w:t>
            </w:r>
          </w:p>
        </w:tc>
        <w:tc>
          <w:tcPr>
            <w:tcW w:w="960" w:type="dxa"/>
            <w:vAlign w:val="bottom"/>
          </w:tcPr>
          <w:p>
            <w:pPr>
              <w:jc w:val="right"/>
              <w:ind w:right="75"/>
              <w:spacing w:after="0" w:line="202" w:lineRule="exact"/>
              <w:rPr>
                <w:sz w:val="20"/>
                <w:szCs w:val="20"/>
                <w:color w:val="auto"/>
              </w:rPr>
            </w:pPr>
            <w:r>
              <w:rPr>
                <w:rFonts w:ascii="Arial" w:cs="Arial" w:eastAsia="Arial" w:hAnsi="Arial"/>
                <w:sz w:val="18"/>
                <w:szCs w:val="18"/>
                <w:b w:val="1"/>
                <w:bCs w:val="1"/>
                <w:color w:val="auto"/>
              </w:rPr>
              <w:t>4.00%</w:t>
            </w:r>
          </w:p>
        </w:tc>
        <w:tc>
          <w:tcPr>
            <w:tcW w:w="8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4.50%</w:t>
            </w: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728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Low</w:t>
            </w:r>
          </w:p>
        </w:tc>
        <w:tc>
          <w:tcPr>
            <w:tcW w:w="960" w:type="dxa"/>
            <w:vAlign w:val="bottom"/>
            <w:shd w:val="clear" w:color="auto" w:fill="E6E7E7"/>
          </w:tcPr>
          <w:p>
            <w:pPr>
              <w:jc w:val="right"/>
              <w:ind w:right="75"/>
              <w:spacing w:after="0" w:line="202" w:lineRule="exact"/>
              <w:rPr>
                <w:sz w:val="20"/>
                <w:szCs w:val="20"/>
                <w:color w:val="auto"/>
              </w:rPr>
            </w:pPr>
            <w:r>
              <w:rPr>
                <w:rFonts w:ascii="Arial" w:cs="Arial" w:eastAsia="Arial" w:hAnsi="Arial"/>
                <w:sz w:val="18"/>
                <w:szCs w:val="18"/>
                <w:b w:val="1"/>
                <w:bCs w:val="1"/>
                <w:color w:val="auto"/>
              </w:rPr>
              <w:t>3.00%</w:t>
            </w:r>
          </w:p>
        </w:tc>
        <w:tc>
          <w:tcPr>
            <w:tcW w:w="880" w:type="dxa"/>
            <w:vAlign w:val="bottom"/>
            <w:shd w:val="clear" w:color="auto" w:fill="E6E7E7"/>
          </w:tcPr>
          <w:p>
            <w:pPr>
              <w:jc w:val="right"/>
              <w:ind w:right="73"/>
              <w:spacing w:after="0" w:line="202" w:lineRule="exact"/>
              <w:rPr>
                <w:sz w:val="20"/>
                <w:szCs w:val="20"/>
                <w:color w:val="auto"/>
              </w:rPr>
            </w:pPr>
            <w:r>
              <w:rPr>
                <w:rFonts w:ascii="Arial" w:cs="Arial" w:eastAsia="Arial" w:hAnsi="Arial"/>
                <w:sz w:val="18"/>
                <w:szCs w:val="18"/>
                <w:color w:val="auto"/>
              </w:rPr>
              <w:t>3.00%</w:t>
            </w:r>
          </w:p>
        </w:tc>
        <w:tc>
          <w:tcPr>
            <w:tcW w:w="960" w:type="dxa"/>
            <w:vAlign w:val="bottom"/>
            <w:shd w:val="clear" w:color="auto" w:fill="E6E7E7"/>
          </w:tcPr>
          <w:p>
            <w:pPr>
              <w:spacing w:after="0"/>
              <w:rPr>
                <w:sz w:val="17"/>
                <w:szCs w:val="17"/>
                <w:color w:val="auto"/>
              </w:rPr>
            </w:pPr>
          </w:p>
        </w:tc>
        <w:tc>
          <w:tcPr>
            <w:tcW w:w="640" w:type="dxa"/>
            <w:vAlign w:val="bottom"/>
            <w:shd w:val="clear" w:color="auto" w:fill="E6E7E7"/>
          </w:tcPr>
          <w:p>
            <w:pPr>
              <w:spacing w:after="0"/>
              <w:rPr>
                <w:sz w:val="17"/>
                <w:szCs w:val="17"/>
                <w:color w:val="auto"/>
              </w:rPr>
            </w:pPr>
          </w:p>
        </w:tc>
      </w:tr>
    </w:tbl>
    <w:p>
      <w:pPr>
        <w:spacing w:after="0" w:line="165" w:lineRule="exact"/>
        <w:rPr>
          <w:sz w:val="20"/>
          <w:szCs w:val="20"/>
          <w:color w:val="auto"/>
        </w:rPr>
      </w:pPr>
    </w:p>
    <w:p>
      <w:pPr>
        <w:ind w:left="460" w:right="100"/>
        <w:spacing w:after="0" w:line="275" w:lineRule="auto"/>
        <w:rPr>
          <w:sz w:val="20"/>
          <w:szCs w:val="20"/>
          <w:color w:val="auto"/>
        </w:rPr>
      </w:pPr>
      <w:r>
        <w:rPr>
          <w:rFonts w:ascii="Arial" w:cs="Arial" w:eastAsia="Arial" w:hAnsi="Arial"/>
          <w:sz w:val="16"/>
          <w:szCs w:val="16"/>
          <w:color w:val="auto"/>
        </w:rPr>
        <w:t>Assumptions for expected long-term rate of return on plan assets are based upon actual historical returns, future expectations for returns for each asset class and the effect of periodic target asset allocation rebalancing. The results are adjusted for the payment of reasonable expenses of the plan from plan assets. The historical long-term return on the plans’ assets has exceeded the selected rates and we believe these assumptions are appropriate based upon the mix of the investments and the long-term nature of the plans’ investments.</w:t>
      </w:r>
    </w:p>
    <w:p>
      <w:pPr>
        <w:spacing w:after="0" w:line="129" w:lineRule="exact"/>
        <w:rPr>
          <w:sz w:val="20"/>
          <w:szCs w:val="20"/>
          <w:color w:val="auto"/>
        </w:rPr>
      </w:pPr>
    </w:p>
    <w:p>
      <w:pPr>
        <w:jc w:val="both"/>
        <w:ind w:left="460" w:right="60"/>
        <w:spacing w:after="0" w:line="238" w:lineRule="auto"/>
        <w:rPr>
          <w:sz w:val="20"/>
          <w:szCs w:val="20"/>
          <w:color w:val="auto"/>
        </w:rPr>
      </w:pPr>
      <w:r>
        <w:rPr>
          <w:rFonts w:ascii="Arial" w:cs="Arial" w:eastAsia="Arial" w:hAnsi="Arial"/>
          <w:sz w:val="18"/>
          <w:szCs w:val="18"/>
          <w:color w:val="auto"/>
        </w:rPr>
        <w:t>Our rate of return assumption for the U.S. defined benefit plan reflects a decision to move gradually over several years to an asset allocation policy with less emphasis on equity investments. This allocation move is designed to better match the plan’s assets with the liability structure as the plan matures.</w:t>
      </w:r>
    </w:p>
    <w:p>
      <w:pPr>
        <w:spacing w:after="0" w:line="154" w:lineRule="exact"/>
        <w:rPr>
          <w:sz w:val="20"/>
          <w:szCs w:val="20"/>
          <w:color w:val="auto"/>
        </w:rPr>
      </w:pPr>
    </w:p>
    <w:p>
      <w:pPr>
        <w:ind w:left="460" w:right="740"/>
        <w:spacing w:after="0" w:line="299" w:lineRule="auto"/>
        <w:rPr>
          <w:sz w:val="20"/>
          <w:szCs w:val="20"/>
          <w:color w:val="auto"/>
        </w:rPr>
      </w:pPr>
      <w:r>
        <w:rPr>
          <w:rFonts w:ascii="Arial" w:cs="Arial" w:eastAsia="Arial" w:hAnsi="Arial"/>
          <w:sz w:val="16"/>
          <w:szCs w:val="16"/>
          <w:color w:val="auto"/>
        </w:rPr>
        <w:t>The table below shows target allocation ranges for the plans that hold a substantial majority of the defined benefit assets. The asset allocations for the retiree health care benefit plan are intended to represent the long-term targeted mix rather than a current mix.</w:t>
      </w:r>
    </w:p>
    <w:p>
      <w:pPr>
        <w:spacing w:after="0" w:line="11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5020" w:type="dxa"/>
            <w:vAlign w:val="bottom"/>
            <w:shd w:val="clear" w:color="auto" w:fill="939598"/>
          </w:tcPr>
          <w:p>
            <w:pPr>
              <w:spacing w:after="0"/>
              <w:rPr>
                <w:sz w:val="14"/>
                <w:szCs w:val="14"/>
                <w:color w:val="auto"/>
              </w:rPr>
            </w:pPr>
          </w:p>
        </w:tc>
        <w:tc>
          <w:tcPr>
            <w:tcW w:w="3540" w:type="dxa"/>
            <w:vAlign w:val="bottom"/>
            <w:shd w:val="clear" w:color="auto" w:fill="939598"/>
          </w:tcPr>
          <w:p>
            <w:pPr>
              <w:spacing w:after="0"/>
              <w:rPr>
                <w:sz w:val="14"/>
                <w:szCs w:val="14"/>
                <w:color w:val="auto"/>
              </w:rPr>
            </w:pPr>
          </w:p>
        </w:tc>
        <w:tc>
          <w:tcPr>
            <w:tcW w:w="980" w:type="dxa"/>
            <w:vAlign w:val="bottom"/>
            <w:shd w:val="clear" w:color="auto" w:fill="939598"/>
          </w:tcPr>
          <w:p>
            <w:pPr>
              <w:jc w:val="center"/>
              <w:spacing w:after="0"/>
              <w:rPr>
                <w:sz w:val="20"/>
                <w:szCs w:val="20"/>
                <w:color w:val="auto"/>
              </w:rPr>
            </w:pPr>
            <w:r>
              <w:rPr>
                <w:rFonts w:ascii="Arial" w:cs="Arial" w:eastAsia="Arial" w:hAnsi="Arial"/>
                <w:sz w:val="14"/>
                <w:szCs w:val="14"/>
                <w:b w:val="1"/>
                <w:bCs w:val="1"/>
                <w:color w:val="FFFFFF"/>
              </w:rPr>
              <w:t>U.S.</w:t>
            </w:r>
          </w:p>
        </w:tc>
        <w:tc>
          <w:tcPr>
            <w:tcW w:w="1180" w:type="dxa"/>
            <w:vAlign w:val="bottom"/>
            <w:shd w:val="clear" w:color="auto" w:fill="939598"/>
          </w:tcPr>
          <w:p>
            <w:pPr>
              <w:spacing w:after="0"/>
              <w:rPr>
                <w:sz w:val="14"/>
                <w:szCs w:val="14"/>
                <w:color w:val="auto"/>
              </w:rPr>
            </w:pPr>
          </w:p>
        </w:tc>
      </w:tr>
      <w:tr>
        <w:trPr>
          <w:trHeight w:val="149"/>
        </w:trPr>
        <w:tc>
          <w:tcPr>
            <w:tcW w:w="5020" w:type="dxa"/>
            <w:vAlign w:val="bottom"/>
            <w:shd w:val="clear" w:color="auto" w:fill="939598"/>
          </w:tcPr>
          <w:p>
            <w:pPr>
              <w:spacing w:after="0"/>
              <w:rPr>
                <w:sz w:val="12"/>
                <w:szCs w:val="12"/>
                <w:color w:val="auto"/>
              </w:rPr>
            </w:pPr>
          </w:p>
        </w:tc>
        <w:tc>
          <w:tcPr>
            <w:tcW w:w="3540" w:type="dxa"/>
            <w:vAlign w:val="bottom"/>
            <w:shd w:val="clear" w:color="auto" w:fill="939598"/>
          </w:tcPr>
          <w:p>
            <w:pPr>
              <w:spacing w:after="0"/>
              <w:rPr>
                <w:sz w:val="12"/>
                <w:szCs w:val="12"/>
                <w:color w:val="auto"/>
              </w:rPr>
            </w:pPr>
          </w:p>
        </w:tc>
        <w:tc>
          <w:tcPr>
            <w:tcW w:w="980" w:type="dxa"/>
            <w:vAlign w:val="bottom"/>
            <w:shd w:val="clear" w:color="auto" w:fill="939598"/>
          </w:tcPr>
          <w:p>
            <w:pPr>
              <w:jc w:val="center"/>
              <w:spacing w:after="0" w:line="149" w:lineRule="exact"/>
              <w:rPr>
                <w:sz w:val="20"/>
                <w:szCs w:val="20"/>
                <w:color w:val="auto"/>
              </w:rPr>
            </w:pPr>
            <w:r>
              <w:rPr>
                <w:rFonts w:ascii="Arial" w:cs="Arial" w:eastAsia="Arial" w:hAnsi="Arial"/>
                <w:sz w:val="14"/>
                <w:szCs w:val="14"/>
                <w:b w:val="1"/>
                <w:bCs w:val="1"/>
                <w:color w:val="FFFFFF"/>
                <w:w w:val="92"/>
              </w:rPr>
              <w:t>Retiree</w:t>
            </w:r>
          </w:p>
        </w:tc>
        <w:tc>
          <w:tcPr>
            <w:tcW w:w="1180" w:type="dxa"/>
            <w:vAlign w:val="bottom"/>
            <w:shd w:val="clear" w:color="auto" w:fill="939598"/>
          </w:tcPr>
          <w:p>
            <w:pPr>
              <w:jc w:val="center"/>
              <w:ind w:left="184"/>
              <w:spacing w:after="0" w:line="149" w:lineRule="exact"/>
              <w:rPr>
                <w:sz w:val="20"/>
                <w:szCs w:val="20"/>
                <w:color w:val="auto"/>
              </w:rPr>
            </w:pPr>
            <w:r>
              <w:rPr>
                <w:rFonts w:ascii="Arial" w:cs="Arial" w:eastAsia="Arial" w:hAnsi="Arial"/>
                <w:sz w:val="14"/>
                <w:szCs w:val="14"/>
                <w:b w:val="1"/>
                <w:bCs w:val="1"/>
                <w:color w:val="FFFFFF"/>
                <w:w w:val="94"/>
              </w:rPr>
              <w:t>Non-U.S.</w:t>
            </w:r>
          </w:p>
        </w:tc>
      </w:tr>
      <w:tr>
        <w:trPr>
          <w:trHeight w:val="149"/>
        </w:trPr>
        <w:tc>
          <w:tcPr>
            <w:tcW w:w="5020" w:type="dxa"/>
            <w:vAlign w:val="bottom"/>
            <w:shd w:val="clear" w:color="auto" w:fill="939598"/>
          </w:tcPr>
          <w:p>
            <w:pPr>
              <w:spacing w:after="0"/>
              <w:rPr>
                <w:sz w:val="12"/>
                <w:szCs w:val="12"/>
                <w:color w:val="auto"/>
              </w:rPr>
            </w:pPr>
          </w:p>
        </w:tc>
        <w:tc>
          <w:tcPr>
            <w:tcW w:w="3540" w:type="dxa"/>
            <w:vAlign w:val="bottom"/>
            <w:shd w:val="clear" w:color="auto" w:fill="939598"/>
          </w:tcPr>
          <w:p>
            <w:pPr>
              <w:jc w:val="center"/>
              <w:ind w:left="2062"/>
              <w:spacing w:after="0" w:line="149" w:lineRule="exact"/>
              <w:rPr>
                <w:sz w:val="20"/>
                <w:szCs w:val="20"/>
                <w:color w:val="auto"/>
              </w:rPr>
            </w:pPr>
            <w:r>
              <w:rPr>
                <w:rFonts w:ascii="Arial" w:cs="Arial" w:eastAsia="Arial" w:hAnsi="Arial"/>
                <w:sz w:val="14"/>
                <w:szCs w:val="14"/>
                <w:b w:val="1"/>
                <w:bCs w:val="1"/>
                <w:color w:val="FFFFFF"/>
                <w:w w:val="96"/>
              </w:rPr>
              <w:t>U.S. Defined</w:t>
            </w:r>
          </w:p>
        </w:tc>
        <w:tc>
          <w:tcPr>
            <w:tcW w:w="980" w:type="dxa"/>
            <w:vAlign w:val="bottom"/>
            <w:shd w:val="clear" w:color="auto" w:fill="939598"/>
          </w:tcPr>
          <w:p>
            <w:pPr>
              <w:jc w:val="center"/>
              <w:spacing w:after="0" w:line="149" w:lineRule="exact"/>
              <w:rPr>
                <w:sz w:val="20"/>
                <w:szCs w:val="20"/>
                <w:color w:val="auto"/>
              </w:rPr>
            </w:pPr>
            <w:r>
              <w:rPr>
                <w:rFonts w:ascii="Arial" w:cs="Arial" w:eastAsia="Arial" w:hAnsi="Arial"/>
                <w:sz w:val="14"/>
                <w:szCs w:val="14"/>
                <w:b w:val="1"/>
                <w:bCs w:val="1"/>
                <w:color w:val="FFFFFF"/>
                <w:w w:val="93"/>
              </w:rPr>
              <w:t>Health</w:t>
            </w:r>
          </w:p>
        </w:tc>
        <w:tc>
          <w:tcPr>
            <w:tcW w:w="1180" w:type="dxa"/>
            <w:vAlign w:val="bottom"/>
            <w:shd w:val="clear" w:color="auto" w:fill="939598"/>
          </w:tcPr>
          <w:p>
            <w:pPr>
              <w:jc w:val="center"/>
              <w:ind w:left="164"/>
              <w:spacing w:after="0" w:line="149" w:lineRule="exact"/>
              <w:rPr>
                <w:sz w:val="20"/>
                <w:szCs w:val="20"/>
                <w:color w:val="auto"/>
              </w:rPr>
            </w:pPr>
            <w:r>
              <w:rPr>
                <w:rFonts w:ascii="Arial" w:cs="Arial" w:eastAsia="Arial" w:hAnsi="Arial"/>
                <w:sz w:val="14"/>
                <w:szCs w:val="14"/>
                <w:b w:val="1"/>
                <w:bCs w:val="1"/>
                <w:color w:val="FFFFFF"/>
                <w:w w:val="97"/>
              </w:rPr>
              <w:t>Defined</w:t>
            </w:r>
          </w:p>
        </w:tc>
      </w:tr>
      <w:tr>
        <w:trPr>
          <w:trHeight w:val="165"/>
        </w:trPr>
        <w:tc>
          <w:tcPr>
            <w:tcW w:w="5020" w:type="dxa"/>
            <w:vAlign w:val="bottom"/>
            <w:shd w:val="clear" w:color="auto" w:fill="939598"/>
          </w:tcPr>
          <w:p>
            <w:pPr>
              <w:spacing w:after="0"/>
              <w:rPr>
                <w:sz w:val="20"/>
                <w:szCs w:val="20"/>
                <w:color w:val="auto"/>
              </w:rPr>
            </w:pPr>
            <w:r>
              <w:rPr>
                <w:rFonts w:ascii="Arial" w:cs="Arial" w:eastAsia="Arial" w:hAnsi="Arial"/>
                <w:sz w:val="14"/>
                <w:szCs w:val="14"/>
                <w:b w:val="1"/>
                <w:bCs w:val="1"/>
                <w:color w:val="FFFFFF"/>
              </w:rPr>
              <w:t>Asset Category</w:t>
            </w:r>
          </w:p>
        </w:tc>
        <w:tc>
          <w:tcPr>
            <w:tcW w:w="3540" w:type="dxa"/>
            <w:vAlign w:val="bottom"/>
            <w:shd w:val="clear" w:color="auto" w:fill="939598"/>
          </w:tcPr>
          <w:p>
            <w:pPr>
              <w:jc w:val="center"/>
              <w:ind w:left="2082"/>
              <w:spacing w:after="0"/>
              <w:rPr>
                <w:sz w:val="20"/>
                <w:szCs w:val="20"/>
                <w:color w:val="auto"/>
              </w:rPr>
            </w:pPr>
            <w:r>
              <w:rPr>
                <w:rFonts w:ascii="Arial" w:cs="Arial" w:eastAsia="Arial" w:hAnsi="Arial"/>
                <w:sz w:val="14"/>
                <w:szCs w:val="14"/>
                <w:b w:val="1"/>
                <w:bCs w:val="1"/>
                <w:color w:val="FFFFFF"/>
                <w:w w:val="96"/>
              </w:rPr>
              <w:t>Benefit</w:t>
            </w:r>
          </w:p>
        </w:tc>
        <w:tc>
          <w:tcPr>
            <w:tcW w:w="980" w:type="dxa"/>
            <w:vAlign w:val="bottom"/>
            <w:shd w:val="clear" w:color="auto" w:fill="939598"/>
          </w:tcPr>
          <w:p>
            <w:pPr>
              <w:jc w:val="center"/>
              <w:spacing w:after="0"/>
              <w:rPr>
                <w:sz w:val="20"/>
                <w:szCs w:val="20"/>
                <w:color w:val="auto"/>
              </w:rPr>
            </w:pPr>
            <w:r>
              <w:rPr>
                <w:rFonts w:ascii="Arial" w:cs="Arial" w:eastAsia="Arial" w:hAnsi="Arial"/>
                <w:sz w:val="14"/>
                <w:szCs w:val="14"/>
                <w:b w:val="1"/>
                <w:bCs w:val="1"/>
                <w:color w:val="FFFFFF"/>
                <w:w w:val="96"/>
              </w:rPr>
              <w:t>Care</w:t>
            </w:r>
          </w:p>
        </w:tc>
        <w:tc>
          <w:tcPr>
            <w:tcW w:w="1180" w:type="dxa"/>
            <w:vAlign w:val="bottom"/>
            <w:shd w:val="clear" w:color="auto" w:fill="939598"/>
          </w:tcPr>
          <w:p>
            <w:pPr>
              <w:jc w:val="center"/>
              <w:ind w:left="164"/>
              <w:spacing w:after="0"/>
              <w:rPr>
                <w:sz w:val="20"/>
                <w:szCs w:val="20"/>
                <w:color w:val="auto"/>
              </w:rPr>
            </w:pPr>
            <w:r>
              <w:rPr>
                <w:rFonts w:ascii="Arial" w:cs="Arial" w:eastAsia="Arial" w:hAnsi="Arial"/>
                <w:sz w:val="14"/>
                <w:szCs w:val="14"/>
                <w:b w:val="1"/>
                <w:bCs w:val="1"/>
                <w:color w:val="FFFFFF"/>
                <w:w w:val="96"/>
              </w:rPr>
              <w:t>Benefit</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Equity securities</w:t>
            </w:r>
          </w:p>
        </w:tc>
        <w:tc>
          <w:tcPr>
            <w:tcW w:w="3540" w:type="dxa"/>
            <w:vAlign w:val="bottom"/>
          </w:tcPr>
          <w:p>
            <w:pPr>
              <w:jc w:val="center"/>
              <w:ind w:left="2082"/>
              <w:spacing w:after="0" w:line="202" w:lineRule="exact"/>
              <w:rPr>
                <w:sz w:val="20"/>
                <w:szCs w:val="20"/>
                <w:color w:val="auto"/>
              </w:rPr>
            </w:pPr>
            <w:r>
              <w:rPr>
                <w:rFonts w:ascii="Arial" w:cs="Arial" w:eastAsia="Arial" w:hAnsi="Arial"/>
                <w:sz w:val="18"/>
                <w:szCs w:val="18"/>
                <w:color w:val="auto"/>
                <w:w w:val="97"/>
              </w:rPr>
              <w:t>50% - 75%</w:t>
            </w:r>
          </w:p>
        </w:tc>
        <w:tc>
          <w:tcPr>
            <w:tcW w:w="980" w:type="dxa"/>
            <w:vAlign w:val="bottom"/>
          </w:tcPr>
          <w:p>
            <w:pPr>
              <w:jc w:val="center"/>
              <w:spacing w:after="0" w:line="202" w:lineRule="exact"/>
              <w:rPr>
                <w:sz w:val="20"/>
                <w:szCs w:val="20"/>
                <w:color w:val="auto"/>
              </w:rPr>
            </w:pPr>
            <w:r>
              <w:rPr>
                <w:rFonts w:ascii="Arial" w:cs="Arial" w:eastAsia="Arial" w:hAnsi="Arial"/>
                <w:sz w:val="18"/>
                <w:szCs w:val="18"/>
                <w:color w:val="auto"/>
                <w:w w:val="99"/>
              </w:rPr>
              <w:t>75%</w:t>
            </w:r>
          </w:p>
        </w:tc>
        <w:tc>
          <w:tcPr>
            <w:tcW w:w="1180" w:type="dxa"/>
            <w:vAlign w:val="bottom"/>
          </w:tcPr>
          <w:p>
            <w:pPr>
              <w:jc w:val="center"/>
              <w:ind w:left="124"/>
              <w:spacing w:after="0" w:line="202" w:lineRule="exact"/>
              <w:rPr>
                <w:sz w:val="20"/>
                <w:szCs w:val="20"/>
                <w:color w:val="auto"/>
              </w:rPr>
            </w:pPr>
            <w:r>
              <w:rPr>
                <w:rFonts w:ascii="Arial" w:cs="Arial" w:eastAsia="Arial" w:hAnsi="Arial"/>
                <w:sz w:val="18"/>
                <w:szCs w:val="18"/>
                <w:color w:val="auto"/>
                <w:w w:val="97"/>
              </w:rPr>
              <w:t>30% - 60%</w:t>
            </w:r>
          </w:p>
        </w:tc>
      </w:tr>
      <w:tr>
        <w:trPr>
          <w:trHeight w:val="203"/>
        </w:trPr>
        <w:tc>
          <w:tcPr>
            <w:tcW w:w="5020" w:type="dxa"/>
            <w:vAlign w:val="bottom"/>
            <w:shd w:val="clear" w:color="auto" w:fill="E6E7E7"/>
          </w:tcPr>
          <w:p>
            <w:pPr>
              <w:spacing w:after="0" w:line="202" w:lineRule="exact"/>
              <w:rPr>
                <w:sz w:val="20"/>
                <w:szCs w:val="20"/>
                <w:color w:val="auto"/>
              </w:rPr>
            </w:pPr>
            <w:r>
              <w:rPr>
                <w:rFonts w:ascii="Arial" w:cs="Arial" w:eastAsia="Arial" w:hAnsi="Arial"/>
                <w:sz w:val="18"/>
                <w:szCs w:val="18"/>
                <w:color w:val="auto"/>
              </w:rPr>
              <w:t>Fixed income securities and cash</w:t>
            </w:r>
          </w:p>
        </w:tc>
        <w:tc>
          <w:tcPr>
            <w:tcW w:w="3540" w:type="dxa"/>
            <w:vAlign w:val="bottom"/>
            <w:shd w:val="clear" w:color="auto" w:fill="E6E7E7"/>
          </w:tcPr>
          <w:p>
            <w:pPr>
              <w:jc w:val="center"/>
              <w:ind w:left="2082"/>
              <w:spacing w:after="0" w:line="202" w:lineRule="exact"/>
              <w:rPr>
                <w:sz w:val="20"/>
                <w:szCs w:val="20"/>
                <w:color w:val="auto"/>
              </w:rPr>
            </w:pPr>
            <w:r>
              <w:rPr>
                <w:rFonts w:ascii="Arial" w:cs="Arial" w:eastAsia="Arial" w:hAnsi="Arial"/>
                <w:sz w:val="18"/>
                <w:szCs w:val="18"/>
                <w:color w:val="auto"/>
                <w:w w:val="97"/>
              </w:rPr>
              <w:t>25% - 50%</w:t>
            </w:r>
          </w:p>
        </w:tc>
        <w:tc>
          <w:tcPr>
            <w:tcW w:w="980" w:type="dxa"/>
            <w:vAlign w:val="bottom"/>
            <w:shd w:val="clear" w:color="auto" w:fill="E6E7E7"/>
          </w:tcPr>
          <w:p>
            <w:pPr>
              <w:jc w:val="center"/>
              <w:spacing w:after="0" w:line="202" w:lineRule="exact"/>
              <w:rPr>
                <w:sz w:val="20"/>
                <w:szCs w:val="20"/>
                <w:color w:val="auto"/>
              </w:rPr>
            </w:pPr>
            <w:r>
              <w:rPr>
                <w:rFonts w:ascii="Arial" w:cs="Arial" w:eastAsia="Arial" w:hAnsi="Arial"/>
                <w:sz w:val="18"/>
                <w:szCs w:val="18"/>
                <w:color w:val="auto"/>
                <w:w w:val="99"/>
              </w:rPr>
              <w:t>25%</w:t>
            </w:r>
          </w:p>
        </w:tc>
        <w:tc>
          <w:tcPr>
            <w:tcW w:w="1180" w:type="dxa"/>
            <w:vAlign w:val="bottom"/>
            <w:shd w:val="clear" w:color="auto" w:fill="E6E7E7"/>
          </w:tcPr>
          <w:p>
            <w:pPr>
              <w:jc w:val="center"/>
              <w:ind w:left="164"/>
              <w:spacing w:after="0" w:line="202" w:lineRule="exact"/>
              <w:rPr>
                <w:sz w:val="20"/>
                <w:szCs w:val="20"/>
                <w:color w:val="auto"/>
              </w:rPr>
            </w:pPr>
            <w:r>
              <w:rPr>
                <w:rFonts w:ascii="Arial" w:cs="Arial" w:eastAsia="Arial" w:hAnsi="Arial"/>
                <w:sz w:val="18"/>
                <w:szCs w:val="18"/>
                <w:color w:val="auto"/>
                <w:w w:val="97"/>
              </w:rPr>
              <w:t>40% - 70%</w:t>
            </w:r>
          </w:p>
        </w:tc>
      </w:tr>
    </w:tbl>
    <w:p>
      <w:pPr>
        <w:spacing w:after="0" w:line="165" w:lineRule="exact"/>
        <w:rPr>
          <w:sz w:val="20"/>
          <w:szCs w:val="20"/>
          <w:color w:val="auto"/>
        </w:rPr>
      </w:pPr>
    </w:p>
    <w:p>
      <w:pPr>
        <w:ind w:left="460"/>
        <w:spacing w:after="0" w:line="236" w:lineRule="auto"/>
        <w:rPr>
          <w:sz w:val="20"/>
          <w:szCs w:val="20"/>
          <w:color w:val="auto"/>
        </w:rPr>
      </w:pPr>
      <w:r>
        <w:rPr>
          <w:rFonts w:ascii="Arial" w:cs="Arial" w:eastAsia="Arial" w:hAnsi="Arial"/>
          <w:sz w:val="18"/>
          <w:szCs w:val="18"/>
          <w:color w:val="auto"/>
        </w:rPr>
        <w:t>For the defined benefit plans, it is intended that the investments will be rebalanced when the allocation is not within the target range. Additional contributions are invested consistent with the target ranges and may be used to rebalance the portfolio. The investment allocations and individual investments are chosen with regard to the duration of the obligations of the plan. A small portion of the retiree health care benefit plan assets are invested in an account within the pension trust and are invested in a like manner as the other pension assets. The majority of the assets in the retiree health care benefit plan are invested in a series of Voluntary Employee Benefit Association (VEBA) trusts. For tax efficiency, the investments in the VEBA trusts are not rebalanced but additional contributions to the trusts may be used to reallocate the portfolio.</w:t>
      </w:r>
    </w:p>
    <w:p>
      <w:pPr>
        <w:sectPr>
          <w:pgSz w:w="11900" w:h="16838" w:orient="portrait"/>
          <w:cols w:equalWidth="0" w:num="1">
            <w:col w:w="11420"/>
          </w:cols>
          <w:pgMar w:left="240" w:top="287" w:right="239" w:bottom="1440" w:gutter="0" w:footer="0" w:header="0"/>
        </w:sectPr>
      </w:pPr>
    </w:p>
    <w:bookmarkStart w:id="80" w:name="page81"/>
    <w:bookmarkEnd w:id="80"/>
    <w:p>
      <w:pPr>
        <w:jc w:val="right"/>
        <w:spacing w:after="0"/>
        <w:tabs>
          <w:tab w:leader="none" w:pos="12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2006 ANNUAL REPORT</w:t>
      </w:r>
      <w:r>
        <w:rPr>
          <w:sz w:val="20"/>
          <w:szCs w:val="20"/>
          <w:color w:val="auto"/>
        </w:rPr>
        <w:tab/>
      </w:r>
      <w:r>
        <w:rPr>
          <w:rFonts w:ascii="Arial" w:cs="Arial" w:eastAsia="Arial" w:hAnsi="Arial"/>
          <w:sz w:val="12"/>
          <w:szCs w:val="12"/>
          <w:color w:val="939598"/>
        </w:rPr>
        <w:t>31</w:t>
      </w:r>
    </w:p>
    <w:p>
      <w:pPr>
        <w:spacing w:after="0" w:line="14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Weighted average asset allocations at December 31,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shd w:val="clear" w:color="auto" w:fill="939598"/>
          </w:tcPr>
          <w:p>
            <w:pPr>
              <w:spacing w:after="0"/>
              <w:rPr>
                <w:sz w:val="14"/>
                <w:szCs w:val="14"/>
                <w:color w:val="auto"/>
              </w:rPr>
            </w:pPr>
          </w:p>
        </w:tc>
        <w:tc>
          <w:tcPr>
            <w:tcW w:w="720" w:type="dxa"/>
            <w:vAlign w:val="bottom"/>
            <w:shd w:val="clear" w:color="auto" w:fill="939598"/>
          </w:tcPr>
          <w:p>
            <w:pPr>
              <w:spacing w:after="0"/>
              <w:rPr>
                <w:sz w:val="14"/>
                <w:szCs w:val="14"/>
                <w:color w:val="auto"/>
              </w:rPr>
            </w:pPr>
          </w:p>
        </w:tc>
        <w:tc>
          <w:tcPr>
            <w:tcW w:w="640" w:type="dxa"/>
            <w:vAlign w:val="bottom"/>
            <w:shd w:val="clear" w:color="auto" w:fill="939598"/>
          </w:tcPr>
          <w:p>
            <w:pPr>
              <w:spacing w:after="0"/>
              <w:rPr>
                <w:sz w:val="14"/>
                <w:szCs w:val="14"/>
                <w:color w:val="auto"/>
              </w:rPr>
            </w:pPr>
          </w:p>
        </w:tc>
        <w:tc>
          <w:tcPr>
            <w:tcW w:w="660" w:type="dxa"/>
            <w:vAlign w:val="bottom"/>
            <w:shd w:val="clear" w:color="auto" w:fill="939598"/>
          </w:tcPr>
          <w:p>
            <w:pPr>
              <w:spacing w:after="0"/>
              <w:rPr>
                <w:sz w:val="14"/>
                <w:szCs w:val="14"/>
                <w:color w:val="auto"/>
              </w:rPr>
            </w:pPr>
          </w:p>
        </w:tc>
        <w:tc>
          <w:tcPr>
            <w:tcW w:w="640" w:type="dxa"/>
            <w:vAlign w:val="bottom"/>
            <w:shd w:val="clear" w:color="auto" w:fill="939598"/>
          </w:tcPr>
          <w:p>
            <w:pPr>
              <w:spacing w:after="0"/>
              <w:rPr>
                <w:sz w:val="14"/>
                <w:szCs w:val="14"/>
                <w:color w:val="auto"/>
              </w:rPr>
            </w:pPr>
          </w:p>
        </w:tc>
        <w:tc>
          <w:tcPr>
            <w:tcW w:w="1220" w:type="dxa"/>
            <w:vAlign w:val="bottom"/>
            <w:gridSpan w:val="2"/>
            <w:shd w:val="clear" w:color="auto" w:fill="939598"/>
          </w:tcPr>
          <w:p>
            <w:pPr>
              <w:jc w:val="center"/>
              <w:spacing w:after="0"/>
              <w:rPr>
                <w:sz w:val="20"/>
                <w:szCs w:val="20"/>
                <w:color w:val="auto"/>
              </w:rPr>
            </w:pPr>
            <w:r>
              <w:rPr>
                <w:rFonts w:ascii="Arial" w:cs="Arial" w:eastAsia="Arial" w:hAnsi="Arial"/>
                <w:sz w:val="14"/>
                <w:szCs w:val="14"/>
                <w:b w:val="1"/>
                <w:bCs w:val="1"/>
                <w:color w:val="FFFFFF"/>
                <w:w w:val="98"/>
              </w:rPr>
              <w:t>Non-U.S.</w:t>
            </w:r>
          </w:p>
        </w:tc>
      </w:tr>
      <w:tr>
        <w:trPr>
          <w:trHeight w:val="149"/>
        </w:trPr>
        <w:tc>
          <w:tcPr>
            <w:tcW w:w="6840" w:type="dxa"/>
            <w:vAlign w:val="bottom"/>
            <w:shd w:val="clear" w:color="auto" w:fill="939598"/>
          </w:tcPr>
          <w:p>
            <w:pPr>
              <w:spacing w:after="0"/>
              <w:rPr>
                <w:sz w:val="12"/>
                <w:szCs w:val="12"/>
                <w:color w:val="auto"/>
              </w:rPr>
            </w:pPr>
          </w:p>
        </w:tc>
        <w:tc>
          <w:tcPr>
            <w:tcW w:w="1360" w:type="dxa"/>
            <w:vAlign w:val="bottom"/>
            <w:gridSpan w:val="2"/>
            <w:shd w:val="clear" w:color="auto" w:fill="939598"/>
          </w:tcPr>
          <w:p>
            <w:pPr>
              <w:jc w:val="right"/>
              <w:ind w:right="239"/>
              <w:spacing w:after="0" w:line="149" w:lineRule="exact"/>
              <w:rPr>
                <w:sz w:val="20"/>
                <w:szCs w:val="20"/>
                <w:color w:val="auto"/>
              </w:rPr>
            </w:pPr>
            <w:r>
              <w:rPr>
                <w:rFonts w:ascii="Arial" w:cs="Arial" w:eastAsia="Arial" w:hAnsi="Arial"/>
                <w:sz w:val="14"/>
                <w:szCs w:val="14"/>
                <w:b w:val="1"/>
                <w:bCs w:val="1"/>
                <w:color w:val="FFFFFF"/>
              </w:rPr>
              <w:t>U.S. Defined</w:t>
            </w:r>
          </w:p>
        </w:tc>
        <w:tc>
          <w:tcPr>
            <w:tcW w:w="1300" w:type="dxa"/>
            <w:vAlign w:val="bottom"/>
            <w:gridSpan w:val="2"/>
            <w:shd w:val="clear" w:color="auto" w:fill="939598"/>
          </w:tcPr>
          <w:p>
            <w:pPr>
              <w:jc w:val="right"/>
              <w:ind w:right="259"/>
              <w:spacing w:after="0" w:line="149" w:lineRule="exact"/>
              <w:rPr>
                <w:sz w:val="20"/>
                <w:szCs w:val="20"/>
                <w:color w:val="auto"/>
              </w:rPr>
            </w:pPr>
            <w:r>
              <w:rPr>
                <w:rFonts w:ascii="Arial" w:cs="Arial" w:eastAsia="Arial" w:hAnsi="Arial"/>
                <w:sz w:val="14"/>
                <w:szCs w:val="14"/>
                <w:b w:val="1"/>
                <w:bCs w:val="1"/>
                <w:color w:val="FFFFFF"/>
              </w:rPr>
              <w:t>U.S. Retiree</w:t>
            </w:r>
          </w:p>
        </w:tc>
        <w:tc>
          <w:tcPr>
            <w:tcW w:w="1220" w:type="dxa"/>
            <w:vAlign w:val="bottom"/>
            <w:gridSpan w:val="2"/>
            <w:shd w:val="clear" w:color="auto" w:fill="939598"/>
          </w:tcPr>
          <w:p>
            <w:pPr>
              <w:jc w:val="center"/>
              <w:spacing w:after="0" w:line="149" w:lineRule="exact"/>
              <w:rPr>
                <w:sz w:val="20"/>
                <w:szCs w:val="20"/>
                <w:color w:val="auto"/>
              </w:rPr>
            </w:pPr>
            <w:r>
              <w:rPr>
                <w:rFonts w:ascii="Arial" w:cs="Arial" w:eastAsia="Arial" w:hAnsi="Arial"/>
                <w:sz w:val="14"/>
                <w:szCs w:val="14"/>
                <w:b w:val="1"/>
                <w:bCs w:val="1"/>
                <w:color w:val="FFFFFF"/>
                <w:w w:val="97"/>
              </w:rPr>
              <w:t>Defined</w:t>
            </w:r>
          </w:p>
        </w:tc>
      </w:tr>
      <w:tr>
        <w:trPr>
          <w:trHeight w:val="178"/>
        </w:trPr>
        <w:tc>
          <w:tcPr>
            <w:tcW w:w="6840" w:type="dxa"/>
            <w:vAlign w:val="bottom"/>
            <w:shd w:val="clear" w:color="auto" w:fill="939598"/>
          </w:tcPr>
          <w:p>
            <w:pPr>
              <w:spacing w:after="0"/>
              <w:rPr>
                <w:sz w:val="15"/>
                <w:szCs w:val="15"/>
                <w:color w:val="auto"/>
              </w:rPr>
            </w:pPr>
          </w:p>
        </w:tc>
        <w:tc>
          <w:tcPr>
            <w:tcW w:w="1360" w:type="dxa"/>
            <w:vAlign w:val="bottom"/>
            <w:gridSpan w:val="2"/>
            <w:shd w:val="clear" w:color="auto" w:fill="939598"/>
          </w:tcPr>
          <w:p>
            <w:pPr>
              <w:jc w:val="right"/>
              <w:ind w:right="419"/>
              <w:spacing w:after="0"/>
              <w:rPr>
                <w:sz w:val="20"/>
                <w:szCs w:val="20"/>
                <w:color w:val="auto"/>
              </w:rPr>
            </w:pPr>
            <w:r>
              <w:rPr>
                <w:rFonts w:ascii="Arial" w:cs="Arial" w:eastAsia="Arial" w:hAnsi="Arial"/>
                <w:sz w:val="14"/>
                <w:szCs w:val="14"/>
                <w:b w:val="1"/>
                <w:bCs w:val="1"/>
                <w:color w:val="FFFFFF"/>
              </w:rPr>
              <w:t>Benefit</w:t>
            </w:r>
          </w:p>
        </w:tc>
        <w:tc>
          <w:tcPr>
            <w:tcW w:w="1300" w:type="dxa"/>
            <w:vAlign w:val="bottom"/>
            <w:gridSpan w:val="2"/>
            <w:shd w:val="clear" w:color="auto" w:fill="939598"/>
          </w:tcPr>
          <w:p>
            <w:pPr>
              <w:jc w:val="right"/>
              <w:ind w:right="259"/>
              <w:spacing w:after="0"/>
              <w:rPr>
                <w:sz w:val="20"/>
                <w:szCs w:val="20"/>
                <w:color w:val="auto"/>
              </w:rPr>
            </w:pPr>
            <w:r>
              <w:rPr>
                <w:rFonts w:ascii="Arial" w:cs="Arial" w:eastAsia="Arial" w:hAnsi="Arial"/>
                <w:sz w:val="14"/>
                <w:szCs w:val="14"/>
                <w:b w:val="1"/>
                <w:bCs w:val="1"/>
                <w:color w:val="FFFFFF"/>
              </w:rPr>
              <w:t>Health Care</w:t>
            </w:r>
          </w:p>
        </w:tc>
        <w:tc>
          <w:tcPr>
            <w:tcW w:w="1220" w:type="dxa"/>
            <w:vAlign w:val="bottom"/>
            <w:gridSpan w:val="2"/>
            <w:shd w:val="clear" w:color="auto" w:fill="939598"/>
          </w:tcPr>
          <w:p>
            <w:pPr>
              <w:jc w:val="center"/>
              <w:spacing w:after="0"/>
              <w:rPr>
                <w:sz w:val="20"/>
                <w:szCs w:val="20"/>
                <w:color w:val="auto"/>
              </w:rPr>
            </w:pPr>
            <w:r>
              <w:rPr>
                <w:rFonts w:ascii="Arial" w:cs="Arial" w:eastAsia="Arial" w:hAnsi="Arial"/>
                <w:sz w:val="14"/>
                <w:szCs w:val="14"/>
                <w:b w:val="1"/>
                <w:bCs w:val="1"/>
                <w:color w:val="FFFFFF"/>
                <w:w w:val="96"/>
              </w:rPr>
              <w:t>Benefit</w:t>
            </w:r>
          </w:p>
        </w:tc>
      </w:tr>
      <w:tr>
        <w:trPr>
          <w:trHeight w:val="176"/>
        </w:trPr>
        <w:tc>
          <w:tcPr>
            <w:tcW w:w="6840" w:type="dxa"/>
            <w:vAlign w:val="bottom"/>
            <w:shd w:val="clear" w:color="auto" w:fill="939598"/>
          </w:tcPr>
          <w:p>
            <w:pPr>
              <w:spacing w:after="0"/>
              <w:rPr>
                <w:sz w:val="20"/>
                <w:szCs w:val="20"/>
                <w:color w:val="auto"/>
              </w:rPr>
            </w:pPr>
            <w:r>
              <w:rPr>
                <w:rFonts w:ascii="Arial" w:cs="Arial" w:eastAsia="Arial" w:hAnsi="Arial"/>
                <w:sz w:val="14"/>
                <w:szCs w:val="14"/>
                <w:b w:val="1"/>
                <w:bCs w:val="1"/>
                <w:color w:val="E6E7E7"/>
              </w:rPr>
              <w:t>Asset Category</w:t>
            </w:r>
          </w:p>
        </w:tc>
        <w:tc>
          <w:tcPr>
            <w:tcW w:w="720" w:type="dxa"/>
            <w:vAlign w:val="bottom"/>
            <w:shd w:val="clear" w:color="auto" w:fill="939598"/>
          </w:tcPr>
          <w:p>
            <w:pPr>
              <w:jc w:val="right"/>
              <w:ind w:right="184"/>
              <w:spacing w:after="0"/>
              <w:rPr>
                <w:sz w:val="20"/>
                <w:szCs w:val="20"/>
                <w:color w:val="auto"/>
              </w:rPr>
            </w:pPr>
            <w:r>
              <w:rPr>
                <w:rFonts w:ascii="Arial" w:cs="Arial" w:eastAsia="Arial" w:hAnsi="Arial"/>
                <w:sz w:val="14"/>
                <w:szCs w:val="14"/>
                <w:b w:val="1"/>
                <w:bCs w:val="1"/>
                <w:color w:val="E6E7E7"/>
              </w:rPr>
              <w:t>2006</w:t>
            </w:r>
          </w:p>
        </w:tc>
        <w:tc>
          <w:tcPr>
            <w:tcW w:w="640" w:type="dxa"/>
            <w:vAlign w:val="bottom"/>
            <w:shd w:val="clear" w:color="auto" w:fill="939598"/>
          </w:tcPr>
          <w:p>
            <w:pPr>
              <w:jc w:val="right"/>
              <w:ind w:right="159"/>
              <w:spacing w:after="0"/>
              <w:rPr>
                <w:sz w:val="20"/>
                <w:szCs w:val="20"/>
                <w:color w:val="auto"/>
              </w:rPr>
            </w:pPr>
            <w:r>
              <w:rPr>
                <w:rFonts w:ascii="Arial" w:cs="Arial" w:eastAsia="Arial" w:hAnsi="Arial"/>
                <w:sz w:val="14"/>
                <w:szCs w:val="14"/>
                <w:b w:val="1"/>
                <w:bCs w:val="1"/>
                <w:color w:val="E6E7E7"/>
              </w:rPr>
              <w:t>2005</w:t>
            </w:r>
          </w:p>
        </w:tc>
        <w:tc>
          <w:tcPr>
            <w:tcW w:w="660" w:type="dxa"/>
            <w:vAlign w:val="bottom"/>
            <w:shd w:val="clear" w:color="auto" w:fill="939598"/>
          </w:tcPr>
          <w:p>
            <w:pPr>
              <w:jc w:val="right"/>
              <w:ind w:right="184"/>
              <w:spacing w:after="0"/>
              <w:rPr>
                <w:sz w:val="20"/>
                <w:szCs w:val="20"/>
                <w:color w:val="auto"/>
              </w:rPr>
            </w:pPr>
            <w:r>
              <w:rPr>
                <w:rFonts w:ascii="Arial" w:cs="Arial" w:eastAsia="Arial" w:hAnsi="Arial"/>
                <w:sz w:val="14"/>
                <w:szCs w:val="14"/>
                <w:b w:val="1"/>
                <w:bCs w:val="1"/>
                <w:color w:val="E6E7E7"/>
              </w:rPr>
              <w:t>2006</w:t>
            </w:r>
          </w:p>
        </w:tc>
        <w:tc>
          <w:tcPr>
            <w:tcW w:w="640" w:type="dxa"/>
            <w:vAlign w:val="bottom"/>
            <w:shd w:val="clear" w:color="auto" w:fill="939598"/>
          </w:tcPr>
          <w:p>
            <w:pPr>
              <w:jc w:val="right"/>
              <w:ind w:right="159"/>
              <w:spacing w:after="0"/>
              <w:rPr>
                <w:sz w:val="20"/>
                <w:szCs w:val="20"/>
                <w:color w:val="auto"/>
              </w:rPr>
            </w:pPr>
            <w:r>
              <w:rPr>
                <w:rFonts w:ascii="Arial" w:cs="Arial" w:eastAsia="Arial" w:hAnsi="Arial"/>
                <w:sz w:val="14"/>
                <w:szCs w:val="14"/>
                <w:b w:val="1"/>
                <w:bCs w:val="1"/>
                <w:color w:val="E6E7E7"/>
              </w:rPr>
              <w:t>2005</w:t>
            </w:r>
          </w:p>
        </w:tc>
        <w:tc>
          <w:tcPr>
            <w:tcW w:w="660" w:type="dxa"/>
            <w:vAlign w:val="bottom"/>
            <w:shd w:val="clear" w:color="auto" w:fill="939598"/>
          </w:tcPr>
          <w:p>
            <w:pPr>
              <w:jc w:val="right"/>
              <w:ind w:right="186"/>
              <w:spacing w:after="0"/>
              <w:rPr>
                <w:sz w:val="20"/>
                <w:szCs w:val="20"/>
                <w:color w:val="auto"/>
              </w:rPr>
            </w:pPr>
            <w:r>
              <w:rPr>
                <w:rFonts w:ascii="Arial" w:cs="Arial" w:eastAsia="Arial" w:hAnsi="Arial"/>
                <w:sz w:val="14"/>
                <w:szCs w:val="14"/>
                <w:b w:val="1"/>
                <w:bCs w:val="1"/>
                <w:color w:val="E6E7E7"/>
              </w:rPr>
              <w:t>2006</w:t>
            </w:r>
          </w:p>
        </w:tc>
        <w:tc>
          <w:tcPr>
            <w:tcW w:w="560" w:type="dxa"/>
            <w:vAlign w:val="bottom"/>
            <w:shd w:val="clear" w:color="auto" w:fill="939598"/>
          </w:tcPr>
          <w:p>
            <w:pPr>
              <w:jc w:val="right"/>
              <w:ind w:right="99"/>
              <w:spacing w:after="0"/>
              <w:rPr>
                <w:sz w:val="20"/>
                <w:szCs w:val="20"/>
                <w:color w:val="auto"/>
              </w:rPr>
            </w:pPr>
            <w:r>
              <w:rPr>
                <w:rFonts w:ascii="Arial" w:cs="Arial" w:eastAsia="Arial" w:hAnsi="Arial"/>
                <w:sz w:val="14"/>
                <w:szCs w:val="14"/>
                <w:b w:val="1"/>
                <w:bCs w:val="1"/>
                <w:color w:val="E6E7E7"/>
              </w:rPr>
              <w:t>2005</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Equity securities</w:t>
            </w:r>
          </w:p>
        </w:tc>
        <w:tc>
          <w:tcPr>
            <w:tcW w:w="720" w:type="dxa"/>
            <w:vAlign w:val="bottom"/>
          </w:tcPr>
          <w:p>
            <w:pPr>
              <w:jc w:val="right"/>
              <w:ind w:right="24"/>
              <w:spacing w:after="0"/>
              <w:rPr>
                <w:sz w:val="20"/>
                <w:szCs w:val="20"/>
                <w:color w:val="auto"/>
              </w:rPr>
            </w:pPr>
            <w:r>
              <w:rPr>
                <w:rFonts w:ascii="Arial" w:cs="Arial" w:eastAsia="Arial" w:hAnsi="Arial"/>
                <w:sz w:val="18"/>
                <w:szCs w:val="18"/>
                <w:b w:val="1"/>
                <w:bCs w:val="1"/>
                <w:color w:val="auto"/>
              </w:rPr>
              <w:t>62%</w:t>
            </w:r>
          </w:p>
        </w:tc>
        <w:tc>
          <w:tcPr>
            <w:tcW w:w="640" w:type="dxa"/>
            <w:vAlign w:val="bottom"/>
          </w:tcPr>
          <w:p>
            <w:pPr>
              <w:jc w:val="right"/>
              <w:spacing w:after="0"/>
              <w:rPr>
                <w:sz w:val="20"/>
                <w:szCs w:val="20"/>
                <w:color w:val="auto"/>
              </w:rPr>
            </w:pPr>
            <w:r>
              <w:rPr>
                <w:rFonts w:ascii="Arial" w:cs="Arial" w:eastAsia="Arial" w:hAnsi="Arial"/>
                <w:sz w:val="18"/>
                <w:szCs w:val="18"/>
                <w:color w:val="auto"/>
              </w:rPr>
              <w:t>64%</w:t>
            </w:r>
          </w:p>
        </w:tc>
        <w:tc>
          <w:tcPr>
            <w:tcW w:w="660" w:type="dxa"/>
            <w:vAlign w:val="bottom"/>
          </w:tcPr>
          <w:p>
            <w:pPr>
              <w:jc w:val="right"/>
              <w:ind w:right="24"/>
              <w:spacing w:after="0"/>
              <w:rPr>
                <w:sz w:val="20"/>
                <w:szCs w:val="20"/>
                <w:color w:val="auto"/>
              </w:rPr>
            </w:pPr>
            <w:r>
              <w:rPr>
                <w:rFonts w:ascii="Arial" w:cs="Arial" w:eastAsia="Arial" w:hAnsi="Arial"/>
                <w:sz w:val="18"/>
                <w:szCs w:val="18"/>
                <w:b w:val="1"/>
                <w:bCs w:val="1"/>
                <w:color w:val="auto"/>
              </w:rPr>
              <w:t>69%</w:t>
            </w:r>
          </w:p>
        </w:tc>
        <w:tc>
          <w:tcPr>
            <w:tcW w:w="640" w:type="dxa"/>
            <w:vAlign w:val="bottom"/>
          </w:tcPr>
          <w:p>
            <w:pPr>
              <w:jc w:val="right"/>
              <w:spacing w:after="0"/>
              <w:rPr>
                <w:sz w:val="20"/>
                <w:szCs w:val="20"/>
                <w:color w:val="auto"/>
              </w:rPr>
            </w:pPr>
            <w:r>
              <w:rPr>
                <w:rFonts w:ascii="Arial" w:cs="Arial" w:eastAsia="Arial" w:hAnsi="Arial"/>
                <w:sz w:val="18"/>
                <w:szCs w:val="18"/>
                <w:color w:val="auto"/>
              </w:rPr>
              <w:t>64%</w:t>
            </w:r>
          </w:p>
        </w:tc>
        <w:tc>
          <w:tcPr>
            <w:tcW w:w="660" w:type="dxa"/>
            <w:vAlign w:val="bottom"/>
          </w:tcPr>
          <w:p>
            <w:pPr>
              <w:jc w:val="right"/>
              <w:ind w:right="26"/>
              <w:spacing w:after="0"/>
              <w:rPr>
                <w:sz w:val="20"/>
                <w:szCs w:val="20"/>
                <w:color w:val="auto"/>
              </w:rPr>
            </w:pPr>
            <w:r>
              <w:rPr>
                <w:rFonts w:ascii="Arial" w:cs="Arial" w:eastAsia="Arial" w:hAnsi="Arial"/>
                <w:sz w:val="18"/>
                <w:szCs w:val="18"/>
                <w:b w:val="1"/>
                <w:bCs w:val="1"/>
                <w:color w:val="auto"/>
              </w:rPr>
              <w:t>52%</w:t>
            </w: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3"/>
        </w:trPr>
        <w:tc>
          <w:tcPr>
            <w:tcW w:w="6840" w:type="dxa"/>
            <w:vAlign w:val="bottom"/>
            <w:shd w:val="clear" w:color="auto" w:fill="E6E7E7"/>
          </w:tcPr>
          <w:p>
            <w:pPr>
              <w:spacing w:after="0" w:line="202" w:lineRule="exact"/>
              <w:rPr>
                <w:sz w:val="20"/>
                <w:szCs w:val="20"/>
                <w:color w:val="auto"/>
              </w:rPr>
            </w:pPr>
            <w:r>
              <w:rPr>
                <w:rFonts w:ascii="Arial" w:cs="Arial" w:eastAsia="Arial" w:hAnsi="Arial"/>
                <w:sz w:val="18"/>
                <w:szCs w:val="18"/>
                <w:color w:val="auto"/>
              </w:rPr>
              <w:t>Fixed income securities and cash</w:t>
            </w:r>
          </w:p>
        </w:tc>
        <w:tc>
          <w:tcPr>
            <w:tcW w:w="720" w:type="dxa"/>
            <w:vAlign w:val="bottom"/>
            <w:shd w:val="clear" w:color="auto" w:fill="E6E7E7"/>
          </w:tcPr>
          <w:p>
            <w:pPr>
              <w:jc w:val="right"/>
              <w:ind w:right="24"/>
              <w:spacing w:after="0" w:line="202" w:lineRule="exact"/>
              <w:rPr>
                <w:sz w:val="20"/>
                <w:szCs w:val="20"/>
                <w:color w:val="auto"/>
              </w:rPr>
            </w:pPr>
            <w:r>
              <w:rPr>
                <w:rFonts w:ascii="Arial" w:cs="Arial" w:eastAsia="Arial" w:hAnsi="Arial"/>
                <w:sz w:val="18"/>
                <w:szCs w:val="18"/>
                <w:b w:val="1"/>
                <w:bCs w:val="1"/>
                <w:color w:val="auto"/>
              </w:rPr>
              <w:t>38%</w:t>
            </w:r>
          </w:p>
        </w:tc>
        <w:tc>
          <w:tcPr>
            <w:tcW w:w="6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36%</w:t>
            </w:r>
          </w:p>
        </w:tc>
        <w:tc>
          <w:tcPr>
            <w:tcW w:w="660" w:type="dxa"/>
            <w:vAlign w:val="bottom"/>
            <w:shd w:val="clear" w:color="auto" w:fill="E6E7E7"/>
          </w:tcPr>
          <w:p>
            <w:pPr>
              <w:jc w:val="right"/>
              <w:ind w:right="24"/>
              <w:spacing w:after="0" w:line="202" w:lineRule="exact"/>
              <w:rPr>
                <w:sz w:val="20"/>
                <w:szCs w:val="20"/>
                <w:color w:val="auto"/>
              </w:rPr>
            </w:pPr>
            <w:r>
              <w:rPr>
                <w:rFonts w:ascii="Arial" w:cs="Arial" w:eastAsia="Arial" w:hAnsi="Arial"/>
                <w:sz w:val="18"/>
                <w:szCs w:val="18"/>
                <w:b w:val="1"/>
                <w:bCs w:val="1"/>
                <w:color w:val="auto"/>
              </w:rPr>
              <w:t>31%</w:t>
            </w:r>
          </w:p>
        </w:tc>
        <w:tc>
          <w:tcPr>
            <w:tcW w:w="6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36%</w:t>
            </w:r>
          </w:p>
        </w:tc>
        <w:tc>
          <w:tcPr>
            <w:tcW w:w="660" w:type="dxa"/>
            <w:vAlign w:val="bottom"/>
            <w:shd w:val="clear" w:color="auto" w:fill="E6E7E7"/>
          </w:tcPr>
          <w:p>
            <w:pPr>
              <w:jc w:val="right"/>
              <w:ind w:right="26"/>
              <w:spacing w:after="0" w:line="202" w:lineRule="exact"/>
              <w:rPr>
                <w:sz w:val="20"/>
                <w:szCs w:val="20"/>
                <w:color w:val="auto"/>
              </w:rPr>
            </w:pPr>
            <w:r>
              <w:rPr>
                <w:rFonts w:ascii="Arial" w:cs="Arial" w:eastAsia="Arial" w:hAnsi="Arial"/>
                <w:sz w:val="18"/>
                <w:szCs w:val="18"/>
                <w:b w:val="1"/>
                <w:bCs w:val="1"/>
                <w:color w:val="auto"/>
              </w:rPr>
              <w:t>48%</w:t>
            </w:r>
          </w:p>
        </w:tc>
        <w:tc>
          <w:tcPr>
            <w:tcW w:w="5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21%</w:t>
            </w:r>
          </w:p>
        </w:tc>
      </w:tr>
    </w:tbl>
    <w:p>
      <w:pPr>
        <w:spacing w:after="0" w:line="165" w:lineRule="exact"/>
        <w:rPr>
          <w:sz w:val="20"/>
          <w:szCs w:val="20"/>
          <w:color w:val="auto"/>
        </w:rPr>
      </w:pPr>
    </w:p>
    <w:p>
      <w:pPr>
        <w:ind w:left="100" w:right="180"/>
        <w:spacing w:after="0" w:line="239" w:lineRule="auto"/>
        <w:rPr>
          <w:sz w:val="20"/>
          <w:szCs w:val="20"/>
          <w:color w:val="auto"/>
        </w:rPr>
      </w:pPr>
      <w:r>
        <w:rPr>
          <w:rFonts w:ascii="Arial" w:cs="Arial" w:eastAsia="Arial" w:hAnsi="Arial"/>
          <w:sz w:val="18"/>
          <w:szCs w:val="18"/>
          <w:color w:val="auto"/>
        </w:rPr>
        <w:t>There are no significant restrictions on the amount or nature of the investments that may be acquired or held by the plans. None of the plan assets related to the defined benefit pension plans and retiree health care benefit plan are directly invested in TI common stock.</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Contributions to the plans meet or exceed all minimum funding requirements. We expect to contribute approximately $40 million to U.S.</w:t>
      </w:r>
    </w:p>
    <w:p>
      <w:pPr>
        <w:ind w:left="100"/>
        <w:spacing w:after="0"/>
        <w:rPr>
          <w:sz w:val="20"/>
          <w:szCs w:val="20"/>
          <w:color w:val="auto"/>
        </w:rPr>
      </w:pPr>
      <w:r>
        <w:rPr>
          <w:rFonts w:ascii="Arial" w:cs="Arial" w:eastAsia="Arial" w:hAnsi="Arial"/>
          <w:sz w:val="18"/>
          <w:szCs w:val="18"/>
          <w:color w:val="auto"/>
        </w:rPr>
        <w:t>retirement plans and approximately $70 million to non-U.S. retirement plans in 2007.</w:t>
      </w:r>
    </w:p>
    <w:p>
      <w:pPr>
        <w:spacing w:after="0" w:line="158" w:lineRule="exact"/>
        <w:rPr>
          <w:sz w:val="20"/>
          <w:szCs w:val="20"/>
          <w:color w:val="auto"/>
        </w:rPr>
      </w:pPr>
    </w:p>
    <w:p>
      <w:pPr>
        <w:ind w:left="100" w:right="120"/>
        <w:spacing w:after="0" w:line="239" w:lineRule="auto"/>
        <w:rPr>
          <w:sz w:val="20"/>
          <w:szCs w:val="20"/>
          <w:color w:val="auto"/>
        </w:rPr>
      </w:pPr>
      <w:r>
        <w:rPr>
          <w:rFonts w:ascii="Arial" w:cs="Arial" w:eastAsia="Arial" w:hAnsi="Arial"/>
          <w:sz w:val="18"/>
          <w:szCs w:val="18"/>
          <w:color w:val="auto"/>
        </w:rPr>
        <w:t>The following table projects the benefits expected to be paid to participants from the plans in each of the following years. The majority of the payments will be paid from plan assets and not company assets.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shd w:val="clear" w:color="auto" w:fill="939598"/>
          </w:tcPr>
          <w:p>
            <w:pPr>
              <w:spacing w:after="0"/>
              <w:rPr>
                <w:sz w:val="14"/>
                <w:szCs w:val="14"/>
                <w:color w:val="auto"/>
              </w:rPr>
            </w:pPr>
          </w:p>
        </w:tc>
        <w:tc>
          <w:tcPr>
            <w:tcW w:w="2900" w:type="dxa"/>
            <w:vAlign w:val="bottom"/>
            <w:shd w:val="clear" w:color="auto" w:fill="939598"/>
          </w:tcPr>
          <w:p>
            <w:pPr>
              <w:spacing w:after="0"/>
              <w:rPr>
                <w:sz w:val="14"/>
                <w:szCs w:val="14"/>
                <w:color w:val="auto"/>
              </w:rPr>
            </w:pPr>
          </w:p>
        </w:tc>
        <w:tc>
          <w:tcPr>
            <w:tcW w:w="920" w:type="dxa"/>
            <w:vAlign w:val="bottom"/>
            <w:shd w:val="clear" w:color="auto" w:fill="939598"/>
          </w:tcPr>
          <w:p>
            <w:pPr>
              <w:spacing w:after="0"/>
              <w:rPr>
                <w:sz w:val="14"/>
                <w:szCs w:val="14"/>
                <w:color w:val="auto"/>
              </w:rPr>
            </w:pPr>
          </w:p>
        </w:tc>
        <w:tc>
          <w:tcPr>
            <w:tcW w:w="540" w:type="dxa"/>
            <w:vAlign w:val="bottom"/>
            <w:shd w:val="clear" w:color="auto" w:fill="939598"/>
          </w:tcPr>
          <w:p>
            <w:pPr>
              <w:spacing w:after="0"/>
              <w:rPr>
                <w:sz w:val="14"/>
                <w:szCs w:val="14"/>
                <w:color w:val="auto"/>
              </w:rPr>
            </w:pPr>
          </w:p>
        </w:tc>
        <w:tc>
          <w:tcPr>
            <w:tcW w:w="740" w:type="dxa"/>
            <w:vAlign w:val="bottom"/>
            <w:shd w:val="clear" w:color="auto" w:fill="939598"/>
          </w:tcPr>
          <w:p>
            <w:pPr>
              <w:spacing w:after="0"/>
              <w:rPr>
                <w:sz w:val="14"/>
                <w:szCs w:val="14"/>
                <w:color w:val="auto"/>
              </w:rPr>
            </w:pPr>
          </w:p>
        </w:tc>
        <w:tc>
          <w:tcPr>
            <w:tcW w:w="480" w:type="dxa"/>
            <w:vAlign w:val="bottom"/>
            <w:shd w:val="clear" w:color="auto" w:fill="939598"/>
          </w:tcPr>
          <w:p>
            <w:pPr>
              <w:spacing w:after="0"/>
              <w:rPr>
                <w:sz w:val="14"/>
                <w:szCs w:val="14"/>
                <w:color w:val="auto"/>
              </w:rPr>
            </w:pPr>
          </w:p>
        </w:tc>
        <w:tc>
          <w:tcPr>
            <w:tcW w:w="680" w:type="dxa"/>
            <w:vAlign w:val="bottom"/>
            <w:shd w:val="clear" w:color="auto" w:fill="939598"/>
          </w:tcPr>
          <w:p>
            <w:pPr>
              <w:spacing w:after="0"/>
              <w:rPr>
                <w:sz w:val="14"/>
                <w:szCs w:val="14"/>
                <w:color w:val="auto"/>
              </w:rPr>
            </w:pPr>
          </w:p>
        </w:tc>
        <w:tc>
          <w:tcPr>
            <w:tcW w:w="840" w:type="dxa"/>
            <w:vAlign w:val="bottom"/>
            <w:shd w:val="clear" w:color="auto" w:fill="939598"/>
          </w:tcPr>
          <w:p>
            <w:pPr>
              <w:jc w:val="center"/>
              <w:ind w:left="179"/>
              <w:spacing w:after="0"/>
              <w:rPr>
                <w:sz w:val="20"/>
                <w:szCs w:val="20"/>
                <w:color w:val="auto"/>
              </w:rPr>
            </w:pPr>
            <w:r>
              <w:rPr>
                <w:rFonts w:ascii="Arial" w:cs="Arial" w:eastAsia="Arial" w:hAnsi="Arial"/>
                <w:sz w:val="14"/>
                <w:szCs w:val="14"/>
                <w:b w:val="1"/>
                <w:bCs w:val="1"/>
                <w:color w:val="FFFFFF"/>
                <w:w w:val="98"/>
              </w:rPr>
              <w:t>Non-U.S.</w:t>
            </w:r>
          </w:p>
        </w:tc>
      </w:tr>
      <w:tr>
        <w:trPr>
          <w:trHeight w:val="152"/>
        </w:trPr>
        <w:tc>
          <w:tcPr>
            <w:tcW w:w="3620" w:type="dxa"/>
            <w:vAlign w:val="bottom"/>
            <w:shd w:val="clear" w:color="auto" w:fill="939598"/>
          </w:tcPr>
          <w:p>
            <w:pPr>
              <w:spacing w:after="0"/>
              <w:rPr>
                <w:sz w:val="13"/>
                <w:szCs w:val="13"/>
                <w:color w:val="auto"/>
              </w:rPr>
            </w:pPr>
          </w:p>
        </w:tc>
        <w:tc>
          <w:tcPr>
            <w:tcW w:w="3820" w:type="dxa"/>
            <w:vAlign w:val="bottom"/>
            <w:gridSpan w:val="2"/>
            <w:shd w:val="clear" w:color="auto" w:fill="939598"/>
          </w:tcPr>
          <w:p>
            <w:pPr>
              <w:ind w:left="2760"/>
              <w:spacing w:after="0" w:line="152" w:lineRule="exact"/>
              <w:rPr>
                <w:sz w:val="20"/>
                <w:szCs w:val="20"/>
                <w:color w:val="auto"/>
              </w:rPr>
            </w:pPr>
            <w:r>
              <w:rPr>
                <w:rFonts w:ascii="Arial" w:cs="Arial" w:eastAsia="Arial" w:hAnsi="Arial"/>
                <w:sz w:val="14"/>
                <w:szCs w:val="14"/>
                <w:b w:val="1"/>
                <w:bCs w:val="1"/>
                <w:color w:val="FFFFFF"/>
              </w:rPr>
              <w:t>U.S. Defined</w:t>
            </w:r>
          </w:p>
        </w:tc>
        <w:tc>
          <w:tcPr>
            <w:tcW w:w="1280" w:type="dxa"/>
            <w:vAlign w:val="bottom"/>
            <w:gridSpan w:val="2"/>
            <w:shd w:val="clear" w:color="auto" w:fill="939598"/>
          </w:tcPr>
          <w:p>
            <w:pPr>
              <w:ind w:left="260"/>
              <w:spacing w:after="0" w:line="152" w:lineRule="exact"/>
              <w:rPr>
                <w:sz w:val="20"/>
                <w:szCs w:val="20"/>
                <w:color w:val="auto"/>
              </w:rPr>
            </w:pPr>
            <w:r>
              <w:rPr>
                <w:rFonts w:ascii="Arial" w:cs="Arial" w:eastAsia="Arial" w:hAnsi="Arial"/>
                <w:sz w:val="14"/>
                <w:szCs w:val="14"/>
                <w:b w:val="1"/>
                <w:bCs w:val="1"/>
                <w:color w:val="FFFFFF"/>
              </w:rPr>
              <w:t>U.S. Retiree</w:t>
            </w:r>
          </w:p>
        </w:tc>
        <w:tc>
          <w:tcPr>
            <w:tcW w:w="1160" w:type="dxa"/>
            <w:vAlign w:val="bottom"/>
            <w:gridSpan w:val="2"/>
            <w:shd w:val="clear" w:color="auto" w:fill="939598"/>
          </w:tcPr>
          <w:p>
            <w:pPr>
              <w:ind w:left="260"/>
              <w:spacing w:after="0" w:line="152" w:lineRule="exact"/>
              <w:rPr>
                <w:sz w:val="20"/>
                <w:szCs w:val="20"/>
                <w:color w:val="auto"/>
              </w:rPr>
            </w:pPr>
            <w:r>
              <w:rPr>
                <w:rFonts w:ascii="Arial" w:cs="Arial" w:eastAsia="Arial" w:hAnsi="Arial"/>
                <w:sz w:val="14"/>
                <w:szCs w:val="14"/>
                <w:b w:val="1"/>
                <w:bCs w:val="1"/>
                <w:color w:val="FFFFFF"/>
              </w:rPr>
              <w:t>Medicare</w:t>
            </w:r>
          </w:p>
        </w:tc>
        <w:tc>
          <w:tcPr>
            <w:tcW w:w="840" w:type="dxa"/>
            <w:vAlign w:val="bottom"/>
            <w:shd w:val="clear" w:color="auto" w:fill="939598"/>
          </w:tcPr>
          <w:p>
            <w:pPr>
              <w:jc w:val="center"/>
              <w:ind w:left="179"/>
              <w:spacing w:after="0" w:line="152" w:lineRule="exact"/>
              <w:rPr>
                <w:sz w:val="20"/>
                <w:szCs w:val="20"/>
                <w:color w:val="auto"/>
              </w:rPr>
            </w:pPr>
            <w:r>
              <w:rPr>
                <w:rFonts w:ascii="Arial" w:cs="Arial" w:eastAsia="Arial" w:hAnsi="Arial"/>
                <w:sz w:val="14"/>
                <w:szCs w:val="14"/>
                <w:b w:val="1"/>
                <w:bCs w:val="1"/>
                <w:color w:val="FFFFFF"/>
                <w:w w:val="97"/>
              </w:rPr>
              <w:t>Defined</w:t>
            </w:r>
          </w:p>
        </w:tc>
      </w:tr>
      <w:tr>
        <w:trPr>
          <w:trHeight w:val="176"/>
        </w:trPr>
        <w:tc>
          <w:tcPr>
            <w:tcW w:w="3620" w:type="dxa"/>
            <w:vAlign w:val="bottom"/>
            <w:shd w:val="clear" w:color="auto" w:fill="939598"/>
          </w:tcPr>
          <w:p>
            <w:pPr>
              <w:spacing w:after="0"/>
              <w:rPr>
                <w:sz w:val="15"/>
                <w:szCs w:val="15"/>
                <w:color w:val="auto"/>
              </w:rPr>
            </w:pPr>
          </w:p>
        </w:tc>
        <w:tc>
          <w:tcPr>
            <w:tcW w:w="2900" w:type="dxa"/>
            <w:vAlign w:val="bottom"/>
            <w:shd w:val="clear" w:color="auto" w:fill="939598"/>
          </w:tcPr>
          <w:p>
            <w:pPr>
              <w:spacing w:after="0"/>
              <w:rPr>
                <w:sz w:val="15"/>
                <w:szCs w:val="15"/>
                <w:color w:val="auto"/>
              </w:rPr>
            </w:pPr>
          </w:p>
        </w:tc>
        <w:tc>
          <w:tcPr>
            <w:tcW w:w="920" w:type="dxa"/>
            <w:vAlign w:val="bottom"/>
            <w:shd w:val="clear" w:color="auto" w:fill="939598"/>
          </w:tcPr>
          <w:p>
            <w:pPr>
              <w:jc w:val="right"/>
              <w:ind w:right="355"/>
              <w:spacing w:after="0"/>
              <w:rPr>
                <w:sz w:val="20"/>
                <w:szCs w:val="20"/>
                <w:color w:val="auto"/>
              </w:rPr>
            </w:pPr>
            <w:r>
              <w:rPr>
                <w:rFonts w:ascii="Arial" w:cs="Arial" w:eastAsia="Arial" w:hAnsi="Arial"/>
                <w:sz w:val="14"/>
                <w:szCs w:val="14"/>
                <w:b w:val="1"/>
                <w:bCs w:val="1"/>
                <w:color w:val="FFFFFF"/>
                <w:w w:val="96"/>
              </w:rPr>
              <w:t>Benefit</w:t>
            </w:r>
          </w:p>
        </w:tc>
        <w:tc>
          <w:tcPr>
            <w:tcW w:w="1280" w:type="dxa"/>
            <w:vAlign w:val="bottom"/>
            <w:gridSpan w:val="2"/>
            <w:shd w:val="clear" w:color="auto" w:fill="939598"/>
          </w:tcPr>
          <w:p>
            <w:pPr>
              <w:ind w:left="260"/>
              <w:spacing w:after="0"/>
              <w:rPr>
                <w:sz w:val="20"/>
                <w:szCs w:val="20"/>
                <w:color w:val="auto"/>
              </w:rPr>
            </w:pPr>
            <w:r>
              <w:rPr>
                <w:rFonts w:ascii="Arial" w:cs="Arial" w:eastAsia="Arial" w:hAnsi="Arial"/>
                <w:sz w:val="14"/>
                <w:szCs w:val="14"/>
                <w:b w:val="1"/>
                <w:bCs w:val="1"/>
                <w:color w:val="FFFFFF"/>
              </w:rPr>
              <w:t>Health Care</w:t>
            </w:r>
          </w:p>
        </w:tc>
        <w:tc>
          <w:tcPr>
            <w:tcW w:w="1160" w:type="dxa"/>
            <w:vAlign w:val="bottom"/>
            <w:gridSpan w:val="2"/>
            <w:shd w:val="clear" w:color="auto" w:fill="939598"/>
          </w:tcPr>
          <w:p>
            <w:pPr>
              <w:jc w:val="right"/>
              <w:ind w:right="252"/>
              <w:spacing w:after="0"/>
              <w:rPr>
                <w:sz w:val="20"/>
                <w:szCs w:val="20"/>
                <w:color w:val="auto"/>
              </w:rPr>
            </w:pPr>
            <w:r>
              <w:rPr>
                <w:rFonts w:ascii="Arial" w:cs="Arial" w:eastAsia="Arial" w:hAnsi="Arial"/>
                <w:sz w:val="14"/>
                <w:szCs w:val="14"/>
                <w:b w:val="1"/>
                <w:bCs w:val="1"/>
                <w:color w:val="FFFFFF"/>
              </w:rPr>
              <w:t>Subsidy</w:t>
            </w:r>
          </w:p>
        </w:tc>
        <w:tc>
          <w:tcPr>
            <w:tcW w:w="840" w:type="dxa"/>
            <w:vAlign w:val="bottom"/>
            <w:shd w:val="clear" w:color="auto" w:fill="939598"/>
          </w:tcPr>
          <w:p>
            <w:pPr>
              <w:jc w:val="center"/>
              <w:ind w:left="179"/>
              <w:spacing w:after="0"/>
              <w:rPr>
                <w:sz w:val="20"/>
                <w:szCs w:val="20"/>
                <w:color w:val="auto"/>
              </w:rPr>
            </w:pPr>
            <w:r>
              <w:rPr>
                <w:rFonts w:ascii="Arial" w:cs="Arial" w:eastAsia="Arial" w:hAnsi="Arial"/>
                <w:sz w:val="14"/>
                <w:szCs w:val="14"/>
                <w:b w:val="1"/>
                <w:bCs w:val="1"/>
                <w:color w:val="FFFFFF"/>
                <w:w w:val="96"/>
              </w:rPr>
              <w:t>Benefit</w:t>
            </w: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2007</w:t>
            </w:r>
          </w:p>
        </w:tc>
        <w:tc>
          <w:tcPr>
            <w:tcW w:w="2900" w:type="dxa"/>
            <w:vAlign w:val="bottom"/>
          </w:tcPr>
          <w:p>
            <w:pPr>
              <w:ind w:left="276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119</w:t>
            </w:r>
          </w:p>
        </w:tc>
        <w:tc>
          <w:tcPr>
            <w:tcW w:w="54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36</w:t>
            </w:r>
          </w:p>
        </w:tc>
        <w:tc>
          <w:tcPr>
            <w:tcW w:w="48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   40</w:t>
            </w:r>
          </w:p>
        </w:tc>
      </w:tr>
      <w:tr>
        <w:trPr>
          <w:trHeight w:val="203"/>
        </w:trPr>
        <w:tc>
          <w:tcPr>
            <w:tcW w:w="3620" w:type="dxa"/>
            <w:vAlign w:val="bottom"/>
            <w:shd w:val="clear" w:color="auto" w:fill="E6E7E7"/>
          </w:tcPr>
          <w:p>
            <w:pPr>
              <w:spacing w:after="0" w:line="202" w:lineRule="exact"/>
              <w:rPr>
                <w:sz w:val="20"/>
                <w:szCs w:val="20"/>
                <w:color w:val="auto"/>
              </w:rPr>
            </w:pPr>
            <w:r>
              <w:rPr>
                <w:rFonts w:ascii="Arial" w:cs="Arial" w:eastAsia="Arial" w:hAnsi="Arial"/>
                <w:sz w:val="18"/>
                <w:szCs w:val="18"/>
                <w:color w:val="auto"/>
              </w:rPr>
              <w:t>2008</w:t>
            </w:r>
          </w:p>
        </w:tc>
        <w:tc>
          <w:tcPr>
            <w:tcW w:w="2900" w:type="dxa"/>
            <w:vAlign w:val="bottom"/>
            <w:shd w:val="clear" w:color="auto" w:fill="E6E7E7"/>
          </w:tcPr>
          <w:p>
            <w:pPr>
              <w:spacing w:after="0"/>
              <w:rPr>
                <w:sz w:val="17"/>
                <w:szCs w:val="17"/>
                <w:color w:val="auto"/>
              </w:rPr>
            </w:pPr>
          </w:p>
        </w:tc>
        <w:tc>
          <w:tcPr>
            <w:tcW w:w="920" w:type="dxa"/>
            <w:vAlign w:val="bottom"/>
            <w:shd w:val="clear" w:color="auto" w:fill="E6E7E7"/>
          </w:tcPr>
          <w:p>
            <w:pPr>
              <w:jc w:val="right"/>
              <w:ind w:right="175"/>
              <w:spacing w:after="0" w:line="202" w:lineRule="exact"/>
              <w:rPr>
                <w:sz w:val="20"/>
                <w:szCs w:val="20"/>
                <w:color w:val="auto"/>
              </w:rPr>
            </w:pPr>
            <w:r>
              <w:rPr>
                <w:rFonts w:ascii="Arial" w:cs="Arial" w:eastAsia="Arial" w:hAnsi="Arial"/>
                <w:sz w:val="18"/>
                <w:szCs w:val="18"/>
                <w:color w:val="auto"/>
              </w:rPr>
              <w:t>104</w:t>
            </w:r>
          </w:p>
        </w:tc>
        <w:tc>
          <w:tcPr>
            <w:tcW w:w="540" w:type="dxa"/>
            <w:vAlign w:val="bottom"/>
            <w:shd w:val="clear" w:color="auto" w:fill="E6E7E7"/>
          </w:tcPr>
          <w:p>
            <w:pPr>
              <w:spacing w:after="0"/>
              <w:rPr>
                <w:sz w:val="17"/>
                <w:szCs w:val="17"/>
                <w:color w:val="auto"/>
              </w:rPr>
            </w:pPr>
          </w:p>
        </w:tc>
        <w:tc>
          <w:tcPr>
            <w:tcW w:w="740" w:type="dxa"/>
            <w:vAlign w:val="bottom"/>
            <w:shd w:val="clear" w:color="auto" w:fill="E6E7E7"/>
          </w:tcPr>
          <w:p>
            <w:pPr>
              <w:jc w:val="right"/>
              <w:ind w:right="172"/>
              <w:spacing w:after="0" w:line="202" w:lineRule="exact"/>
              <w:rPr>
                <w:sz w:val="20"/>
                <w:szCs w:val="20"/>
                <w:color w:val="auto"/>
              </w:rPr>
            </w:pPr>
            <w:r>
              <w:rPr>
                <w:rFonts w:ascii="Arial" w:cs="Arial" w:eastAsia="Arial" w:hAnsi="Arial"/>
                <w:sz w:val="18"/>
                <w:szCs w:val="18"/>
                <w:color w:val="auto"/>
              </w:rPr>
              <w:t>39</w:t>
            </w:r>
          </w:p>
        </w:tc>
        <w:tc>
          <w:tcPr>
            <w:tcW w:w="480" w:type="dxa"/>
            <w:vAlign w:val="bottom"/>
            <w:shd w:val="clear" w:color="auto" w:fill="E6E7E7"/>
          </w:tcPr>
          <w:p>
            <w:pPr>
              <w:spacing w:after="0"/>
              <w:rPr>
                <w:sz w:val="17"/>
                <w:szCs w:val="17"/>
                <w:color w:val="auto"/>
              </w:rPr>
            </w:pPr>
          </w:p>
        </w:tc>
        <w:tc>
          <w:tcPr>
            <w:tcW w:w="680" w:type="dxa"/>
            <w:vAlign w:val="bottom"/>
            <w:shd w:val="clear" w:color="auto" w:fill="E6E7E7"/>
          </w:tcPr>
          <w:p>
            <w:pPr>
              <w:jc w:val="right"/>
              <w:ind w:right="172"/>
              <w:spacing w:after="0" w:line="202" w:lineRule="exact"/>
              <w:rPr>
                <w:sz w:val="20"/>
                <w:szCs w:val="20"/>
                <w:color w:val="auto"/>
              </w:rPr>
            </w:pPr>
            <w:r>
              <w:rPr>
                <w:rFonts w:ascii="Arial" w:cs="Arial" w:eastAsia="Arial" w:hAnsi="Arial"/>
                <w:sz w:val="18"/>
                <w:szCs w:val="18"/>
                <w:color w:val="auto"/>
              </w:rPr>
              <w:t>(5)</w:t>
            </w:r>
          </w:p>
        </w:tc>
        <w:tc>
          <w:tcPr>
            <w:tcW w:w="8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44</w:t>
            </w: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2009</w:t>
            </w:r>
          </w:p>
        </w:tc>
        <w:tc>
          <w:tcPr>
            <w:tcW w:w="2900" w:type="dxa"/>
            <w:vAlign w:val="bottom"/>
          </w:tcPr>
          <w:p>
            <w:pPr>
              <w:spacing w:after="0"/>
              <w:rPr>
                <w:sz w:val="17"/>
                <w:szCs w:val="17"/>
                <w:color w:val="auto"/>
              </w:rPr>
            </w:pPr>
          </w:p>
        </w:tc>
        <w:tc>
          <w:tcPr>
            <w:tcW w:w="92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100</w:t>
            </w:r>
          </w:p>
        </w:tc>
        <w:tc>
          <w:tcPr>
            <w:tcW w:w="540" w:type="dxa"/>
            <w:vAlign w:val="bottom"/>
          </w:tcPr>
          <w:p>
            <w:pPr>
              <w:spacing w:after="0"/>
              <w:rPr>
                <w:sz w:val="17"/>
                <w:szCs w:val="17"/>
                <w:color w:val="auto"/>
              </w:rPr>
            </w:pPr>
          </w:p>
        </w:tc>
        <w:tc>
          <w:tcPr>
            <w:tcW w:w="7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41</w:t>
            </w:r>
          </w:p>
        </w:tc>
        <w:tc>
          <w:tcPr>
            <w:tcW w:w="480" w:type="dxa"/>
            <w:vAlign w:val="bottom"/>
          </w:tcPr>
          <w:p>
            <w:pPr>
              <w:spacing w:after="0"/>
              <w:rPr>
                <w:sz w:val="17"/>
                <w:szCs w:val="17"/>
                <w:color w:val="auto"/>
              </w:rPr>
            </w:pPr>
          </w:p>
        </w:tc>
        <w:tc>
          <w:tcPr>
            <w:tcW w:w="6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(5)</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r>
      <w:tr>
        <w:trPr>
          <w:trHeight w:val="203"/>
        </w:trPr>
        <w:tc>
          <w:tcPr>
            <w:tcW w:w="3620" w:type="dxa"/>
            <w:vAlign w:val="bottom"/>
            <w:shd w:val="clear" w:color="auto" w:fill="E6E7E7"/>
          </w:tcPr>
          <w:p>
            <w:pPr>
              <w:spacing w:after="0" w:line="202" w:lineRule="exact"/>
              <w:rPr>
                <w:sz w:val="20"/>
                <w:szCs w:val="20"/>
                <w:color w:val="auto"/>
              </w:rPr>
            </w:pPr>
            <w:r>
              <w:rPr>
                <w:rFonts w:ascii="Arial" w:cs="Arial" w:eastAsia="Arial" w:hAnsi="Arial"/>
                <w:sz w:val="18"/>
                <w:szCs w:val="18"/>
                <w:color w:val="auto"/>
              </w:rPr>
              <w:t>2010</w:t>
            </w:r>
          </w:p>
        </w:tc>
        <w:tc>
          <w:tcPr>
            <w:tcW w:w="2900" w:type="dxa"/>
            <w:vAlign w:val="bottom"/>
            <w:shd w:val="clear" w:color="auto" w:fill="E6E7E7"/>
          </w:tcPr>
          <w:p>
            <w:pPr>
              <w:spacing w:after="0"/>
              <w:rPr>
                <w:sz w:val="17"/>
                <w:szCs w:val="17"/>
                <w:color w:val="auto"/>
              </w:rPr>
            </w:pPr>
          </w:p>
        </w:tc>
        <w:tc>
          <w:tcPr>
            <w:tcW w:w="920" w:type="dxa"/>
            <w:vAlign w:val="bottom"/>
            <w:shd w:val="clear" w:color="auto" w:fill="E6E7E7"/>
          </w:tcPr>
          <w:p>
            <w:pPr>
              <w:jc w:val="right"/>
              <w:ind w:right="175"/>
              <w:spacing w:after="0" w:line="202" w:lineRule="exact"/>
              <w:rPr>
                <w:sz w:val="20"/>
                <w:szCs w:val="20"/>
                <w:color w:val="auto"/>
              </w:rPr>
            </w:pPr>
            <w:r>
              <w:rPr>
                <w:rFonts w:ascii="Arial" w:cs="Arial" w:eastAsia="Arial" w:hAnsi="Arial"/>
                <w:sz w:val="18"/>
                <w:szCs w:val="18"/>
                <w:color w:val="auto"/>
              </w:rPr>
              <w:t>82</w:t>
            </w:r>
          </w:p>
        </w:tc>
        <w:tc>
          <w:tcPr>
            <w:tcW w:w="540" w:type="dxa"/>
            <w:vAlign w:val="bottom"/>
            <w:shd w:val="clear" w:color="auto" w:fill="E6E7E7"/>
          </w:tcPr>
          <w:p>
            <w:pPr>
              <w:spacing w:after="0"/>
              <w:rPr>
                <w:sz w:val="17"/>
                <w:szCs w:val="17"/>
                <w:color w:val="auto"/>
              </w:rPr>
            </w:pPr>
          </w:p>
        </w:tc>
        <w:tc>
          <w:tcPr>
            <w:tcW w:w="740" w:type="dxa"/>
            <w:vAlign w:val="bottom"/>
            <w:shd w:val="clear" w:color="auto" w:fill="E6E7E7"/>
          </w:tcPr>
          <w:p>
            <w:pPr>
              <w:jc w:val="right"/>
              <w:ind w:right="172"/>
              <w:spacing w:after="0" w:line="202" w:lineRule="exact"/>
              <w:rPr>
                <w:sz w:val="20"/>
                <w:szCs w:val="20"/>
                <w:color w:val="auto"/>
              </w:rPr>
            </w:pPr>
            <w:r>
              <w:rPr>
                <w:rFonts w:ascii="Arial" w:cs="Arial" w:eastAsia="Arial" w:hAnsi="Arial"/>
                <w:sz w:val="18"/>
                <w:szCs w:val="18"/>
                <w:color w:val="auto"/>
              </w:rPr>
              <w:t>43</w:t>
            </w:r>
          </w:p>
        </w:tc>
        <w:tc>
          <w:tcPr>
            <w:tcW w:w="480" w:type="dxa"/>
            <w:vAlign w:val="bottom"/>
            <w:shd w:val="clear" w:color="auto" w:fill="E6E7E7"/>
          </w:tcPr>
          <w:p>
            <w:pPr>
              <w:spacing w:after="0"/>
              <w:rPr>
                <w:sz w:val="17"/>
                <w:szCs w:val="17"/>
                <w:color w:val="auto"/>
              </w:rPr>
            </w:pPr>
          </w:p>
        </w:tc>
        <w:tc>
          <w:tcPr>
            <w:tcW w:w="680" w:type="dxa"/>
            <w:vAlign w:val="bottom"/>
            <w:shd w:val="clear" w:color="auto" w:fill="E6E7E7"/>
          </w:tcPr>
          <w:p>
            <w:pPr>
              <w:jc w:val="right"/>
              <w:ind w:right="172"/>
              <w:spacing w:after="0" w:line="202" w:lineRule="exact"/>
              <w:rPr>
                <w:sz w:val="20"/>
                <w:szCs w:val="20"/>
                <w:color w:val="auto"/>
              </w:rPr>
            </w:pPr>
            <w:r>
              <w:rPr>
                <w:rFonts w:ascii="Arial" w:cs="Arial" w:eastAsia="Arial" w:hAnsi="Arial"/>
                <w:sz w:val="18"/>
                <w:szCs w:val="18"/>
                <w:color w:val="auto"/>
              </w:rPr>
              <w:t>(5)</w:t>
            </w:r>
          </w:p>
        </w:tc>
        <w:tc>
          <w:tcPr>
            <w:tcW w:w="8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52</w:t>
            </w: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2011</w:t>
            </w:r>
          </w:p>
        </w:tc>
        <w:tc>
          <w:tcPr>
            <w:tcW w:w="2900" w:type="dxa"/>
            <w:vAlign w:val="bottom"/>
          </w:tcPr>
          <w:p>
            <w:pPr>
              <w:spacing w:after="0"/>
              <w:rPr>
                <w:sz w:val="17"/>
                <w:szCs w:val="17"/>
                <w:color w:val="auto"/>
              </w:rPr>
            </w:pPr>
          </w:p>
        </w:tc>
        <w:tc>
          <w:tcPr>
            <w:tcW w:w="92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76</w:t>
            </w:r>
          </w:p>
        </w:tc>
        <w:tc>
          <w:tcPr>
            <w:tcW w:w="540" w:type="dxa"/>
            <w:vAlign w:val="bottom"/>
          </w:tcPr>
          <w:p>
            <w:pPr>
              <w:spacing w:after="0"/>
              <w:rPr>
                <w:sz w:val="17"/>
                <w:szCs w:val="17"/>
                <w:color w:val="auto"/>
              </w:rPr>
            </w:pPr>
          </w:p>
        </w:tc>
        <w:tc>
          <w:tcPr>
            <w:tcW w:w="7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44</w:t>
            </w:r>
          </w:p>
        </w:tc>
        <w:tc>
          <w:tcPr>
            <w:tcW w:w="480" w:type="dxa"/>
            <w:vAlign w:val="bottom"/>
          </w:tcPr>
          <w:p>
            <w:pPr>
              <w:spacing w:after="0"/>
              <w:rPr>
                <w:sz w:val="17"/>
                <w:szCs w:val="17"/>
                <w:color w:val="auto"/>
              </w:rPr>
            </w:pPr>
          </w:p>
        </w:tc>
        <w:tc>
          <w:tcPr>
            <w:tcW w:w="6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(6)</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r>
      <w:tr>
        <w:trPr>
          <w:trHeight w:val="203"/>
        </w:trPr>
        <w:tc>
          <w:tcPr>
            <w:tcW w:w="3620" w:type="dxa"/>
            <w:vAlign w:val="bottom"/>
            <w:shd w:val="clear" w:color="auto" w:fill="E6E7E7"/>
          </w:tcPr>
          <w:p>
            <w:pPr>
              <w:spacing w:after="0" w:line="202" w:lineRule="exact"/>
              <w:rPr>
                <w:sz w:val="20"/>
                <w:szCs w:val="20"/>
                <w:color w:val="auto"/>
              </w:rPr>
            </w:pPr>
            <w:r>
              <w:rPr>
                <w:rFonts w:ascii="Arial" w:cs="Arial" w:eastAsia="Arial" w:hAnsi="Arial"/>
                <w:sz w:val="18"/>
                <w:szCs w:val="18"/>
                <w:color w:val="auto"/>
              </w:rPr>
              <w:t>2012–2016</w:t>
            </w:r>
          </w:p>
        </w:tc>
        <w:tc>
          <w:tcPr>
            <w:tcW w:w="2900" w:type="dxa"/>
            <w:vAlign w:val="bottom"/>
            <w:shd w:val="clear" w:color="auto" w:fill="E6E7E7"/>
          </w:tcPr>
          <w:p>
            <w:pPr>
              <w:spacing w:after="0"/>
              <w:rPr>
                <w:sz w:val="17"/>
                <w:szCs w:val="17"/>
                <w:color w:val="auto"/>
              </w:rPr>
            </w:pPr>
          </w:p>
        </w:tc>
        <w:tc>
          <w:tcPr>
            <w:tcW w:w="920" w:type="dxa"/>
            <w:vAlign w:val="bottom"/>
            <w:shd w:val="clear" w:color="auto" w:fill="E6E7E7"/>
          </w:tcPr>
          <w:p>
            <w:pPr>
              <w:jc w:val="right"/>
              <w:ind w:right="175"/>
              <w:spacing w:after="0" w:line="202" w:lineRule="exact"/>
              <w:rPr>
                <w:sz w:val="20"/>
                <w:szCs w:val="20"/>
                <w:color w:val="auto"/>
              </w:rPr>
            </w:pPr>
            <w:r>
              <w:rPr>
                <w:rFonts w:ascii="Arial" w:cs="Arial" w:eastAsia="Arial" w:hAnsi="Arial"/>
                <w:sz w:val="18"/>
                <w:szCs w:val="18"/>
                <w:color w:val="auto"/>
              </w:rPr>
              <w:t>336</w:t>
            </w:r>
          </w:p>
        </w:tc>
        <w:tc>
          <w:tcPr>
            <w:tcW w:w="540" w:type="dxa"/>
            <w:vAlign w:val="bottom"/>
            <w:shd w:val="clear" w:color="auto" w:fill="E6E7E7"/>
          </w:tcPr>
          <w:p>
            <w:pPr>
              <w:spacing w:after="0"/>
              <w:rPr>
                <w:sz w:val="17"/>
                <w:szCs w:val="17"/>
                <w:color w:val="auto"/>
              </w:rPr>
            </w:pPr>
          </w:p>
        </w:tc>
        <w:tc>
          <w:tcPr>
            <w:tcW w:w="740" w:type="dxa"/>
            <w:vAlign w:val="bottom"/>
            <w:shd w:val="clear" w:color="auto" w:fill="E6E7E7"/>
          </w:tcPr>
          <w:p>
            <w:pPr>
              <w:jc w:val="right"/>
              <w:ind w:right="172"/>
              <w:spacing w:after="0" w:line="202" w:lineRule="exact"/>
              <w:rPr>
                <w:sz w:val="20"/>
                <w:szCs w:val="20"/>
                <w:color w:val="auto"/>
              </w:rPr>
            </w:pPr>
            <w:r>
              <w:rPr>
                <w:rFonts w:ascii="Arial" w:cs="Arial" w:eastAsia="Arial" w:hAnsi="Arial"/>
                <w:sz w:val="18"/>
                <w:szCs w:val="18"/>
                <w:color w:val="auto"/>
              </w:rPr>
              <w:t>218</w:t>
            </w:r>
          </w:p>
        </w:tc>
        <w:tc>
          <w:tcPr>
            <w:tcW w:w="480" w:type="dxa"/>
            <w:vAlign w:val="bottom"/>
            <w:shd w:val="clear" w:color="auto" w:fill="E6E7E7"/>
          </w:tcPr>
          <w:p>
            <w:pPr>
              <w:spacing w:after="0"/>
              <w:rPr>
                <w:sz w:val="17"/>
                <w:szCs w:val="17"/>
                <w:color w:val="auto"/>
              </w:rPr>
            </w:pPr>
          </w:p>
        </w:tc>
        <w:tc>
          <w:tcPr>
            <w:tcW w:w="680" w:type="dxa"/>
            <w:vAlign w:val="bottom"/>
            <w:shd w:val="clear" w:color="auto" w:fill="E6E7E7"/>
          </w:tcPr>
          <w:p>
            <w:pPr>
              <w:jc w:val="right"/>
              <w:ind w:right="172"/>
              <w:spacing w:after="0" w:line="202" w:lineRule="exact"/>
              <w:rPr>
                <w:sz w:val="20"/>
                <w:szCs w:val="20"/>
                <w:color w:val="auto"/>
              </w:rPr>
            </w:pPr>
            <w:r>
              <w:rPr>
                <w:rFonts w:ascii="Arial" w:cs="Arial" w:eastAsia="Arial" w:hAnsi="Arial"/>
                <w:sz w:val="18"/>
                <w:szCs w:val="18"/>
                <w:color w:val="auto"/>
              </w:rPr>
              <w:t>(20)</w:t>
            </w:r>
          </w:p>
        </w:tc>
        <w:tc>
          <w:tcPr>
            <w:tcW w:w="8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339</w:t>
            </w:r>
          </w:p>
        </w:tc>
      </w:tr>
    </w:tbl>
    <w:p>
      <w:pPr>
        <w:spacing w:after="0" w:line="16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Assumed health care cost trend rates for the U.S. retiree health care plan at December 31:</w:t>
      </w:r>
    </w:p>
    <w:p>
      <w:pPr>
        <w:spacing w:after="0" w:line="178"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939598"/>
        </w:rPr>
        <w:t>U.S. RETIREE</w:t>
      </w:r>
    </w:p>
    <w:p>
      <w:pPr>
        <w:spacing w:after="0" w:line="4"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939598"/>
        </w:rPr>
        <w:t>HEALTH CARE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shd w:val="clear" w:color="auto" w:fill="939598"/>
          </w:tcPr>
          <w:p>
            <w:pPr>
              <w:spacing w:after="0"/>
              <w:rPr>
                <w:sz w:val="13"/>
                <w:szCs w:val="13"/>
                <w:color w:val="auto"/>
              </w:rPr>
            </w:pPr>
          </w:p>
        </w:tc>
        <w:tc>
          <w:tcPr>
            <w:tcW w:w="3600" w:type="dxa"/>
            <w:vAlign w:val="bottom"/>
            <w:shd w:val="clear" w:color="auto" w:fill="939598"/>
          </w:tcPr>
          <w:p>
            <w:pPr>
              <w:jc w:val="right"/>
              <w:ind w:right="276"/>
              <w:spacing w:after="0"/>
              <w:rPr>
                <w:sz w:val="20"/>
                <w:szCs w:val="20"/>
                <w:color w:val="auto"/>
              </w:rPr>
            </w:pPr>
            <w:r>
              <w:rPr>
                <w:rFonts w:ascii="Arial" w:cs="Arial" w:eastAsia="Arial" w:hAnsi="Arial"/>
                <w:sz w:val="14"/>
                <w:szCs w:val="14"/>
                <w:b w:val="1"/>
                <w:bCs w:val="1"/>
                <w:color w:val="FFFFFF"/>
              </w:rPr>
              <w:t>2006</w:t>
            </w:r>
          </w:p>
        </w:tc>
        <w:tc>
          <w:tcPr>
            <w:tcW w:w="700" w:type="dxa"/>
            <w:vAlign w:val="bottom"/>
            <w:shd w:val="clear" w:color="auto" w:fill="939598"/>
          </w:tcPr>
          <w:p>
            <w:pPr>
              <w:jc w:val="right"/>
              <w:ind w:right="136"/>
              <w:spacing w:after="0"/>
              <w:rPr>
                <w:sz w:val="20"/>
                <w:szCs w:val="20"/>
                <w:color w:val="auto"/>
              </w:rPr>
            </w:pPr>
            <w:r>
              <w:rPr>
                <w:rFonts w:ascii="Arial" w:cs="Arial" w:eastAsia="Arial" w:hAnsi="Arial"/>
                <w:sz w:val="14"/>
                <w:szCs w:val="14"/>
                <w:b w:val="1"/>
                <w:bCs w:val="1"/>
                <w:color w:val="FFFFFF"/>
              </w:rPr>
              <w:t>2005</w:t>
            </w:r>
          </w:p>
        </w:tc>
      </w:tr>
      <w:tr>
        <w:trPr>
          <w:trHeight w:val="270"/>
        </w:trPr>
        <w:tc>
          <w:tcPr>
            <w:tcW w:w="6420" w:type="dxa"/>
            <w:vAlign w:val="bottom"/>
          </w:tcPr>
          <w:p>
            <w:pPr>
              <w:spacing w:after="0"/>
              <w:rPr>
                <w:sz w:val="20"/>
                <w:szCs w:val="20"/>
                <w:color w:val="auto"/>
              </w:rPr>
            </w:pPr>
            <w:r>
              <w:rPr>
                <w:rFonts w:ascii="Arial" w:cs="Arial" w:eastAsia="Arial" w:hAnsi="Arial"/>
                <w:sz w:val="18"/>
                <w:szCs w:val="18"/>
                <w:color w:val="auto"/>
              </w:rPr>
              <w:t>Assumed health care trend rate for next year:</w:t>
            </w:r>
          </w:p>
        </w:tc>
        <w:tc>
          <w:tcPr>
            <w:tcW w:w="36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03"/>
        </w:trPr>
        <w:tc>
          <w:tcPr>
            <w:tcW w:w="642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Attributed to less than age 65</w:t>
            </w:r>
          </w:p>
        </w:tc>
        <w:tc>
          <w:tcPr>
            <w:tcW w:w="3600" w:type="dxa"/>
            <w:vAlign w:val="bottom"/>
            <w:shd w:val="clear" w:color="auto" w:fill="E6E7E7"/>
          </w:tcPr>
          <w:p>
            <w:pPr>
              <w:jc w:val="right"/>
              <w:ind w:right="76"/>
              <w:spacing w:after="0" w:line="202" w:lineRule="exact"/>
              <w:rPr>
                <w:sz w:val="20"/>
                <w:szCs w:val="20"/>
                <w:color w:val="auto"/>
              </w:rPr>
            </w:pPr>
            <w:r>
              <w:rPr>
                <w:rFonts w:ascii="Arial" w:cs="Arial" w:eastAsia="Arial" w:hAnsi="Arial"/>
                <w:sz w:val="18"/>
                <w:szCs w:val="18"/>
                <w:b w:val="1"/>
                <w:bCs w:val="1"/>
                <w:color w:val="auto"/>
              </w:rPr>
              <w:t>9.0%</w:t>
            </w:r>
          </w:p>
        </w:tc>
        <w:tc>
          <w:tcPr>
            <w:tcW w:w="7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420" w:type="dxa"/>
            <w:vAlign w:val="bottom"/>
          </w:tcPr>
          <w:p>
            <w:pPr>
              <w:ind w:left="420"/>
              <w:spacing w:after="0" w:line="202" w:lineRule="exact"/>
              <w:rPr>
                <w:sz w:val="20"/>
                <w:szCs w:val="20"/>
                <w:color w:val="auto"/>
              </w:rPr>
            </w:pPr>
            <w:r>
              <w:rPr>
                <w:rFonts w:ascii="Arial" w:cs="Arial" w:eastAsia="Arial" w:hAnsi="Arial"/>
                <w:sz w:val="18"/>
                <w:szCs w:val="18"/>
                <w:color w:val="auto"/>
              </w:rPr>
              <w:t>Attributed to age 65 or greater</w:t>
            </w:r>
          </w:p>
        </w:tc>
        <w:tc>
          <w:tcPr>
            <w:tcW w:w="3600" w:type="dxa"/>
            <w:vAlign w:val="bottom"/>
          </w:tcPr>
          <w:p>
            <w:pPr>
              <w:jc w:val="right"/>
              <w:ind w:right="76"/>
              <w:spacing w:after="0" w:line="202" w:lineRule="exact"/>
              <w:rPr>
                <w:sz w:val="20"/>
                <w:szCs w:val="20"/>
                <w:color w:val="auto"/>
              </w:rPr>
            </w:pPr>
            <w:r>
              <w:rPr>
                <w:rFonts w:ascii="Arial" w:cs="Arial" w:eastAsia="Arial" w:hAnsi="Arial"/>
                <w:sz w:val="18"/>
                <w:szCs w:val="18"/>
                <w:b w:val="1"/>
                <w:bCs w:val="1"/>
                <w:color w:val="auto"/>
              </w:rPr>
              <w:t>10.0%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11.0%</w:t>
            </w:r>
          </w:p>
        </w:tc>
      </w:tr>
      <w:tr>
        <w:trPr>
          <w:trHeight w:val="203"/>
        </w:trPr>
        <w:tc>
          <w:tcPr>
            <w:tcW w:w="6420" w:type="dxa"/>
            <w:vAlign w:val="bottom"/>
            <w:shd w:val="clear" w:color="auto" w:fill="E6E7E7"/>
          </w:tcPr>
          <w:p>
            <w:pPr>
              <w:spacing w:after="0" w:line="202" w:lineRule="exact"/>
              <w:rPr>
                <w:sz w:val="20"/>
                <w:szCs w:val="20"/>
                <w:color w:val="auto"/>
              </w:rPr>
            </w:pPr>
            <w:r>
              <w:rPr>
                <w:rFonts w:ascii="Arial" w:cs="Arial" w:eastAsia="Arial" w:hAnsi="Arial"/>
                <w:sz w:val="18"/>
                <w:szCs w:val="18"/>
                <w:color w:val="auto"/>
              </w:rPr>
              <w:t>Ultimate trend rate</w:t>
            </w:r>
          </w:p>
        </w:tc>
        <w:tc>
          <w:tcPr>
            <w:tcW w:w="3600" w:type="dxa"/>
            <w:vAlign w:val="bottom"/>
            <w:shd w:val="clear" w:color="auto" w:fill="E6E7E7"/>
          </w:tcPr>
          <w:p>
            <w:pPr>
              <w:jc w:val="right"/>
              <w:ind w:right="76"/>
              <w:spacing w:after="0" w:line="202" w:lineRule="exact"/>
              <w:rPr>
                <w:sz w:val="20"/>
                <w:szCs w:val="20"/>
                <w:color w:val="auto"/>
              </w:rPr>
            </w:pPr>
            <w:r>
              <w:rPr>
                <w:rFonts w:ascii="Arial" w:cs="Arial" w:eastAsia="Arial" w:hAnsi="Arial"/>
                <w:sz w:val="18"/>
                <w:szCs w:val="18"/>
                <w:b w:val="1"/>
                <w:bCs w:val="1"/>
                <w:color w:val="auto"/>
              </w:rPr>
              <w:t>5.0%</w:t>
            </w:r>
          </w:p>
        </w:tc>
        <w:tc>
          <w:tcPr>
            <w:tcW w:w="7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5.0%</w:t>
            </w:r>
          </w:p>
        </w:tc>
      </w:tr>
      <w:tr>
        <w:trPr>
          <w:trHeight w:val="203"/>
        </w:trPr>
        <w:tc>
          <w:tcPr>
            <w:tcW w:w="6420" w:type="dxa"/>
            <w:vAlign w:val="bottom"/>
          </w:tcPr>
          <w:p>
            <w:pPr>
              <w:spacing w:after="0" w:line="202" w:lineRule="exact"/>
              <w:rPr>
                <w:sz w:val="20"/>
                <w:szCs w:val="20"/>
                <w:color w:val="auto"/>
              </w:rPr>
            </w:pPr>
            <w:r>
              <w:rPr>
                <w:rFonts w:ascii="Arial" w:cs="Arial" w:eastAsia="Arial" w:hAnsi="Arial"/>
                <w:sz w:val="18"/>
                <w:szCs w:val="18"/>
                <w:color w:val="auto"/>
              </w:rPr>
              <w:t>Year in which ultimate trend rate is reached:</w:t>
            </w:r>
          </w:p>
        </w:tc>
        <w:tc>
          <w:tcPr>
            <w:tcW w:w="36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642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Attributed to less than age 65</w:t>
            </w:r>
          </w:p>
        </w:tc>
        <w:tc>
          <w:tcPr>
            <w:tcW w:w="3600" w:type="dxa"/>
            <w:vAlign w:val="bottom"/>
            <w:shd w:val="clear" w:color="auto" w:fill="E6E7E7"/>
          </w:tcPr>
          <w:p>
            <w:pPr>
              <w:jc w:val="right"/>
              <w:ind w:right="236"/>
              <w:spacing w:after="0" w:line="202" w:lineRule="exact"/>
              <w:rPr>
                <w:sz w:val="20"/>
                <w:szCs w:val="20"/>
                <w:color w:val="auto"/>
              </w:rPr>
            </w:pPr>
            <w:r>
              <w:rPr>
                <w:rFonts w:ascii="Arial" w:cs="Arial" w:eastAsia="Arial" w:hAnsi="Arial"/>
                <w:sz w:val="18"/>
                <w:szCs w:val="18"/>
                <w:b w:val="1"/>
                <w:bCs w:val="1"/>
                <w:color w:val="auto"/>
              </w:rPr>
              <w:t>2011</w:t>
            </w:r>
          </w:p>
        </w:tc>
        <w:tc>
          <w:tcPr>
            <w:tcW w:w="700" w:type="dxa"/>
            <w:vAlign w:val="bottom"/>
            <w:shd w:val="clear" w:color="auto" w:fill="E6E7E7"/>
          </w:tcPr>
          <w:p>
            <w:pPr>
              <w:jc w:val="right"/>
              <w:ind w:right="76"/>
              <w:spacing w:after="0" w:line="202" w:lineRule="exact"/>
              <w:rPr>
                <w:sz w:val="20"/>
                <w:szCs w:val="20"/>
                <w:color w:val="auto"/>
              </w:rPr>
            </w:pPr>
            <w:r>
              <w:rPr>
                <w:rFonts w:ascii="Arial" w:cs="Arial" w:eastAsia="Arial" w:hAnsi="Arial"/>
                <w:sz w:val="18"/>
                <w:szCs w:val="18"/>
                <w:color w:val="auto"/>
              </w:rPr>
              <w:t>2011</w:t>
            </w:r>
          </w:p>
        </w:tc>
      </w:tr>
      <w:tr>
        <w:trPr>
          <w:trHeight w:val="233"/>
        </w:trPr>
        <w:tc>
          <w:tcPr>
            <w:tcW w:w="6420" w:type="dxa"/>
            <w:vAlign w:val="bottom"/>
          </w:tcPr>
          <w:p>
            <w:pPr>
              <w:ind w:left="420"/>
              <w:spacing w:after="0"/>
              <w:rPr>
                <w:sz w:val="20"/>
                <w:szCs w:val="20"/>
                <w:color w:val="auto"/>
              </w:rPr>
            </w:pPr>
            <w:r>
              <w:rPr>
                <w:rFonts w:ascii="Arial" w:cs="Arial" w:eastAsia="Arial" w:hAnsi="Arial"/>
                <w:sz w:val="18"/>
                <w:szCs w:val="18"/>
                <w:color w:val="auto"/>
              </w:rPr>
              <w:t>Attributed to age 65 or greater</w:t>
            </w:r>
          </w:p>
        </w:tc>
        <w:tc>
          <w:tcPr>
            <w:tcW w:w="3600" w:type="dxa"/>
            <w:vAlign w:val="bottom"/>
          </w:tcPr>
          <w:p>
            <w:pPr>
              <w:jc w:val="right"/>
              <w:ind w:right="236"/>
              <w:spacing w:after="0"/>
              <w:rPr>
                <w:sz w:val="20"/>
                <w:szCs w:val="20"/>
                <w:color w:val="auto"/>
              </w:rPr>
            </w:pPr>
            <w:r>
              <w:rPr>
                <w:rFonts w:ascii="Arial" w:cs="Arial" w:eastAsia="Arial" w:hAnsi="Arial"/>
                <w:sz w:val="18"/>
                <w:szCs w:val="18"/>
                <w:b w:val="1"/>
                <w:bCs w:val="1"/>
                <w:color w:val="auto"/>
              </w:rPr>
              <w:t>2012</w:t>
            </w:r>
          </w:p>
        </w:tc>
        <w:tc>
          <w:tcPr>
            <w:tcW w:w="700" w:type="dxa"/>
            <w:vAlign w:val="bottom"/>
          </w:tcPr>
          <w:p>
            <w:pPr>
              <w:jc w:val="right"/>
              <w:ind w:right="76"/>
              <w:spacing w:after="0"/>
              <w:rPr>
                <w:sz w:val="20"/>
                <w:szCs w:val="20"/>
                <w:color w:val="auto"/>
              </w:rPr>
            </w:pPr>
            <w:r>
              <w:rPr>
                <w:rFonts w:ascii="Arial" w:cs="Arial" w:eastAsia="Arial" w:hAnsi="Arial"/>
                <w:sz w:val="18"/>
                <w:szCs w:val="18"/>
                <w:color w:val="auto"/>
              </w:rPr>
              <w:t>2012</w:t>
            </w:r>
          </w:p>
        </w:tc>
      </w:tr>
    </w:tbl>
    <w:p>
      <w:pPr>
        <w:spacing w:after="0" w:line="135" w:lineRule="exact"/>
        <w:rPr>
          <w:sz w:val="20"/>
          <w:szCs w:val="20"/>
          <w:color w:val="auto"/>
        </w:rPr>
      </w:pPr>
    </w:p>
    <w:p>
      <w:pPr>
        <w:ind w:left="100" w:right="540"/>
        <w:spacing w:after="0" w:line="238" w:lineRule="auto"/>
        <w:rPr>
          <w:sz w:val="20"/>
          <w:szCs w:val="20"/>
          <w:color w:val="auto"/>
        </w:rPr>
      </w:pPr>
      <w:r>
        <w:rPr>
          <w:rFonts w:ascii="Arial" w:cs="Arial" w:eastAsia="Arial" w:hAnsi="Arial"/>
          <w:sz w:val="18"/>
          <w:szCs w:val="18"/>
          <w:color w:val="auto"/>
        </w:rPr>
        <w:t>Increasing or decreasing health care cost trend rates by one percentage point would have increased or decreased the accumulated postretirement benefit obligation at December 31, 2006, by $18 million and the service cost and interest cost components of 2006 plan expense by $1 million.</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Deferred Compensation Arrangements</w:t>
      </w:r>
    </w:p>
    <w:p>
      <w:pPr>
        <w:spacing w:after="0" w:line="158" w:lineRule="exact"/>
        <w:rPr>
          <w:sz w:val="20"/>
          <w:szCs w:val="20"/>
          <w:color w:val="auto"/>
        </w:rPr>
      </w:pPr>
    </w:p>
    <w:p>
      <w:pPr>
        <w:ind w:left="100" w:right="60"/>
        <w:spacing w:after="0" w:line="236" w:lineRule="auto"/>
        <w:rPr>
          <w:sz w:val="20"/>
          <w:szCs w:val="20"/>
          <w:color w:val="auto"/>
        </w:rPr>
      </w:pPr>
      <w:r>
        <w:rPr>
          <w:rFonts w:ascii="Arial" w:cs="Arial" w:eastAsia="Arial" w:hAnsi="Arial"/>
          <w:sz w:val="18"/>
          <w:szCs w:val="18"/>
          <w:color w:val="auto"/>
        </w:rPr>
        <w:t>We have a nonqualified deferred compensation plan, which allows certain highly compensated employees the option to defer the receipt of a portion of their salary, bonus and profit sharing. Employees who participate in the deferred compensation plan can select one of eight distribution options offered by the plan. Payments are made after the employee terminates, based on their distribution election and plan balance. Participants can earn a return on their deferred compensation that is based on hypothetical investments in the same investment funds and TI common stock offered in our defined contribution plans. Changes in the market value of these participant investments are reflected as an adjustment to the liability for deferred compensation with an offset to compensation expense.</w:t>
      </w:r>
    </w:p>
    <w:p>
      <w:pPr>
        <w:sectPr>
          <w:pgSz w:w="11900" w:h="16838" w:orient="portrait"/>
          <w:cols w:equalWidth="0" w:num="1">
            <w:col w:w="11060"/>
          </w:cols>
          <w:pgMar w:left="600" w:top="287" w:right="239" w:bottom="1440" w:gutter="0" w:footer="0" w:header="0"/>
        </w:sectPr>
      </w:pPr>
    </w:p>
    <w:bookmarkStart w:id="81" w:name="page82"/>
    <w:bookmarkEnd w:id="81"/>
    <w:p>
      <w:pPr>
        <w:spacing w:after="0"/>
        <w:tabs>
          <w:tab w:leader="none" w:pos="36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32</w:t>
        <w:tab/>
        <w:t>TEXAS INSTRUMENTS 2006 ANNUAL REPORT</w:t>
      </w:r>
    </w:p>
    <w:p>
      <w:pPr>
        <w:spacing w:after="0" w:line="140" w:lineRule="exact"/>
        <w:rPr>
          <w:sz w:val="20"/>
          <w:szCs w:val="20"/>
          <w:color w:val="auto"/>
        </w:rPr>
      </w:pPr>
    </w:p>
    <w:p>
      <w:pPr>
        <w:ind w:left="460" w:right="600"/>
        <w:spacing w:after="0" w:line="239" w:lineRule="auto"/>
        <w:rPr>
          <w:sz w:val="20"/>
          <w:szCs w:val="20"/>
          <w:color w:val="auto"/>
        </w:rPr>
      </w:pPr>
      <w:r>
        <w:rPr>
          <w:rFonts w:ascii="Arial" w:cs="Arial" w:eastAsia="Arial" w:hAnsi="Arial"/>
          <w:sz w:val="18"/>
          <w:szCs w:val="18"/>
          <w:color w:val="auto"/>
        </w:rPr>
        <w:t>In December 2004, the existing deferred compensation plan was closed to deferral elections for compensation earned after 2004. For compensation earned after 2004, we have allowed deferral elections in accordance with the provisions of the AJCA.</w:t>
      </w:r>
    </w:p>
    <w:p>
      <w:pPr>
        <w:spacing w:after="0" w:line="155" w:lineRule="exact"/>
        <w:rPr>
          <w:sz w:val="20"/>
          <w:szCs w:val="20"/>
          <w:color w:val="auto"/>
        </w:rPr>
      </w:pPr>
    </w:p>
    <w:p>
      <w:pPr>
        <w:ind w:left="460" w:right="180"/>
        <w:spacing w:after="0" w:line="236" w:lineRule="auto"/>
        <w:rPr>
          <w:sz w:val="20"/>
          <w:szCs w:val="20"/>
          <w:color w:val="auto"/>
        </w:rPr>
      </w:pPr>
      <w:r>
        <w:rPr>
          <w:rFonts w:ascii="Arial" w:cs="Arial" w:eastAsia="Arial" w:hAnsi="Arial"/>
          <w:sz w:val="18"/>
          <w:szCs w:val="18"/>
          <w:color w:val="auto"/>
        </w:rPr>
        <w:t>As of December 31, 2006, the liability to the participants of the deferred compensation plan was $194 million and is recorded in noncurrent liabilities. This amount reflects the accumulated participant deferrals and earnings thereon as of that date. We make no contributions to the deferred compensation plan and so remain contingently liable to the participants. However, to serve as an economic hedge of the financial impact of changes in market values of these hypothetical investments, we invest in similar mutual funds and have entered into a forward purchase contract (explained below). Changes in the fair value of these mutual fund investments are recognized as an offset to compensation expense (see Note 4 for a discussion of investments).</w:t>
      </w:r>
    </w:p>
    <w:p>
      <w:pPr>
        <w:spacing w:after="0" w:line="156" w:lineRule="exact"/>
        <w:rPr>
          <w:sz w:val="20"/>
          <w:szCs w:val="20"/>
          <w:color w:val="auto"/>
        </w:rPr>
      </w:pPr>
    </w:p>
    <w:p>
      <w:pPr>
        <w:ind w:left="460" w:right="20"/>
        <w:spacing w:after="0" w:line="236" w:lineRule="auto"/>
        <w:rPr>
          <w:sz w:val="20"/>
          <w:szCs w:val="20"/>
          <w:color w:val="auto"/>
        </w:rPr>
      </w:pPr>
      <w:r>
        <w:rPr>
          <w:rFonts w:ascii="Arial" w:cs="Arial" w:eastAsia="Arial" w:hAnsi="Arial"/>
          <w:sz w:val="18"/>
          <w:szCs w:val="18"/>
          <w:color w:val="auto"/>
        </w:rPr>
        <w:t>As no shares of TI common stock are actually held for the account of participants, as of December 31, 2006, we have a forward purchase contract with a commercial bank to acquire 765,000 shares of TI common stock at a fixed price of $30.29 per share at the end of the contract term or, at our option, to settle in cash with the bank. We are also able, at our discretion, to unwind all or part of this contract prior to the end of the contract term. The contract is intended to be an economic hedge to minimize the earnings impact from the effect of fluctuations in stock market prices on the portion of the deferred compensation plan obligations that are denominated in TI stock. The forward contract is marked-to-market with any changes reflected in compensation expense. Since December 31, 2005, participants have been prohibited from directing any further transfers to the TI common stock portion of the hypothetical investments, so this hedge will remain at or below 765,000 shares of TI common stock in the future.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 Profit Sharing and Savings Plans</w:t>
      </w:r>
    </w:p>
    <w:p>
      <w:pPr>
        <w:spacing w:after="0" w:line="180" w:lineRule="exact"/>
        <w:rPr>
          <w:sz w:val="20"/>
          <w:szCs w:val="20"/>
          <w:color w:val="auto"/>
        </w:rPr>
      </w:pPr>
    </w:p>
    <w:p>
      <w:pPr>
        <w:ind w:left="460" w:right="40"/>
        <w:spacing w:after="0" w:line="236" w:lineRule="auto"/>
        <w:rPr>
          <w:sz w:val="20"/>
          <w:szCs w:val="20"/>
          <w:color w:val="auto"/>
        </w:rPr>
      </w:pPr>
      <w:r>
        <w:rPr>
          <w:rFonts w:ascii="Arial" w:cs="Arial" w:eastAsia="Arial" w:hAnsi="Arial"/>
          <w:sz w:val="18"/>
          <w:szCs w:val="18"/>
          <w:color w:val="auto"/>
        </w:rPr>
        <w:t>We sponsor various profit sharing plans, the largest of which is the TI Employee Profit Sharing Plan (the current plan). Profit sharing benefits are generally formulaic and determined by one or more business or company-wide financial metrics. Beginning in 2005, profit sharing expense is determined based on a different formula than was used in 2004. The current plan provides for profit sharing to be paid based solely upon TI’s operating margin for the full calendar year. Under this plan, a minimum threshold of 10 percent operating margin must be achieved before any profit sharing is paid. Profit sharing at 10 percent operating margin will be 2 percent of eligible payroll. The maximum amount of profit sharing available under the plan is 20 percent of eligible payroll, and would only be paid when TI’s operating margin meets or exceeds 35 percent for a full calendar year.</w:t>
      </w:r>
    </w:p>
    <w:p>
      <w:pPr>
        <w:spacing w:after="0" w:line="155" w:lineRule="exact"/>
        <w:rPr>
          <w:sz w:val="20"/>
          <w:szCs w:val="20"/>
          <w:color w:val="auto"/>
        </w:rPr>
      </w:pPr>
    </w:p>
    <w:p>
      <w:pPr>
        <w:ind w:left="460"/>
        <w:spacing w:after="0" w:line="239" w:lineRule="auto"/>
        <w:rPr>
          <w:sz w:val="20"/>
          <w:szCs w:val="20"/>
          <w:color w:val="auto"/>
        </w:rPr>
      </w:pPr>
      <w:r>
        <w:rPr>
          <w:rFonts w:ascii="Arial" w:cs="Arial" w:eastAsia="Arial" w:hAnsi="Arial"/>
          <w:sz w:val="18"/>
          <w:szCs w:val="18"/>
          <w:color w:val="auto"/>
        </w:rPr>
        <w:t>We recognized $149 million, $115 million and $243 million of profit sharing expense under the TI Employee Profit Sharing Plan in 2006, 2005 and 2004.</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 Segment and Geographic Area Data</w:t>
      </w:r>
    </w:p>
    <w:p>
      <w:pPr>
        <w:spacing w:after="0" w:line="180" w:lineRule="exact"/>
        <w:rPr>
          <w:sz w:val="20"/>
          <w:szCs w:val="20"/>
          <w:color w:val="auto"/>
        </w:rPr>
      </w:pPr>
    </w:p>
    <w:p>
      <w:pPr>
        <w:ind w:left="460" w:right="200"/>
        <w:spacing w:after="0" w:line="237" w:lineRule="auto"/>
        <w:rPr>
          <w:sz w:val="20"/>
          <w:szCs w:val="20"/>
          <w:color w:val="auto"/>
        </w:rPr>
      </w:pPr>
      <w:r>
        <w:rPr>
          <w:rFonts w:ascii="Arial" w:cs="Arial" w:eastAsia="Arial" w:hAnsi="Arial"/>
          <w:sz w:val="18"/>
          <w:szCs w:val="18"/>
          <w:color w:val="auto"/>
        </w:rPr>
        <w:t>As a result of the sale of the former Sensors &amp; Controls segment, excluding the RFID operations, we now have two reportable operating segments: Semiconductor and Education Technology. The Education Technology segment, formerly named Educational &amp; Productivity Solutions, has been renamed to reflect that the nature of this segment’s business has gradually changed to emphasize education. There is no financial statement impact from this name change.</w:t>
      </w:r>
    </w:p>
    <w:p>
      <w:pPr>
        <w:spacing w:after="0" w:line="155" w:lineRule="exact"/>
        <w:rPr>
          <w:sz w:val="20"/>
          <w:szCs w:val="20"/>
          <w:color w:val="auto"/>
        </w:rPr>
      </w:pPr>
    </w:p>
    <w:p>
      <w:pPr>
        <w:ind w:left="460" w:right="540"/>
        <w:spacing w:after="0" w:line="239" w:lineRule="auto"/>
        <w:rPr>
          <w:sz w:val="20"/>
          <w:szCs w:val="20"/>
          <w:color w:val="auto"/>
        </w:rPr>
      </w:pPr>
      <w:r>
        <w:rPr>
          <w:rFonts w:ascii="Arial" w:cs="Arial" w:eastAsia="Arial" w:hAnsi="Arial"/>
          <w:sz w:val="18"/>
          <w:szCs w:val="18"/>
          <w:color w:val="auto"/>
        </w:rPr>
        <w:t>The former Sensors &amp; Controls business has been reflected as discontinued operations (see Notes 1 and 2). Segment results for prior periods reflect the addition of the RFID operations to the Semiconductor segment.</w:t>
      </w:r>
    </w:p>
    <w:p>
      <w:pPr>
        <w:spacing w:after="0" w:line="155" w:lineRule="exact"/>
        <w:rPr>
          <w:sz w:val="20"/>
          <w:szCs w:val="20"/>
          <w:color w:val="auto"/>
        </w:rPr>
      </w:pPr>
    </w:p>
    <w:p>
      <w:pPr>
        <w:ind w:left="460"/>
        <w:spacing w:after="0" w:line="268" w:lineRule="auto"/>
        <w:rPr>
          <w:sz w:val="20"/>
          <w:szCs w:val="20"/>
          <w:color w:val="auto"/>
        </w:rPr>
      </w:pPr>
      <w:r>
        <w:rPr>
          <w:rFonts w:ascii="Arial" w:cs="Arial" w:eastAsia="Arial" w:hAnsi="Arial"/>
          <w:sz w:val="16"/>
          <w:szCs w:val="16"/>
          <w:color w:val="auto"/>
        </w:rPr>
        <w:t>Our Semiconductor segment designs, manufactures and sells integrated circuits. Our core products include analog integrated circuits and digital signal processors, which are used in a broad range of electronic systems. These systems include cellular telephones, personal computers, servers, communications infrastructure equipment, motor controls, automotive equipment and digital imaging systems such as front projectors and high-definition digital televisions. Semiconductor products are sold to original-equipment manufacturers (OEMs), original-design manufacturers (ODMs), contract manufacturers and distributors. An OEM designs and sells products under its own brand that it manufactures in-house or has contracted to other manufacturers. An ODM designs and manufactures products for other companies to sell under their respective brands. Distributors sell TI products directly to a wide range of customers. The semiconductor market is intensely competitive and is subject to rapid technological change, pricing pressures, and the requirement of high rates of investment for R&amp;D and for the manufacturing factories and equipment needed to produce semiconductors. This segment represented 96 percent of revenue in 2006.</w:t>
      </w:r>
    </w:p>
    <w:p>
      <w:pPr>
        <w:sectPr>
          <w:pgSz w:w="11900" w:h="16838" w:orient="portrait"/>
          <w:cols w:equalWidth="0" w:num="1">
            <w:col w:w="11400"/>
          </w:cols>
          <w:pgMar w:left="240" w:top="287" w:right="259" w:bottom="1440" w:gutter="0" w:footer="0" w:header="0"/>
        </w:sectPr>
      </w:pPr>
    </w:p>
    <w:bookmarkStart w:id="82" w:name="page83"/>
    <w:bookmarkEnd w:id="82"/>
    <w:p>
      <w:pPr>
        <w:ind w:left="7700"/>
        <w:spacing w:after="0"/>
        <w:tabs>
          <w:tab w:leader="none" w:pos="1090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2006 ANNUAL REPORT</w:t>
      </w:r>
      <w:r>
        <w:rPr>
          <w:sz w:val="20"/>
          <w:szCs w:val="20"/>
          <w:color w:val="auto"/>
        </w:rPr>
        <w:tab/>
      </w:r>
      <w:r>
        <w:rPr>
          <w:rFonts w:ascii="Arial" w:cs="Arial" w:eastAsia="Arial" w:hAnsi="Arial"/>
          <w:sz w:val="12"/>
          <w:szCs w:val="12"/>
          <w:color w:val="939598"/>
        </w:rPr>
        <w:t>33</w:t>
      </w:r>
    </w:p>
    <w:p>
      <w:pPr>
        <w:spacing w:after="0" w:line="140" w:lineRule="exact"/>
        <w:rPr>
          <w:sz w:val="20"/>
          <w:szCs w:val="20"/>
          <w:color w:val="auto"/>
        </w:rPr>
      </w:pPr>
    </w:p>
    <w:p>
      <w:pPr>
        <w:ind w:left="100" w:right="140"/>
        <w:spacing w:after="0" w:line="236" w:lineRule="auto"/>
        <w:rPr>
          <w:sz w:val="20"/>
          <w:szCs w:val="20"/>
          <w:color w:val="auto"/>
        </w:rPr>
      </w:pPr>
      <w:r>
        <w:rPr>
          <w:rFonts w:ascii="Arial" w:cs="Arial" w:eastAsia="Arial" w:hAnsi="Arial"/>
          <w:sz w:val="18"/>
          <w:szCs w:val="18"/>
          <w:color w:val="auto"/>
        </w:rPr>
        <w:t>Our Education Technology segment is a leading supplier of graphing handheld calculators. This segment also provides customers with business and scientific calculators and a wide range of advanced classroom tools and professional development resources to help students and teachers interactively explore math and science. Education Technology relies on third-party manufacturers to build its products. Our principal competitors in this business are U.S.- and Japan-based companies. The principal competitive factors are an understanding of the education market, technology expertise and price. Education Technology sells products primarily through retailers and instructional dealers. This segment represented 4 percent of our 2006 revenue.</w:t>
      </w:r>
    </w:p>
    <w:p>
      <w:pPr>
        <w:spacing w:after="0" w:line="156" w:lineRule="exact"/>
        <w:rPr>
          <w:sz w:val="20"/>
          <w:szCs w:val="20"/>
          <w:color w:val="auto"/>
        </w:rPr>
      </w:pPr>
    </w:p>
    <w:p>
      <w:pPr>
        <w:ind w:left="100" w:right="40"/>
        <w:spacing w:after="0" w:line="238" w:lineRule="auto"/>
        <w:rPr>
          <w:sz w:val="20"/>
          <w:szCs w:val="20"/>
          <w:color w:val="auto"/>
        </w:rPr>
      </w:pPr>
      <w:r>
        <w:rPr>
          <w:rFonts w:ascii="Arial" w:cs="Arial" w:eastAsia="Arial" w:hAnsi="Arial"/>
          <w:sz w:val="18"/>
          <w:szCs w:val="18"/>
          <w:color w:val="auto"/>
        </w:rPr>
        <w:t>Operating profits of these businesses exclude the effects of stock-based compensation expense, special charges and gains, and acquisition-related amortization, which are included in Corporate. The results for Semiconductor include the effects of all royalty revenue from semiconductor-related license agreements. Business assets are the owned or allocated assets used by each business.</w:t>
      </w:r>
    </w:p>
    <w:p>
      <w:pPr>
        <w:spacing w:after="0" w:line="154" w:lineRule="exact"/>
        <w:rPr>
          <w:sz w:val="20"/>
          <w:szCs w:val="20"/>
          <w:color w:val="auto"/>
        </w:rPr>
      </w:pPr>
    </w:p>
    <w:p>
      <w:pPr>
        <w:jc w:val="both"/>
        <w:ind w:left="100" w:right="340"/>
        <w:spacing w:after="0" w:line="238" w:lineRule="auto"/>
        <w:rPr>
          <w:sz w:val="20"/>
          <w:szCs w:val="20"/>
          <w:color w:val="auto"/>
        </w:rPr>
      </w:pPr>
      <w:r>
        <w:rPr>
          <w:rFonts w:ascii="Arial" w:cs="Arial" w:eastAsia="Arial" w:hAnsi="Arial"/>
          <w:sz w:val="18"/>
          <w:szCs w:val="18"/>
          <w:color w:val="auto"/>
        </w:rPr>
        <w:t>Also included in Corporate are general corporate expenses and elimination of intersegment transactions (which are generally intended to approximate market prices). Assets of Corporate include unallocated cash, short-term investments, noncurrent investments and deferred income taxes.</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Segment Information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shd w:val="clear" w:color="auto" w:fill="939598"/>
          </w:tcPr>
          <w:p>
            <w:pPr>
              <w:spacing w:after="0"/>
              <w:rPr>
                <w:sz w:val="14"/>
                <w:szCs w:val="14"/>
                <w:color w:val="auto"/>
              </w:rPr>
            </w:pPr>
          </w:p>
        </w:tc>
        <w:tc>
          <w:tcPr>
            <w:tcW w:w="1840" w:type="dxa"/>
            <w:vAlign w:val="bottom"/>
            <w:shd w:val="clear" w:color="auto" w:fill="939598"/>
          </w:tcPr>
          <w:p>
            <w:pPr>
              <w:spacing w:after="0"/>
              <w:rPr>
                <w:sz w:val="14"/>
                <w:szCs w:val="14"/>
                <w:color w:val="auto"/>
              </w:rPr>
            </w:pPr>
          </w:p>
        </w:tc>
        <w:tc>
          <w:tcPr>
            <w:tcW w:w="840" w:type="dxa"/>
            <w:vAlign w:val="bottom"/>
            <w:shd w:val="clear" w:color="auto" w:fill="939598"/>
          </w:tcPr>
          <w:p>
            <w:pPr>
              <w:spacing w:after="0"/>
              <w:rPr>
                <w:sz w:val="14"/>
                <w:szCs w:val="14"/>
                <w:color w:val="auto"/>
              </w:rPr>
            </w:pPr>
          </w:p>
        </w:tc>
        <w:tc>
          <w:tcPr>
            <w:tcW w:w="1040" w:type="dxa"/>
            <w:vAlign w:val="bottom"/>
            <w:gridSpan w:val="2"/>
            <w:shd w:val="clear" w:color="auto" w:fill="939598"/>
          </w:tcPr>
          <w:p>
            <w:pPr>
              <w:jc w:val="right"/>
              <w:ind w:right="112"/>
              <w:spacing w:after="0"/>
              <w:rPr>
                <w:sz w:val="20"/>
                <w:szCs w:val="20"/>
                <w:color w:val="auto"/>
              </w:rPr>
            </w:pPr>
            <w:r>
              <w:rPr>
                <w:rFonts w:ascii="Arial" w:cs="Arial" w:eastAsia="Arial" w:hAnsi="Arial"/>
                <w:sz w:val="14"/>
                <w:szCs w:val="14"/>
                <w:b w:val="1"/>
                <w:bCs w:val="1"/>
                <w:color w:val="FFFFFF"/>
              </w:rPr>
              <w:t>Education</w:t>
            </w:r>
          </w:p>
        </w:tc>
        <w:tc>
          <w:tcPr>
            <w:tcW w:w="280" w:type="dxa"/>
            <w:vAlign w:val="bottom"/>
            <w:shd w:val="clear" w:color="auto" w:fill="939598"/>
          </w:tcPr>
          <w:p>
            <w:pPr>
              <w:spacing w:after="0"/>
              <w:rPr>
                <w:sz w:val="14"/>
                <w:szCs w:val="14"/>
                <w:color w:val="auto"/>
              </w:rPr>
            </w:pPr>
          </w:p>
        </w:tc>
        <w:tc>
          <w:tcPr>
            <w:tcW w:w="700" w:type="dxa"/>
            <w:vAlign w:val="bottom"/>
            <w:shd w:val="clear" w:color="auto" w:fill="939598"/>
          </w:tcPr>
          <w:p>
            <w:pPr>
              <w:spacing w:after="0"/>
              <w:rPr>
                <w:sz w:val="14"/>
                <w:szCs w:val="14"/>
                <w:color w:val="auto"/>
              </w:rPr>
            </w:pPr>
          </w:p>
        </w:tc>
        <w:tc>
          <w:tcPr>
            <w:tcW w:w="880" w:type="dxa"/>
            <w:vAlign w:val="bottom"/>
            <w:shd w:val="clear" w:color="auto" w:fill="939598"/>
          </w:tcPr>
          <w:p>
            <w:pPr>
              <w:spacing w:after="0"/>
              <w:rPr>
                <w:sz w:val="14"/>
                <w:szCs w:val="14"/>
                <w:color w:val="auto"/>
              </w:rPr>
            </w:pPr>
          </w:p>
        </w:tc>
      </w:tr>
      <w:tr>
        <w:trPr>
          <w:trHeight w:val="165"/>
        </w:trPr>
        <w:tc>
          <w:tcPr>
            <w:tcW w:w="5140" w:type="dxa"/>
            <w:vAlign w:val="bottom"/>
            <w:shd w:val="clear" w:color="auto" w:fill="939598"/>
          </w:tcPr>
          <w:p>
            <w:pPr>
              <w:spacing w:after="0"/>
              <w:rPr>
                <w:sz w:val="14"/>
                <w:szCs w:val="14"/>
                <w:color w:val="auto"/>
              </w:rPr>
            </w:pPr>
          </w:p>
        </w:tc>
        <w:tc>
          <w:tcPr>
            <w:tcW w:w="2680" w:type="dxa"/>
            <w:vAlign w:val="bottom"/>
            <w:gridSpan w:val="2"/>
            <w:shd w:val="clear" w:color="auto" w:fill="939598"/>
          </w:tcPr>
          <w:p>
            <w:pPr>
              <w:ind w:left="1560"/>
              <w:spacing w:after="0"/>
              <w:rPr>
                <w:sz w:val="20"/>
                <w:szCs w:val="20"/>
                <w:color w:val="auto"/>
              </w:rPr>
            </w:pPr>
            <w:r>
              <w:rPr>
                <w:rFonts w:ascii="Arial" w:cs="Arial" w:eastAsia="Arial" w:hAnsi="Arial"/>
                <w:sz w:val="14"/>
                <w:szCs w:val="14"/>
                <w:b w:val="1"/>
                <w:bCs w:val="1"/>
                <w:color w:val="FFFFFF"/>
              </w:rPr>
              <w:t>Semiconductor</w:t>
            </w:r>
          </w:p>
        </w:tc>
        <w:tc>
          <w:tcPr>
            <w:tcW w:w="1040" w:type="dxa"/>
            <w:vAlign w:val="bottom"/>
            <w:gridSpan w:val="2"/>
            <w:shd w:val="clear" w:color="auto" w:fill="939598"/>
          </w:tcPr>
          <w:p>
            <w:pPr>
              <w:ind w:left="140"/>
              <w:spacing w:after="0"/>
              <w:rPr>
                <w:sz w:val="20"/>
                <w:szCs w:val="20"/>
                <w:color w:val="auto"/>
              </w:rPr>
            </w:pPr>
            <w:r>
              <w:rPr>
                <w:rFonts w:ascii="Arial" w:cs="Arial" w:eastAsia="Arial" w:hAnsi="Arial"/>
                <w:sz w:val="14"/>
                <w:szCs w:val="14"/>
                <w:b w:val="1"/>
                <w:bCs w:val="1"/>
                <w:color w:val="FFFFFF"/>
              </w:rPr>
              <w:t>Technology</w:t>
            </w:r>
          </w:p>
        </w:tc>
        <w:tc>
          <w:tcPr>
            <w:tcW w:w="980" w:type="dxa"/>
            <w:vAlign w:val="bottom"/>
            <w:gridSpan w:val="2"/>
            <w:shd w:val="clear" w:color="auto" w:fill="939598"/>
          </w:tcPr>
          <w:p>
            <w:pPr>
              <w:ind w:left="120"/>
              <w:spacing w:after="0"/>
              <w:rPr>
                <w:sz w:val="20"/>
                <w:szCs w:val="20"/>
                <w:color w:val="auto"/>
              </w:rPr>
            </w:pPr>
            <w:r>
              <w:rPr>
                <w:rFonts w:ascii="Arial" w:cs="Arial" w:eastAsia="Arial" w:hAnsi="Arial"/>
                <w:sz w:val="14"/>
                <w:szCs w:val="14"/>
                <w:b w:val="1"/>
                <w:bCs w:val="1"/>
                <w:color w:val="FFFFFF"/>
              </w:rPr>
              <w:t>Corporate</w:t>
            </w:r>
          </w:p>
        </w:tc>
        <w:tc>
          <w:tcPr>
            <w:tcW w:w="880" w:type="dxa"/>
            <w:vAlign w:val="bottom"/>
            <w:shd w:val="clear" w:color="auto" w:fill="939598"/>
          </w:tcPr>
          <w:p>
            <w:pPr>
              <w:jc w:val="right"/>
              <w:ind w:right="133"/>
              <w:spacing w:after="0"/>
              <w:rPr>
                <w:sz w:val="20"/>
                <w:szCs w:val="20"/>
                <w:color w:val="auto"/>
              </w:rPr>
            </w:pPr>
            <w:r>
              <w:rPr>
                <w:rFonts w:ascii="Arial" w:cs="Arial" w:eastAsia="Arial" w:hAnsi="Arial"/>
                <w:sz w:val="14"/>
                <w:szCs w:val="14"/>
                <w:b w:val="1"/>
                <w:bCs w:val="1"/>
                <w:color w:val="FFFFFF"/>
              </w:rPr>
              <w:t>Total</w:t>
            </w:r>
          </w:p>
        </w:tc>
      </w:tr>
      <w:tr>
        <w:trPr>
          <w:trHeight w:val="270"/>
        </w:trPr>
        <w:tc>
          <w:tcPr>
            <w:tcW w:w="5140" w:type="dxa"/>
            <w:vAlign w:val="bottom"/>
          </w:tcPr>
          <w:p>
            <w:pPr>
              <w:ind w:left="200"/>
              <w:spacing w:after="0"/>
              <w:rPr>
                <w:sz w:val="20"/>
                <w:szCs w:val="20"/>
                <w:color w:val="auto"/>
              </w:rPr>
            </w:pPr>
            <w:r>
              <w:rPr>
                <w:rFonts w:ascii="Arial" w:cs="Arial" w:eastAsia="Arial" w:hAnsi="Arial"/>
                <w:sz w:val="18"/>
                <w:szCs w:val="18"/>
                <w:b w:val="1"/>
                <w:bCs w:val="1"/>
                <w:color w:val="auto"/>
              </w:rPr>
              <w:t>Net revenue</w:t>
            </w:r>
          </w:p>
        </w:tc>
        <w:tc>
          <w:tcPr>
            <w:tcW w:w="18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03"/>
        </w:trPr>
        <w:tc>
          <w:tcPr>
            <w:tcW w:w="5140" w:type="dxa"/>
            <w:vAlign w:val="bottom"/>
            <w:shd w:val="clear" w:color="auto" w:fill="E6E7E7"/>
          </w:tcPr>
          <w:p>
            <w:pPr>
              <w:jc w:val="right"/>
              <w:ind w:right="4232"/>
              <w:spacing w:after="0" w:line="202" w:lineRule="exact"/>
              <w:rPr>
                <w:sz w:val="20"/>
                <w:szCs w:val="20"/>
                <w:color w:val="auto"/>
              </w:rPr>
            </w:pPr>
            <w:r>
              <w:rPr>
                <w:rFonts w:ascii="Arial" w:cs="Arial" w:eastAsia="Arial" w:hAnsi="Arial"/>
                <w:sz w:val="18"/>
                <w:szCs w:val="18"/>
                <w:b w:val="1"/>
                <w:bCs w:val="1"/>
                <w:color w:val="auto"/>
              </w:rPr>
              <w:t>2006</w:t>
            </w:r>
          </w:p>
        </w:tc>
        <w:tc>
          <w:tcPr>
            <w:tcW w:w="1840" w:type="dxa"/>
            <w:vAlign w:val="bottom"/>
            <w:shd w:val="clear" w:color="auto" w:fill="E6E7E7"/>
          </w:tcPr>
          <w:p>
            <w:pPr>
              <w:ind w:left="156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6E7E7"/>
          </w:tcPr>
          <w:p>
            <w:pPr>
              <w:jc w:val="right"/>
              <w:ind w:right="32"/>
              <w:spacing w:after="0" w:line="202" w:lineRule="exact"/>
              <w:rPr>
                <w:sz w:val="20"/>
                <w:szCs w:val="20"/>
                <w:color w:val="auto"/>
              </w:rPr>
            </w:pPr>
            <w:r>
              <w:rPr>
                <w:rFonts w:ascii="Arial" w:cs="Arial" w:eastAsia="Arial" w:hAnsi="Arial"/>
                <w:sz w:val="18"/>
                <w:szCs w:val="18"/>
                <w:b w:val="1"/>
                <w:bCs w:val="1"/>
                <w:color w:val="auto"/>
              </w:rPr>
              <w:t>13,730</w:t>
            </w:r>
          </w:p>
        </w:tc>
        <w:tc>
          <w:tcPr>
            <w:tcW w:w="420" w:type="dxa"/>
            <w:vAlign w:val="bottom"/>
            <w:shd w:val="clear" w:color="auto" w:fill="E6E7E7"/>
          </w:tcPr>
          <w:p>
            <w:pPr>
              <w:ind w:left="140"/>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E6E7E7"/>
          </w:tcPr>
          <w:p>
            <w:pPr>
              <w:jc w:val="right"/>
              <w:ind w:right="52"/>
              <w:spacing w:after="0" w:line="202" w:lineRule="exact"/>
              <w:rPr>
                <w:sz w:val="20"/>
                <w:szCs w:val="20"/>
                <w:color w:val="auto"/>
              </w:rPr>
            </w:pPr>
            <w:r>
              <w:rPr>
                <w:rFonts w:ascii="Arial" w:cs="Arial" w:eastAsia="Arial" w:hAnsi="Arial"/>
                <w:sz w:val="18"/>
                <w:szCs w:val="18"/>
                <w:b w:val="1"/>
                <w:bCs w:val="1"/>
                <w:color w:val="auto"/>
              </w:rPr>
              <w:t>525</w:t>
            </w:r>
          </w:p>
        </w:tc>
        <w:tc>
          <w:tcPr>
            <w:tcW w:w="280" w:type="dxa"/>
            <w:vAlign w:val="bottom"/>
            <w:shd w:val="clear" w:color="auto" w:fill="E6E7E7"/>
          </w:tcPr>
          <w:p>
            <w:pPr>
              <w:ind w:left="120"/>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E6E7E7"/>
          </w:tcPr>
          <w:p>
            <w:pPr>
              <w:jc w:val="right"/>
              <w:ind w:right="112"/>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$ 14,255</w:t>
            </w:r>
          </w:p>
        </w:tc>
      </w:tr>
      <w:tr>
        <w:trPr>
          <w:trHeight w:val="203"/>
        </w:trPr>
        <w:tc>
          <w:tcPr>
            <w:tcW w:w="5140" w:type="dxa"/>
            <w:vAlign w:val="bottom"/>
          </w:tcPr>
          <w:p>
            <w:pPr>
              <w:jc w:val="right"/>
              <w:ind w:right="4232"/>
              <w:spacing w:after="0" w:line="202" w:lineRule="exact"/>
              <w:rPr>
                <w:sz w:val="20"/>
                <w:szCs w:val="20"/>
                <w:color w:val="auto"/>
              </w:rPr>
            </w:pPr>
            <w:r>
              <w:rPr>
                <w:rFonts w:ascii="Arial" w:cs="Arial" w:eastAsia="Arial" w:hAnsi="Arial"/>
                <w:sz w:val="18"/>
                <w:szCs w:val="18"/>
                <w:color w:val="auto"/>
              </w:rPr>
              <w:t>2005</w:t>
            </w:r>
          </w:p>
        </w:tc>
        <w:tc>
          <w:tcPr>
            <w:tcW w:w="184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11,829</w:t>
            </w:r>
          </w:p>
        </w:tc>
        <w:tc>
          <w:tcPr>
            <w:tcW w:w="420" w:type="dxa"/>
            <w:vAlign w:val="bottom"/>
          </w:tcPr>
          <w:p>
            <w:pPr>
              <w:spacing w:after="0"/>
              <w:rPr>
                <w:sz w:val="17"/>
                <w:szCs w:val="17"/>
                <w:color w:val="auto"/>
              </w:rPr>
            </w:pPr>
          </w:p>
        </w:tc>
        <w:tc>
          <w:tcPr>
            <w:tcW w:w="6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506</w:t>
            </w:r>
          </w:p>
        </w:tc>
        <w:tc>
          <w:tcPr>
            <w:tcW w:w="280" w:type="dxa"/>
            <w:vAlign w:val="bottom"/>
          </w:tcPr>
          <w:p>
            <w:pPr>
              <w:spacing w:after="0"/>
              <w:rPr>
                <w:sz w:val="17"/>
                <w:szCs w:val="17"/>
                <w:color w:val="auto"/>
              </w:rPr>
            </w:pPr>
          </w:p>
        </w:tc>
        <w:tc>
          <w:tcPr>
            <w:tcW w:w="7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12,335</w:t>
            </w:r>
          </w:p>
        </w:tc>
      </w:tr>
      <w:tr>
        <w:trPr>
          <w:trHeight w:val="203"/>
        </w:trPr>
        <w:tc>
          <w:tcPr>
            <w:tcW w:w="5140" w:type="dxa"/>
            <w:vAlign w:val="bottom"/>
            <w:shd w:val="clear" w:color="auto" w:fill="E6E7E7"/>
          </w:tcPr>
          <w:p>
            <w:pPr>
              <w:jc w:val="right"/>
              <w:ind w:right="4232"/>
              <w:spacing w:after="0" w:line="202" w:lineRule="exact"/>
              <w:rPr>
                <w:sz w:val="20"/>
                <w:szCs w:val="20"/>
                <w:color w:val="auto"/>
              </w:rPr>
            </w:pPr>
            <w:r>
              <w:rPr>
                <w:rFonts w:ascii="Arial" w:cs="Arial" w:eastAsia="Arial" w:hAnsi="Arial"/>
                <w:sz w:val="18"/>
                <w:szCs w:val="18"/>
                <w:color w:val="auto"/>
              </w:rPr>
              <w:t>2004</w:t>
            </w:r>
          </w:p>
        </w:tc>
        <w:tc>
          <w:tcPr>
            <w:tcW w:w="1840" w:type="dxa"/>
            <w:vAlign w:val="bottom"/>
            <w:shd w:val="clear" w:color="auto" w:fill="E6E7E7"/>
          </w:tcPr>
          <w:p>
            <w:pPr>
              <w:spacing w:after="0"/>
              <w:rPr>
                <w:sz w:val="17"/>
                <w:szCs w:val="17"/>
                <w:color w:val="auto"/>
              </w:rPr>
            </w:pPr>
          </w:p>
        </w:tc>
        <w:tc>
          <w:tcPr>
            <w:tcW w:w="840" w:type="dxa"/>
            <w:vAlign w:val="bottom"/>
            <w:shd w:val="clear" w:color="auto" w:fill="E6E7E7"/>
          </w:tcPr>
          <w:p>
            <w:pPr>
              <w:jc w:val="right"/>
              <w:ind w:right="32"/>
              <w:spacing w:after="0" w:line="202" w:lineRule="exact"/>
              <w:rPr>
                <w:sz w:val="20"/>
                <w:szCs w:val="20"/>
                <w:color w:val="auto"/>
              </w:rPr>
            </w:pPr>
            <w:r>
              <w:rPr>
                <w:rFonts w:ascii="Arial" w:cs="Arial" w:eastAsia="Arial" w:hAnsi="Arial"/>
                <w:sz w:val="18"/>
                <w:szCs w:val="18"/>
                <w:color w:val="auto"/>
              </w:rPr>
              <w:t>11,034</w:t>
            </w:r>
          </w:p>
        </w:tc>
        <w:tc>
          <w:tcPr>
            <w:tcW w:w="420" w:type="dxa"/>
            <w:vAlign w:val="bottom"/>
            <w:shd w:val="clear" w:color="auto" w:fill="E6E7E7"/>
          </w:tcPr>
          <w:p>
            <w:pPr>
              <w:spacing w:after="0"/>
              <w:rPr>
                <w:sz w:val="17"/>
                <w:szCs w:val="17"/>
                <w:color w:val="auto"/>
              </w:rPr>
            </w:pPr>
          </w:p>
        </w:tc>
        <w:tc>
          <w:tcPr>
            <w:tcW w:w="620" w:type="dxa"/>
            <w:vAlign w:val="bottom"/>
            <w:shd w:val="clear" w:color="auto" w:fill="E6E7E7"/>
          </w:tcPr>
          <w:p>
            <w:pPr>
              <w:jc w:val="right"/>
              <w:ind w:right="52"/>
              <w:spacing w:after="0" w:line="202" w:lineRule="exact"/>
              <w:rPr>
                <w:sz w:val="20"/>
                <w:szCs w:val="20"/>
                <w:color w:val="auto"/>
              </w:rPr>
            </w:pPr>
            <w:r>
              <w:rPr>
                <w:rFonts w:ascii="Arial" w:cs="Arial" w:eastAsia="Arial" w:hAnsi="Arial"/>
                <w:sz w:val="18"/>
                <w:szCs w:val="18"/>
                <w:color w:val="auto"/>
              </w:rPr>
              <w:t>518</w:t>
            </w:r>
          </w:p>
        </w:tc>
        <w:tc>
          <w:tcPr>
            <w:tcW w:w="280" w:type="dxa"/>
            <w:vAlign w:val="bottom"/>
            <w:shd w:val="clear" w:color="auto" w:fill="E6E7E7"/>
          </w:tcPr>
          <w:p>
            <w:pPr>
              <w:spacing w:after="0"/>
              <w:rPr>
                <w:sz w:val="17"/>
                <w:szCs w:val="17"/>
                <w:color w:val="auto"/>
              </w:rPr>
            </w:pPr>
          </w:p>
        </w:tc>
        <w:tc>
          <w:tcPr>
            <w:tcW w:w="700" w:type="dxa"/>
            <w:vAlign w:val="bottom"/>
            <w:shd w:val="clear" w:color="auto" w:fill="E6E7E7"/>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11,552</w:t>
            </w:r>
          </w:p>
        </w:tc>
      </w:tr>
      <w:tr>
        <w:trPr>
          <w:trHeight w:val="203"/>
        </w:trPr>
        <w:tc>
          <w:tcPr>
            <w:tcW w:w="514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Profit (loss) from operations</w:t>
            </w:r>
          </w:p>
        </w:tc>
        <w:tc>
          <w:tcPr>
            <w:tcW w:w="1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5140" w:type="dxa"/>
            <w:vAlign w:val="bottom"/>
            <w:shd w:val="clear" w:color="auto" w:fill="E6E7E7"/>
          </w:tcPr>
          <w:p>
            <w:pPr>
              <w:jc w:val="right"/>
              <w:ind w:right="4232"/>
              <w:spacing w:after="0" w:line="202" w:lineRule="exact"/>
              <w:rPr>
                <w:sz w:val="20"/>
                <w:szCs w:val="20"/>
                <w:color w:val="auto"/>
              </w:rPr>
            </w:pPr>
            <w:r>
              <w:rPr>
                <w:rFonts w:ascii="Arial" w:cs="Arial" w:eastAsia="Arial" w:hAnsi="Arial"/>
                <w:sz w:val="18"/>
                <w:szCs w:val="18"/>
                <w:b w:val="1"/>
                <w:bCs w:val="1"/>
                <w:color w:val="auto"/>
              </w:rPr>
              <w:t>2006</w:t>
            </w:r>
          </w:p>
        </w:tc>
        <w:tc>
          <w:tcPr>
            <w:tcW w:w="1840" w:type="dxa"/>
            <w:vAlign w:val="bottom"/>
            <w:shd w:val="clear" w:color="auto" w:fill="E6E7E7"/>
          </w:tcPr>
          <w:p>
            <w:pPr>
              <w:spacing w:after="0"/>
              <w:rPr>
                <w:sz w:val="17"/>
                <w:szCs w:val="17"/>
                <w:color w:val="auto"/>
              </w:rPr>
            </w:pPr>
          </w:p>
        </w:tc>
        <w:tc>
          <w:tcPr>
            <w:tcW w:w="840" w:type="dxa"/>
            <w:vAlign w:val="bottom"/>
            <w:shd w:val="clear" w:color="auto" w:fill="E6E7E7"/>
          </w:tcPr>
          <w:p>
            <w:pPr>
              <w:jc w:val="right"/>
              <w:ind w:right="32"/>
              <w:spacing w:after="0" w:line="202" w:lineRule="exact"/>
              <w:rPr>
                <w:sz w:val="20"/>
                <w:szCs w:val="20"/>
                <w:color w:val="auto"/>
              </w:rPr>
            </w:pPr>
            <w:r>
              <w:rPr>
                <w:rFonts w:ascii="Arial" w:cs="Arial" w:eastAsia="Arial" w:hAnsi="Arial"/>
                <w:sz w:val="18"/>
                <w:szCs w:val="18"/>
                <w:b w:val="1"/>
                <w:bCs w:val="1"/>
                <w:color w:val="auto"/>
              </w:rPr>
              <w:t>3,831</w:t>
            </w:r>
          </w:p>
        </w:tc>
        <w:tc>
          <w:tcPr>
            <w:tcW w:w="420" w:type="dxa"/>
            <w:vAlign w:val="bottom"/>
            <w:shd w:val="clear" w:color="auto" w:fill="E6E7E7"/>
          </w:tcPr>
          <w:p>
            <w:pPr>
              <w:spacing w:after="0"/>
              <w:rPr>
                <w:sz w:val="17"/>
                <w:szCs w:val="17"/>
                <w:color w:val="auto"/>
              </w:rPr>
            </w:pPr>
          </w:p>
        </w:tc>
        <w:tc>
          <w:tcPr>
            <w:tcW w:w="620" w:type="dxa"/>
            <w:vAlign w:val="bottom"/>
            <w:shd w:val="clear" w:color="auto" w:fill="E6E7E7"/>
          </w:tcPr>
          <w:p>
            <w:pPr>
              <w:jc w:val="right"/>
              <w:ind w:right="52"/>
              <w:spacing w:after="0" w:line="202" w:lineRule="exact"/>
              <w:rPr>
                <w:sz w:val="20"/>
                <w:szCs w:val="20"/>
                <w:color w:val="auto"/>
              </w:rPr>
            </w:pPr>
            <w:r>
              <w:rPr>
                <w:rFonts w:ascii="Arial" w:cs="Arial" w:eastAsia="Arial" w:hAnsi="Arial"/>
                <w:sz w:val="18"/>
                <w:szCs w:val="18"/>
                <w:b w:val="1"/>
                <w:bCs w:val="1"/>
                <w:color w:val="auto"/>
              </w:rPr>
              <w:t>200</w:t>
            </w:r>
          </w:p>
        </w:tc>
        <w:tc>
          <w:tcPr>
            <w:tcW w:w="280" w:type="dxa"/>
            <w:vAlign w:val="bottom"/>
            <w:shd w:val="clear" w:color="auto" w:fill="E6E7E7"/>
          </w:tcPr>
          <w:p>
            <w:pPr>
              <w:spacing w:after="0"/>
              <w:rPr>
                <w:sz w:val="17"/>
                <w:szCs w:val="17"/>
                <w:color w:val="auto"/>
              </w:rPr>
            </w:pPr>
          </w:p>
        </w:tc>
        <w:tc>
          <w:tcPr>
            <w:tcW w:w="700" w:type="dxa"/>
            <w:vAlign w:val="bottom"/>
            <w:shd w:val="clear" w:color="auto" w:fill="E6E7E7"/>
          </w:tcPr>
          <w:p>
            <w:pPr>
              <w:jc w:val="right"/>
              <w:ind w:right="52"/>
              <w:spacing w:after="0" w:line="202" w:lineRule="exact"/>
              <w:rPr>
                <w:sz w:val="20"/>
                <w:szCs w:val="20"/>
                <w:color w:val="auto"/>
              </w:rPr>
            </w:pPr>
            <w:r>
              <w:rPr>
                <w:rFonts w:ascii="Arial" w:cs="Arial" w:eastAsia="Arial" w:hAnsi="Arial"/>
                <w:sz w:val="18"/>
                <w:szCs w:val="18"/>
                <w:b w:val="1"/>
                <w:bCs w:val="1"/>
                <w:color w:val="auto"/>
              </w:rPr>
              <w:t>(664)</w:t>
            </w:r>
          </w:p>
        </w:tc>
        <w:tc>
          <w:tcPr>
            <w:tcW w:w="8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3,367</w:t>
            </w:r>
          </w:p>
        </w:tc>
      </w:tr>
      <w:tr>
        <w:trPr>
          <w:trHeight w:val="203"/>
        </w:trPr>
        <w:tc>
          <w:tcPr>
            <w:tcW w:w="5140" w:type="dxa"/>
            <w:vAlign w:val="bottom"/>
          </w:tcPr>
          <w:p>
            <w:pPr>
              <w:jc w:val="right"/>
              <w:ind w:right="4232"/>
              <w:spacing w:after="0" w:line="202" w:lineRule="exact"/>
              <w:rPr>
                <w:sz w:val="20"/>
                <w:szCs w:val="20"/>
                <w:color w:val="auto"/>
              </w:rPr>
            </w:pPr>
            <w:r>
              <w:rPr>
                <w:rFonts w:ascii="Arial" w:cs="Arial" w:eastAsia="Arial" w:hAnsi="Arial"/>
                <w:sz w:val="18"/>
                <w:szCs w:val="18"/>
                <w:color w:val="auto"/>
              </w:rPr>
              <w:t>2005</w:t>
            </w:r>
          </w:p>
        </w:tc>
        <w:tc>
          <w:tcPr>
            <w:tcW w:w="184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2,808</w:t>
            </w:r>
          </w:p>
        </w:tc>
        <w:tc>
          <w:tcPr>
            <w:tcW w:w="420" w:type="dxa"/>
            <w:vAlign w:val="bottom"/>
          </w:tcPr>
          <w:p>
            <w:pPr>
              <w:spacing w:after="0"/>
              <w:rPr>
                <w:sz w:val="17"/>
                <w:szCs w:val="17"/>
                <w:color w:val="auto"/>
              </w:rPr>
            </w:pPr>
          </w:p>
        </w:tc>
        <w:tc>
          <w:tcPr>
            <w:tcW w:w="6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188</w:t>
            </w:r>
          </w:p>
        </w:tc>
        <w:tc>
          <w:tcPr>
            <w:tcW w:w="280" w:type="dxa"/>
            <w:vAlign w:val="bottom"/>
          </w:tcPr>
          <w:p>
            <w:pPr>
              <w:spacing w:after="0"/>
              <w:rPr>
                <w:sz w:val="17"/>
                <w:szCs w:val="17"/>
                <w:color w:val="auto"/>
              </w:rPr>
            </w:pPr>
          </w:p>
        </w:tc>
        <w:tc>
          <w:tcPr>
            <w:tcW w:w="7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(437)</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2,559</w:t>
            </w:r>
          </w:p>
        </w:tc>
      </w:tr>
      <w:tr>
        <w:trPr>
          <w:trHeight w:val="203"/>
        </w:trPr>
        <w:tc>
          <w:tcPr>
            <w:tcW w:w="5140" w:type="dxa"/>
            <w:vAlign w:val="bottom"/>
            <w:shd w:val="clear" w:color="auto" w:fill="E6E7E7"/>
          </w:tcPr>
          <w:p>
            <w:pPr>
              <w:jc w:val="right"/>
              <w:ind w:right="4232"/>
              <w:spacing w:after="0" w:line="202" w:lineRule="exact"/>
              <w:rPr>
                <w:sz w:val="20"/>
                <w:szCs w:val="20"/>
                <w:color w:val="auto"/>
              </w:rPr>
            </w:pPr>
            <w:r>
              <w:rPr>
                <w:rFonts w:ascii="Arial" w:cs="Arial" w:eastAsia="Arial" w:hAnsi="Arial"/>
                <w:sz w:val="18"/>
                <w:szCs w:val="18"/>
                <w:color w:val="auto"/>
              </w:rPr>
              <w:t>2004</w:t>
            </w:r>
          </w:p>
        </w:tc>
        <w:tc>
          <w:tcPr>
            <w:tcW w:w="1840" w:type="dxa"/>
            <w:vAlign w:val="bottom"/>
            <w:shd w:val="clear" w:color="auto" w:fill="E6E7E7"/>
          </w:tcPr>
          <w:p>
            <w:pPr>
              <w:spacing w:after="0"/>
              <w:rPr>
                <w:sz w:val="17"/>
                <w:szCs w:val="17"/>
                <w:color w:val="auto"/>
              </w:rPr>
            </w:pPr>
          </w:p>
        </w:tc>
        <w:tc>
          <w:tcPr>
            <w:tcW w:w="840" w:type="dxa"/>
            <w:vAlign w:val="bottom"/>
            <w:shd w:val="clear" w:color="auto" w:fill="E6E7E7"/>
          </w:tcPr>
          <w:p>
            <w:pPr>
              <w:jc w:val="right"/>
              <w:ind w:right="32"/>
              <w:spacing w:after="0" w:line="202" w:lineRule="exact"/>
              <w:rPr>
                <w:sz w:val="20"/>
                <w:szCs w:val="20"/>
                <w:color w:val="auto"/>
              </w:rPr>
            </w:pPr>
            <w:r>
              <w:rPr>
                <w:rFonts w:ascii="Arial" w:cs="Arial" w:eastAsia="Arial" w:hAnsi="Arial"/>
                <w:sz w:val="18"/>
                <w:szCs w:val="18"/>
                <w:color w:val="auto"/>
              </w:rPr>
              <w:t>2,068</w:t>
            </w:r>
          </w:p>
        </w:tc>
        <w:tc>
          <w:tcPr>
            <w:tcW w:w="420" w:type="dxa"/>
            <w:vAlign w:val="bottom"/>
            <w:shd w:val="clear" w:color="auto" w:fill="E6E7E7"/>
          </w:tcPr>
          <w:p>
            <w:pPr>
              <w:spacing w:after="0"/>
              <w:rPr>
                <w:sz w:val="17"/>
                <w:szCs w:val="17"/>
                <w:color w:val="auto"/>
              </w:rPr>
            </w:pPr>
          </w:p>
        </w:tc>
        <w:tc>
          <w:tcPr>
            <w:tcW w:w="620" w:type="dxa"/>
            <w:vAlign w:val="bottom"/>
            <w:shd w:val="clear" w:color="auto" w:fill="E6E7E7"/>
          </w:tcPr>
          <w:p>
            <w:pPr>
              <w:jc w:val="right"/>
              <w:ind w:right="52"/>
              <w:spacing w:after="0" w:line="202" w:lineRule="exact"/>
              <w:rPr>
                <w:sz w:val="20"/>
                <w:szCs w:val="20"/>
                <w:color w:val="auto"/>
              </w:rPr>
            </w:pPr>
            <w:r>
              <w:rPr>
                <w:rFonts w:ascii="Arial" w:cs="Arial" w:eastAsia="Arial" w:hAnsi="Arial"/>
                <w:sz w:val="18"/>
                <w:szCs w:val="18"/>
                <w:color w:val="auto"/>
              </w:rPr>
              <w:t>176</w:t>
            </w:r>
          </w:p>
        </w:tc>
        <w:tc>
          <w:tcPr>
            <w:tcW w:w="280" w:type="dxa"/>
            <w:vAlign w:val="bottom"/>
            <w:shd w:val="clear" w:color="auto" w:fill="E6E7E7"/>
          </w:tcPr>
          <w:p>
            <w:pPr>
              <w:spacing w:after="0"/>
              <w:rPr>
                <w:sz w:val="17"/>
                <w:szCs w:val="17"/>
                <w:color w:val="auto"/>
              </w:rPr>
            </w:pPr>
          </w:p>
        </w:tc>
        <w:tc>
          <w:tcPr>
            <w:tcW w:w="700" w:type="dxa"/>
            <w:vAlign w:val="bottom"/>
            <w:shd w:val="clear" w:color="auto" w:fill="E6E7E7"/>
          </w:tcPr>
          <w:p>
            <w:pPr>
              <w:jc w:val="right"/>
              <w:ind w:right="52"/>
              <w:spacing w:after="0" w:line="202" w:lineRule="exact"/>
              <w:rPr>
                <w:sz w:val="20"/>
                <w:szCs w:val="20"/>
                <w:color w:val="auto"/>
              </w:rPr>
            </w:pPr>
            <w:r>
              <w:rPr>
                <w:rFonts w:ascii="Arial" w:cs="Arial" w:eastAsia="Arial" w:hAnsi="Arial"/>
                <w:sz w:val="18"/>
                <w:szCs w:val="18"/>
                <w:color w:val="auto"/>
              </w:rPr>
              <w:t>(284)</w:t>
            </w:r>
          </w:p>
        </w:tc>
        <w:tc>
          <w:tcPr>
            <w:tcW w:w="8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1,960</w:t>
            </w:r>
          </w:p>
        </w:tc>
      </w:tr>
      <w:tr>
        <w:trPr>
          <w:trHeight w:val="203"/>
        </w:trPr>
        <w:tc>
          <w:tcPr>
            <w:tcW w:w="514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Assets of continuing operations</w:t>
            </w:r>
          </w:p>
        </w:tc>
        <w:tc>
          <w:tcPr>
            <w:tcW w:w="1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5140" w:type="dxa"/>
            <w:vAlign w:val="bottom"/>
            <w:shd w:val="clear" w:color="auto" w:fill="E6E7E7"/>
          </w:tcPr>
          <w:p>
            <w:pPr>
              <w:jc w:val="right"/>
              <w:ind w:right="4232"/>
              <w:spacing w:after="0" w:line="202" w:lineRule="exact"/>
              <w:rPr>
                <w:sz w:val="20"/>
                <w:szCs w:val="20"/>
                <w:color w:val="auto"/>
              </w:rPr>
            </w:pPr>
            <w:r>
              <w:rPr>
                <w:rFonts w:ascii="Arial" w:cs="Arial" w:eastAsia="Arial" w:hAnsi="Arial"/>
                <w:sz w:val="18"/>
                <w:szCs w:val="18"/>
                <w:b w:val="1"/>
                <w:bCs w:val="1"/>
                <w:color w:val="auto"/>
              </w:rPr>
              <w:t>2006</w:t>
            </w:r>
          </w:p>
        </w:tc>
        <w:tc>
          <w:tcPr>
            <w:tcW w:w="1840" w:type="dxa"/>
            <w:vAlign w:val="bottom"/>
            <w:shd w:val="clear" w:color="auto" w:fill="E6E7E7"/>
          </w:tcPr>
          <w:p>
            <w:pPr>
              <w:spacing w:after="0"/>
              <w:rPr>
                <w:sz w:val="17"/>
                <w:szCs w:val="17"/>
                <w:color w:val="auto"/>
              </w:rPr>
            </w:pPr>
          </w:p>
        </w:tc>
        <w:tc>
          <w:tcPr>
            <w:tcW w:w="840" w:type="dxa"/>
            <w:vAlign w:val="bottom"/>
            <w:shd w:val="clear" w:color="auto" w:fill="E6E7E7"/>
          </w:tcPr>
          <w:p>
            <w:pPr>
              <w:jc w:val="right"/>
              <w:ind w:right="32"/>
              <w:spacing w:after="0" w:line="202" w:lineRule="exact"/>
              <w:rPr>
                <w:sz w:val="20"/>
                <w:szCs w:val="20"/>
                <w:color w:val="auto"/>
              </w:rPr>
            </w:pPr>
            <w:r>
              <w:rPr>
                <w:rFonts w:ascii="Arial" w:cs="Arial" w:eastAsia="Arial" w:hAnsi="Arial"/>
                <w:sz w:val="18"/>
                <w:szCs w:val="18"/>
                <w:b w:val="1"/>
                <w:bCs w:val="1"/>
                <w:color w:val="auto"/>
              </w:rPr>
              <w:t>7,115</w:t>
            </w:r>
          </w:p>
        </w:tc>
        <w:tc>
          <w:tcPr>
            <w:tcW w:w="420" w:type="dxa"/>
            <w:vAlign w:val="bottom"/>
            <w:shd w:val="clear" w:color="auto" w:fill="E6E7E7"/>
          </w:tcPr>
          <w:p>
            <w:pPr>
              <w:spacing w:after="0"/>
              <w:rPr>
                <w:sz w:val="17"/>
                <w:szCs w:val="17"/>
                <w:color w:val="auto"/>
              </w:rPr>
            </w:pPr>
          </w:p>
        </w:tc>
        <w:tc>
          <w:tcPr>
            <w:tcW w:w="620" w:type="dxa"/>
            <w:vAlign w:val="bottom"/>
            <w:shd w:val="clear" w:color="auto" w:fill="E6E7E7"/>
          </w:tcPr>
          <w:p>
            <w:pPr>
              <w:jc w:val="right"/>
              <w:ind w:right="52"/>
              <w:spacing w:after="0" w:line="202" w:lineRule="exact"/>
              <w:rPr>
                <w:sz w:val="20"/>
                <w:szCs w:val="20"/>
                <w:color w:val="auto"/>
              </w:rPr>
            </w:pPr>
            <w:r>
              <w:rPr>
                <w:rFonts w:ascii="Arial" w:cs="Arial" w:eastAsia="Arial" w:hAnsi="Arial"/>
                <w:sz w:val="18"/>
                <w:szCs w:val="18"/>
                <w:b w:val="1"/>
                <w:bCs w:val="1"/>
                <w:color w:val="auto"/>
              </w:rPr>
              <w:t>103</w:t>
            </w:r>
          </w:p>
        </w:tc>
        <w:tc>
          <w:tcPr>
            <w:tcW w:w="280" w:type="dxa"/>
            <w:vAlign w:val="bottom"/>
            <w:shd w:val="clear" w:color="auto" w:fill="E6E7E7"/>
          </w:tcPr>
          <w:p>
            <w:pPr>
              <w:spacing w:after="0"/>
              <w:rPr>
                <w:sz w:val="17"/>
                <w:szCs w:val="17"/>
                <w:color w:val="auto"/>
              </w:rPr>
            </w:pPr>
          </w:p>
        </w:tc>
        <w:tc>
          <w:tcPr>
            <w:tcW w:w="700" w:type="dxa"/>
            <w:vAlign w:val="bottom"/>
            <w:shd w:val="clear" w:color="auto" w:fill="E6E7E7"/>
          </w:tcPr>
          <w:p>
            <w:pPr>
              <w:jc w:val="right"/>
              <w:ind w:right="112"/>
              <w:spacing w:after="0" w:line="202" w:lineRule="exact"/>
              <w:rPr>
                <w:sz w:val="20"/>
                <w:szCs w:val="20"/>
                <w:color w:val="auto"/>
              </w:rPr>
            </w:pPr>
            <w:r>
              <w:rPr>
                <w:rFonts w:ascii="Arial" w:cs="Arial" w:eastAsia="Arial" w:hAnsi="Arial"/>
                <w:sz w:val="18"/>
                <w:szCs w:val="18"/>
                <w:b w:val="1"/>
                <w:bCs w:val="1"/>
                <w:color w:val="auto"/>
              </w:rPr>
              <w:t>6,708</w:t>
            </w:r>
          </w:p>
        </w:tc>
        <w:tc>
          <w:tcPr>
            <w:tcW w:w="8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13,926</w:t>
            </w:r>
          </w:p>
        </w:tc>
      </w:tr>
      <w:tr>
        <w:trPr>
          <w:trHeight w:val="203"/>
        </w:trPr>
        <w:tc>
          <w:tcPr>
            <w:tcW w:w="5140" w:type="dxa"/>
            <w:vAlign w:val="bottom"/>
          </w:tcPr>
          <w:p>
            <w:pPr>
              <w:jc w:val="right"/>
              <w:ind w:right="4232"/>
              <w:spacing w:after="0" w:line="202" w:lineRule="exact"/>
              <w:rPr>
                <w:sz w:val="20"/>
                <w:szCs w:val="20"/>
                <w:color w:val="auto"/>
              </w:rPr>
            </w:pPr>
            <w:r>
              <w:rPr>
                <w:rFonts w:ascii="Arial" w:cs="Arial" w:eastAsia="Arial" w:hAnsi="Arial"/>
                <w:sz w:val="18"/>
                <w:szCs w:val="18"/>
                <w:color w:val="auto"/>
              </w:rPr>
              <w:t>2005</w:t>
            </w:r>
          </w:p>
        </w:tc>
        <w:tc>
          <w:tcPr>
            <w:tcW w:w="184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6,518</w:t>
            </w:r>
          </w:p>
        </w:tc>
        <w:tc>
          <w:tcPr>
            <w:tcW w:w="420" w:type="dxa"/>
            <w:vAlign w:val="bottom"/>
          </w:tcPr>
          <w:p>
            <w:pPr>
              <w:spacing w:after="0"/>
              <w:rPr>
                <w:sz w:val="17"/>
                <w:szCs w:val="17"/>
                <w:color w:val="auto"/>
              </w:rPr>
            </w:pPr>
          </w:p>
        </w:tc>
        <w:tc>
          <w:tcPr>
            <w:tcW w:w="6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90</w:t>
            </w:r>
          </w:p>
        </w:tc>
        <w:tc>
          <w:tcPr>
            <w:tcW w:w="280" w:type="dxa"/>
            <w:vAlign w:val="bottom"/>
          </w:tcPr>
          <w:p>
            <w:pPr>
              <w:spacing w:after="0"/>
              <w:rPr>
                <w:sz w:val="17"/>
                <w:szCs w:val="17"/>
                <w:color w:val="auto"/>
              </w:rPr>
            </w:pPr>
          </w:p>
        </w:tc>
        <w:tc>
          <w:tcPr>
            <w:tcW w:w="7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7,960</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14,568</w:t>
            </w:r>
          </w:p>
        </w:tc>
      </w:tr>
      <w:tr>
        <w:trPr>
          <w:trHeight w:val="203"/>
        </w:trPr>
        <w:tc>
          <w:tcPr>
            <w:tcW w:w="5140" w:type="dxa"/>
            <w:vAlign w:val="bottom"/>
            <w:shd w:val="clear" w:color="auto" w:fill="E6E7E7"/>
          </w:tcPr>
          <w:p>
            <w:pPr>
              <w:jc w:val="right"/>
              <w:ind w:right="4232"/>
              <w:spacing w:after="0" w:line="202" w:lineRule="exact"/>
              <w:rPr>
                <w:sz w:val="20"/>
                <w:szCs w:val="20"/>
                <w:color w:val="auto"/>
              </w:rPr>
            </w:pPr>
            <w:r>
              <w:rPr>
                <w:rFonts w:ascii="Arial" w:cs="Arial" w:eastAsia="Arial" w:hAnsi="Arial"/>
                <w:sz w:val="18"/>
                <w:szCs w:val="18"/>
                <w:color w:val="auto"/>
              </w:rPr>
              <w:t>2004</w:t>
            </w:r>
          </w:p>
        </w:tc>
        <w:tc>
          <w:tcPr>
            <w:tcW w:w="1840" w:type="dxa"/>
            <w:vAlign w:val="bottom"/>
            <w:shd w:val="clear" w:color="auto" w:fill="E6E7E7"/>
          </w:tcPr>
          <w:p>
            <w:pPr>
              <w:spacing w:after="0"/>
              <w:rPr>
                <w:sz w:val="17"/>
                <w:szCs w:val="17"/>
                <w:color w:val="auto"/>
              </w:rPr>
            </w:pPr>
          </w:p>
        </w:tc>
        <w:tc>
          <w:tcPr>
            <w:tcW w:w="840" w:type="dxa"/>
            <w:vAlign w:val="bottom"/>
            <w:shd w:val="clear" w:color="auto" w:fill="E6E7E7"/>
          </w:tcPr>
          <w:p>
            <w:pPr>
              <w:jc w:val="right"/>
              <w:ind w:right="32"/>
              <w:spacing w:after="0" w:line="202" w:lineRule="exact"/>
              <w:rPr>
                <w:sz w:val="20"/>
                <w:szCs w:val="20"/>
                <w:color w:val="auto"/>
              </w:rPr>
            </w:pPr>
            <w:r>
              <w:rPr>
                <w:rFonts w:ascii="Arial" w:cs="Arial" w:eastAsia="Arial" w:hAnsi="Arial"/>
                <w:sz w:val="18"/>
                <w:szCs w:val="18"/>
                <w:color w:val="auto"/>
              </w:rPr>
              <w:t>6,481</w:t>
            </w:r>
          </w:p>
        </w:tc>
        <w:tc>
          <w:tcPr>
            <w:tcW w:w="420" w:type="dxa"/>
            <w:vAlign w:val="bottom"/>
            <w:shd w:val="clear" w:color="auto" w:fill="E6E7E7"/>
          </w:tcPr>
          <w:p>
            <w:pPr>
              <w:spacing w:after="0"/>
              <w:rPr>
                <w:sz w:val="17"/>
                <w:szCs w:val="17"/>
                <w:color w:val="auto"/>
              </w:rPr>
            </w:pPr>
          </w:p>
        </w:tc>
        <w:tc>
          <w:tcPr>
            <w:tcW w:w="620" w:type="dxa"/>
            <w:vAlign w:val="bottom"/>
            <w:shd w:val="clear" w:color="auto" w:fill="E6E7E7"/>
          </w:tcPr>
          <w:p>
            <w:pPr>
              <w:jc w:val="right"/>
              <w:ind w:right="52"/>
              <w:spacing w:after="0" w:line="202" w:lineRule="exact"/>
              <w:rPr>
                <w:sz w:val="20"/>
                <w:szCs w:val="20"/>
                <w:color w:val="auto"/>
              </w:rPr>
            </w:pPr>
            <w:r>
              <w:rPr>
                <w:rFonts w:ascii="Arial" w:cs="Arial" w:eastAsia="Arial" w:hAnsi="Arial"/>
                <w:sz w:val="18"/>
                <w:szCs w:val="18"/>
                <w:color w:val="auto"/>
              </w:rPr>
              <w:t>91</w:t>
            </w:r>
          </w:p>
        </w:tc>
        <w:tc>
          <w:tcPr>
            <w:tcW w:w="280" w:type="dxa"/>
            <w:vAlign w:val="bottom"/>
            <w:shd w:val="clear" w:color="auto" w:fill="E6E7E7"/>
          </w:tcPr>
          <w:p>
            <w:pPr>
              <w:spacing w:after="0"/>
              <w:rPr>
                <w:sz w:val="17"/>
                <w:szCs w:val="17"/>
                <w:color w:val="auto"/>
              </w:rPr>
            </w:pPr>
          </w:p>
        </w:tc>
        <w:tc>
          <w:tcPr>
            <w:tcW w:w="700" w:type="dxa"/>
            <w:vAlign w:val="bottom"/>
            <w:shd w:val="clear" w:color="auto" w:fill="E6E7E7"/>
          </w:tcPr>
          <w:p>
            <w:pPr>
              <w:jc w:val="right"/>
              <w:ind w:right="112"/>
              <w:spacing w:after="0" w:line="202" w:lineRule="exact"/>
              <w:rPr>
                <w:sz w:val="20"/>
                <w:szCs w:val="20"/>
                <w:color w:val="auto"/>
              </w:rPr>
            </w:pPr>
            <w:r>
              <w:rPr>
                <w:rFonts w:ascii="Arial" w:cs="Arial" w:eastAsia="Arial" w:hAnsi="Arial"/>
                <w:sz w:val="18"/>
                <w:szCs w:val="18"/>
                <w:color w:val="auto"/>
              </w:rPr>
              <w:t>9,297</w:t>
            </w:r>
          </w:p>
        </w:tc>
        <w:tc>
          <w:tcPr>
            <w:tcW w:w="8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15,869</w:t>
            </w:r>
          </w:p>
        </w:tc>
      </w:tr>
      <w:tr>
        <w:trPr>
          <w:trHeight w:val="203"/>
        </w:trPr>
        <w:tc>
          <w:tcPr>
            <w:tcW w:w="514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Property, plant and equipment additions</w:t>
            </w:r>
          </w:p>
        </w:tc>
        <w:tc>
          <w:tcPr>
            <w:tcW w:w="1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5140" w:type="dxa"/>
            <w:vAlign w:val="bottom"/>
            <w:shd w:val="clear" w:color="auto" w:fill="E6E7E7"/>
          </w:tcPr>
          <w:p>
            <w:pPr>
              <w:jc w:val="right"/>
              <w:ind w:right="4232"/>
              <w:spacing w:after="0" w:line="202" w:lineRule="exact"/>
              <w:rPr>
                <w:sz w:val="20"/>
                <w:szCs w:val="20"/>
                <w:color w:val="auto"/>
              </w:rPr>
            </w:pPr>
            <w:r>
              <w:rPr>
                <w:rFonts w:ascii="Arial" w:cs="Arial" w:eastAsia="Arial" w:hAnsi="Arial"/>
                <w:sz w:val="18"/>
                <w:szCs w:val="18"/>
                <w:b w:val="1"/>
                <w:bCs w:val="1"/>
                <w:color w:val="auto"/>
              </w:rPr>
              <w:t>2006</w:t>
            </w:r>
          </w:p>
        </w:tc>
        <w:tc>
          <w:tcPr>
            <w:tcW w:w="1840" w:type="dxa"/>
            <w:vAlign w:val="bottom"/>
            <w:shd w:val="clear" w:color="auto" w:fill="E6E7E7"/>
          </w:tcPr>
          <w:p>
            <w:pPr>
              <w:spacing w:after="0"/>
              <w:rPr>
                <w:sz w:val="17"/>
                <w:szCs w:val="17"/>
                <w:color w:val="auto"/>
              </w:rPr>
            </w:pPr>
          </w:p>
        </w:tc>
        <w:tc>
          <w:tcPr>
            <w:tcW w:w="840" w:type="dxa"/>
            <w:vAlign w:val="bottom"/>
            <w:shd w:val="clear" w:color="auto" w:fill="E6E7E7"/>
          </w:tcPr>
          <w:p>
            <w:pPr>
              <w:jc w:val="right"/>
              <w:ind w:right="32"/>
              <w:spacing w:after="0" w:line="202" w:lineRule="exact"/>
              <w:rPr>
                <w:sz w:val="20"/>
                <w:szCs w:val="20"/>
                <w:color w:val="auto"/>
              </w:rPr>
            </w:pPr>
            <w:r>
              <w:rPr>
                <w:rFonts w:ascii="Arial" w:cs="Arial" w:eastAsia="Arial" w:hAnsi="Arial"/>
                <w:sz w:val="18"/>
                <w:szCs w:val="18"/>
                <w:b w:val="1"/>
                <w:bCs w:val="1"/>
                <w:color w:val="auto"/>
              </w:rPr>
              <w:t>1,221</w:t>
            </w:r>
          </w:p>
        </w:tc>
        <w:tc>
          <w:tcPr>
            <w:tcW w:w="420" w:type="dxa"/>
            <w:vAlign w:val="bottom"/>
            <w:shd w:val="clear" w:color="auto" w:fill="E6E7E7"/>
          </w:tcPr>
          <w:p>
            <w:pPr>
              <w:spacing w:after="0"/>
              <w:rPr>
                <w:sz w:val="17"/>
                <w:szCs w:val="17"/>
                <w:color w:val="auto"/>
              </w:rPr>
            </w:pPr>
          </w:p>
        </w:tc>
        <w:tc>
          <w:tcPr>
            <w:tcW w:w="620" w:type="dxa"/>
            <w:vAlign w:val="bottom"/>
            <w:shd w:val="clear" w:color="auto" w:fill="E6E7E7"/>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E6E7E7"/>
          </w:tcPr>
          <w:p>
            <w:pPr>
              <w:spacing w:after="0"/>
              <w:rPr>
                <w:sz w:val="17"/>
                <w:szCs w:val="17"/>
                <w:color w:val="auto"/>
              </w:rPr>
            </w:pPr>
          </w:p>
        </w:tc>
        <w:tc>
          <w:tcPr>
            <w:tcW w:w="700" w:type="dxa"/>
            <w:vAlign w:val="bottom"/>
            <w:shd w:val="clear" w:color="auto" w:fill="E6E7E7"/>
          </w:tcPr>
          <w:p>
            <w:pPr>
              <w:jc w:val="right"/>
              <w:ind w:right="112"/>
              <w:spacing w:after="0" w:line="202" w:lineRule="exact"/>
              <w:rPr>
                <w:sz w:val="20"/>
                <w:szCs w:val="20"/>
                <w:color w:val="auto"/>
              </w:rPr>
            </w:pPr>
            <w:r>
              <w:rPr>
                <w:rFonts w:ascii="Arial" w:cs="Arial" w:eastAsia="Arial" w:hAnsi="Arial"/>
                <w:sz w:val="18"/>
                <w:szCs w:val="18"/>
                <w:b w:val="1"/>
                <w:bCs w:val="1"/>
                <w:color w:val="auto"/>
              </w:rPr>
              <w:t>51</w:t>
            </w:r>
          </w:p>
        </w:tc>
        <w:tc>
          <w:tcPr>
            <w:tcW w:w="8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1,272</w:t>
            </w:r>
          </w:p>
        </w:tc>
      </w:tr>
      <w:tr>
        <w:trPr>
          <w:trHeight w:val="203"/>
        </w:trPr>
        <w:tc>
          <w:tcPr>
            <w:tcW w:w="5140" w:type="dxa"/>
            <w:vAlign w:val="bottom"/>
          </w:tcPr>
          <w:p>
            <w:pPr>
              <w:jc w:val="right"/>
              <w:ind w:right="4232"/>
              <w:spacing w:after="0" w:line="202" w:lineRule="exact"/>
              <w:rPr>
                <w:sz w:val="20"/>
                <w:szCs w:val="20"/>
                <w:color w:val="auto"/>
              </w:rPr>
            </w:pPr>
            <w:r>
              <w:rPr>
                <w:rFonts w:ascii="Arial" w:cs="Arial" w:eastAsia="Arial" w:hAnsi="Arial"/>
                <w:sz w:val="18"/>
                <w:szCs w:val="18"/>
                <w:color w:val="auto"/>
              </w:rPr>
              <w:t>2005</w:t>
            </w:r>
          </w:p>
        </w:tc>
        <w:tc>
          <w:tcPr>
            <w:tcW w:w="184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1,250</w:t>
            </w:r>
          </w:p>
        </w:tc>
        <w:tc>
          <w:tcPr>
            <w:tcW w:w="420" w:type="dxa"/>
            <w:vAlign w:val="bottom"/>
          </w:tcPr>
          <w:p>
            <w:pPr>
              <w:spacing w:after="0"/>
              <w:rPr>
                <w:sz w:val="17"/>
                <w:szCs w:val="17"/>
                <w:color w:val="auto"/>
              </w:rPr>
            </w:pPr>
          </w:p>
        </w:tc>
        <w:tc>
          <w:tcPr>
            <w:tcW w:w="6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7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37</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1,288</w:t>
            </w:r>
          </w:p>
        </w:tc>
      </w:tr>
      <w:tr>
        <w:trPr>
          <w:trHeight w:val="203"/>
        </w:trPr>
        <w:tc>
          <w:tcPr>
            <w:tcW w:w="5140" w:type="dxa"/>
            <w:vAlign w:val="bottom"/>
            <w:shd w:val="clear" w:color="auto" w:fill="E6E7E7"/>
          </w:tcPr>
          <w:p>
            <w:pPr>
              <w:jc w:val="right"/>
              <w:ind w:right="4232"/>
              <w:spacing w:after="0" w:line="202" w:lineRule="exact"/>
              <w:rPr>
                <w:sz w:val="20"/>
                <w:szCs w:val="20"/>
                <w:color w:val="auto"/>
              </w:rPr>
            </w:pPr>
            <w:r>
              <w:rPr>
                <w:rFonts w:ascii="Arial" w:cs="Arial" w:eastAsia="Arial" w:hAnsi="Arial"/>
                <w:sz w:val="18"/>
                <w:szCs w:val="18"/>
                <w:color w:val="auto"/>
              </w:rPr>
              <w:t>2004</w:t>
            </w:r>
          </w:p>
        </w:tc>
        <w:tc>
          <w:tcPr>
            <w:tcW w:w="1840" w:type="dxa"/>
            <w:vAlign w:val="bottom"/>
            <w:shd w:val="clear" w:color="auto" w:fill="E6E7E7"/>
          </w:tcPr>
          <w:p>
            <w:pPr>
              <w:spacing w:after="0"/>
              <w:rPr>
                <w:sz w:val="17"/>
                <w:szCs w:val="17"/>
                <w:color w:val="auto"/>
              </w:rPr>
            </w:pPr>
          </w:p>
        </w:tc>
        <w:tc>
          <w:tcPr>
            <w:tcW w:w="840" w:type="dxa"/>
            <w:vAlign w:val="bottom"/>
            <w:shd w:val="clear" w:color="auto" w:fill="E6E7E7"/>
          </w:tcPr>
          <w:p>
            <w:pPr>
              <w:jc w:val="right"/>
              <w:ind w:right="32"/>
              <w:spacing w:after="0" w:line="202" w:lineRule="exact"/>
              <w:rPr>
                <w:sz w:val="20"/>
                <w:szCs w:val="20"/>
                <w:color w:val="auto"/>
              </w:rPr>
            </w:pPr>
            <w:r>
              <w:rPr>
                <w:rFonts w:ascii="Arial" w:cs="Arial" w:eastAsia="Arial" w:hAnsi="Arial"/>
                <w:sz w:val="18"/>
                <w:szCs w:val="18"/>
                <w:color w:val="auto"/>
              </w:rPr>
              <w:t>1,220</w:t>
            </w:r>
          </w:p>
        </w:tc>
        <w:tc>
          <w:tcPr>
            <w:tcW w:w="420" w:type="dxa"/>
            <w:vAlign w:val="bottom"/>
            <w:shd w:val="clear" w:color="auto" w:fill="E6E7E7"/>
          </w:tcPr>
          <w:p>
            <w:pPr>
              <w:spacing w:after="0"/>
              <w:rPr>
                <w:sz w:val="17"/>
                <w:szCs w:val="17"/>
                <w:color w:val="auto"/>
              </w:rPr>
            </w:pPr>
          </w:p>
        </w:tc>
        <w:tc>
          <w:tcPr>
            <w:tcW w:w="620" w:type="dxa"/>
            <w:vAlign w:val="bottom"/>
            <w:shd w:val="clear" w:color="auto" w:fill="E6E7E7"/>
          </w:tcPr>
          <w:p>
            <w:pPr>
              <w:jc w:val="right"/>
              <w:ind w:right="52"/>
              <w:spacing w:after="0" w:line="202" w:lineRule="exact"/>
              <w:rPr>
                <w:sz w:val="20"/>
                <w:szCs w:val="20"/>
                <w:color w:val="auto"/>
              </w:rPr>
            </w:pPr>
            <w:r>
              <w:rPr>
                <w:rFonts w:ascii="Arial" w:cs="Arial" w:eastAsia="Arial" w:hAnsi="Arial"/>
                <w:sz w:val="18"/>
                <w:szCs w:val="18"/>
                <w:color w:val="auto"/>
              </w:rPr>
              <w:t>1</w:t>
            </w:r>
          </w:p>
        </w:tc>
        <w:tc>
          <w:tcPr>
            <w:tcW w:w="280" w:type="dxa"/>
            <w:vAlign w:val="bottom"/>
            <w:shd w:val="clear" w:color="auto" w:fill="E6E7E7"/>
          </w:tcPr>
          <w:p>
            <w:pPr>
              <w:spacing w:after="0"/>
              <w:rPr>
                <w:sz w:val="17"/>
                <w:szCs w:val="17"/>
                <w:color w:val="auto"/>
              </w:rPr>
            </w:pPr>
          </w:p>
        </w:tc>
        <w:tc>
          <w:tcPr>
            <w:tcW w:w="700" w:type="dxa"/>
            <w:vAlign w:val="bottom"/>
            <w:shd w:val="clear" w:color="auto" w:fill="E6E7E7"/>
          </w:tcPr>
          <w:p>
            <w:pPr>
              <w:jc w:val="right"/>
              <w:ind w:right="112"/>
              <w:spacing w:after="0" w:line="202" w:lineRule="exact"/>
              <w:rPr>
                <w:sz w:val="20"/>
                <w:szCs w:val="20"/>
                <w:color w:val="auto"/>
              </w:rPr>
            </w:pPr>
            <w:r>
              <w:rPr>
                <w:rFonts w:ascii="Arial" w:cs="Arial" w:eastAsia="Arial" w:hAnsi="Arial"/>
                <w:sz w:val="18"/>
                <w:szCs w:val="18"/>
                <w:color w:val="auto"/>
              </w:rPr>
              <w:t>39</w:t>
            </w:r>
          </w:p>
        </w:tc>
        <w:tc>
          <w:tcPr>
            <w:tcW w:w="8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1,260</w:t>
            </w:r>
          </w:p>
        </w:tc>
      </w:tr>
      <w:tr>
        <w:trPr>
          <w:trHeight w:val="203"/>
        </w:trPr>
        <w:tc>
          <w:tcPr>
            <w:tcW w:w="514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Depreciation</w:t>
            </w:r>
          </w:p>
        </w:tc>
        <w:tc>
          <w:tcPr>
            <w:tcW w:w="1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5140" w:type="dxa"/>
            <w:vAlign w:val="bottom"/>
            <w:shd w:val="clear" w:color="auto" w:fill="E6E7E7"/>
          </w:tcPr>
          <w:p>
            <w:pPr>
              <w:jc w:val="right"/>
              <w:ind w:right="4232"/>
              <w:spacing w:after="0" w:line="202" w:lineRule="exact"/>
              <w:rPr>
                <w:sz w:val="20"/>
                <w:szCs w:val="20"/>
                <w:color w:val="auto"/>
              </w:rPr>
            </w:pPr>
            <w:r>
              <w:rPr>
                <w:rFonts w:ascii="Arial" w:cs="Arial" w:eastAsia="Arial" w:hAnsi="Arial"/>
                <w:sz w:val="18"/>
                <w:szCs w:val="18"/>
                <w:b w:val="1"/>
                <w:bCs w:val="1"/>
                <w:color w:val="auto"/>
              </w:rPr>
              <w:t>2006</w:t>
            </w:r>
          </w:p>
        </w:tc>
        <w:tc>
          <w:tcPr>
            <w:tcW w:w="1840" w:type="dxa"/>
            <w:vAlign w:val="bottom"/>
            <w:shd w:val="clear" w:color="auto" w:fill="E6E7E7"/>
          </w:tcPr>
          <w:p>
            <w:pPr>
              <w:spacing w:after="0"/>
              <w:rPr>
                <w:sz w:val="17"/>
                <w:szCs w:val="17"/>
                <w:color w:val="auto"/>
              </w:rPr>
            </w:pPr>
          </w:p>
        </w:tc>
        <w:tc>
          <w:tcPr>
            <w:tcW w:w="840" w:type="dxa"/>
            <w:vAlign w:val="bottom"/>
            <w:shd w:val="clear" w:color="auto" w:fill="E6E7E7"/>
          </w:tcPr>
          <w:p>
            <w:pPr>
              <w:jc w:val="right"/>
              <w:ind w:right="32"/>
              <w:spacing w:after="0" w:line="202" w:lineRule="exact"/>
              <w:rPr>
                <w:sz w:val="20"/>
                <w:szCs w:val="20"/>
                <w:color w:val="auto"/>
              </w:rPr>
            </w:pPr>
            <w:r>
              <w:rPr>
                <w:rFonts w:ascii="Arial" w:cs="Arial" w:eastAsia="Arial" w:hAnsi="Arial"/>
                <w:sz w:val="18"/>
                <w:szCs w:val="18"/>
                <w:b w:val="1"/>
                <w:bCs w:val="1"/>
                <w:color w:val="auto"/>
              </w:rPr>
              <w:t>1,011</w:t>
            </w:r>
          </w:p>
        </w:tc>
        <w:tc>
          <w:tcPr>
            <w:tcW w:w="420" w:type="dxa"/>
            <w:vAlign w:val="bottom"/>
            <w:shd w:val="clear" w:color="auto" w:fill="E6E7E7"/>
          </w:tcPr>
          <w:p>
            <w:pPr>
              <w:spacing w:after="0"/>
              <w:rPr>
                <w:sz w:val="17"/>
                <w:szCs w:val="17"/>
                <w:color w:val="auto"/>
              </w:rPr>
            </w:pPr>
          </w:p>
        </w:tc>
        <w:tc>
          <w:tcPr>
            <w:tcW w:w="620" w:type="dxa"/>
            <w:vAlign w:val="bottom"/>
            <w:shd w:val="clear" w:color="auto" w:fill="E6E7E7"/>
          </w:tcPr>
          <w:p>
            <w:pPr>
              <w:jc w:val="right"/>
              <w:ind w:right="52"/>
              <w:spacing w:after="0" w:line="202" w:lineRule="exact"/>
              <w:rPr>
                <w:sz w:val="20"/>
                <w:szCs w:val="20"/>
                <w:color w:val="auto"/>
              </w:rPr>
            </w:pPr>
            <w:r>
              <w:rPr>
                <w:rFonts w:ascii="Arial" w:cs="Arial" w:eastAsia="Arial" w:hAnsi="Arial"/>
                <w:sz w:val="18"/>
                <w:szCs w:val="18"/>
                <w:b w:val="1"/>
                <w:bCs w:val="1"/>
                <w:color w:val="auto"/>
              </w:rPr>
              <w:t>1</w:t>
            </w:r>
          </w:p>
        </w:tc>
        <w:tc>
          <w:tcPr>
            <w:tcW w:w="280" w:type="dxa"/>
            <w:vAlign w:val="bottom"/>
            <w:shd w:val="clear" w:color="auto" w:fill="E6E7E7"/>
          </w:tcPr>
          <w:p>
            <w:pPr>
              <w:spacing w:after="0"/>
              <w:rPr>
                <w:sz w:val="17"/>
                <w:szCs w:val="17"/>
                <w:color w:val="auto"/>
              </w:rPr>
            </w:pPr>
          </w:p>
        </w:tc>
        <w:tc>
          <w:tcPr>
            <w:tcW w:w="700" w:type="dxa"/>
            <w:vAlign w:val="bottom"/>
            <w:shd w:val="clear" w:color="auto" w:fill="E6E7E7"/>
          </w:tcPr>
          <w:p>
            <w:pPr>
              <w:jc w:val="right"/>
              <w:ind w:right="112"/>
              <w:spacing w:after="0" w:line="202" w:lineRule="exact"/>
              <w:rPr>
                <w:sz w:val="20"/>
                <w:szCs w:val="20"/>
                <w:color w:val="auto"/>
              </w:rPr>
            </w:pPr>
            <w:r>
              <w:rPr>
                <w:rFonts w:ascii="Arial" w:cs="Arial" w:eastAsia="Arial" w:hAnsi="Arial"/>
                <w:sz w:val="18"/>
                <w:szCs w:val="18"/>
                <w:b w:val="1"/>
                <w:bCs w:val="1"/>
                <w:color w:val="auto"/>
              </w:rPr>
              <w:t>40</w:t>
            </w:r>
          </w:p>
        </w:tc>
        <w:tc>
          <w:tcPr>
            <w:tcW w:w="8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1,052</w:t>
            </w:r>
          </w:p>
        </w:tc>
      </w:tr>
      <w:tr>
        <w:trPr>
          <w:trHeight w:val="203"/>
        </w:trPr>
        <w:tc>
          <w:tcPr>
            <w:tcW w:w="5140" w:type="dxa"/>
            <w:vAlign w:val="bottom"/>
          </w:tcPr>
          <w:p>
            <w:pPr>
              <w:jc w:val="right"/>
              <w:ind w:right="4232"/>
              <w:spacing w:after="0" w:line="202" w:lineRule="exact"/>
              <w:rPr>
                <w:sz w:val="20"/>
                <w:szCs w:val="20"/>
                <w:color w:val="auto"/>
              </w:rPr>
            </w:pPr>
            <w:r>
              <w:rPr>
                <w:rFonts w:ascii="Arial" w:cs="Arial" w:eastAsia="Arial" w:hAnsi="Arial"/>
                <w:sz w:val="18"/>
                <w:szCs w:val="18"/>
                <w:color w:val="auto"/>
              </w:rPr>
              <w:t>2005</w:t>
            </w:r>
          </w:p>
        </w:tc>
        <w:tc>
          <w:tcPr>
            <w:tcW w:w="184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1,294</w:t>
            </w:r>
          </w:p>
        </w:tc>
        <w:tc>
          <w:tcPr>
            <w:tcW w:w="420" w:type="dxa"/>
            <w:vAlign w:val="bottom"/>
          </w:tcPr>
          <w:p>
            <w:pPr>
              <w:spacing w:after="0"/>
              <w:rPr>
                <w:sz w:val="17"/>
                <w:szCs w:val="17"/>
                <w:color w:val="auto"/>
              </w:rPr>
            </w:pPr>
          </w:p>
        </w:tc>
        <w:tc>
          <w:tcPr>
            <w:tcW w:w="6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7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51</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1,346</w:t>
            </w:r>
          </w:p>
        </w:tc>
      </w:tr>
      <w:tr>
        <w:trPr>
          <w:trHeight w:val="203"/>
        </w:trPr>
        <w:tc>
          <w:tcPr>
            <w:tcW w:w="5140" w:type="dxa"/>
            <w:vAlign w:val="bottom"/>
            <w:shd w:val="clear" w:color="auto" w:fill="E6E7E7"/>
          </w:tcPr>
          <w:p>
            <w:pPr>
              <w:jc w:val="right"/>
              <w:ind w:right="4232"/>
              <w:spacing w:after="0" w:line="202" w:lineRule="exact"/>
              <w:rPr>
                <w:sz w:val="20"/>
                <w:szCs w:val="20"/>
                <w:color w:val="auto"/>
              </w:rPr>
            </w:pPr>
            <w:r>
              <w:rPr>
                <w:rFonts w:ascii="Arial" w:cs="Arial" w:eastAsia="Arial" w:hAnsi="Arial"/>
                <w:sz w:val="18"/>
                <w:szCs w:val="18"/>
                <w:color w:val="auto"/>
              </w:rPr>
              <w:t>2004</w:t>
            </w:r>
          </w:p>
        </w:tc>
        <w:tc>
          <w:tcPr>
            <w:tcW w:w="1840" w:type="dxa"/>
            <w:vAlign w:val="bottom"/>
            <w:shd w:val="clear" w:color="auto" w:fill="E6E7E7"/>
          </w:tcPr>
          <w:p>
            <w:pPr>
              <w:spacing w:after="0"/>
              <w:rPr>
                <w:sz w:val="17"/>
                <w:szCs w:val="17"/>
                <w:color w:val="auto"/>
              </w:rPr>
            </w:pPr>
          </w:p>
        </w:tc>
        <w:tc>
          <w:tcPr>
            <w:tcW w:w="840" w:type="dxa"/>
            <w:vAlign w:val="bottom"/>
            <w:shd w:val="clear" w:color="auto" w:fill="E6E7E7"/>
          </w:tcPr>
          <w:p>
            <w:pPr>
              <w:jc w:val="right"/>
              <w:ind w:right="32"/>
              <w:spacing w:after="0" w:line="202" w:lineRule="exact"/>
              <w:rPr>
                <w:sz w:val="20"/>
                <w:szCs w:val="20"/>
                <w:color w:val="auto"/>
              </w:rPr>
            </w:pPr>
            <w:r>
              <w:rPr>
                <w:rFonts w:ascii="Arial" w:cs="Arial" w:eastAsia="Arial" w:hAnsi="Arial"/>
                <w:sz w:val="18"/>
                <w:szCs w:val="18"/>
                <w:color w:val="auto"/>
              </w:rPr>
              <w:t>1,393</w:t>
            </w:r>
          </w:p>
        </w:tc>
        <w:tc>
          <w:tcPr>
            <w:tcW w:w="420" w:type="dxa"/>
            <w:vAlign w:val="bottom"/>
            <w:shd w:val="clear" w:color="auto" w:fill="E6E7E7"/>
          </w:tcPr>
          <w:p>
            <w:pPr>
              <w:spacing w:after="0"/>
              <w:rPr>
                <w:sz w:val="17"/>
                <w:szCs w:val="17"/>
                <w:color w:val="auto"/>
              </w:rPr>
            </w:pPr>
          </w:p>
        </w:tc>
        <w:tc>
          <w:tcPr>
            <w:tcW w:w="620" w:type="dxa"/>
            <w:vAlign w:val="bottom"/>
            <w:shd w:val="clear" w:color="auto" w:fill="E6E7E7"/>
          </w:tcPr>
          <w:p>
            <w:pPr>
              <w:jc w:val="right"/>
              <w:ind w:right="52"/>
              <w:spacing w:after="0" w:line="202" w:lineRule="exact"/>
              <w:rPr>
                <w:sz w:val="20"/>
                <w:szCs w:val="20"/>
                <w:color w:val="auto"/>
              </w:rPr>
            </w:pPr>
            <w:r>
              <w:rPr>
                <w:rFonts w:ascii="Arial" w:cs="Arial" w:eastAsia="Arial" w:hAnsi="Arial"/>
                <w:sz w:val="18"/>
                <w:szCs w:val="18"/>
                <w:color w:val="auto"/>
              </w:rPr>
              <w:t>1</w:t>
            </w:r>
          </w:p>
        </w:tc>
        <w:tc>
          <w:tcPr>
            <w:tcW w:w="280" w:type="dxa"/>
            <w:vAlign w:val="bottom"/>
            <w:shd w:val="clear" w:color="auto" w:fill="E6E7E7"/>
          </w:tcPr>
          <w:p>
            <w:pPr>
              <w:spacing w:after="0"/>
              <w:rPr>
                <w:sz w:val="17"/>
                <w:szCs w:val="17"/>
                <w:color w:val="auto"/>
              </w:rPr>
            </w:pPr>
          </w:p>
        </w:tc>
        <w:tc>
          <w:tcPr>
            <w:tcW w:w="700" w:type="dxa"/>
            <w:vAlign w:val="bottom"/>
            <w:shd w:val="clear" w:color="auto" w:fill="E6E7E7"/>
          </w:tcPr>
          <w:p>
            <w:pPr>
              <w:jc w:val="right"/>
              <w:ind w:right="112"/>
              <w:spacing w:after="0" w:line="202" w:lineRule="exact"/>
              <w:rPr>
                <w:sz w:val="20"/>
                <w:szCs w:val="20"/>
                <w:color w:val="auto"/>
              </w:rPr>
            </w:pPr>
            <w:r>
              <w:rPr>
                <w:rFonts w:ascii="Arial" w:cs="Arial" w:eastAsia="Arial" w:hAnsi="Arial"/>
                <w:sz w:val="18"/>
                <w:szCs w:val="18"/>
                <w:color w:val="auto"/>
              </w:rPr>
              <w:t>55</w:t>
            </w:r>
          </w:p>
        </w:tc>
        <w:tc>
          <w:tcPr>
            <w:tcW w:w="8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1,449</w:t>
            </w:r>
          </w:p>
        </w:tc>
      </w:tr>
    </w:tbl>
    <w:p>
      <w:pPr>
        <w:spacing w:after="0" w:line="2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There was no significant intersegment revenue.</w:t>
      </w:r>
    </w:p>
    <w:p>
      <w:pPr>
        <w:spacing w:after="0" w:line="158" w:lineRule="exact"/>
        <w:rPr>
          <w:sz w:val="20"/>
          <w:szCs w:val="20"/>
          <w:color w:val="auto"/>
        </w:rPr>
      </w:pPr>
    </w:p>
    <w:p>
      <w:pPr>
        <w:ind w:left="100" w:right="260"/>
        <w:spacing w:after="0" w:line="239" w:lineRule="auto"/>
        <w:rPr>
          <w:sz w:val="20"/>
          <w:szCs w:val="20"/>
          <w:color w:val="auto"/>
        </w:rPr>
      </w:pPr>
      <w:r>
        <w:rPr>
          <w:rFonts w:ascii="Arial" w:cs="Arial" w:eastAsia="Arial" w:hAnsi="Arial"/>
          <w:sz w:val="18"/>
          <w:szCs w:val="18"/>
          <w:color w:val="auto"/>
        </w:rPr>
        <w:t>The following geographic area data includes net revenue, based on product shipment destination and royalty payor location, and property, plant and equipment based on physical location:</w:t>
      </w:r>
    </w:p>
    <w:p>
      <w:pPr>
        <w:spacing w:after="0" w:line="236"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Geographic Area Information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shd w:val="clear" w:color="auto" w:fill="939598"/>
          </w:tcPr>
          <w:p>
            <w:pPr>
              <w:spacing w:after="0"/>
              <w:rPr>
                <w:sz w:val="14"/>
                <w:szCs w:val="14"/>
                <w:color w:val="auto"/>
              </w:rPr>
            </w:pPr>
          </w:p>
        </w:tc>
        <w:tc>
          <w:tcPr>
            <w:tcW w:w="1560" w:type="dxa"/>
            <w:vAlign w:val="bottom"/>
            <w:shd w:val="clear" w:color="auto" w:fill="939598"/>
          </w:tcPr>
          <w:p>
            <w:pPr>
              <w:spacing w:after="0"/>
              <w:rPr>
                <w:sz w:val="14"/>
                <w:szCs w:val="14"/>
                <w:color w:val="auto"/>
              </w:rPr>
            </w:pPr>
          </w:p>
        </w:tc>
        <w:tc>
          <w:tcPr>
            <w:tcW w:w="600" w:type="dxa"/>
            <w:vAlign w:val="bottom"/>
            <w:shd w:val="clear" w:color="auto" w:fill="939598"/>
          </w:tcPr>
          <w:p>
            <w:pPr>
              <w:spacing w:after="0"/>
              <w:rPr>
                <w:sz w:val="14"/>
                <w:szCs w:val="14"/>
                <w:color w:val="auto"/>
              </w:rPr>
            </w:pPr>
          </w:p>
        </w:tc>
        <w:tc>
          <w:tcPr>
            <w:tcW w:w="240" w:type="dxa"/>
            <w:vAlign w:val="bottom"/>
            <w:shd w:val="clear" w:color="auto" w:fill="939598"/>
          </w:tcPr>
          <w:p>
            <w:pPr>
              <w:spacing w:after="0"/>
              <w:rPr>
                <w:sz w:val="14"/>
                <w:szCs w:val="14"/>
                <w:color w:val="auto"/>
              </w:rPr>
            </w:pPr>
          </w:p>
        </w:tc>
        <w:tc>
          <w:tcPr>
            <w:tcW w:w="600" w:type="dxa"/>
            <w:vAlign w:val="bottom"/>
            <w:shd w:val="clear" w:color="auto" w:fill="939598"/>
          </w:tcPr>
          <w:p>
            <w:pPr>
              <w:spacing w:after="0"/>
              <w:rPr>
                <w:sz w:val="14"/>
                <w:szCs w:val="14"/>
                <w:color w:val="auto"/>
              </w:rPr>
            </w:pPr>
          </w:p>
        </w:tc>
        <w:tc>
          <w:tcPr>
            <w:tcW w:w="240" w:type="dxa"/>
            <w:vAlign w:val="bottom"/>
            <w:shd w:val="clear" w:color="auto" w:fill="939598"/>
          </w:tcPr>
          <w:p>
            <w:pPr>
              <w:spacing w:after="0"/>
              <w:rPr>
                <w:sz w:val="14"/>
                <w:szCs w:val="14"/>
                <w:color w:val="auto"/>
              </w:rPr>
            </w:pPr>
          </w:p>
        </w:tc>
        <w:tc>
          <w:tcPr>
            <w:tcW w:w="600" w:type="dxa"/>
            <w:vAlign w:val="bottom"/>
            <w:shd w:val="clear" w:color="auto" w:fill="939598"/>
          </w:tcPr>
          <w:p>
            <w:pPr>
              <w:spacing w:after="0"/>
              <w:rPr>
                <w:sz w:val="14"/>
                <w:szCs w:val="14"/>
                <w:color w:val="auto"/>
              </w:rPr>
            </w:pPr>
          </w:p>
        </w:tc>
        <w:tc>
          <w:tcPr>
            <w:tcW w:w="200" w:type="dxa"/>
            <w:vAlign w:val="bottom"/>
            <w:shd w:val="clear" w:color="auto" w:fill="939598"/>
          </w:tcPr>
          <w:p>
            <w:pPr>
              <w:spacing w:after="0"/>
              <w:rPr>
                <w:sz w:val="14"/>
                <w:szCs w:val="14"/>
                <w:color w:val="auto"/>
              </w:rPr>
            </w:pPr>
          </w:p>
        </w:tc>
        <w:tc>
          <w:tcPr>
            <w:tcW w:w="620" w:type="dxa"/>
            <w:vAlign w:val="bottom"/>
            <w:shd w:val="clear" w:color="auto" w:fill="939598"/>
          </w:tcPr>
          <w:p>
            <w:pPr>
              <w:spacing w:after="0"/>
              <w:rPr>
                <w:sz w:val="14"/>
                <w:szCs w:val="14"/>
                <w:color w:val="auto"/>
              </w:rPr>
            </w:pPr>
          </w:p>
        </w:tc>
        <w:tc>
          <w:tcPr>
            <w:tcW w:w="700" w:type="dxa"/>
            <w:vAlign w:val="bottom"/>
            <w:gridSpan w:val="2"/>
            <w:shd w:val="clear" w:color="auto" w:fill="939598"/>
          </w:tcPr>
          <w:p>
            <w:pPr>
              <w:ind w:left="120"/>
              <w:spacing w:after="0"/>
              <w:rPr>
                <w:sz w:val="20"/>
                <w:szCs w:val="20"/>
                <w:color w:val="auto"/>
              </w:rPr>
            </w:pPr>
            <w:r>
              <w:rPr>
                <w:rFonts w:ascii="Arial" w:cs="Arial" w:eastAsia="Arial" w:hAnsi="Arial"/>
                <w:sz w:val="14"/>
                <w:szCs w:val="14"/>
                <w:b w:val="1"/>
                <w:bCs w:val="1"/>
                <w:color w:val="FFFFFF"/>
              </w:rPr>
              <w:t>Rest of</w:t>
            </w:r>
          </w:p>
        </w:tc>
        <w:tc>
          <w:tcPr>
            <w:tcW w:w="240" w:type="dxa"/>
            <w:vAlign w:val="bottom"/>
            <w:shd w:val="clear" w:color="auto" w:fill="939598"/>
          </w:tcPr>
          <w:p>
            <w:pPr>
              <w:spacing w:after="0"/>
              <w:rPr>
                <w:sz w:val="14"/>
                <w:szCs w:val="14"/>
                <w:color w:val="auto"/>
              </w:rPr>
            </w:pPr>
          </w:p>
        </w:tc>
        <w:tc>
          <w:tcPr>
            <w:tcW w:w="600" w:type="dxa"/>
            <w:vAlign w:val="bottom"/>
            <w:shd w:val="clear" w:color="auto" w:fill="939598"/>
          </w:tcPr>
          <w:p>
            <w:pPr>
              <w:spacing w:after="0"/>
              <w:rPr>
                <w:sz w:val="14"/>
                <w:szCs w:val="14"/>
                <w:color w:val="auto"/>
              </w:rPr>
            </w:pPr>
          </w:p>
        </w:tc>
      </w:tr>
      <w:tr>
        <w:trPr>
          <w:trHeight w:val="165"/>
        </w:trPr>
        <w:tc>
          <w:tcPr>
            <w:tcW w:w="4520" w:type="dxa"/>
            <w:vAlign w:val="bottom"/>
            <w:shd w:val="clear" w:color="auto" w:fill="939598"/>
          </w:tcPr>
          <w:p>
            <w:pPr>
              <w:spacing w:after="0"/>
              <w:rPr>
                <w:sz w:val="14"/>
                <w:szCs w:val="14"/>
                <w:color w:val="auto"/>
              </w:rPr>
            </w:pPr>
          </w:p>
        </w:tc>
        <w:tc>
          <w:tcPr>
            <w:tcW w:w="1560" w:type="dxa"/>
            <w:vAlign w:val="bottom"/>
            <w:shd w:val="clear" w:color="auto" w:fill="939598"/>
          </w:tcPr>
          <w:p>
            <w:pPr>
              <w:spacing w:after="0"/>
              <w:rPr>
                <w:sz w:val="14"/>
                <w:szCs w:val="14"/>
                <w:color w:val="auto"/>
              </w:rPr>
            </w:pPr>
          </w:p>
        </w:tc>
        <w:tc>
          <w:tcPr>
            <w:tcW w:w="600" w:type="dxa"/>
            <w:vAlign w:val="bottom"/>
            <w:shd w:val="clear" w:color="auto" w:fill="939598"/>
          </w:tcPr>
          <w:p>
            <w:pPr>
              <w:ind w:left="40"/>
              <w:spacing w:after="0"/>
              <w:rPr>
                <w:sz w:val="20"/>
                <w:szCs w:val="20"/>
                <w:color w:val="auto"/>
              </w:rPr>
            </w:pPr>
            <w:r>
              <w:rPr>
                <w:rFonts w:ascii="Arial" w:cs="Arial" w:eastAsia="Arial" w:hAnsi="Arial"/>
                <w:sz w:val="14"/>
                <w:szCs w:val="14"/>
                <w:b w:val="1"/>
                <w:bCs w:val="1"/>
                <w:color w:val="FFFFFF"/>
              </w:rPr>
              <w:t>U.S.</w:t>
            </w:r>
          </w:p>
        </w:tc>
        <w:tc>
          <w:tcPr>
            <w:tcW w:w="240" w:type="dxa"/>
            <w:vAlign w:val="bottom"/>
            <w:shd w:val="clear" w:color="auto" w:fill="939598"/>
          </w:tcPr>
          <w:p>
            <w:pPr>
              <w:spacing w:after="0"/>
              <w:rPr>
                <w:sz w:val="14"/>
                <w:szCs w:val="14"/>
                <w:color w:val="auto"/>
              </w:rPr>
            </w:pPr>
          </w:p>
        </w:tc>
        <w:tc>
          <w:tcPr>
            <w:tcW w:w="600" w:type="dxa"/>
            <w:vAlign w:val="bottom"/>
            <w:shd w:val="clear" w:color="auto" w:fill="939598"/>
          </w:tcPr>
          <w:p>
            <w:pPr>
              <w:jc w:val="right"/>
              <w:ind w:right="195"/>
              <w:spacing w:after="0"/>
              <w:rPr>
                <w:sz w:val="20"/>
                <w:szCs w:val="20"/>
                <w:color w:val="auto"/>
              </w:rPr>
            </w:pPr>
            <w:r>
              <w:rPr>
                <w:rFonts w:ascii="Arial" w:cs="Arial" w:eastAsia="Arial" w:hAnsi="Arial"/>
                <w:sz w:val="14"/>
                <w:szCs w:val="14"/>
                <w:b w:val="1"/>
                <w:bCs w:val="1"/>
                <w:color w:val="FFFFFF"/>
              </w:rPr>
              <w:t>Asia</w:t>
            </w:r>
          </w:p>
        </w:tc>
        <w:tc>
          <w:tcPr>
            <w:tcW w:w="840" w:type="dxa"/>
            <w:vAlign w:val="bottom"/>
            <w:gridSpan w:val="2"/>
            <w:shd w:val="clear" w:color="auto" w:fill="939598"/>
          </w:tcPr>
          <w:p>
            <w:pPr>
              <w:jc w:val="right"/>
              <w:ind w:right="112"/>
              <w:spacing w:after="0"/>
              <w:rPr>
                <w:sz w:val="20"/>
                <w:szCs w:val="20"/>
                <w:color w:val="auto"/>
              </w:rPr>
            </w:pPr>
            <w:r>
              <w:rPr>
                <w:rFonts w:ascii="Arial" w:cs="Arial" w:eastAsia="Arial" w:hAnsi="Arial"/>
                <w:sz w:val="14"/>
                <w:szCs w:val="14"/>
                <w:b w:val="1"/>
                <w:bCs w:val="1"/>
                <w:color w:val="FFFFFF"/>
              </w:rPr>
              <w:t>Europe</w:t>
            </w:r>
          </w:p>
        </w:tc>
        <w:tc>
          <w:tcPr>
            <w:tcW w:w="200" w:type="dxa"/>
            <w:vAlign w:val="bottom"/>
            <w:shd w:val="clear" w:color="auto" w:fill="939598"/>
          </w:tcPr>
          <w:p>
            <w:pPr>
              <w:spacing w:after="0"/>
              <w:rPr>
                <w:sz w:val="14"/>
                <w:szCs w:val="14"/>
                <w:color w:val="auto"/>
              </w:rPr>
            </w:pPr>
          </w:p>
        </w:tc>
        <w:tc>
          <w:tcPr>
            <w:tcW w:w="620" w:type="dxa"/>
            <w:vAlign w:val="bottom"/>
            <w:shd w:val="clear" w:color="auto" w:fill="939598"/>
          </w:tcPr>
          <w:p>
            <w:pPr>
              <w:jc w:val="right"/>
              <w:ind w:right="135"/>
              <w:spacing w:after="0"/>
              <w:rPr>
                <w:sz w:val="20"/>
                <w:szCs w:val="20"/>
                <w:color w:val="auto"/>
              </w:rPr>
            </w:pPr>
            <w:r>
              <w:rPr>
                <w:rFonts w:ascii="Arial" w:cs="Arial" w:eastAsia="Arial" w:hAnsi="Arial"/>
                <w:sz w:val="14"/>
                <w:szCs w:val="14"/>
                <w:b w:val="1"/>
                <w:bCs w:val="1"/>
                <w:color w:val="FFFFFF"/>
                <w:w w:val="93"/>
              </w:rPr>
              <w:t>Japan</w:t>
            </w:r>
          </w:p>
        </w:tc>
        <w:tc>
          <w:tcPr>
            <w:tcW w:w="700" w:type="dxa"/>
            <w:vAlign w:val="bottom"/>
            <w:gridSpan w:val="2"/>
            <w:shd w:val="clear" w:color="auto" w:fill="939598"/>
          </w:tcPr>
          <w:p>
            <w:pPr>
              <w:jc w:val="right"/>
              <w:ind w:right="72"/>
              <w:spacing w:after="0"/>
              <w:rPr>
                <w:sz w:val="20"/>
                <w:szCs w:val="20"/>
                <w:color w:val="auto"/>
              </w:rPr>
            </w:pPr>
            <w:r>
              <w:rPr>
                <w:rFonts w:ascii="Arial" w:cs="Arial" w:eastAsia="Arial" w:hAnsi="Arial"/>
                <w:sz w:val="14"/>
                <w:szCs w:val="14"/>
                <w:b w:val="1"/>
                <w:bCs w:val="1"/>
                <w:color w:val="FFFFFF"/>
              </w:rPr>
              <w:t>World</w:t>
            </w:r>
          </w:p>
        </w:tc>
        <w:tc>
          <w:tcPr>
            <w:tcW w:w="240" w:type="dxa"/>
            <w:vAlign w:val="bottom"/>
            <w:shd w:val="clear" w:color="auto" w:fill="939598"/>
          </w:tcPr>
          <w:p>
            <w:pPr>
              <w:spacing w:after="0"/>
              <w:rPr>
                <w:sz w:val="14"/>
                <w:szCs w:val="14"/>
                <w:color w:val="auto"/>
              </w:rPr>
            </w:pPr>
          </w:p>
        </w:tc>
        <w:tc>
          <w:tcPr>
            <w:tcW w:w="600" w:type="dxa"/>
            <w:vAlign w:val="bottom"/>
            <w:shd w:val="clear" w:color="auto" w:fill="939598"/>
          </w:tcPr>
          <w:p>
            <w:pPr>
              <w:jc w:val="right"/>
              <w:ind w:right="135"/>
              <w:spacing w:after="0"/>
              <w:rPr>
                <w:sz w:val="20"/>
                <w:szCs w:val="20"/>
                <w:color w:val="auto"/>
              </w:rPr>
            </w:pPr>
            <w:r>
              <w:rPr>
                <w:rFonts w:ascii="Arial" w:cs="Arial" w:eastAsia="Arial" w:hAnsi="Arial"/>
                <w:sz w:val="14"/>
                <w:szCs w:val="14"/>
                <w:b w:val="1"/>
                <w:bCs w:val="1"/>
                <w:color w:val="FFFFFF"/>
              </w:rPr>
              <w:t>Total</w:t>
            </w:r>
          </w:p>
        </w:tc>
      </w:tr>
      <w:tr>
        <w:trPr>
          <w:trHeight w:val="270"/>
        </w:trPr>
        <w:tc>
          <w:tcPr>
            <w:tcW w:w="4520" w:type="dxa"/>
            <w:vAlign w:val="bottom"/>
          </w:tcPr>
          <w:p>
            <w:pPr>
              <w:ind w:left="200"/>
              <w:spacing w:after="0"/>
              <w:rPr>
                <w:sz w:val="20"/>
                <w:szCs w:val="20"/>
                <w:color w:val="auto"/>
              </w:rPr>
            </w:pPr>
            <w:r>
              <w:rPr>
                <w:rFonts w:ascii="Arial" w:cs="Arial" w:eastAsia="Arial" w:hAnsi="Arial"/>
                <w:sz w:val="18"/>
                <w:szCs w:val="18"/>
                <w:b w:val="1"/>
                <w:bCs w:val="1"/>
                <w:color w:val="auto"/>
              </w:rPr>
              <w:t>Net revenue</w:t>
            </w:r>
          </w:p>
        </w:tc>
        <w:tc>
          <w:tcPr>
            <w:tcW w:w="1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03"/>
        </w:trPr>
        <w:tc>
          <w:tcPr>
            <w:tcW w:w="4520" w:type="dxa"/>
            <w:vAlign w:val="bottom"/>
            <w:shd w:val="clear" w:color="auto" w:fill="E6E7E7"/>
          </w:tcPr>
          <w:p>
            <w:pPr>
              <w:jc w:val="right"/>
              <w:ind w:right="3612"/>
              <w:spacing w:after="0" w:line="202" w:lineRule="exact"/>
              <w:rPr>
                <w:sz w:val="20"/>
                <w:szCs w:val="20"/>
                <w:color w:val="auto"/>
              </w:rPr>
            </w:pPr>
            <w:r>
              <w:rPr>
                <w:rFonts w:ascii="Arial" w:cs="Arial" w:eastAsia="Arial" w:hAnsi="Arial"/>
                <w:sz w:val="18"/>
                <w:szCs w:val="18"/>
                <w:b w:val="1"/>
                <w:bCs w:val="1"/>
                <w:color w:val="auto"/>
              </w:rPr>
              <w:t>2006</w:t>
            </w:r>
          </w:p>
        </w:tc>
        <w:tc>
          <w:tcPr>
            <w:tcW w:w="15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6E7E7"/>
          </w:tcPr>
          <w:p>
            <w:pPr>
              <w:ind w:left="60"/>
              <w:spacing w:after="0" w:line="202" w:lineRule="exact"/>
              <w:rPr>
                <w:sz w:val="20"/>
                <w:szCs w:val="20"/>
                <w:color w:val="auto"/>
              </w:rPr>
            </w:pPr>
            <w:r>
              <w:rPr>
                <w:rFonts w:ascii="Arial" w:cs="Arial" w:eastAsia="Arial" w:hAnsi="Arial"/>
                <w:sz w:val="18"/>
                <w:szCs w:val="18"/>
                <w:b w:val="1"/>
                <w:bCs w:val="1"/>
                <w:color w:val="auto"/>
              </w:rPr>
              <w:t>1,868</w:t>
            </w:r>
          </w:p>
        </w:tc>
        <w:tc>
          <w:tcPr>
            <w:tcW w:w="2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6E7E7"/>
          </w:tcPr>
          <w:p>
            <w:pPr>
              <w:jc w:val="right"/>
              <w:ind w:right="15"/>
              <w:spacing w:after="0" w:line="202" w:lineRule="exact"/>
              <w:rPr>
                <w:sz w:val="20"/>
                <w:szCs w:val="20"/>
                <w:color w:val="auto"/>
              </w:rPr>
            </w:pPr>
            <w:r>
              <w:rPr>
                <w:rFonts w:ascii="Arial" w:cs="Arial" w:eastAsia="Arial" w:hAnsi="Arial"/>
                <w:sz w:val="18"/>
                <w:szCs w:val="18"/>
                <w:b w:val="1"/>
                <w:bCs w:val="1"/>
                <w:color w:val="auto"/>
              </w:rPr>
              <w:t>7,568</w:t>
            </w:r>
          </w:p>
        </w:tc>
        <w:tc>
          <w:tcPr>
            <w:tcW w:w="2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6E7E7"/>
          </w:tcPr>
          <w:p>
            <w:pPr>
              <w:jc w:val="right"/>
              <w:ind w:right="12"/>
              <w:spacing w:after="0" w:line="202" w:lineRule="exact"/>
              <w:rPr>
                <w:sz w:val="20"/>
                <w:szCs w:val="20"/>
                <w:color w:val="auto"/>
              </w:rPr>
            </w:pPr>
            <w:r>
              <w:rPr>
                <w:rFonts w:ascii="Arial" w:cs="Arial" w:eastAsia="Arial" w:hAnsi="Arial"/>
                <w:sz w:val="18"/>
                <w:szCs w:val="18"/>
                <w:b w:val="1"/>
                <w:bCs w:val="1"/>
                <w:color w:val="auto"/>
              </w:rPr>
              <w:t>2,286</w:t>
            </w:r>
          </w:p>
        </w:tc>
        <w:tc>
          <w:tcPr>
            <w:tcW w:w="2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2,008</w:t>
            </w:r>
          </w:p>
        </w:tc>
        <w:tc>
          <w:tcPr>
            <w:tcW w:w="260" w:type="dxa"/>
            <w:vAlign w:val="bottom"/>
            <w:shd w:val="clear" w:color="auto" w:fill="E6E7E7"/>
          </w:tcPr>
          <w:p>
            <w:pPr>
              <w:ind w:left="100"/>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E6E7E7"/>
          </w:tcPr>
          <w:p>
            <w:pPr>
              <w:jc w:val="right"/>
              <w:ind w:right="12"/>
              <w:spacing w:after="0" w:line="202" w:lineRule="exact"/>
              <w:rPr>
                <w:sz w:val="20"/>
                <w:szCs w:val="20"/>
                <w:color w:val="auto"/>
              </w:rPr>
            </w:pPr>
            <w:r>
              <w:rPr>
                <w:rFonts w:ascii="Arial" w:cs="Arial" w:eastAsia="Arial" w:hAnsi="Arial"/>
                <w:sz w:val="18"/>
                <w:szCs w:val="18"/>
                <w:b w:val="1"/>
                <w:bCs w:val="1"/>
                <w:color w:val="auto"/>
              </w:rPr>
              <w:t>525</w:t>
            </w:r>
          </w:p>
        </w:tc>
        <w:tc>
          <w:tcPr>
            <w:tcW w:w="2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14,255</w:t>
            </w:r>
          </w:p>
        </w:tc>
      </w:tr>
      <w:tr>
        <w:trPr>
          <w:trHeight w:val="203"/>
        </w:trPr>
        <w:tc>
          <w:tcPr>
            <w:tcW w:w="4520" w:type="dxa"/>
            <w:vAlign w:val="bottom"/>
          </w:tcPr>
          <w:p>
            <w:pPr>
              <w:jc w:val="right"/>
              <w:ind w:right="3612"/>
              <w:spacing w:after="0" w:line="202" w:lineRule="exact"/>
              <w:rPr>
                <w:sz w:val="20"/>
                <w:szCs w:val="20"/>
                <w:color w:val="auto"/>
              </w:rPr>
            </w:pPr>
            <w:r>
              <w:rPr>
                <w:rFonts w:ascii="Arial" w:cs="Arial" w:eastAsia="Arial" w:hAnsi="Arial"/>
                <w:sz w:val="18"/>
                <w:szCs w:val="18"/>
                <w:color w:val="auto"/>
              </w:rPr>
              <w:t>2005</w:t>
            </w:r>
          </w:p>
        </w:tc>
        <w:tc>
          <w:tcPr>
            <w:tcW w:w="1560" w:type="dxa"/>
            <w:vAlign w:val="bottom"/>
          </w:tcPr>
          <w:p>
            <w:pPr>
              <w:spacing w:after="0"/>
              <w:rPr>
                <w:sz w:val="17"/>
                <w:szCs w:val="17"/>
                <w:color w:val="auto"/>
              </w:rPr>
            </w:pPr>
          </w:p>
        </w:tc>
        <w:tc>
          <w:tcPr>
            <w:tcW w:w="600" w:type="dxa"/>
            <w:vAlign w:val="bottom"/>
          </w:tcPr>
          <w:p>
            <w:pPr>
              <w:ind w:left="60"/>
              <w:spacing w:after="0" w:line="202" w:lineRule="exact"/>
              <w:rPr>
                <w:sz w:val="20"/>
                <w:szCs w:val="20"/>
                <w:color w:val="auto"/>
              </w:rPr>
            </w:pPr>
            <w:r>
              <w:rPr>
                <w:rFonts w:ascii="Arial" w:cs="Arial" w:eastAsia="Arial" w:hAnsi="Arial"/>
                <w:sz w:val="18"/>
                <w:szCs w:val="18"/>
                <w:color w:val="auto"/>
              </w:rPr>
              <w:t>1,679</w:t>
            </w:r>
          </w:p>
        </w:tc>
        <w:tc>
          <w:tcPr>
            <w:tcW w:w="240" w:type="dxa"/>
            <w:vAlign w:val="bottom"/>
          </w:tcPr>
          <w:p>
            <w:pPr>
              <w:spacing w:after="0"/>
              <w:rPr>
                <w:sz w:val="17"/>
                <w:szCs w:val="17"/>
                <w:color w:val="auto"/>
              </w:rPr>
            </w:pPr>
          </w:p>
        </w:tc>
        <w:tc>
          <w:tcPr>
            <w:tcW w:w="6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6,277</w:t>
            </w:r>
          </w:p>
        </w:tc>
        <w:tc>
          <w:tcPr>
            <w:tcW w:w="240" w:type="dxa"/>
            <w:vAlign w:val="bottom"/>
          </w:tcPr>
          <w:p>
            <w:pPr>
              <w:spacing w:after="0"/>
              <w:rPr>
                <w:sz w:val="17"/>
                <w:szCs w:val="17"/>
                <w:color w:val="auto"/>
              </w:rPr>
            </w:pPr>
          </w:p>
        </w:tc>
        <w:tc>
          <w:tcPr>
            <w:tcW w:w="6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2,060</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1,821</w:t>
            </w:r>
          </w:p>
        </w:tc>
        <w:tc>
          <w:tcPr>
            <w:tcW w:w="260" w:type="dxa"/>
            <w:vAlign w:val="bottom"/>
          </w:tcPr>
          <w:p>
            <w:pPr>
              <w:spacing w:after="0"/>
              <w:rPr>
                <w:sz w:val="17"/>
                <w:szCs w:val="17"/>
                <w:color w:val="auto"/>
              </w:rPr>
            </w:pPr>
          </w:p>
        </w:tc>
        <w:tc>
          <w:tcPr>
            <w:tcW w:w="4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498</w:t>
            </w:r>
          </w:p>
        </w:tc>
        <w:tc>
          <w:tcPr>
            <w:tcW w:w="2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12,335</w:t>
            </w:r>
          </w:p>
        </w:tc>
      </w:tr>
      <w:tr>
        <w:trPr>
          <w:trHeight w:val="203"/>
        </w:trPr>
        <w:tc>
          <w:tcPr>
            <w:tcW w:w="4520" w:type="dxa"/>
            <w:vAlign w:val="bottom"/>
            <w:shd w:val="clear" w:color="auto" w:fill="E6E7E7"/>
          </w:tcPr>
          <w:p>
            <w:pPr>
              <w:jc w:val="right"/>
              <w:ind w:right="3612"/>
              <w:spacing w:after="0" w:line="202" w:lineRule="exact"/>
              <w:rPr>
                <w:sz w:val="20"/>
                <w:szCs w:val="20"/>
                <w:color w:val="auto"/>
              </w:rPr>
            </w:pPr>
            <w:r>
              <w:rPr>
                <w:rFonts w:ascii="Arial" w:cs="Arial" w:eastAsia="Arial" w:hAnsi="Arial"/>
                <w:sz w:val="18"/>
                <w:szCs w:val="18"/>
                <w:color w:val="auto"/>
              </w:rPr>
              <w:t>2004</w:t>
            </w:r>
          </w:p>
        </w:tc>
        <w:tc>
          <w:tcPr>
            <w:tcW w:w="1560" w:type="dxa"/>
            <w:vAlign w:val="bottom"/>
            <w:shd w:val="clear" w:color="auto" w:fill="E6E7E7"/>
          </w:tcPr>
          <w:p>
            <w:pPr>
              <w:spacing w:after="0"/>
              <w:rPr>
                <w:sz w:val="17"/>
                <w:szCs w:val="17"/>
                <w:color w:val="auto"/>
              </w:rPr>
            </w:pPr>
          </w:p>
        </w:tc>
        <w:tc>
          <w:tcPr>
            <w:tcW w:w="600" w:type="dxa"/>
            <w:vAlign w:val="bottom"/>
            <w:shd w:val="clear" w:color="auto" w:fill="E6E7E7"/>
          </w:tcPr>
          <w:p>
            <w:pPr>
              <w:ind w:left="60"/>
              <w:spacing w:after="0" w:line="202" w:lineRule="exact"/>
              <w:rPr>
                <w:sz w:val="20"/>
                <w:szCs w:val="20"/>
                <w:color w:val="auto"/>
              </w:rPr>
            </w:pPr>
            <w:r>
              <w:rPr>
                <w:rFonts w:ascii="Arial" w:cs="Arial" w:eastAsia="Arial" w:hAnsi="Arial"/>
                <w:sz w:val="18"/>
                <w:szCs w:val="18"/>
                <w:color w:val="auto"/>
              </w:rPr>
              <w:t>1,601</w:t>
            </w:r>
          </w:p>
        </w:tc>
        <w:tc>
          <w:tcPr>
            <w:tcW w:w="240" w:type="dxa"/>
            <w:vAlign w:val="bottom"/>
            <w:shd w:val="clear" w:color="auto" w:fill="E6E7E7"/>
          </w:tcPr>
          <w:p>
            <w:pPr>
              <w:spacing w:after="0"/>
              <w:rPr>
                <w:sz w:val="17"/>
                <w:szCs w:val="17"/>
                <w:color w:val="auto"/>
              </w:rPr>
            </w:pPr>
          </w:p>
        </w:tc>
        <w:tc>
          <w:tcPr>
            <w:tcW w:w="600" w:type="dxa"/>
            <w:vAlign w:val="bottom"/>
            <w:shd w:val="clear" w:color="auto" w:fill="E6E7E7"/>
          </w:tcPr>
          <w:p>
            <w:pPr>
              <w:jc w:val="right"/>
              <w:ind w:right="15"/>
              <w:spacing w:after="0" w:line="202" w:lineRule="exact"/>
              <w:rPr>
                <w:sz w:val="20"/>
                <w:szCs w:val="20"/>
                <w:color w:val="auto"/>
              </w:rPr>
            </w:pPr>
            <w:r>
              <w:rPr>
                <w:rFonts w:ascii="Arial" w:cs="Arial" w:eastAsia="Arial" w:hAnsi="Arial"/>
                <w:sz w:val="18"/>
                <w:szCs w:val="18"/>
                <w:color w:val="auto"/>
              </w:rPr>
              <w:t>5,584</w:t>
            </w:r>
          </w:p>
        </w:tc>
        <w:tc>
          <w:tcPr>
            <w:tcW w:w="240" w:type="dxa"/>
            <w:vAlign w:val="bottom"/>
            <w:shd w:val="clear" w:color="auto" w:fill="E6E7E7"/>
          </w:tcPr>
          <w:p>
            <w:pPr>
              <w:spacing w:after="0"/>
              <w:rPr>
                <w:sz w:val="17"/>
                <w:szCs w:val="17"/>
                <w:color w:val="auto"/>
              </w:rPr>
            </w:pPr>
          </w:p>
        </w:tc>
        <w:tc>
          <w:tcPr>
            <w:tcW w:w="600" w:type="dxa"/>
            <w:vAlign w:val="bottom"/>
            <w:shd w:val="clear" w:color="auto" w:fill="E6E7E7"/>
          </w:tcPr>
          <w:p>
            <w:pPr>
              <w:jc w:val="right"/>
              <w:ind w:right="12"/>
              <w:spacing w:after="0" w:line="202" w:lineRule="exact"/>
              <w:rPr>
                <w:sz w:val="20"/>
                <w:szCs w:val="20"/>
                <w:color w:val="auto"/>
              </w:rPr>
            </w:pPr>
            <w:r>
              <w:rPr>
                <w:rFonts w:ascii="Arial" w:cs="Arial" w:eastAsia="Arial" w:hAnsi="Arial"/>
                <w:sz w:val="18"/>
                <w:szCs w:val="18"/>
                <w:color w:val="auto"/>
              </w:rPr>
              <w:t>1,991</w:t>
            </w:r>
          </w:p>
        </w:tc>
        <w:tc>
          <w:tcPr>
            <w:tcW w:w="200" w:type="dxa"/>
            <w:vAlign w:val="bottom"/>
            <w:shd w:val="clear" w:color="auto" w:fill="E6E7E7"/>
          </w:tcPr>
          <w:p>
            <w:pPr>
              <w:spacing w:after="0"/>
              <w:rPr>
                <w:sz w:val="17"/>
                <w:szCs w:val="17"/>
                <w:color w:val="auto"/>
              </w:rPr>
            </w:pPr>
          </w:p>
        </w:tc>
        <w:tc>
          <w:tcPr>
            <w:tcW w:w="6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1,934</w:t>
            </w:r>
          </w:p>
        </w:tc>
        <w:tc>
          <w:tcPr>
            <w:tcW w:w="260" w:type="dxa"/>
            <w:vAlign w:val="bottom"/>
            <w:shd w:val="clear" w:color="auto" w:fill="E6E7E7"/>
          </w:tcPr>
          <w:p>
            <w:pPr>
              <w:spacing w:after="0"/>
              <w:rPr>
                <w:sz w:val="17"/>
                <w:szCs w:val="17"/>
                <w:color w:val="auto"/>
              </w:rPr>
            </w:pPr>
          </w:p>
        </w:tc>
        <w:tc>
          <w:tcPr>
            <w:tcW w:w="440" w:type="dxa"/>
            <w:vAlign w:val="bottom"/>
            <w:shd w:val="clear" w:color="auto" w:fill="E6E7E7"/>
          </w:tcPr>
          <w:p>
            <w:pPr>
              <w:jc w:val="right"/>
              <w:ind w:right="12"/>
              <w:spacing w:after="0" w:line="202" w:lineRule="exact"/>
              <w:rPr>
                <w:sz w:val="20"/>
                <w:szCs w:val="20"/>
                <w:color w:val="auto"/>
              </w:rPr>
            </w:pPr>
            <w:r>
              <w:rPr>
                <w:rFonts w:ascii="Arial" w:cs="Arial" w:eastAsia="Arial" w:hAnsi="Arial"/>
                <w:sz w:val="18"/>
                <w:szCs w:val="18"/>
                <w:color w:val="auto"/>
              </w:rPr>
              <w:t>442</w:t>
            </w:r>
          </w:p>
        </w:tc>
        <w:tc>
          <w:tcPr>
            <w:tcW w:w="240" w:type="dxa"/>
            <w:vAlign w:val="bottom"/>
            <w:shd w:val="clear" w:color="auto" w:fill="E6E7E7"/>
          </w:tcPr>
          <w:p>
            <w:pPr>
              <w:spacing w:after="0"/>
              <w:rPr>
                <w:sz w:val="17"/>
                <w:szCs w:val="17"/>
                <w:color w:val="auto"/>
              </w:rPr>
            </w:pPr>
          </w:p>
        </w:tc>
        <w:tc>
          <w:tcPr>
            <w:tcW w:w="6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11,552</w:t>
            </w:r>
          </w:p>
        </w:tc>
      </w:tr>
      <w:tr>
        <w:trPr>
          <w:trHeight w:val="203"/>
        </w:trPr>
        <w:tc>
          <w:tcPr>
            <w:tcW w:w="452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Property, plant and equipment, net</w:t>
            </w:r>
          </w:p>
        </w:tc>
        <w:tc>
          <w:tcPr>
            <w:tcW w:w="1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4520" w:type="dxa"/>
            <w:vAlign w:val="bottom"/>
            <w:shd w:val="clear" w:color="auto" w:fill="E6E7E7"/>
          </w:tcPr>
          <w:p>
            <w:pPr>
              <w:jc w:val="right"/>
              <w:ind w:right="3612"/>
              <w:spacing w:after="0" w:line="202" w:lineRule="exact"/>
              <w:rPr>
                <w:sz w:val="20"/>
                <w:szCs w:val="20"/>
                <w:color w:val="auto"/>
              </w:rPr>
            </w:pPr>
            <w:r>
              <w:rPr>
                <w:rFonts w:ascii="Arial" w:cs="Arial" w:eastAsia="Arial" w:hAnsi="Arial"/>
                <w:sz w:val="18"/>
                <w:szCs w:val="18"/>
                <w:b w:val="1"/>
                <w:bCs w:val="1"/>
                <w:color w:val="auto"/>
              </w:rPr>
              <w:t>2006</w:t>
            </w:r>
          </w:p>
        </w:tc>
        <w:tc>
          <w:tcPr>
            <w:tcW w:w="15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6E7E7"/>
          </w:tcPr>
          <w:p>
            <w:pPr>
              <w:ind w:left="60"/>
              <w:spacing w:after="0" w:line="202" w:lineRule="exact"/>
              <w:rPr>
                <w:sz w:val="20"/>
                <w:szCs w:val="20"/>
                <w:color w:val="auto"/>
              </w:rPr>
            </w:pPr>
            <w:r>
              <w:rPr>
                <w:rFonts w:ascii="Arial" w:cs="Arial" w:eastAsia="Arial" w:hAnsi="Arial"/>
                <w:sz w:val="18"/>
                <w:szCs w:val="18"/>
                <w:b w:val="1"/>
                <w:bCs w:val="1"/>
                <w:color w:val="auto"/>
              </w:rPr>
              <w:t>2,517</w:t>
            </w:r>
          </w:p>
        </w:tc>
        <w:tc>
          <w:tcPr>
            <w:tcW w:w="2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6E7E7"/>
          </w:tcPr>
          <w:p>
            <w:pPr>
              <w:jc w:val="right"/>
              <w:ind w:right="15"/>
              <w:spacing w:after="0" w:line="202" w:lineRule="exact"/>
              <w:rPr>
                <w:sz w:val="20"/>
                <w:szCs w:val="20"/>
                <w:color w:val="auto"/>
              </w:rPr>
            </w:pPr>
            <w:r>
              <w:rPr>
                <w:rFonts w:ascii="Arial" w:cs="Arial" w:eastAsia="Arial" w:hAnsi="Arial"/>
                <w:sz w:val="18"/>
                <w:szCs w:val="18"/>
                <w:b w:val="1"/>
                <w:bCs w:val="1"/>
                <w:color w:val="auto"/>
              </w:rPr>
              <w:t>944</w:t>
            </w:r>
          </w:p>
        </w:tc>
        <w:tc>
          <w:tcPr>
            <w:tcW w:w="2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6E7E7"/>
          </w:tcPr>
          <w:p>
            <w:pPr>
              <w:jc w:val="right"/>
              <w:ind w:right="12"/>
              <w:spacing w:after="0" w:line="202" w:lineRule="exact"/>
              <w:rPr>
                <w:sz w:val="20"/>
                <w:szCs w:val="20"/>
                <w:color w:val="auto"/>
              </w:rPr>
            </w:pPr>
            <w:r>
              <w:rPr>
                <w:rFonts w:ascii="Arial" w:cs="Arial" w:eastAsia="Arial" w:hAnsi="Arial"/>
                <w:sz w:val="18"/>
                <w:szCs w:val="18"/>
                <w:b w:val="1"/>
                <w:bCs w:val="1"/>
                <w:color w:val="auto"/>
              </w:rPr>
              <w:t>205</w:t>
            </w:r>
          </w:p>
        </w:tc>
        <w:tc>
          <w:tcPr>
            <w:tcW w:w="2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271</w:t>
            </w:r>
          </w:p>
        </w:tc>
        <w:tc>
          <w:tcPr>
            <w:tcW w:w="260" w:type="dxa"/>
            <w:vAlign w:val="bottom"/>
            <w:shd w:val="clear" w:color="auto" w:fill="E6E7E7"/>
          </w:tcPr>
          <w:p>
            <w:pPr>
              <w:ind w:left="100"/>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E6E7E7"/>
          </w:tcPr>
          <w:p>
            <w:pPr>
              <w:jc w:val="right"/>
              <w:ind w:right="12"/>
              <w:spacing w:after="0" w:line="202" w:lineRule="exact"/>
              <w:rPr>
                <w:sz w:val="20"/>
                <w:szCs w:val="20"/>
                <w:color w:val="auto"/>
              </w:rPr>
            </w:pPr>
            <w:r>
              <w:rPr>
                <w:rFonts w:ascii="Arial" w:cs="Arial" w:eastAsia="Arial" w:hAnsi="Arial"/>
                <w:sz w:val="18"/>
                <w:szCs w:val="18"/>
                <w:b w:val="1"/>
                <w:bCs w:val="1"/>
                <w:color w:val="auto"/>
              </w:rPr>
              <w:t>13</w:t>
            </w:r>
          </w:p>
        </w:tc>
        <w:tc>
          <w:tcPr>
            <w:tcW w:w="2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3,950</w:t>
            </w:r>
          </w:p>
        </w:tc>
      </w:tr>
      <w:tr>
        <w:trPr>
          <w:trHeight w:val="203"/>
        </w:trPr>
        <w:tc>
          <w:tcPr>
            <w:tcW w:w="4520" w:type="dxa"/>
            <w:vAlign w:val="bottom"/>
          </w:tcPr>
          <w:p>
            <w:pPr>
              <w:jc w:val="right"/>
              <w:ind w:right="3612"/>
              <w:spacing w:after="0" w:line="202" w:lineRule="exact"/>
              <w:rPr>
                <w:sz w:val="20"/>
                <w:szCs w:val="20"/>
                <w:color w:val="auto"/>
              </w:rPr>
            </w:pPr>
            <w:r>
              <w:rPr>
                <w:rFonts w:ascii="Arial" w:cs="Arial" w:eastAsia="Arial" w:hAnsi="Arial"/>
                <w:sz w:val="18"/>
                <w:szCs w:val="18"/>
                <w:color w:val="auto"/>
              </w:rPr>
              <w:t>2005</w:t>
            </w:r>
          </w:p>
        </w:tc>
        <w:tc>
          <w:tcPr>
            <w:tcW w:w="1560" w:type="dxa"/>
            <w:vAlign w:val="bottom"/>
          </w:tcPr>
          <w:p>
            <w:pPr>
              <w:spacing w:after="0"/>
              <w:rPr>
                <w:sz w:val="17"/>
                <w:szCs w:val="17"/>
                <w:color w:val="auto"/>
              </w:rPr>
            </w:pPr>
          </w:p>
        </w:tc>
        <w:tc>
          <w:tcPr>
            <w:tcW w:w="600" w:type="dxa"/>
            <w:vAlign w:val="bottom"/>
          </w:tcPr>
          <w:p>
            <w:pPr>
              <w:ind w:left="60"/>
              <w:spacing w:after="0" w:line="202" w:lineRule="exact"/>
              <w:rPr>
                <w:sz w:val="20"/>
                <w:szCs w:val="20"/>
                <w:color w:val="auto"/>
              </w:rPr>
            </w:pPr>
            <w:r>
              <w:rPr>
                <w:rFonts w:ascii="Arial" w:cs="Arial" w:eastAsia="Arial" w:hAnsi="Arial"/>
                <w:sz w:val="18"/>
                <w:szCs w:val="18"/>
                <w:color w:val="auto"/>
              </w:rPr>
              <w:t>2,544</w:t>
            </w:r>
          </w:p>
        </w:tc>
        <w:tc>
          <w:tcPr>
            <w:tcW w:w="240" w:type="dxa"/>
            <w:vAlign w:val="bottom"/>
          </w:tcPr>
          <w:p>
            <w:pPr>
              <w:spacing w:after="0"/>
              <w:rPr>
                <w:sz w:val="17"/>
                <w:szCs w:val="17"/>
                <w:color w:val="auto"/>
              </w:rPr>
            </w:pPr>
          </w:p>
        </w:tc>
        <w:tc>
          <w:tcPr>
            <w:tcW w:w="6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705</w:t>
            </w:r>
          </w:p>
        </w:tc>
        <w:tc>
          <w:tcPr>
            <w:tcW w:w="240" w:type="dxa"/>
            <w:vAlign w:val="bottom"/>
          </w:tcPr>
          <w:p>
            <w:pPr>
              <w:spacing w:after="0"/>
              <w:rPr>
                <w:sz w:val="17"/>
                <w:szCs w:val="17"/>
                <w:color w:val="auto"/>
              </w:rPr>
            </w:pPr>
          </w:p>
        </w:tc>
        <w:tc>
          <w:tcPr>
            <w:tcW w:w="6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208</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259</w:t>
            </w:r>
          </w:p>
        </w:tc>
        <w:tc>
          <w:tcPr>
            <w:tcW w:w="260" w:type="dxa"/>
            <w:vAlign w:val="bottom"/>
          </w:tcPr>
          <w:p>
            <w:pPr>
              <w:spacing w:after="0"/>
              <w:rPr>
                <w:sz w:val="17"/>
                <w:szCs w:val="17"/>
                <w:color w:val="auto"/>
              </w:rPr>
            </w:pPr>
          </w:p>
        </w:tc>
        <w:tc>
          <w:tcPr>
            <w:tcW w:w="4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w:t>
            </w:r>
          </w:p>
        </w:tc>
        <w:tc>
          <w:tcPr>
            <w:tcW w:w="2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3,730</w:t>
            </w:r>
          </w:p>
        </w:tc>
      </w:tr>
      <w:tr>
        <w:trPr>
          <w:trHeight w:val="203"/>
        </w:trPr>
        <w:tc>
          <w:tcPr>
            <w:tcW w:w="4520" w:type="dxa"/>
            <w:vAlign w:val="bottom"/>
            <w:shd w:val="clear" w:color="auto" w:fill="E6E7E7"/>
          </w:tcPr>
          <w:p>
            <w:pPr>
              <w:jc w:val="right"/>
              <w:ind w:right="3612"/>
              <w:spacing w:after="0" w:line="202" w:lineRule="exact"/>
              <w:rPr>
                <w:sz w:val="20"/>
                <w:szCs w:val="20"/>
                <w:color w:val="auto"/>
              </w:rPr>
            </w:pPr>
            <w:r>
              <w:rPr>
                <w:rFonts w:ascii="Arial" w:cs="Arial" w:eastAsia="Arial" w:hAnsi="Arial"/>
                <w:sz w:val="18"/>
                <w:szCs w:val="18"/>
                <w:color w:val="auto"/>
              </w:rPr>
              <w:t>2004</w:t>
            </w:r>
          </w:p>
        </w:tc>
        <w:tc>
          <w:tcPr>
            <w:tcW w:w="1560" w:type="dxa"/>
            <w:vAlign w:val="bottom"/>
            <w:shd w:val="clear" w:color="auto" w:fill="E6E7E7"/>
          </w:tcPr>
          <w:p>
            <w:pPr>
              <w:spacing w:after="0"/>
              <w:rPr>
                <w:sz w:val="17"/>
                <w:szCs w:val="17"/>
                <w:color w:val="auto"/>
              </w:rPr>
            </w:pPr>
          </w:p>
        </w:tc>
        <w:tc>
          <w:tcPr>
            <w:tcW w:w="600" w:type="dxa"/>
            <w:vAlign w:val="bottom"/>
            <w:shd w:val="clear" w:color="auto" w:fill="E6E7E7"/>
          </w:tcPr>
          <w:p>
            <w:pPr>
              <w:ind w:left="60"/>
              <w:spacing w:after="0" w:line="202" w:lineRule="exact"/>
              <w:rPr>
                <w:sz w:val="20"/>
                <w:szCs w:val="20"/>
                <w:color w:val="auto"/>
              </w:rPr>
            </w:pPr>
            <w:r>
              <w:rPr>
                <w:rFonts w:ascii="Arial" w:cs="Arial" w:eastAsia="Arial" w:hAnsi="Arial"/>
                <w:sz w:val="18"/>
                <w:szCs w:val="18"/>
                <w:color w:val="auto"/>
              </w:rPr>
              <w:t>2,561</w:t>
            </w:r>
          </w:p>
        </w:tc>
        <w:tc>
          <w:tcPr>
            <w:tcW w:w="240" w:type="dxa"/>
            <w:vAlign w:val="bottom"/>
            <w:shd w:val="clear" w:color="auto" w:fill="E6E7E7"/>
          </w:tcPr>
          <w:p>
            <w:pPr>
              <w:spacing w:after="0"/>
              <w:rPr>
                <w:sz w:val="17"/>
                <w:szCs w:val="17"/>
                <w:color w:val="auto"/>
              </w:rPr>
            </w:pPr>
          </w:p>
        </w:tc>
        <w:tc>
          <w:tcPr>
            <w:tcW w:w="600" w:type="dxa"/>
            <w:vAlign w:val="bottom"/>
            <w:shd w:val="clear" w:color="auto" w:fill="E6E7E7"/>
          </w:tcPr>
          <w:p>
            <w:pPr>
              <w:jc w:val="right"/>
              <w:ind w:right="15"/>
              <w:spacing w:after="0" w:line="202" w:lineRule="exact"/>
              <w:rPr>
                <w:sz w:val="20"/>
                <w:szCs w:val="20"/>
                <w:color w:val="auto"/>
              </w:rPr>
            </w:pPr>
            <w:r>
              <w:rPr>
                <w:rFonts w:ascii="Arial" w:cs="Arial" w:eastAsia="Arial" w:hAnsi="Arial"/>
                <w:sz w:val="18"/>
                <w:szCs w:val="18"/>
                <w:color w:val="auto"/>
              </w:rPr>
              <w:t>656</w:t>
            </w:r>
          </w:p>
        </w:tc>
        <w:tc>
          <w:tcPr>
            <w:tcW w:w="240" w:type="dxa"/>
            <w:vAlign w:val="bottom"/>
            <w:shd w:val="clear" w:color="auto" w:fill="E6E7E7"/>
          </w:tcPr>
          <w:p>
            <w:pPr>
              <w:spacing w:after="0"/>
              <w:rPr>
                <w:sz w:val="17"/>
                <w:szCs w:val="17"/>
                <w:color w:val="auto"/>
              </w:rPr>
            </w:pPr>
          </w:p>
        </w:tc>
        <w:tc>
          <w:tcPr>
            <w:tcW w:w="600" w:type="dxa"/>
            <w:vAlign w:val="bottom"/>
            <w:shd w:val="clear" w:color="auto" w:fill="E6E7E7"/>
          </w:tcPr>
          <w:p>
            <w:pPr>
              <w:jc w:val="right"/>
              <w:ind w:right="12"/>
              <w:spacing w:after="0" w:line="202" w:lineRule="exact"/>
              <w:rPr>
                <w:sz w:val="20"/>
                <w:szCs w:val="20"/>
                <w:color w:val="auto"/>
              </w:rPr>
            </w:pPr>
            <w:r>
              <w:rPr>
                <w:rFonts w:ascii="Arial" w:cs="Arial" w:eastAsia="Arial" w:hAnsi="Arial"/>
                <w:sz w:val="18"/>
                <w:szCs w:val="18"/>
                <w:color w:val="auto"/>
              </w:rPr>
              <w:t>262</w:t>
            </w:r>
          </w:p>
        </w:tc>
        <w:tc>
          <w:tcPr>
            <w:tcW w:w="200" w:type="dxa"/>
            <w:vAlign w:val="bottom"/>
            <w:shd w:val="clear" w:color="auto" w:fill="E6E7E7"/>
          </w:tcPr>
          <w:p>
            <w:pPr>
              <w:spacing w:after="0"/>
              <w:rPr>
                <w:sz w:val="17"/>
                <w:szCs w:val="17"/>
                <w:color w:val="auto"/>
              </w:rPr>
            </w:pPr>
          </w:p>
        </w:tc>
        <w:tc>
          <w:tcPr>
            <w:tcW w:w="6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297</w:t>
            </w:r>
          </w:p>
        </w:tc>
        <w:tc>
          <w:tcPr>
            <w:tcW w:w="260" w:type="dxa"/>
            <w:vAlign w:val="bottom"/>
            <w:shd w:val="clear" w:color="auto" w:fill="E6E7E7"/>
          </w:tcPr>
          <w:p>
            <w:pPr>
              <w:spacing w:after="0"/>
              <w:rPr>
                <w:sz w:val="17"/>
                <w:szCs w:val="17"/>
                <w:color w:val="auto"/>
              </w:rPr>
            </w:pPr>
          </w:p>
        </w:tc>
        <w:tc>
          <w:tcPr>
            <w:tcW w:w="440" w:type="dxa"/>
            <w:vAlign w:val="bottom"/>
            <w:shd w:val="clear" w:color="auto" w:fill="E6E7E7"/>
          </w:tcPr>
          <w:p>
            <w:pPr>
              <w:jc w:val="right"/>
              <w:ind w:right="12"/>
              <w:spacing w:after="0" w:line="202" w:lineRule="exact"/>
              <w:rPr>
                <w:sz w:val="20"/>
                <w:szCs w:val="20"/>
                <w:color w:val="auto"/>
              </w:rPr>
            </w:pPr>
            <w:r>
              <w:rPr>
                <w:rFonts w:ascii="Arial" w:cs="Arial" w:eastAsia="Arial" w:hAnsi="Arial"/>
                <w:sz w:val="18"/>
                <w:szCs w:val="18"/>
                <w:color w:val="auto"/>
              </w:rPr>
              <w:t>18</w:t>
            </w:r>
          </w:p>
        </w:tc>
        <w:tc>
          <w:tcPr>
            <w:tcW w:w="240" w:type="dxa"/>
            <w:vAlign w:val="bottom"/>
            <w:shd w:val="clear" w:color="auto" w:fill="E6E7E7"/>
          </w:tcPr>
          <w:p>
            <w:pPr>
              <w:spacing w:after="0"/>
              <w:rPr>
                <w:sz w:val="17"/>
                <w:szCs w:val="17"/>
                <w:color w:val="auto"/>
              </w:rPr>
            </w:pPr>
          </w:p>
        </w:tc>
        <w:tc>
          <w:tcPr>
            <w:tcW w:w="6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3,794</w:t>
            </w:r>
          </w:p>
        </w:tc>
      </w:tr>
    </w:tbl>
    <w:p>
      <w:pPr>
        <w:sectPr>
          <w:pgSz w:w="11900" w:h="16838" w:orient="portrait"/>
          <w:cols w:equalWidth="0" w:num="1">
            <w:col w:w="11060"/>
          </w:cols>
          <w:pgMar w:left="600" w:top="287" w:right="239" w:bottom="1440" w:gutter="0" w:footer="0" w:header="0"/>
        </w:sectPr>
      </w:pPr>
    </w:p>
    <w:bookmarkStart w:id="83" w:name="page84"/>
    <w:bookmarkEnd w:id="83"/>
    <w:p>
      <w:pPr>
        <w:spacing w:after="0"/>
        <w:tabs>
          <w:tab w:leader="none" w:pos="36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34</w:t>
        <w:tab/>
        <w:t>TEXAS INSTRUMENTS 2006 ANNUAL REPORT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Major Customer</w:t>
      </w:r>
    </w:p>
    <w:p>
      <w:pPr>
        <w:spacing w:after="0" w:line="158" w:lineRule="exact"/>
        <w:rPr>
          <w:sz w:val="20"/>
          <w:szCs w:val="20"/>
          <w:color w:val="auto"/>
        </w:rPr>
      </w:pPr>
    </w:p>
    <w:p>
      <w:pPr>
        <w:ind w:left="460"/>
        <w:spacing w:after="0" w:line="299" w:lineRule="auto"/>
        <w:rPr>
          <w:sz w:val="20"/>
          <w:szCs w:val="20"/>
          <w:color w:val="auto"/>
        </w:rPr>
      </w:pPr>
      <w:r>
        <w:rPr>
          <w:rFonts w:ascii="Arial" w:cs="Arial" w:eastAsia="Arial" w:hAnsi="Arial"/>
          <w:sz w:val="16"/>
          <w:szCs w:val="16"/>
          <w:color w:val="auto"/>
        </w:rPr>
        <w:t>Direct sales to the Nokia group of companies were 11 percent of our revenue in 2006, 2005 and 2004, although if indirect sales such as to contract manufacturers are included, Nokia accounted for 15 percent, 16 percent and 13 percent of our 2006, 2005 and 2004 revenue.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 Income Taxes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Income from Continuing Operations before Income Taxes</w:t>
      </w:r>
    </w:p>
    <w:p>
      <w:pPr>
        <w:spacing w:after="0" w:line="18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00" w:type="dxa"/>
            <w:vAlign w:val="bottom"/>
            <w:shd w:val="clear" w:color="auto" w:fill="939598"/>
          </w:tcPr>
          <w:p>
            <w:pPr>
              <w:spacing w:after="0"/>
              <w:rPr>
                <w:sz w:val="14"/>
                <w:szCs w:val="14"/>
                <w:color w:val="auto"/>
              </w:rPr>
            </w:pPr>
          </w:p>
        </w:tc>
        <w:tc>
          <w:tcPr>
            <w:tcW w:w="2120" w:type="dxa"/>
            <w:vAlign w:val="bottom"/>
            <w:shd w:val="clear" w:color="auto" w:fill="939598"/>
          </w:tcPr>
          <w:p>
            <w:pPr>
              <w:spacing w:after="0"/>
              <w:rPr>
                <w:sz w:val="14"/>
                <w:szCs w:val="14"/>
                <w:color w:val="auto"/>
              </w:rPr>
            </w:pPr>
          </w:p>
        </w:tc>
        <w:tc>
          <w:tcPr>
            <w:tcW w:w="5200" w:type="dxa"/>
            <w:vAlign w:val="bottom"/>
            <w:shd w:val="clear" w:color="auto" w:fill="939598"/>
          </w:tcPr>
          <w:p>
            <w:pPr>
              <w:spacing w:after="0"/>
              <w:rPr>
                <w:sz w:val="14"/>
                <w:szCs w:val="14"/>
                <w:color w:val="auto"/>
              </w:rPr>
            </w:pPr>
          </w:p>
        </w:tc>
        <w:tc>
          <w:tcPr>
            <w:tcW w:w="460" w:type="dxa"/>
            <w:vAlign w:val="bottom"/>
            <w:shd w:val="clear" w:color="auto" w:fill="939598"/>
          </w:tcPr>
          <w:p>
            <w:pPr>
              <w:spacing w:after="0"/>
              <w:rPr>
                <w:sz w:val="14"/>
                <w:szCs w:val="14"/>
                <w:color w:val="auto"/>
              </w:rPr>
            </w:pPr>
          </w:p>
        </w:tc>
        <w:tc>
          <w:tcPr>
            <w:tcW w:w="580" w:type="dxa"/>
            <w:vAlign w:val="bottom"/>
            <w:shd w:val="clear" w:color="auto" w:fill="939598"/>
          </w:tcPr>
          <w:p>
            <w:pPr>
              <w:spacing w:after="0"/>
              <w:rPr>
                <w:sz w:val="14"/>
                <w:szCs w:val="14"/>
                <w:color w:val="auto"/>
              </w:rPr>
            </w:pPr>
          </w:p>
        </w:tc>
        <w:tc>
          <w:tcPr>
            <w:tcW w:w="680" w:type="dxa"/>
            <w:vAlign w:val="bottom"/>
            <w:gridSpan w:val="3"/>
            <w:shd w:val="clear" w:color="auto" w:fill="939598"/>
          </w:tcPr>
          <w:p>
            <w:pPr>
              <w:jc w:val="right"/>
              <w:ind w:right="294"/>
              <w:spacing w:after="0"/>
              <w:rPr>
                <w:sz w:val="20"/>
                <w:szCs w:val="20"/>
                <w:color w:val="auto"/>
              </w:rPr>
            </w:pPr>
            <w:r>
              <w:rPr>
                <w:rFonts w:ascii="Arial" w:cs="Arial" w:eastAsia="Arial" w:hAnsi="Arial"/>
                <w:sz w:val="14"/>
                <w:szCs w:val="14"/>
                <w:b w:val="1"/>
                <w:bCs w:val="1"/>
                <w:color w:val="FFFFFF"/>
              </w:rPr>
              <w:t>U.S.</w:t>
            </w:r>
          </w:p>
        </w:tc>
        <w:tc>
          <w:tcPr>
            <w:tcW w:w="840" w:type="dxa"/>
            <w:vAlign w:val="bottom"/>
            <w:gridSpan w:val="3"/>
            <w:shd w:val="clear" w:color="auto" w:fill="939598"/>
          </w:tcPr>
          <w:p>
            <w:pPr>
              <w:jc w:val="right"/>
              <w:ind w:right="113"/>
              <w:spacing w:after="0"/>
              <w:rPr>
                <w:sz w:val="20"/>
                <w:szCs w:val="20"/>
                <w:color w:val="auto"/>
              </w:rPr>
            </w:pPr>
            <w:r>
              <w:rPr>
                <w:rFonts w:ascii="Arial" w:cs="Arial" w:eastAsia="Arial" w:hAnsi="Arial"/>
                <w:sz w:val="14"/>
                <w:szCs w:val="14"/>
                <w:b w:val="1"/>
                <w:bCs w:val="1"/>
                <w:color w:val="FFFFFF"/>
              </w:rPr>
              <w:t>Non-U.S.</w:t>
            </w:r>
          </w:p>
        </w:tc>
        <w:tc>
          <w:tcPr>
            <w:tcW w:w="160" w:type="dxa"/>
            <w:vAlign w:val="bottom"/>
            <w:shd w:val="clear" w:color="auto" w:fill="939598"/>
          </w:tcPr>
          <w:p>
            <w:pPr>
              <w:spacing w:after="0"/>
              <w:rPr>
                <w:sz w:val="14"/>
                <w:szCs w:val="14"/>
                <w:color w:val="auto"/>
              </w:rPr>
            </w:pPr>
          </w:p>
        </w:tc>
        <w:tc>
          <w:tcPr>
            <w:tcW w:w="580" w:type="dxa"/>
            <w:vAlign w:val="bottom"/>
            <w:gridSpan w:val="2"/>
            <w:shd w:val="clear" w:color="auto" w:fill="939598"/>
          </w:tcPr>
          <w:p>
            <w:pPr>
              <w:jc w:val="right"/>
              <w:ind w:right="22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70"/>
        </w:trPr>
        <w:tc>
          <w:tcPr>
            <w:tcW w:w="2220" w:type="dxa"/>
            <w:vAlign w:val="bottom"/>
            <w:gridSpan w:val="2"/>
          </w:tcPr>
          <w:p>
            <w:pPr>
              <w:ind w:left="200"/>
              <w:spacing w:after="0"/>
              <w:rPr>
                <w:sz w:val="20"/>
                <w:szCs w:val="20"/>
                <w:color w:val="auto"/>
              </w:rPr>
            </w:pPr>
            <w:r>
              <w:rPr>
                <w:rFonts w:ascii="Arial" w:cs="Arial" w:eastAsia="Arial" w:hAnsi="Arial"/>
                <w:sz w:val="18"/>
                <w:szCs w:val="18"/>
                <w:b w:val="1"/>
                <w:bCs w:val="1"/>
                <w:color w:val="auto"/>
              </w:rPr>
              <w:t>2006</w:t>
            </w:r>
          </w:p>
        </w:tc>
        <w:tc>
          <w:tcPr>
            <w:tcW w:w="520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tcPr>
          <w:p>
            <w:pPr>
              <w:ind w:left="60"/>
              <w:spacing w:after="0"/>
              <w:rPr>
                <w:sz w:val="20"/>
                <w:szCs w:val="20"/>
                <w:color w:val="auto"/>
              </w:rPr>
            </w:pPr>
            <w:r>
              <w:rPr>
                <w:rFonts w:ascii="Arial" w:cs="Arial" w:eastAsia="Arial" w:hAnsi="Arial"/>
                <w:sz w:val="18"/>
                <w:szCs w:val="18"/>
                <w:b w:val="1"/>
                <w:bCs w:val="1"/>
                <w:color w:val="auto"/>
              </w:rPr>
              <w:t>2,582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gridSpan w:val="2"/>
          </w:tcPr>
          <w:p>
            <w:pPr>
              <w:jc w:val="right"/>
              <w:ind w:right="73"/>
              <w:spacing w:after="0"/>
              <w:rPr>
                <w:sz w:val="20"/>
                <w:szCs w:val="20"/>
                <w:color w:val="auto"/>
              </w:rPr>
            </w:pPr>
            <w:r>
              <w:rPr>
                <w:rFonts w:ascii="Arial" w:cs="Arial" w:eastAsia="Arial" w:hAnsi="Arial"/>
                <w:sz w:val="18"/>
                <w:szCs w:val="18"/>
                <w:b w:val="1"/>
                <w:bCs w:val="1"/>
                <w:color w:val="auto"/>
              </w:rPr>
              <w:t>1,043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3,625</w:t>
            </w:r>
          </w:p>
        </w:tc>
        <w:tc>
          <w:tcPr>
            <w:tcW w:w="0" w:type="dxa"/>
            <w:vAlign w:val="bottom"/>
          </w:tcPr>
          <w:p>
            <w:pPr>
              <w:spacing w:after="0"/>
              <w:rPr>
                <w:sz w:val="1"/>
                <w:szCs w:val="1"/>
                <w:color w:val="auto"/>
              </w:rPr>
            </w:pPr>
          </w:p>
        </w:tc>
      </w:tr>
      <w:tr>
        <w:trPr>
          <w:trHeight w:val="203"/>
        </w:trPr>
        <w:tc>
          <w:tcPr>
            <w:tcW w:w="2220" w:type="dxa"/>
            <w:vAlign w:val="bottom"/>
            <w:gridSpan w:val="2"/>
            <w:shd w:val="clear" w:color="auto" w:fill="E6E7E7"/>
          </w:tcPr>
          <w:p>
            <w:pPr>
              <w:ind w:left="200"/>
              <w:spacing w:after="0" w:line="202" w:lineRule="exact"/>
              <w:rPr>
                <w:sz w:val="20"/>
                <w:szCs w:val="20"/>
                <w:color w:val="auto"/>
              </w:rPr>
            </w:pPr>
            <w:r>
              <w:rPr>
                <w:rFonts w:ascii="Arial" w:cs="Arial" w:eastAsia="Arial" w:hAnsi="Arial"/>
                <w:sz w:val="18"/>
                <w:szCs w:val="18"/>
                <w:color w:val="auto"/>
              </w:rPr>
              <w:t>2005</w:t>
            </w:r>
          </w:p>
        </w:tc>
        <w:tc>
          <w:tcPr>
            <w:tcW w:w="5200" w:type="dxa"/>
            <w:vAlign w:val="bottom"/>
            <w:shd w:val="clear" w:color="auto" w:fill="E6E7E7"/>
          </w:tcPr>
          <w:p>
            <w:pPr>
              <w:spacing w:after="0"/>
              <w:rPr>
                <w:sz w:val="17"/>
                <w:szCs w:val="17"/>
                <w:color w:val="auto"/>
              </w:rPr>
            </w:pPr>
          </w:p>
        </w:tc>
        <w:tc>
          <w:tcPr>
            <w:tcW w:w="460" w:type="dxa"/>
            <w:vAlign w:val="bottom"/>
            <w:shd w:val="clear" w:color="auto" w:fill="E6E7E7"/>
          </w:tcPr>
          <w:p>
            <w:pPr>
              <w:spacing w:after="0"/>
              <w:rPr>
                <w:sz w:val="17"/>
                <w:szCs w:val="17"/>
                <w:color w:val="auto"/>
              </w:rPr>
            </w:pPr>
          </w:p>
        </w:tc>
        <w:tc>
          <w:tcPr>
            <w:tcW w:w="580" w:type="dxa"/>
            <w:vAlign w:val="bottom"/>
            <w:shd w:val="clear" w:color="auto" w:fill="E6E7E7"/>
          </w:tcPr>
          <w:p>
            <w:pPr>
              <w:spacing w:after="0"/>
              <w:rPr>
                <w:sz w:val="17"/>
                <w:szCs w:val="17"/>
                <w:color w:val="auto"/>
              </w:rPr>
            </w:pPr>
          </w:p>
        </w:tc>
        <w:tc>
          <w:tcPr>
            <w:tcW w:w="680" w:type="dxa"/>
            <w:vAlign w:val="bottom"/>
            <w:gridSpan w:val="3"/>
            <w:shd w:val="clear" w:color="auto" w:fill="E6E7E7"/>
          </w:tcPr>
          <w:p>
            <w:pPr>
              <w:ind w:left="60"/>
              <w:spacing w:after="0" w:line="202" w:lineRule="exact"/>
              <w:rPr>
                <w:sz w:val="20"/>
                <w:szCs w:val="20"/>
                <w:color w:val="auto"/>
              </w:rPr>
            </w:pPr>
            <w:r>
              <w:rPr>
                <w:rFonts w:ascii="Arial" w:cs="Arial" w:eastAsia="Arial" w:hAnsi="Arial"/>
                <w:sz w:val="18"/>
                <w:szCs w:val="18"/>
                <w:color w:val="auto"/>
              </w:rPr>
              <w:t>1,770</w:t>
            </w:r>
          </w:p>
        </w:tc>
        <w:tc>
          <w:tcPr>
            <w:tcW w:w="180" w:type="dxa"/>
            <w:vAlign w:val="bottom"/>
            <w:shd w:val="clear" w:color="auto" w:fill="E6E7E7"/>
          </w:tcPr>
          <w:p>
            <w:pPr>
              <w:spacing w:after="0"/>
              <w:rPr>
                <w:sz w:val="17"/>
                <w:szCs w:val="17"/>
                <w:color w:val="auto"/>
              </w:rPr>
            </w:pPr>
          </w:p>
        </w:tc>
        <w:tc>
          <w:tcPr>
            <w:tcW w:w="160" w:type="dxa"/>
            <w:vAlign w:val="bottom"/>
            <w:shd w:val="clear" w:color="auto" w:fill="E6E7E7"/>
          </w:tcPr>
          <w:p>
            <w:pPr>
              <w:spacing w:after="0"/>
              <w:rPr>
                <w:sz w:val="17"/>
                <w:szCs w:val="17"/>
                <w:color w:val="auto"/>
              </w:rPr>
            </w:pPr>
          </w:p>
        </w:tc>
        <w:tc>
          <w:tcPr>
            <w:tcW w:w="500" w:type="dxa"/>
            <w:vAlign w:val="bottom"/>
            <w:shd w:val="clear" w:color="auto" w:fill="E6E7E7"/>
          </w:tcPr>
          <w:p>
            <w:pPr>
              <w:jc w:val="right"/>
              <w:ind w:right="73"/>
              <w:spacing w:after="0" w:line="202" w:lineRule="exact"/>
              <w:rPr>
                <w:sz w:val="20"/>
                <w:szCs w:val="20"/>
                <w:color w:val="auto"/>
              </w:rPr>
            </w:pPr>
            <w:r>
              <w:rPr>
                <w:rFonts w:ascii="Arial" w:cs="Arial" w:eastAsia="Arial" w:hAnsi="Arial"/>
                <w:sz w:val="18"/>
                <w:szCs w:val="18"/>
                <w:color w:val="auto"/>
              </w:rPr>
              <w:t>985</w:t>
            </w:r>
          </w:p>
        </w:tc>
        <w:tc>
          <w:tcPr>
            <w:tcW w:w="160" w:type="dxa"/>
            <w:vAlign w:val="bottom"/>
            <w:shd w:val="clear" w:color="auto" w:fill="E6E7E7"/>
          </w:tcPr>
          <w:p>
            <w:pPr>
              <w:spacing w:after="0"/>
              <w:rPr>
                <w:sz w:val="17"/>
                <w:szCs w:val="17"/>
                <w:color w:val="auto"/>
              </w:rPr>
            </w:pPr>
          </w:p>
        </w:tc>
        <w:tc>
          <w:tcPr>
            <w:tcW w:w="580" w:type="dxa"/>
            <w:vAlign w:val="bottom"/>
            <w:gridSpan w:val="2"/>
            <w:shd w:val="clear" w:color="auto" w:fill="E6E7E7"/>
          </w:tcPr>
          <w:p>
            <w:pPr>
              <w:jc w:val="right"/>
              <w:ind w:right="60"/>
              <w:spacing w:after="0" w:line="202" w:lineRule="exact"/>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4"/>
        </w:trPr>
        <w:tc>
          <w:tcPr>
            <w:tcW w:w="2220" w:type="dxa"/>
            <w:vAlign w:val="bottom"/>
            <w:gridSpan w:val="2"/>
          </w:tcPr>
          <w:p>
            <w:pPr>
              <w:ind w:left="200"/>
              <w:spacing w:after="0"/>
              <w:rPr>
                <w:sz w:val="20"/>
                <w:szCs w:val="20"/>
                <w:color w:val="auto"/>
              </w:rPr>
            </w:pPr>
            <w:r>
              <w:rPr>
                <w:rFonts w:ascii="Arial" w:cs="Arial" w:eastAsia="Arial" w:hAnsi="Arial"/>
                <w:sz w:val="18"/>
                <w:szCs w:val="18"/>
                <w:color w:val="auto"/>
              </w:rPr>
              <w:t>2004</w:t>
            </w:r>
          </w:p>
        </w:tc>
        <w:tc>
          <w:tcPr>
            <w:tcW w:w="5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gridSpan w:val="3"/>
          </w:tcPr>
          <w:p>
            <w:pPr>
              <w:ind w:left="60"/>
              <w:spacing w:after="0"/>
              <w:rPr>
                <w:sz w:val="20"/>
                <w:szCs w:val="20"/>
                <w:color w:val="auto"/>
              </w:rPr>
            </w:pPr>
            <w:r>
              <w:rPr>
                <w:rFonts w:ascii="Arial" w:cs="Arial" w:eastAsia="Arial" w:hAnsi="Arial"/>
                <w:sz w:val="18"/>
                <w:szCs w:val="18"/>
                <w:color w:val="auto"/>
              </w:rPr>
              <w:t>1,373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ind w:right="73"/>
              <w:spacing w:after="0"/>
              <w:rPr>
                <w:sz w:val="20"/>
                <w:szCs w:val="20"/>
                <w:color w:val="auto"/>
              </w:rPr>
            </w:pPr>
            <w:r>
              <w:rPr>
                <w:rFonts w:ascii="Arial" w:cs="Arial" w:eastAsia="Arial" w:hAnsi="Arial"/>
                <w:sz w:val="18"/>
                <w:szCs w:val="18"/>
                <w:color w:val="auto"/>
              </w:rPr>
              <w:t>799</w:t>
            </w:r>
          </w:p>
        </w:tc>
        <w:tc>
          <w:tcPr>
            <w:tcW w:w="1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326"/>
        </w:trPr>
        <w:tc>
          <w:tcPr>
            <w:tcW w:w="7420" w:type="dxa"/>
            <w:vAlign w:val="bottom"/>
            <w:gridSpan w:val="3"/>
          </w:tcPr>
          <w:p>
            <w:pPr>
              <w:ind w:left="100"/>
              <w:spacing w:after="0"/>
              <w:rPr>
                <w:sz w:val="20"/>
                <w:szCs w:val="20"/>
                <w:color w:val="auto"/>
              </w:rPr>
            </w:pPr>
            <w:r>
              <w:rPr>
                <w:rFonts w:ascii="Arial" w:cs="Arial" w:eastAsia="Arial" w:hAnsi="Arial"/>
                <w:sz w:val="18"/>
                <w:szCs w:val="18"/>
                <w:color w:val="auto"/>
              </w:rPr>
              <w:t>Provision for Income Taxes</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5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00" w:type="dxa"/>
            <w:vAlign w:val="bottom"/>
            <w:shd w:val="clear" w:color="auto" w:fill="939598"/>
          </w:tcPr>
          <w:p>
            <w:pPr>
              <w:spacing w:after="0"/>
              <w:rPr>
                <w:sz w:val="11"/>
                <w:szCs w:val="11"/>
                <w:color w:val="auto"/>
              </w:rPr>
            </w:pPr>
          </w:p>
        </w:tc>
        <w:tc>
          <w:tcPr>
            <w:tcW w:w="2120" w:type="dxa"/>
            <w:vAlign w:val="bottom"/>
            <w:shd w:val="clear" w:color="auto" w:fill="939598"/>
          </w:tcPr>
          <w:p>
            <w:pPr>
              <w:spacing w:after="0"/>
              <w:rPr>
                <w:sz w:val="11"/>
                <w:szCs w:val="11"/>
                <w:color w:val="auto"/>
              </w:rPr>
            </w:pPr>
          </w:p>
        </w:tc>
        <w:tc>
          <w:tcPr>
            <w:tcW w:w="5200" w:type="dxa"/>
            <w:vAlign w:val="bottom"/>
            <w:shd w:val="clear" w:color="auto" w:fill="939598"/>
          </w:tcPr>
          <w:p>
            <w:pPr>
              <w:spacing w:after="0"/>
              <w:rPr>
                <w:sz w:val="11"/>
                <w:szCs w:val="11"/>
                <w:color w:val="auto"/>
              </w:rPr>
            </w:pPr>
          </w:p>
        </w:tc>
        <w:tc>
          <w:tcPr>
            <w:tcW w:w="460" w:type="dxa"/>
            <w:vAlign w:val="bottom"/>
            <w:shd w:val="clear" w:color="auto" w:fill="939598"/>
          </w:tcPr>
          <w:p>
            <w:pPr>
              <w:spacing w:after="0"/>
              <w:rPr>
                <w:sz w:val="11"/>
                <w:szCs w:val="11"/>
                <w:color w:val="auto"/>
              </w:rPr>
            </w:pPr>
          </w:p>
        </w:tc>
        <w:tc>
          <w:tcPr>
            <w:tcW w:w="580" w:type="dxa"/>
            <w:vAlign w:val="bottom"/>
            <w:shd w:val="clear" w:color="auto" w:fill="939598"/>
          </w:tcPr>
          <w:p>
            <w:pPr>
              <w:jc w:val="right"/>
              <w:ind w:right="122"/>
              <w:spacing w:after="0" w:line="132" w:lineRule="exact"/>
              <w:rPr>
                <w:sz w:val="20"/>
                <w:szCs w:val="20"/>
                <w:color w:val="auto"/>
              </w:rPr>
            </w:pPr>
            <w:r>
              <w:rPr>
                <w:rFonts w:ascii="Arial" w:cs="Arial" w:eastAsia="Arial" w:hAnsi="Arial"/>
                <w:sz w:val="14"/>
                <w:szCs w:val="14"/>
                <w:b w:val="1"/>
                <w:bCs w:val="1"/>
                <w:color w:val="FFFFFF"/>
              </w:rPr>
              <w:t>U.S.</w:t>
            </w:r>
          </w:p>
        </w:tc>
        <w:tc>
          <w:tcPr>
            <w:tcW w:w="80" w:type="dxa"/>
            <w:vAlign w:val="bottom"/>
            <w:shd w:val="clear" w:color="auto" w:fill="939598"/>
          </w:tcPr>
          <w:p>
            <w:pPr>
              <w:spacing w:after="0"/>
              <w:rPr>
                <w:sz w:val="11"/>
                <w:szCs w:val="11"/>
                <w:color w:val="auto"/>
              </w:rPr>
            </w:pPr>
          </w:p>
        </w:tc>
        <w:tc>
          <w:tcPr>
            <w:tcW w:w="180" w:type="dxa"/>
            <w:vAlign w:val="bottom"/>
            <w:shd w:val="clear" w:color="auto" w:fill="939598"/>
          </w:tcPr>
          <w:p>
            <w:pPr>
              <w:spacing w:after="0"/>
              <w:rPr>
                <w:sz w:val="11"/>
                <w:szCs w:val="11"/>
                <w:color w:val="auto"/>
              </w:rPr>
            </w:pPr>
          </w:p>
        </w:tc>
        <w:tc>
          <w:tcPr>
            <w:tcW w:w="420" w:type="dxa"/>
            <w:vAlign w:val="bottom"/>
            <w:shd w:val="clear" w:color="auto" w:fill="939598"/>
          </w:tcPr>
          <w:p>
            <w:pPr>
              <w:spacing w:after="0" w:line="132" w:lineRule="exact"/>
              <w:rPr>
                <w:sz w:val="20"/>
                <w:szCs w:val="20"/>
                <w:color w:val="auto"/>
              </w:rPr>
            </w:pPr>
            <w:r>
              <w:rPr>
                <w:rFonts w:ascii="Arial" w:cs="Arial" w:eastAsia="Arial" w:hAnsi="Arial"/>
                <w:sz w:val="14"/>
                <w:szCs w:val="14"/>
                <w:b w:val="1"/>
                <w:bCs w:val="1"/>
                <w:color w:val="FFFFFF"/>
              </w:rPr>
              <w:t>Non-</w:t>
            </w:r>
          </w:p>
        </w:tc>
        <w:tc>
          <w:tcPr>
            <w:tcW w:w="180" w:type="dxa"/>
            <w:vAlign w:val="bottom"/>
            <w:shd w:val="clear" w:color="auto" w:fill="939598"/>
          </w:tcPr>
          <w:p>
            <w:pPr>
              <w:spacing w:after="0"/>
              <w:rPr>
                <w:sz w:val="11"/>
                <w:szCs w:val="11"/>
                <w:color w:val="auto"/>
              </w:rPr>
            </w:pPr>
          </w:p>
        </w:tc>
        <w:tc>
          <w:tcPr>
            <w:tcW w:w="660" w:type="dxa"/>
            <w:vAlign w:val="bottom"/>
            <w:gridSpan w:val="2"/>
            <w:shd w:val="clear" w:color="auto" w:fill="939598"/>
          </w:tcPr>
          <w:p>
            <w:pPr>
              <w:jc w:val="right"/>
              <w:ind w:right="193"/>
              <w:spacing w:after="0" w:line="132" w:lineRule="exact"/>
              <w:rPr>
                <w:sz w:val="20"/>
                <w:szCs w:val="20"/>
                <w:color w:val="auto"/>
              </w:rPr>
            </w:pPr>
            <w:r>
              <w:rPr>
                <w:rFonts w:ascii="Arial" w:cs="Arial" w:eastAsia="Arial" w:hAnsi="Arial"/>
                <w:sz w:val="14"/>
                <w:szCs w:val="14"/>
                <w:b w:val="1"/>
                <w:bCs w:val="1"/>
                <w:color w:val="FFFFFF"/>
              </w:rPr>
              <w:t>U.S.</w:t>
            </w:r>
          </w:p>
        </w:tc>
        <w:tc>
          <w:tcPr>
            <w:tcW w:w="160" w:type="dxa"/>
            <w:vAlign w:val="bottom"/>
            <w:shd w:val="clear" w:color="auto" w:fill="939598"/>
          </w:tcPr>
          <w:p>
            <w:pPr>
              <w:spacing w:after="0"/>
              <w:rPr>
                <w:sz w:val="11"/>
                <w:szCs w:val="11"/>
                <w:color w:val="auto"/>
              </w:rPr>
            </w:pPr>
          </w:p>
        </w:tc>
        <w:tc>
          <w:tcPr>
            <w:tcW w:w="520" w:type="dxa"/>
            <w:vAlign w:val="bottom"/>
            <w:shd w:val="clear" w:color="auto" w:fill="939598"/>
          </w:tcPr>
          <w:p>
            <w:pPr>
              <w:spacing w:after="0"/>
              <w:rPr>
                <w:sz w:val="11"/>
                <w:szCs w:val="11"/>
                <w:color w:val="auto"/>
              </w:rPr>
            </w:pPr>
          </w:p>
        </w:tc>
        <w:tc>
          <w:tcPr>
            <w:tcW w:w="60" w:type="dxa"/>
            <w:vAlign w:val="bottom"/>
            <w:shd w:val="clear" w:color="auto" w:fill="939598"/>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00" w:type="dxa"/>
            <w:vAlign w:val="bottom"/>
            <w:shd w:val="clear" w:color="auto" w:fill="939598"/>
          </w:tcPr>
          <w:p>
            <w:pPr>
              <w:spacing w:after="0"/>
              <w:rPr>
                <w:sz w:val="14"/>
                <w:szCs w:val="14"/>
                <w:color w:val="auto"/>
              </w:rPr>
            </w:pPr>
          </w:p>
        </w:tc>
        <w:tc>
          <w:tcPr>
            <w:tcW w:w="2120" w:type="dxa"/>
            <w:vAlign w:val="bottom"/>
            <w:shd w:val="clear" w:color="auto" w:fill="939598"/>
          </w:tcPr>
          <w:p>
            <w:pPr>
              <w:spacing w:after="0"/>
              <w:rPr>
                <w:sz w:val="14"/>
                <w:szCs w:val="14"/>
                <w:color w:val="auto"/>
              </w:rPr>
            </w:pPr>
          </w:p>
        </w:tc>
        <w:tc>
          <w:tcPr>
            <w:tcW w:w="5200" w:type="dxa"/>
            <w:vAlign w:val="bottom"/>
            <w:shd w:val="clear" w:color="auto" w:fill="939598"/>
          </w:tcPr>
          <w:p>
            <w:pPr>
              <w:spacing w:after="0"/>
              <w:rPr>
                <w:sz w:val="14"/>
                <w:szCs w:val="14"/>
                <w:color w:val="auto"/>
              </w:rPr>
            </w:pPr>
          </w:p>
        </w:tc>
        <w:tc>
          <w:tcPr>
            <w:tcW w:w="1040" w:type="dxa"/>
            <w:vAlign w:val="bottom"/>
            <w:gridSpan w:val="2"/>
            <w:shd w:val="clear" w:color="auto" w:fill="939598"/>
          </w:tcPr>
          <w:p>
            <w:pPr>
              <w:jc w:val="right"/>
              <w:ind w:right="22"/>
              <w:spacing w:after="0"/>
              <w:rPr>
                <w:sz w:val="20"/>
                <w:szCs w:val="20"/>
                <w:color w:val="auto"/>
              </w:rPr>
            </w:pPr>
            <w:r>
              <w:rPr>
                <w:rFonts w:ascii="Arial" w:cs="Arial" w:eastAsia="Arial" w:hAnsi="Arial"/>
                <w:sz w:val="14"/>
                <w:szCs w:val="14"/>
                <w:b w:val="1"/>
                <w:bCs w:val="1"/>
                <w:color w:val="FFFFFF"/>
              </w:rPr>
              <w:t>Federal</w:t>
            </w:r>
          </w:p>
        </w:tc>
        <w:tc>
          <w:tcPr>
            <w:tcW w:w="80" w:type="dxa"/>
            <w:vAlign w:val="bottom"/>
            <w:shd w:val="clear" w:color="auto" w:fill="939598"/>
          </w:tcPr>
          <w:p>
            <w:pPr>
              <w:spacing w:after="0"/>
              <w:rPr>
                <w:sz w:val="14"/>
                <w:szCs w:val="14"/>
                <w:color w:val="auto"/>
              </w:rPr>
            </w:pPr>
          </w:p>
        </w:tc>
        <w:tc>
          <w:tcPr>
            <w:tcW w:w="180" w:type="dxa"/>
            <w:vAlign w:val="bottom"/>
            <w:shd w:val="clear" w:color="auto" w:fill="939598"/>
          </w:tcPr>
          <w:p>
            <w:pPr>
              <w:spacing w:after="0"/>
              <w:rPr>
                <w:sz w:val="14"/>
                <w:szCs w:val="14"/>
                <w:color w:val="auto"/>
              </w:rPr>
            </w:pPr>
          </w:p>
        </w:tc>
        <w:tc>
          <w:tcPr>
            <w:tcW w:w="420" w:type="dxa"/>
            <w:vAlign w:val="bottom"/>
            <w:shd w:val="clear" w:color="auto" w:fill="939598"/>
          </w:tcPr>
          <w:p>
            <w:pPr>
              <w:ind w:left="20"/>
              <w:spacing w:after="0"/>
              <w:rPr>
                <w:sz w:val="20"/>
                <w:szCs w:val="20"/>
                <w:color w:val="auto"/>
              </w:rPr>
            </w:pPr>
            <w:r>
              <w:rPr>
                <w:rFonts w:ascii="Arial" w:cs="Arial" w:eastAsia="Arial" w:hAnsi="Arial"/>
                <w:sz w:val="14"/>
                <w:szCs w:val="14"/>
                <w:b w:val="1"/>
                <w:bCs w:val="1"/>
                <w:color w:val="FFFFFF"/>
              </w:rPr>
              <w:t>U.S.</w:t>
            </w:r>
          </w:p>
        </w:tc>
        <w:tc>
          <w:tcPr>
            <w:tcW w:w="180" w:type="dxa"/>
            <w:vAlign w:val="bottom"/>
            <w:shd w:val="clear" w:color="auto" w:fill="939598"/>
          </w:tcPr>
          <w:p>
            <w:pPr>
              <w:spacing w:after="0"/>
              <w:rPr>
                <w:sz w:val="14"/>
                <w:szCs w:val="14"/>
                <w:color w:val="auto"/>
              </w:rPr>
            </w:pPr>
          </w:p>
        </w:tc>
        <w:tc>
          <w:tcPr>
            <w:tcW w:w="660" w:type="dxa"/>
            <w:vAlign w:val="bottom"/>
            <w:gridSpan w:val="2"/>
            <w:shd w:val="clear" w:color="auto" w:fill="939598"/>
          </w:tcPr>
          <w:p>
            <w:pPr>
              <w:ind w:left="80"/>
              <w:spacing w:after="0"/>
              <w:rPr>
                <w:sz w:val="20"/>
                <w:szCs w:val="20"/>
                <w:color w:val="auto"/>
              </w:rPr>
            </w:pPr>
            <w:r>
              <w:rPr>
                <w:rFonts w:ascii="Arial" w:cs="Arial" w:eastAsia="Arial" w:hAnsi="Arial"/>
                <w:sz w:val="14"/>
                <w:szCs w:val="14"/>
                <w:b w:val="1"/>
                <w:bCs w:val="1"/>
                <w:color w:val="FFFFFF"/>
              </w:rPr>
              <w:t>State</w:t>
            </w:r>
          </w:p>
        </w:tc>
        <w:tc>
          <w:tcPr>
            <w:tcW w:w="160" w:type="dxa"/>
            <w:vAlign w:val="bottom"/>
            <w:shd w:val="clear" w:color="auto" w:fill="939598"/>
          </w:tcPr>
          <w:p>
            <w:pPr>
              <w:spacing w:after="0"/>
              <w:rPr>
                <w:sz w:val="14"/>
                <w:szCs w:val="14"/>
                <w:color w:val="auto"/>
              </w:rPr>
            </w:pPr>
          </w:p>
        </w:tc>
        <w:tc>
          <w:tcPr>
            <w:tcW w:w="580" w:type="dxa"/>
            <w:vAlign w:val="bottom"/>
            <w:gridSpan w:val="2"/>
            <w:shd w:val="clear" w:color="auto" w:fill="939598"/>
          </w:tcPr>
          <w:p>
            <w:pPr>
              <w:jc w:val="right"/>
              <w:ind w:right="240"/>
              <w:spacing w:after="0"/>
              <w:rPr>
                <w:sz w:val="20"/>
                <w:szCs w:val="20"/>
                <w:color w:val="auto"/>
              </w:rPr>
            </w:pPr>
            <w:r>
              <w:rPr>
                <w:rFonts w:ascii="Arial" w:cs="Arial" w:eastAsia="Arial" w:hAnsi="Arial"/>
                <w:sz w:val="14"/>
                <w:szCs w:val="14"/>
                <w:b w:val="1"/>
                <w:bCs w:val="1"/>
                <w:color w:val="FFFFFF"/>
                <w:w w:val="95"/>
              </w:rPr>
              <w:t>Total</w:t>
            </w:r>
          </w:p>
        </w:tc>
        <w:tc>
          <w:tcPr>
            <w:tcW w:w="0" w:type="dxa"/>
            <w:vAlign w:val="bottom"/>
          </w:tcPr>
          <w:p>
            <w:pPr>
              <w:spacing w:after="0"/>
              <w:rPr>
                <w:sz w:val="1"/>
                <w:szCs w:val="1"/>
                <w:color w:val="auto"/>
              </w:rPr>
            </w:pPr>
          </w:p>
        </w:tc>
      </w:tr>
      <w:tr>
        <w:trPr>
          <w:trHeight w:val="270"/>
        </w:trPr>
        <w:tc>
          <w:tcPr>
            <w:tcW w:w="2220" w:type="dxa"/>
            <w:vAlign w:val="bottom"/>
            <w:gridSpan w:val="2"/>
          </w:tcPr>
          <w:p>
            <w:pPr>
              <w:ind w:left="200"/>
              <w:spacing w:after="0"/>
              <w:rPr>
                <w:sz w:val="20"/>
                <w:szCs w:val="20"/>
                <w:color w:val="auto"/>
              </w:rPr>
            </w:pPr>
            <w:r>
              <w:rPr>
                <w:rFonts w:ascii="Arial" w:cs="Arial" w:eastAsia="Arial" w:hAnsi="Arial"/>
                <w:sz w:val="18"/>
                <w:szCs w:val="18"/>
                <w:b w:val="1"/>
                <w:bCs w:val="1"/>
                <w:color w:val="auto"/>
              </w:rPr>
              <w:t>2006</w:t>
            </w:r>
          </w:p>
        </w:tc>
        <w:tc>
          <w:tcPr>
            <w:tcW w:w="5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E6E7E7"/>
          </w:tcPr>
          <w:p>
            <w:pPr>
              <w:spacing w:after="0"/>
              <w:rPr>
                <w:sz w:val="17"/>
                <w:szCs w:val="17"/>
                <w:color w:val="auto"/>
              </w:rPr>
            </w:pPr>
          </w:p>
        </w:tc>
        <w:tc>
          <w:tcPr>
            <w:tcW w:w="7320" w:type="dxa"/>
            <w:vAlign w:val="bottom"/>
            <w:gridSpan w:val="2"/>
            <w:shd w:val="clear" w:color="auto" w:fill="E6E7E7"/>
          </w:tcPr>
          <w:p>
            <w:pPr>
              <w:ind w:left="100"/>
              <w:spacing w:after="0" w:line="202" w:lineRule="exact"/>
              <w:rPr>
                <w:sz w:val="20"/>
                <w:szCs w:val="20"/>
                <w:color w:val="auto"/>
              </w:rPr>
            </w:pPr>
            <w:r>
              <w:rPr>
                <w:rFonts w:ascii="Arial" w:cs="Arial" w:eastAsia="Arial" w:hAnsi="Arial"/>
                <w:sz w:val="18"/>
                <w:szCs w:val="18"/>
                <w:b w:val="1"/>
                <w:bCs w:val="1"/>
                <w:color w:val="auto"/>
              </w:rPr>
              <w:t>Current</w:t>
            </w:r>
          </w:p>
        </w:tc>
        <w:tc>
          <w:tcPr>
            <w:tcW w:w="1040" w:type="dxa"/>
            <w:vAlign w:val="bottom"/>
            <w:gridSpan w:val="2"/>
            <w:shd w:val="clear" w:color="auto" w:fill="E6E7E7"/>
          </w:tcPr>
          <w:p>
            <w:pPr>
              <w:jc w:val="right"/>
              <w:ind w:right="22"/>
              <w:spacing w:after="0" w:line="202" w:lineRule="exact"/>
              <w:rPr>
                <w:sz w:val="20"/>
                <w:szCs w:val="20"/>
                <w:color w:val="auto"/>
              </w:rPr>
            </w:pPr>
            <w:r>
              <w:rPr>
                <w:rFonts w:ascii="Arial" w:cs="Arial" w:eastAsia="Arial" w:hAnsi="Arial"/>
                <w:sz w:val="18"/>
                <w:szCs w:val="18"/>
                <w:b w:val="1"/>
                <w:bCs w:val="1"/>
                <w:color w:val="auto"/>
              </w:rPr>
              <w:t>$ 885</w:t>
            </w:r>
          </w:p>
        </w:tc>
        <w:tc>
          <w:tcPr>
            <w:tcW w:w="260" w:type="dxa"/>
            <w:vAlign w:val="bottom"/>
            <w:gridSpan w:val="2"/>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280</w:t>
            </w:r>
          </w:p>
        </w:tc>
        <w:tc>
          <w:tcPr>
            <w:tcW w:w="180" w:type="dxa"/>
            <w:vAlign w:val="bottom"/>
            <w:shd w:val="clear" w:color="auto" w:fill="E6E7E7"/>
          </w:tcPr>
          <w:p>
            <w:pPr>
              <w:spacing w:after="0"/>
              <w:rPr>
                <w:sz w:val="17"/>
                <w:szCs w:val="17"/>
                <w:color w:val="auto"/>
              </w:rPr>
            </w:pPr>
          </w:p>
        </w:tc>
        <w:tc>
          <w:tcPr>
            <w:tcW w:w="660" w:type="dxa"/>
            <w:vAlign w:val="bottom"/>
            <w:gridSpan w:val="2"/>
            <w:shd w:val="clear" w:color="auto" w:fill="E6E7E7"/>
          </w:tcPr>
          <w:p>
            <w:pPr>
              <w:jc w:val="right"/>
              <w:ind w:right="153"/>
              <w:spacing w:after="0" w:line="202" w:lineRule="exact"/>
              <w:rPr>
                <w:sz w:val="20"/>
                <w:szCs w:val="20"/>
                <w:color w:val="auto"/>
              </w:rPr>
            </w:pPr>
            <w:r>
              <w:rPr>
                <w:rFonts w:ascii="Arial" w:cs="Arial" w:eastAsia="Arial" w:hAnsi="Arial"/>
                <w:sz w:val="18"/>
                <w:szCs w:val="18"/>
                <w:b w:val="1"/>
                <w:bCs w:val="1"/>
                <w:color w:val="auto"/>
              </w:rPr>
              <w:t>$ 22</w:t>
            </w:r>
          </w:p>
        </w:tc>
        <w:tc>
          <w:tcPr>
            <w:tcW w:w="1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1,187</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7320" w:type="dxa"/>
            <w:vAlign w:val="bottom"/>
            <w:gridSpan w:val="2"/>
          </w:tcPr>
          <w:p>
            <w:pPr>
              <w:ind w:left="100"/>
              <w:spacing w:after="0" w:line="202" w:lineRule="exact"/>
              <w:rPr>
                <w:sz w:val="20"/>
                <w:szCs w:val="20"/>
                <w:color w:val="auto"/>
              </w:rPr>
            </w:pPr>
            <w:r>
              <w:rPr>
                <w:rFonts w:ascii="Arial" w:cs="Arial" w:eastAsia="Arial" w:hAnsi="Arial"/>
                <w:sz w:val="18"/>
                <w:szCs w:val="18"/>
                <w:b w:val="1"/>
                <w:bCs w:val="1"/>
                <w:color w:val="auto"/>
              </w:rPr>
              <w:t>Deferred</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w w:val="93"/>
              </w:rPr>
              <w:t>(13)</w:t>
            </w:r>
          </w:p>
        </w:tc>
        <w:tc>
          <w:tcPr>
            <w:tcW w:w="160" w:type="dxa"/>
            <w:vAlign w:val="bottom"/>
          </w:tcPr>
          <w:p>
            <w:pPr>
              <w:spacing w:after="0"/>
              <w:rPr>
                <w:sz w:val="18"/>
                <w:szCs w:val="18"/>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(200)</w:t>
            </w:r>
          </w:p>
        </w:tc>
        <w:tc>
          <w:tcPr>
            <w:tcW w:w="0" w:type="dxa"/>
            <w:vAlign w:val="bottom"/>
          </w:tcPr>
          <w:p>
            <w:pPr>
              <w:spacing w:after="0"/>
              <w:rPr>
                <w:sz w:val="1"/>
                <w:szCs w:val="1"/>
                <w:color w:val="auto"/>
              </w:rPr>
            </w:pPr>
          </w:p>
        </w:tc>
      </w:tr>
      <w:tr>
        <w:trPr>
          <w:trHeight w:val="203"/>
        </w:trPr>
        <w:tc>
          <w:tcPr>
            <w:tcW w:w="100" w:type="dxa"/>
            <w:vAlign w:val="bottom"/>
            <w:shd w:val="clear" w:color="auto" w:fill="E6E7E7"/>
          </w:tcPr>
          <w:p>
            <w:pPr>
              <w:spacing w:after="0"/>
              <w:rPr>
                <w:sz w:val="17"/>
                <w:szCs w:val="17"/>
                <w:color w:val="auto"/>
              </w:rPr>
            </w:pPr>
          </w:p>
        </w:tc>
        <w:tc>
          <w:tcPr>
            <w:tcW w:w="7320" w:type="dxa"/>
            <w:vAlign w:val="bottom"/>
            <w:gridSpan w:val="2"/>
            <w:shd w:val="clear" w:color="auto" w:fill="E6E7E7"/>
          </w:tcPr>
          <w:p>
            <w:pPr>
              <w:ind w:left="100"/>
              <w:spacing w:after="0" w:line="202" w:lineRule="exact"/>
              <w:rPr>
                <w:sz w:val="20"/>
                <w:szCs w:val="20"/>
                <w:color w:val="auto"/>
              </w:rPr>
            </w:pPr>
            <w:r>
              <w:rPr>
                <w:rFonts w:ascii="Arial" w:cs="Arial" w:eastAsia="Arial" w:hAnsi="Arial"/>
                <w:sz w:val="18"/>
                <w:szCs w:val="18"/>
                <w:b w:val="1"/>
                <w:bCs w:val="1"/>
                <w:color w:val="auto"/>
              </w:rPr>
              <w:t>Total</w:t>
            </w:r>
          </w:p>
        </w:tc>
        <w:tc>
          <w:tcPr>
            <w:tcW w:w="460" w:type="dxa"/>
            <w:vAlign w:val="bottom"/>
            <w:shd w:val="clear" w:color="auto" w:fill="E6E7E7"/>
          </w:tcPr>
          <w:p>
            <w:pPr>
              <w:spacing w:after="0"/>
              <w:rPr>
                <w:sz w:val="17"/>
                <w:szCs w:val="17"/>
                <w:color w:val="auto"/>
              </w:rPr>
            </w:pPr>
          </w:p>
        </w:tc>
        <w:tc>
          <w:tcPr>
            <w:tcW w:w="580" w:type="dxa"/>
            <w:vAlign w:val="bottom"/>
            <w:tcBorders>
              <w:top w:val="single" w:sz="8" w:color="auto"/>
              <w:bottom w:val="single" w:sz="8" w:color="auto"/>
            </w:tcBorders>
            <w:shd w:val="clear" w:color="auto" w:fill="E6E7E7"/>
          </w:tcPr>
          <w:p>
            <w:pPr>
              <w:jc w:val="right"/>
              <w:ind w:right="22"/>
              <w:spacing w:after="0" w:line="202" w:lineRule="exact"/>
              <w:rPr>
                <w:sz w:val="20"/>
                <w:szCs w:val="20"/>
                <w:color w:val="auto"/>
              </w:rPr>
            </w:pPr>
            <w:r>
              <w:rPr>
                <w:rFonts w:ascii="Arial" w:cs="Arial" w:eastAsia="Arial" w:hAnsi="Arial"/>
                <w:sz w:val="18"/>
                <w:szCs w:val="18"/>
                <w:b w:val="1"/>
                <w:bCs w:val="1"/>
                <w:color w:val="auto"/>
              </w:rPr>
              <w:t>$ 667</w:t>
            </w:r>
          </w:p>
        </w:tc>
        <w:tc>
          <w:tcPr>
            <w:tcW w:w="260" w:type="dxa"/>
            <w:vAlign w:val="bottom"/>
            <w:tcBorders>
              <w:top w:val="single" w:sz="8" w:color="auto"/>
              <w:bottom w:val="single" w:sz="8" w:color="auto"/>
            </w:tcBorders>
            <w:gridSpan w:val="2"/>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311</w:t>
            </w:r>
          </w:p>
        </w:tc>
        <w:tc>
          <w:tcPr>
            <w:tcW w:w="180" w:type="dxa"/>
            <w:vAlign w:val="bottom"/>
            <w:tcBorders>
              <w:top w:val="single" w:sz="8" w:color="auto"/>
              <w:bottom w:val="single" w:sz="8" w:color="auto"/>
            </w:tcBorders>
            <w:shd w:val="clear" w:color="auto" w:fill="E6E7E7"/>
          </w:tcPr>
          <w:p>
            <w:pPr>
              <w:spacing w:after="0"/>
              <w:rPr>
                <w:sz w:val="17"/>
                <w:szCs w:val="17"/>
                <w:color w:val="auto"/>
              </w:rPr>
            </w:pPr>
          </w:p>
        </w:tc>
        <w:tc>
          <w:tcPr>
            <w:tcW w:w="160" w:type="dxa"/>
            <w:vAlign w:val="bottom"/>
            <w:tcBorders>
              <w:top w:val="single" w:sz="8" w:color="auto"/>
              <w:bottom w:val="single" w:sz="8" w:color="auto"/>
            </w:tcBorders>
            <w:shd w:val="clear" w:color="auto" w:fill="E6E7E7"/>
          </w:tcPr>
          <w:p>
            <w:pPr>
              <w:ind w:left="60"/>
              <w:spacing w:after="0" w:line="202" w:lineRule="exact"/>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shd w:val="clear" w:color="auto" w:fill="E6E7E7"/>
          </w:tcPr>
          <w:p>
            <w:pPr>
              <w:jc w:val="right"/>
              <w:ind w:right="153"/>
              <w:spacing w:after="0" w:line="202" w:lineRule="exact"/>
              <w:rPr>
                <w:sz w:val="20"/>
                <w:szCs w:val="20"/>
                <w:color w:val="auto"/>
              </w:rPr>
            </w:pPr>
            <w:r>
              <w:rPr>
                <w:rFonts w:ascii="Arial" w:cs="Arial" w:eastAsia="Arial" w:hAnsi="Arial"/>
                <w:sz w:val="18"/>
                <w:szCs w:val="18"/>
                <w:b w:val="1"/>
                <w:bCs w:val="1"/>
                <w:color w:val="auto"/>
              </w:rPr>
              <w:t>9</w:t>
            </w:r>
          </w:p>
        </w:tc>
        <w:tc>
          <w:tcPr>
            <w:tcW w:w="160" w:type="dxa"/>
            <w:vAlign w:val="bottom"/>
            <w:tcBorders>
              <w:top w:val="single" w:sz="8" w:color="auto"/>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987</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20" w:type="dxa"/>
            <w:vAlign w:val="bottom"/>
            <w:gridSpan w:val="2"/>
            <w:vMerge w:val="restart"/>
          </w:tcPr>
          <w:p>
            <w:pPr>
              <w:ind w:left="200"/>
              <w:spacing w:after="0"/>
              <w:rPr>
                <w:sz w:val="20"/>
                <w:szCs w:val="20"/>
                <w:color w:val="auto"/>
              </w:rPr>
            </w:pPr>
            <w:r>
              <w:rPr>
                <w:rFonts w:ascii="Arial" w:cs="Arial" w:eastAsia="Arial" w:hAnsi="Arial"/>
                <w:sz w:val="18"/>
                <w:szCs w:val="18"/>
                <w:color w:val="auto"/>
              </w:rPr>
              <w:t>2005</w:t>
            </w:r>
          </w:p>
        </w:tc>
        <w:tc>
          <w:tcPr>
            <w:tcW w:w="5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20" w:type="dxa"/>
            <w:vAlign w:val="bottom"/>
            <w:gridSpan w:val="2"/>
            <w:vMerge w:val="continue"/>
          </w:tcPr>
          <w:p>
            <w:pPr>
              <w:spacing w:after="0"/>
              <w:rPr>
                <w:sz w:val="17"/>
                <w:szCs w:val="17"/>
                <w:color w:val="auto"/>
              </w:rPr>
            </w:pPr>
          </w:p>
        </w:tc>
        <w:tc>
          <w:tcPr>
            <w:tcW w:w="5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E6E7E7"/>
          </w:tcPr>
          <w:p>
            <w:pPr>
              <w:spacing w:after="0"/>
              <w:rPr>
                <w:sz w:val="17"/>
                <w:szCs w:val="17"/>
                <w:color w:val="auto"/>
              </w:rPr>
            </w:pPr>
          </w:p>
        </w:tc>
        <w:tc>
          <w:tcPr>
            <w:tcW w:w="7320" w:type="dxa"/>
            <w:vAlign w:val="bottom"/>
            <w:gridSpan w:val="2"/>
            <w:shd w:val="clear" w:color="auto" w:fill="E6E7E7"/>
          </w:tcPr>
          <w:p>
            <w:pPr>
              <w:ind w:left="100"/>
              <w:spacing w:after="0" w:line="202" w:lineRule="exact"/>
              <w:rPr>
                <w:sz w:val="20"/>
                <w:szCs w:val="20"/>
                <w:color w:val="auto"/>
              </w:rPr>
            </w:pPr>
            <w:r>
              <w:rPr>
                <w:rFonts w:ascii="Arial" w:cs="Arial" w:eastAsia="Arial" w:hAnsi="Arial"/>
                <w:sz w:val="18"/>
                <w:szCs w:val="18"/>
                <w:color w:val="auto"/>
              </w:rPr>
              <w:t>Current</w:t>
            </w:r>
          </w:p>
        </w:tc>
        <w:tc>
          <w:tcPr>
            <w:tcW w:w="1040" w:type="dxa"/>
            <w:vAlign w:val="bottom"/>
            <w:gridSpan w:val="2"/>
            <w:shd w:val="clear" w:color="auto" w:fill="E6E7E7"/>
          </w:tcPr>
          <w:p>
            <w:pPr>
              <w:jc w:val="right"/>
              <w:ind w:right="22"/>
              <w:spacing w:after="0" w:line="202" w:lineRule="exact"/>
              <w:rPr>
                <w:sz w:val="20"/>
                <w:szCs w:val="20"/>
                <w:color w:val="auto"/>
              </w:rPr>
            </w:pPr>
            <w:r>
              <w:rPr>
                <w:rFonts w:ascii="Arial" w:cs="Arial" w:eastAsia="Arial" w:hAnsi="Arial"/>
                <w:sz w:val="18"/>
                <w:szCs w:val="18"/>
                <w:color w:val="auto"/>
              </w:rPr>
              <w:t>$ 481</w:t>
            </w:r>
          </w:p>
        </w:tc>
        <w:tc>
          <w:tcPr>
            <w:tcW w:w="260" w:type="dxa"/>
            <w:vAlign w:val="bottom"/>
            <w:gridSpan w:val="2"/>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293</w:t>
            </w:r>
          </w:p>
        </w:tc>
        <w:tc>
          <w:tcPr>
            <w:tcW w:w="180" w:type="dxa"/>
            <w:vAlign w:val="bottom"/>
            <w:shd w:val="clear" w:color="auto" w:fill="E6E7E7"/>
          </w:tcPr>
          <w:p>
            <w:pPr>
              <w:spacing w:after="0"/>
              <w:rPr>
                <w:sz w:val="17"/>
                <w:szCs w:val="17"/>
                <w:color w:val="auto"/>
              </w:rPr>
            </w:pPr>
          </w:p>
        </w:tc>
        <w:tc>
          <w:tcPr>
            <w:tcW w:w="160" w:type="dxa"/>
            <w:vAlign w:val="bottom"/>
            <w:shd w:val="clear" w:color="auto" w:fill="E6E7E7"/>
          </w:tcPr>
          <w:p>
            <w:pPr>
              <w:ind w:left="60"/>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E6E7E7"/>
          </w:tcPr>
          <w:p>
            <w:pPr>
              <w:jc w:val="right"/>
              <w:ind w:right="153"/>
              <w:spacing w:after="0" w:line="202" w:lineRule="exact"/>
              <w:rPr>
                <w:sz w:val="20"/>
                <w:szCs w:val="20"/>
                <w:color w:val="auto"/>
              </w:rPr>
            </w:pPr>
            <w:r>
              <w:rPr>
                <w:rFonts w:ascii="Arial" w:cs="Arial" w:eastAsia="Arial" w:hAnsi="Arial"/>
                <w:sz w:val="18"/>
                <w:szCs w:val="18"/>
                <w:color w:val="auto"/>
              </w:rPr>
              <w:t>2</w:t>
            </w:r>
          </w:p>
        </w:tc>
        <w:tc>
          <w:tcPr>
            <w:tcW w:w="1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776</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73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Deferred</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62"/>
              <w:spacing w:after="0" w:line="202"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500" w:type="dxa"/>
            <w:vAlign w:val="bottom"/>
          </w:tcPr>
          <w:p>
            <w:pPr>
              <w:jc w:val="right"/>
              <w:ind w:right="93"/>
              <w:spacing w:after="0" w:line="202" w:lineRule="exact"/>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3"/>
        </w:trPr>
        <w:tc>
          <w:tcPr>
            <w:tcW w:w="100" w:type="dxa"/>
            <w:vAlign w:val="bottom"/>
            <w:shd w:val="clear" w:color="auto" w:fill="E6E7E7"/>
          </w:tcPr>
          <w:p>
            <w:pPr>
              <w:spacing w:after="0"/>
              <w:rPr>
                <w:sz w:val="17"/>
                <w:szCs w:val="17"/>
                <w:color w:val="auto"/>
              </w:rPr>
            </w:pPr>
          </w:p>
        </w:tc>
        <w:tc>
          <w:tcPr>
            <w:tcW w:w="7320" w:type="dxa"/>
            <w:vAlign w:val="bottom"/>
            <w:gridSpan w:val="2"/>
            <w:shd w:val="clear" w:color="auto" w:fill="E6E7E7"/>
          </w:tcPr>
          <w:p>
            <w:pPr>
              <w:ind w:left="100"/>
              <w:spacing w:after="0" w:line="202" w:lineRule="exact"/>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E6E7E7"/>
          </w:tcPr>
          <w:p>
            <w:pPr>
              <w:jc w:val="right"/>
              <w:ind w:right="22"/>
              <w:spacing w:after="0" w:line="202" w:lineRule="exact"/>
              <w:rPr>
                <w:sz w:val="20"/>
                <w:szCs w:val="20"/>
                <w:color w:val="auto"/>
              </w:rPr>
            </w:pPr>
            <w:r>
              <w:rPr>
                <w:rFonts w:ascii="Arial" w:cs="Arial" w:eastAsia="Arial" w:hAnsi="Arial"/>
                <w:sz w:val="18"/>
                <w:szCs w:val="18"/>
                <w:color w:val="auto"/>
              </w:rPr>
              <w:t>$ 305</w:t>
            </w:r>
          </w:p>
        </w:tc>
        <w:tc>
          <w:tcPr>
            <w:tcW w:w="260" w:type="dxa"/>
            <w:vAlign w:val="bottom"/>
            <w:tcBorders>
              <w:top w:val="single" w:sz="8" w:color="auto"/>
            </w:tcBorders>
            <w:gridSpan w:val="2"/>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281</w:t>
            </w:r>
          </w:p>
        </w:tc>
        <w:tc>
          <w:tcPr>
            <w:tcW w:w="180" w:type="dxa"/>
            <w:vAlign w:val="bottom"/>
            <w:tcBorders>
              <w:top w:val="single" w:sz="8" w:color="auto"/>
            </w:tcBorders>
            <w:shd w:val="clear" w:color="auto" w:fill="E6E7E7"/>
          </w:tcPr>
          <w:p>
            <w:pPr>
              <w:spacing w:after="0"/>
              <w:rPr>
                <w:sz w:val="17"/>
                <w:szCs w:val="17"/>
                <w:color w:val="auto"/>
              </w:rPr>
            </w:pPr>
          </w:p>
        </w:tc>
        <w:tc>
          <w:tcPr>
            <w:tcW w:w="160" w:type="dxa"/>
            <w:vAlign w:val="bottom"/>
            <w:tcBorders>
              <w:top w:val="single" w:sz="8" w:color="auto"/>
            </w:tcBorders>
            <w:shd w:val="clear" w:color="auto" w:fill="E6E7E7"/>
          </w:tcPr>
          <w:p>
            <w:pPr>
              <w:ind w:left="60"/>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E6E7E7"/>
          </w:tcPr>
          <w:p>
            <w:pPr>
              <w:jc w:val="right"/>
              <w:ind w:right="93"/>
              <w:spacing w:after="0" w:line="202" w:lineRule="exact"/>
              <w:rPr>
                <w:sz w:val="20"/>
                <w:szCs w:val="20"/>
                <w:color w:val="auto"/>
              </w:rPr>
            </w:pPr>
            <w:r>
              <w:rPr>
                <w:rFonts w:ascii="Arial" w:cs="Arial" w:eastAsia="Arial" w:hAnsi="Arial"/>
                <w:sz w:val="18"/>
                <w:szCs w:val="18"/>
                <w:color w:val="auto"/>
              </w:rPr>
              <w:t>(4)</w:t>
            </w:r>
          </w:p>
        </w:tc>
        <w:tc>
          <w:tcPr>
            <w:tcW w:w="160" w:type="dxa"/>
            <w:vAlign w:val="bottom"/>
            <w:tcBorders>
              <w:top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582</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20" w:type="dxa"/>
            <w:vAlign w:val="bottom"/>
            <w:gridSpan w:val="2"/>
            <w:vMerge w:val="restart"/>
          </w:tcPr>
          <w:p>
            <w:pPr>
              <w:ind w:left="200"/>
              <w:spacing w:after="0"/>
              <w:rPr>
                <w:sz w:val="20"/>
                <w:szCs w:val="20"/>
                <w:color w:val="auto"/>
              </w:rPr>
            </w:pPr>
            <w:r>
              <w:rPr>
                <w:rFonts w:ascii="Arial" w:cs="Arial" w:eastAsia="Arial" w:hAnsi="Arial"/>
                <w:sz w:val="18"/>
                <w:szCs w:val="18"/>
                <w:color w:val="auto"/>
              </w:rPr>
              <w:t>2004</w:t>
            </w:r>
          </w:p>
        </w:tc>
        <w:tc>
          <w:tcPr>
            <w:tcW w:w="5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20" w:type="dxa"/>
            <w:vAlign w:val="bottom"/>
            <w:gridSpan w:val="2"/>
            <w:vMerge w:val="continue"/>
          </w:tcPr>
          <w:p>
            <w:pPr>
              <w:spacing w:after="0"/>
              <w:rPr>
                <w:sz w:val="17"/>
                <w:szCs w:val="17"/>
                <w:color w:val="auto"/>
              </w:rPr>
            </w:pPr>
          </w:p>
        </w:tc>
        <w:tc>
          <w:tcPr>
            <w:tcW w:w="5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E6E7E7"/>
          </w:tcPr>
          <w:p>
            <w:pPr>
              <w:spacing w:after="0"/>
              <w:rPr>
                <w:sz w:val="17"/>
                <w:szCs w:val="17"/>
                <w:color w:val="auto"/>
              </w:rPr>
            </w:pPr>
          </w:p>
        </w:tc>
        <w:tc>
          <w:tcPr>
            <w:tcW w:w="7320" w:type="dxa"/>
            <w:vAlign w:val="bottom"/>
            <w:gridSpan w:val="2"/>
            <w:shd w:val="clear" w:color="auto" w:fill="E6E7E7"/>
          </w:tcPr>
          <w:p>
            <w:pPr>
              <w:ind w:left="100"/>
              <w:spacing w:after="0" w:line="202" w:lineRule="exact"/>
              <w:rPr>
                <w:sz w:val="20"/>
                <w:szCs w:val="20"/>
                <w:color w:val="auto"/>
              </w:rPr>
            </w:pPr>
            <w:r>
              <w:rPr>
                <w:rFonts w:ascii="Arial" w:cs="Arial" w:eastAsia="Arial" w:hAnsi="Arial"/>
                <w:sz w:val="18"/>
                <w:szCs w:val="18"/>
                <w:color w:val="auto"/>
              </w:rPr>
              <w:t>Current</w:t>
            </w:r>
          </w:p>
        </w:tc>
        <w:tc>
          <w:tcPr>
            <w:tcW w:w="1040" w:type="dxa"/>
            <w:vAlign w:val="bottom"/>
            <w:gridSpan w:val="2"/>
            <w:shd w:val="clear" w:color="auto" w:fill="E6E7E7"/>
          </w:tcPr>
          <w:p>
            <w:pPr>
              <w:jc w:val="right"/>
              <w:ind w:right="22"/>
              <w:spacing w:after="0" w:line="202" w:lineRule="exact"/>
              <w:rPr>
                <w:sz w:val="20"/>
                <w:szCs w:val="20"/>
                <w:color w:val="auto"/>
              </w:rPr>
            </w:pPr>
            <w:r>
              <w:rPr>
                <w:rFonts w:ascii="Arial" w:cs="Arial" w:eastAsia="Arial" w:hAnsi="Arial"/>
                <w:sz w:val="18"/>
                <w:szCs w:val="18"/>
                <w:color w:val="auto"/>
              </w:rPr>
              <w:t>$ 194</w:t>
            </w:r>
          </w:p>
        </w:tc>
        <w:tc>
          <w:tcPr>
            <w:tcW w:w="260" w:type="dxa"/>
            <w:vAlign w:val="bottom"/>
            <w:gridSpan w:val="2"/>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211</w:t>
            </w:r>
          </w:p>
        </w:tc>
        <w:tc>
          <w:tcPr>
            <w:tcW w:w="180" w:type="dxa"/>
            <w:vAlign w:val="bottom"/>
            <w:shd w:val="clear" w:color="auto" w:fill="E6E7E7"/>
          </w:tcPr>
          <w:p>
            <w:pPr>
              <w:spacing w:after="0"/>
              <w:rPr>
                <w:sz w:val="17"/>
                <w:szCs w:val="17"/>
                <w:color w:val="auto"/>
              </w:rPr>
            </w:pPr>
          </w:p>
        </w:tc>
        <w:tc>
          <w:tcPr>
            <w:tcW w:w="160" w:type="dxa"/>
            <w:vAlign w:val="bottom"/>
            <w:shd w:val="clear" w:color="auto" w:fill="E6E7E7"/>
          </w:tcPr>
          <w:p>
            <w:pPr>
              <w:ind w:left="60"/>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E6E7E7"/>
          </w:tcPr>
          <w:p>
            <w:pPr>
              <w:jc w:val="right"/>
              <w:ind w:right="153"/>
              <w:spacing w:after="0" w:line="202" w:lineRule="exact"/>
              <w:rPr>
                <w:sz w:val="20"/>
                <w:szCs w:val="20"/>
                <w:color w:val="auto"/>
              </w:rPr>
            </w:pPr>
            <w:r>
              <w:rPr>
                <w:rFonts w:ascii="Arial" w:cs="Arial" w:eastAsia="Arial" w:hAnsi="Arial"/>
                <w:sz w:val="18"/>
                <w:szCs w:val="18"/>
                <w:color w:val="auto"/>
              </w:rPr>
              <w:t>6</w:t>
            </w:r>
          </w:p>
        </w:tc>
        <w:tc>
          <w:tcPr>
            <w:tcW w:w="1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411</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73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Deferred</w:t>
            </w:r>
          </w:p>
        </w:tc>
        <w:tc>
          <w:tcPr>
            <w:tcW w:w="1040" w:type="dxa"/>
            <w:vAlign w:val="bottom"/>
            <w:gridSpan w:val="2"/>
          </w:tcPr>
          <w:p>
            <w:pPr>
              <w:jc w:val="right"/>
              <w:ind w:right="22"/>
              <w:spacing w:after="0" w:line="202" w:lineRule="exact"/>
              <w:rPr>
                <w:sz w:val="20"/>
                <w:szCs w:val="20"/>
                <w:color w:val="auto"/>
              </w:rPr>
            </w:pPr>
            <w:r>
              <w:rPr>
                <w:rFonts w:ascii="Arial" w:cs="Arial" w:eastAsia="Arial" w:hAnsi="Arial"/>
                <w:sz w:val="18"/>
                <w:szCs w:val="18"/>
                <w:color w:val="auto"/>
              </w:rPr>
              <w:t>120</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62"/>
              <w:spacing w:after="0" w:line="202" w:lineRule="exact"/>
              <w:rPr>
                <w:sz w:val="20"/>
                <w:szCs w:val="20"/>
                <w:color w:val="auto"/>
              </w:rPr>
            </w:pPr>
            <w:r>
              <w:rPr>
                <w:rFonts w:ascii="Arial" w:cs="Arial" w:eastAsia="Arial" w:hAnsi="Arial"/>
                <w:sz w:val="18"/>
                <w:szCs w:val="18"/>
                <w:color w:val="auto"/>
              </w:rPr>
              <w:t>(48)</w:t>
            </w: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E6E7E7"/>
          </w:tcPr>
          <w:p>
            <w:pPr>
              <w:spacing w:after="0"/>
              <w:rPr>
                <w:sz w:val="17"/>
                <w:szCs w:val="17"/>
                <w:color w:val="auto"/>
              </w:rPr>
            </w:pPr>
          </w:p>
        </w:tc>
        <w:tc>
          <w:tcPr>
            <w:tcW w:w="7320" w:type="dxa"/>
            <w:vAlign w:val="bottom"/>
            <w:gridSpan w:val="2"/>
            <w:shd w:val="clear" w:color="auto" w:fill="E6E7E7"/>
          </w:tcPr>
          <w:p>
            <w:pPr>
              <w:ind w:left="100"/>
              <w:spacing w:after="0" w:line="202" w:lineRule="exact"/>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E6E7E7"/>
          </w:tcPr>
          <w:p>
            <w:pPr>
              <w:jc w:val="right"/>
              <w:ind w:right="22"/>
              <w:spacing w:after="0" w:line="202" w:lineRule="exact"/>
              <w:rPr>
                <w:sz w:val="20"/>
                <w:szCs w:val="20"/>
                <w:color w:val="auto"/>
              </w:rPr>
            </w:pPr>
            <w:r>
              <w:rPr>
                <w:rFonts w:ascii="Arial" w:cs="Arial" w:eastAsia="Arial" w:hAnsi="Arial"/>
                <w:sz w:val="18"/>
                <w:szCs w:val="18"/>
                <w:color w:val="auto"/>
              </w:rPr>
              <w:t>$ 314</w:t>
            </w:r>
          </w:p>
        </w:tc>
        <w:tc>
          <w:tcPr>
            <w:tcW w:w="260" w:type="dxa"/>
            <w:vAlign w:val="bottom"/>
            <w:gridSpan w:val="2"/>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163</w:t>
            </w:r>
          </w:p>
        </w:tc>
        <w:tc>
          <w:tcPr>
            <w:tcW w:w="180" w:type="dxa"/>
            <w:vAlign w:val="bottom"/>
            <w:shd w:val="clear" w:color="auto" w:fill="E6E7E7"/>
          </w:tcPr>
          <w:p>
            <w:pPr>
              <w:spacing w:after="0"/>
              <w:rPr>
                <w:sz w:val="17"/>
                <w:szCs w:val="17"/>
                <w:color w:val="auto"/>
              </w:rPr>
            </w:pPr>
          </w:p>
        </w:tc>
        <w:tc>
          <w:tcPr>
            <w:tcW w:w="160" w:type="dxa"/>
            <w:vAlign w:val="bottom"/>
            <w:shd w:val="clear" w:color="auto" w:fill="E6E7E7"/>
          </w:tcPr>
          <w:p>
            <w:pPr>
              <w:ind w:left="60"/>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E6E7E7"/>
          </w:tcPr>
          <w:p>
            <w:pPr>
              <w:jc w:val="right"/>
              <w:ind w:right="153"/>
              <w:spacing w:after="0" w:line="202" w:lineRule="exact"/>
              <w:rPr>
                <w:sz w:val="20"/>
                <w:szCs w:val="20"/>
                <w:color w:val="auto"/>
              </w:rPr>
            </w:pPr>
            <w:r>
              <w:rPr>
                <w:rFonts w:ascii="Arial" w:cs="Arial" w:eastAsia="Arial" w:hAnsi="Arial"/>
                <w:sz w:val="18"/>
                <w:szCs w:val="18"/>
                <w:color w:val="auto"/>
              </w:rPr>
              <w:t>4</w:t>
            </w:r>
          </w:p>
        </w:tc>
        <w:tc>
          <w:tcPr>
            <w:tcW w:w="1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481</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20" w:type="dxa"/>
            <w:vAlign w:val="bottom"/>
            <w:gridSpan w:val="3"/>
            <w:vMerge w:val="restart"/>
          </w:tcPr>
          <w:p>
            <w:pPr>
              <w:ind w:left="100"/>
              <w:spacing w:after="0"/>
              <w:rPr>
                <w:sz w:val="20"/>
                <w:szCs w:val="20"/>
                <w:color w:val="auto"/>
              </w:rPr>
            </w:pPr>
            <w:r>
              <w:rPr>
                <w:rFonts w:ascii="Arial" w:cs="Arial" w:eastAsia="Arial" w:hAnsi="Arial"/>
                <w:sz w:val="18"/>
                <w:szCs w:val="18"/>
                <w:color w:val="auto"/>
              </w:rPr>
              <w:t>Principal reconciling items from income tax computed at the statutory federal rate follow:</w:t>
            </w: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42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939598"/>
          </w:tcPr>
          <w:p>
            <w:pPr>
              <w:spacing w:after="0"/>
              <w:rPr>
                <w:sz w:val="12"/>
                <w:szCs w:val="12"/>
                <w:color w:val="auto"/>
              </w:rPr>
            </w:pPr>
          </w:p>
        </w:tc>
        <w:tc>
          <w:tcPr>
            <w:tcW w:w="2120" w:type="dxa"/>
            <w:vAlign w:val="bottom"/>
            <w:shd w:val="clear" w:color="auto" w:fill="939598"/>
          </w:tcPr>
          <w:p>
            <w:pPr>
              <w:spacing w:after="0"/>
              <w:rPr>
                <w:sz w:val="12"/>
                <w:szCs w:val="12"/>
                <w:color w:val="auto"/>
              </w:rPr>
            </w:pPr>
          </w:p>
        </w:tc>
        <w:tc>
          <w:tcPr>
            <w:tcW w:w="5200" w:type="dxa"/>
            <w:vAlign w:val="bottom"/>
            <w:shd w:val="clear" w:color="auto" w:fill="939598"/>
          </w:tcPr>
          <w:p>
            <w:pPr>
              <w:spacing w:after="0"/>
              <w:rPr>
                <w:sz w:val="12"/>
                <w:szCs w:val="12"/>
                <w:color w:val="auto"/>
              </w:rPr>
            </w:pPr>
          </w:p>
        </w:tc>
        <w:tc>
          <w:tcPr>
            <w:tcW w:w="460" w:type="dxa"/>
            <w:vAlign w:val="bottom"/>
            <w:shd w:val="clear" w:color="auto" w:fill="939598"/>
          </w:tcPr>
          <w:p>
            <w:pPr>
              <w:spacing w:after="0"/>
              <w:rPr>
                <w:sz w:val="12"/>
                <w:szCs w:val="12"/>
                <w:color w:val="auto"/>
              </w:rPr>
            </w:pPr>
          </w:p>
        </w:tc>
        <w:tc>
          <w:tcPr>
            <w:tcW w:w="580" w:type="dxa"/>
            <w:vAlign w:val="bottom"/>
            <w:shd w:val="clear" w:color="auto" w:fill="939598"/>
          </w:tcPr>
          <w:p>
            <w:pPr>
              <w:spacing w:after="0"/>
              <w:rPr>
                <w:sz w:val="12"/>
                <w:szCs w:val="12"/>
                <w:color w:val="auto"/>
              </w:rPr>
            </w:pPr>
          </w:p>
        </w:tc>
        <w:tc>
          <w:tcPr>
            <w:tcW w:w="680" w:type="dxa"/>
            <w:vAlign w:val="bottom"/>
            <w:gridSpan w:val="3"/>
            <w:shd w:val="clear" w:color="auto" w:fill="939598"/>
          </w:tcPr>
          <w:p>
            <w:pPr>
              <w:ind w:left="260"/>
              <w:spacing w:after="0" w:line="149" w:lineRule="exact"/>
              <w:rPr>
                <w:sz w:val="20"/>
                <w:szCs w:val="20"/>
                <w:color w:val="auto"/>
              </w:rPr>
            </w:pPr>
            <w:r>
              <w:rPr>
                <w:rFonts w:ascii="Arial" w:cs="Arial" w:eastAsia="Arial" w:hAnsi="Arial"/>
                <w:sz w:val="14"/>
                <w:szCs w:val="14"/>
                <w:b w:val="1"/>
                <w:bCs w:val="1"/>
                <w:color w:val="FFFFFF"/>
              </w:rPr>
              <w:t>2006</w:t>
            </w:r>
          </w:p>
        </w:tc>
        <w:tc>
          <w:tcPr>
            <w:tcW w:w="180" w:type="dxa"/>
            <w:vAlign w:val="bottom"/>
            <w:shd w:val="clear" w:color="auto" w:fill="939598"/>
          </w:tcPr>
          <w:p>
            <w:pPr>
              <w:spacing w:after="0"/>
              <w:rPr>
                <w:sz w:val="12"/>
                <w:szCs w:val="12"/>
                <w:color w:val="auto"/>
              </w:rPr>
            </w:pPr>
          </w:p>
        </w:tc>
        <w:tc>
          <w:tcPr>
            <w:tcW w:w="160" w:type="dxa"/>
            <w:vAlign w:val="bottom"/>
            <w:shd w:val="clear" w:color="auto" w:fill="939598"/>
          </w:tcPr>
          <w:p>
            <w:pPr>
              <w:spacing w:after="0"/>
              <w:rPr>
                <w:sz w:val="12"/>
                <w:szCs w:val="12"/>
                <w:color w:val="auto"/>
              </w:rPr>
            </w:pPr>
          </w:p>
        </w:tc>
        <w:tc>
          <w:tcPr>
            <w:tcW w:w="500" w:type="dxa"/>
            <w:vAlign w:val="bottom"/>
            <w:shd w:val="clear" w:color="auto" w:fill="939598"/>
          </w:tcPr>
          <w:p>
            <w:pPr>
              <w:jc w:val="right"/>
              <w:ind w:right="53"/>
              <w:spacing w:after="0" w:line="149" w:lineRule="exact"/>
              <w:rPr>
                <w:sz w:val="20"/>
                <w:szCs w:val="20"/>
                <w:color w:val="auto"/>
              </w:rPr>
            </w:pPr>
            <w:r>
              <w:rPr>
                <w:rFonts w:ascii="Arial" w:cs="Arial" w:eastAsia="Arial" w:hAnsi="Arial"/>
                <w:sz w:val="14"/>
                <w:szCs w:val="14"/>
                <w:b w:val="1"/>
                <w:bCs w:val="1"/>
                <w:color w:val="FFFFFF"/>
              </w:rPr>
              <w:t>2005</w:t>
            </w:r>
          </w:p>
        </w:tc>
        <w:tc>
          <w:tcPr>
            <w:tcW w:w="160" w:type="dxa"/>
            <w:vAlign w:val="bottom"/>
            <w:shd w:val="clear" w:color="auto" w:fill="939598"/>
          </w:tcPr>
          <w:p>
            <w:pPr>
              <w:spacing w:after="0"/>
              <w:rPr>
                <w:sz w:val="12"/>
                <w:szCs w:val="12"/>
                <w:color w:val="auto"/>
              </w:rPr>
            </w:pPr>
          </w:p>
        </w:tc>
        <w:tc>
          <w:tcPr>
            <w:tcW w:w="520" w:type="dxa"/>
            <w:vAlign w:val="bottom"/>
            <w:shd w:val="clear" w:color="auto" w:fill="939598"/>
          </w:tcPr>
          <w:p>
            <w:pPr>
              <w:jc w:val="right"/>
              <w:ind w:right="15"/>
              <w:spacing w:after="0" w:line="149" w:lineRule="exact"/>
              <w:rPr>
                <w:sz w:val="20"/>
                <w:szCs w:val="20"/>
                <w:color w:val="auto"/>
              </w:rPr>
            </w:pPr>
            <w:r>
              <w:rPr>
                <w:rFonts w:ascii="Arial" w:cs="Arial" w:eastAsia="Arial" w:hAnsi="Arial"/>
                <w:sz w:val="14"/>
                <w:szCs w:val="14"/>
                <w:b w:val="1"/>
                <w:bCs w:val="1"/>
                <w:color w:val="FFFFFF"/>
              </w:rPr>
              <w:t>2004</w:t>
            </w:r>
          </w:p>
        </w:tc>
        <w:tc>
          <w:tcPr>
            <w:tcW w:w="60" w:type="dxa"/>
            <w:vAlign w:val="bottom"/>
            <w:shd w:val="clear" w:color="auto" w:fill="939598"/>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7320" w:type="dxa"/>
            <w:vAlign w:val="bottom"/>
            <w:gridSpan w:val="2"/>
          </w:tcPr>
          <w:p>
            <w:pPr>
              <w:ind w:left="100"/>
              <w:spacing w:after="0"/>
              <w:rPr>
                <w:sz w:val="20"/>
                <w:szCs w:val="20"/>
                <w:color w:val="auto"/>
              </w:rPr>
            </w:pPr>
            <w:r>
              <w:rPr>
                <w:rFonts w:ascii="Arial" w:cs="Arial" w:eastAsia="Arial" w:hAnsi="Arial"/>
                <w:sz w:val="18"/>
                <w:szCs w:val="18"/>
                <w:color w:val="auto"/>
              </w:rPr>
              <w:t>Computed tax at statutory rate</w:t>
            </w:r>
          </w:p>
        </w:tc>
        <w:tc>
          <w:tcPr>
            <w:tcW w:w="4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62"/>
              <w:spacing w:after="0"/>
              <w:rPr>
                <w:sz w:val="20"/>
                <w:szCs w:val="20"/>
                <w:color w:val="auto"/>
              </w:rPr>
            </w:pPr>
            <w:r>
              <w:rPr>
                <w:rFonts w:ascii="Arial" w:cs="Arial" w:eastAsia="Arial" w:hAnsi="Arial"/>
                <w:sz w:val="18"/>
                <w:szCs w:val="18"/>
                <w:b w:val="1"/>
                <w:bCs w:val="1"/>
                <w:color w:val="auto"/>
                <w:w w:val="97"/>
              </w:rPr>
              <w:t>1,269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$ 965</w:t>
            </w:r>
          </w:p>
        </w:tc>
        <w:tc>
          <w:tcPr>
            <w:tcW w:w="1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$ 760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E6E7E7"/>
          </w:tcPr>
          <w:p>
            <w:pPr>
              <w:spacing w:after="0"/>
              <w:rPr>
                <w:sz w:val="17"/>
                <w:szCs w:val="17"/>
                <w:color w:val="auto"/>
              </w:rPr>
            </w:pPr>
          </w:p>
        </w:tc>
        <w:tc>
          <w:tcPr>
            <w:tcW w:w="7320" w:type="dxa"/>
            <w:vAlign w:val="bottom"/>
            <w:gridSpan w:val="2"/>
            <w:shd w:val="clear" w:color="auto" w:fill="E6E7E7"/>
          </w:tcPr>
          <w:p>
            <w:pPr>
              <w:ind w:left="100"/>
              <w:spacing w:after="0" w:line="202" w:lineRule="exact"/>
              <w:rPr>
                <w:sz w:val="20"/>
                <w:szCs w:val="20"/>
                <w:color w:val="auto"/>
              </w:rPr>
            </w:pPr>
            <w:r>
              <w:rPr>
                <w:rFonts w:ascii="Arial" w:cs="Arial" w:eastAsia="Arial" w:hAnsi="Arial"/>
                <w:sz w:val="18"/>
                <w:szCs w:val="18"/>
                <w:color w:val="auto"/>
              </w:rPr>
              <w:t>Effect of non-U.S. rates</w:t>
            </w:r>
          </w:p>
        </w:tc>
        <w:tc>
          <w:tcPr>
            <w:tcW w:w="460" w:type="dxa"/>
            <w:vAlign w:val="bottom"/>
            <w:shd w:val="clear" w:color="auto" w:fill="E6E7E7"/>
          </w:tcPr>
          <w:p>
            <w:pPr>
              <w:spacing w:after="0"/>
              <w:rPr>
                <w:sz w:val="17"/>
                <w:szCs w:val="17"/>
                <w:color w:val="auto"/>
              </w:rPr>
            </w:pPr>
          </w:p>
        </w:tc>
        <w:tc>
          <w:tcPr>
            <w:tcW w:w="580" w:type="dxa"/>
            <w:vAlign w:val="bottom"/>
            <w:shd w:val="clear" w:color="auto" w:fill="E6E7E7"/>
          </w:tcPr>
          <w:p>
            <w:pPr>
              <w:spacing w:after="0"/>
              <w:rPr>
                <w:sz w:val="17"/>
                <w:szCs w:val="17"/>
                <w:color w:val="auto"/>
              </w:rPr>
            </w:pPr>
          </w:p>
        </w:tc>
        <w:tc>
          <w:tcPr>
            <w:tcW w:w="80" w:type="dxa"/>
            <w:vAlign w:val="bottom"/>
            <w:shd w:val="clear" w:color="auto" w:fill="E6E7E7"/>
          </w:tcPr>
          <w:p>
            <w:pPr>
              <w:spacing w:after="0"/>
              <w:rPr>
                <w:sz w:val="17"/>
                <w:szCs w:val="17"/>
                <w:color w:val="auto"/>
              </w:rPr>
            </w:pPr>
          </w:p>
        </w:tc>
        <w:tc>
          <w:tcPr>
            <w:tcW w:w="180" w:type="dxa"/>
            <w:vAlign w:val="bottom"/>
            <w:shd w:val="clear" w:color="auto" w:fill="E6E7E7"/>
          </w:tcPr>
          <w:p>
            <w:pPr>
              <w:spacing w:after="0"/>
              <w:rPr>
                <w:sz w:val="17"/>
                <w:szCs w:val="17"/>
                <w:color w:val="auto"/>
              </w:rPr>
            </w:pPr>
          </w:p>
        </w:tc>
        <w:tc>
          <w:tcPr>
            <w:tcW w:w="600" w:type="dxa"/>
            <w:vAlign w:val="bottom"/>
            <w:gridSpan w:val="2"/>
            <w:shd w:val="clear" w:color="auto" w:fill="E6E7E7"/>
          </w:tcPr>
          <w:p>
            <w:pPr>
              <w:jc w:val="right"/>
              <w:ind w:right="2"/>
              <w:spacing w:after="0" w:line="202" w:lineRule="exact"/>
              <w:rPr>
                <w:sz w:val="20"/>
                <w:szCs w:val="20"/>
                <w:color w:val="auto"/>
              </w:rPr>
            </w:pPr>
            <w:r>
              <w:rPr>
                <w:rFonts w:ascii="Arial" w:cs="Arial" w:eastAsia="Arial" w:hAnsi="Arial"/>
                <w:sz w:val="18"/>
                <w:szCs w:val="18"/>
                <w:b w:val="1"/>
                <w:bCs w:val="1"/>
                <w:color w:val="auto"/>
              </w:rPr>
              <w:t>(80)</w:t>
            </w:r>
          </w:p>
        </w:tc>
        <w:tc>
          <w:tcPr>
            <w:tcW w:w="160" w:type="dxa"/>
            <w:vAlign w:val="bottom"/>
            <w:shd w:val="clear" w:color="auto" w:fill="E6E7E7"/>
          </w:tcPr>
          <w:p>
            <w:pPr>
              <w:spacing w:after="0"/>
              <w:rPr>
                <w:sz w:val="17"/>
                <w:szCs w:val="17"/>
                <w:color w:val="auto"/>
              </w:rPr>
            </w:pPr>
          </w:p>
        </w:tc>
        <w:tc>
          <w:tcPr>
            <w:tcW w:w="5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(144)</w:t>
            </w:r>
          </w:p>
        </w:tc>
        <w:tc>
          <w:tcPr>
            <w:tcW w:w="160" w:type="dxa"/>
            <w:vAlign w:val="bottom"/>
            <w:shd w:val="clear" w:color="auto" w:fill="E6E7E7"/>
          </w:tcPr>
          <w:p>
            <w:pPr>
              <w:spacing w:after="0"/>
              <w:rPr>
                <w:sz w:val="17"/>
                <w:szCs w:val="17"/>
                <w:color w:val="auto"/>
              </w:rPr>
            </w:pPr>
          </w:p>
        </w:tc>
        <w:tc>
          <w:tcPr>
            <w:tcW w:w="580" w:type="dxa"/>
            <w:vAlign w:val="bottom"/>
            <w:gridSpan w:val="2"/>
            <w:shd w:val="clear" w:color="auto" w:fill="E6E7E7"/>
          </w:tcPr>
          <w:p>
            <w:pPr>
              <w:jc w:val="right"/>
              <w:ind w:right="20"/>
              <w:spacing w:after="0" w:line="202"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73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AJCA repatriation tax</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62"/>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160" w:type="dxa"/>
            <w:vAlign w:val="bottom"/>
          </w:tcPr>
          <w:p>
            <w:pPr>
              <w:spacing w:after="0"/>
              <w:rPr>
                <w:sz w:val="17"/>
                <w:szCs w:val="17"/>
                <w:color w:val="auto"/>
              </w:rPr>
            </w:pPr>
          </w:p>
        </w:tc>
        <w:tc>
          <w:tcPr>
            <w:tcW w:w="5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00" w:type="dxa"/>
            <w:vAlign w:val="bottom"/>
            <w:shd w:val="clear" w:color="auto" w:fill="E6E7E7"/>
          </w:tcPr>
          <w:p>
            <w:pPr>
              <w:spacing w:after="0"/>
              <w:rPr>
                <w:sz w:val="17"/>
                <w:szCs w:val="17"/>
                <w:color w:val="auto"/>
              </w:rPr>
            </w:pPr>
          </w:p>
        </w:tc>
        <w:tc>
          <w:tcPr>
            <w:tcW w:w="7320" w:type="dxa"/>
            <w:vAlign w:val="bottom"/>
            <w:gridSpan w:val="2"/>
            <w:shd w:val="clear" w:color="auto" w:fill="E6E7E7"/>
          </w:tcPr>
          <w:p>
            <w:pPr>
              <w:ind w:left="100"/>
              <w:spacing w:after="0" w:line="202" w:lineRule="exact"/>
              <w:rPr>
                <w:sz w:val="20"/>
                <w:szCs w:val="20"/>
                <w:color w:val="auto"/>
              </w:rPr>
            </w:pPr>
            <w:r>
              <w:rPr>
                <w:rFonts w:ascii="Arial" w:cs="Arial" w:eastAsia="Arial" w:hAnsi="Arial"/>
                <w:sz w:val="18"/>
                <w:szCs w:val="18"/>
                <w:color w:val="auto"/>
              </w:rPr>
              <w:t>Research and experimentation tax credits</w:t>
            </w:r>
          </w:p>
        </w:tc>
        <w:tc>
          <w:tcPr>
            <w:tcW w:w="460" w:type="dxa"/>
            <w:vAlign w:val="bottom"/>
            <w:shd w:val="clear" w:color="auto" w:fill="E6E7E7"/>
          </w:tcPr>
          <w:p>
            <w:pPr>
              <w:spacing w:after="0"/>
              <w:rPr>
                <w:sz w:val="17"/>
                <w:szCs w:val="17"/>
                <w:color w:val="auto"/>
              </w:rPr>
            </w:pPr>
          </w:p>
        </w:tc>
        <w:tc>
          <w:tcPr>
            <w:tcW w:w="580" w:type="dxa"/>
            <w:vAlign w:val="bottom"/>
            <w:shd w:val="clear" w:color="auto" w:fill="E6E7E7"/>
          </w:tcPr>
          <w:p>
            <w:pPr>
              <w:spacing w:after="0"/>
              <w:rPr>
                <w:sz w:val="17"/>
                <w:szCs w:val="17"/>
                <w:color w:val="auto"/>
              </w:rPr>
            </w:pPr>
          </w:p>
        </w:tc>
        <w:tc>
          <w:tcPr>
            <w:tcW w:w="80" w:type="dxa"/>
            <w:vAlign w:val="bottom"/>
            <w:shd w:val="clear" w:color="auto" w:fill="E6E7E7"/>
          </w:tcPr>
          <w:p>
            <w:pPr>
              <w:spacing w:after="0"/>
              <w:rPr>
                <w:sz w:val="17"/>
                <w:szCs w:val="17"/>
                <w:color w:val="auto"/>
              </w:rPr>
            </w:pPr>
          </w:p>
        </w:tc>
        <w:tc>
          <w:tcPr>
            <w:tcW w:w="180" w:type="dxa"/>
            <w:vAlign w:val="bottom"/>
            <w:shd w:val="clear" w:color="auto" w:fill="E6E7E7"/>
          </w:tcPr>
          <w:p>
            <w:pPr>
              <w:spacing w:after="0"/>
              <w:rPr>
                <w:sz w:val="17"/>
                <w:szCs w:val="17"/>
                <w:color w:val="auto"/>
              </w:rPr>
            </w:pPr>
          </w:p>
        </w:tc>
        <w:tc>
          <w:tcPr>
            <w:tcW w:w="600" w:type="dxa"/>
            <w:vAlign w:val="bottom"/>
            <w:gridSpan w:val="2"/>
            <w:shd w:val="clear" w:color="auto" w:fill="E6E7E7"/>
          </w:tcPr>
          <w:p>
            <w:pPr>
              <w:jc w:val="right"/>
              <w:ind w:right="2"/>
              <w:spacing w:after="0" w:line="202" w:lineRule="exact"/>
              <w:rPr>
                <w:sz w:val="20"/>
                <w:szCs w:val="20"/>
                <w:color w:val="auto"/>
              </w:rPr>
            </w:pPr>
            <w:r>
              <w:rPr>
                <w:rFonts w:ascii="Arial" w:cs="Arial" w:eastAsia="Arial" w:hAnsi="Arial"/>
                <w:sz w:val="18"/>
                <w:szCs w:val="18"/>
                <w:b w:val="1"/>
                <w:bCs w:val="1"/>
                <w:color w:val="auto"/>
              </w:rPr>
              <w:t>(78)</w:t>
            </w:r>
          </w:p>
        </w:tc>
        <w:tc>
          <w:tcPr>
            <w:tcW w:w="160" w:type="dxa"/>
            <w:vAlign w:val="bottom"/>
            <w:shd w:val="clear" w:color="auto" w:fill="E6E7E7"/>
          </w:tcPr>
          <w:p>
            <w:pPr>
              <w:spacing w:after="0"/>
              <w:rPr>
                <w:sz w:val="17"/>
                <w:szCs w:val="17"/>
                <w:color w:val="auto"/>
              </w:rPr>
            </w:pPr>
          </w:p>
        </w:tc>
        <w:tc>
          <w:tcPr>
            <w:tcW w:w="5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(62)</w:t>
            </w:r>
          </w:p>
        </w:tc>
        <w:tc>
          <w:tcPr>
            <w:tcW w:w="160" w:type="dxa"/>
            <w:vAlign w:val="bottom"/>
            <w:shd w:val="clear" w:color="auto" w:fill="E6E7E7"/>
          </w:tcPr>
          <w:p>
            <w:pPr>
              <w:spacing w:after="0"/>
              <w:rPr>
                <w:sz w:val="17"/>
                <w:szCs w:val="17"/>
                <w:color w:val="auto"/>
              </w:rPr>
            </w:pPr>
          </w:p>
        </w:tc>
        <w:tc>
          <w:tcPr>
            <w:tcW w:w="580" w:type="dxa"/>
            <w:vAlign w:val="bottom"/>
            <w:gridSpan w:val="2"/>
            <w:shd w:val="clear" w:color="auto" w:fill="E6E7E7"/>
          </w:tcPr>
          <w:p>
            <w:pPr>
              <w:jc w:val="right"/>
              <w:ind w:right="20"/>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73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Favorable proposed audit adjustments communicated by tax authorities</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62"/>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c>
          <w:tcPr>
            <w:tcW w:w="160" w:type="dxa"/>
            <w:vAlign w:val="bottom"/>
          </w:tcPr>
          <w:p>
            <w:pPr>
              <w:spacing w:after="0"/>
              <w:rPr>
                <w:sz w:val="17"/>
                <w:szCs w:val="17"/>
                <w:color w:val="auto"/>
              </w:rPr>
            </w:pPr>
          </w:p>
        </w:tc>
        <w:tc>
          <w:tcPr>
            <w:tcW w:w="5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00" w:type="dxa"/>
            <w:vAlign w:val="bottom"/>
            <w:shd w:val="clear" w:color="auto" w:fill="E6E7E7"/>
          </w:tcPr>
          <w:p>
            <w:pPr>
              <w:spacing w:after="0"/>
              <w:rPr>
                <w:sz w:val="17"/>
                <w:szCs w:val="17"/>
                <w:color w:val="auto"/>
              </w:rPr>
            </w:pPr>
          </w:p>
        </w:tc>
        <w:tc>
          <w:tcPr>
            <w:tcW w:w="7320" w:type="dxa"/>
            <w:vAlign w:val="bottom"/>
            <w:gridSpan w:val="2"/>
            <w:shd w:val="clear" w:color="auto" w:fill="E6E7E7"/>
          </w:tcPr>
          <w:p>
            <w:pPr>
              <w:ind w:left="100"/>
              <w:spacing w:after="0" w:line="202" w:lineRule="exact"/>
              <w:rPr>
                <w:sz w:val="20"/>
                <w:szCs w:val="20"/>
                <w:color w:val="auto"/>
              </w:rPr>
            </w:pPr>
            <w:r>
              <w:rPr>
                <w:rFonts w:ascii="Arial" w:cs="Arial" w:eastAsia="Arial" w:hAnsi="Arial"/>
                <w:sz w:val="18"/>
                <w:szCs w:val="18"/>
                <w:color w:val="auto"/>
              </w:rPr>
              <w:t>U.S. tax benefits for manufacturing and foreign sales</w:t>
            </w:r>
          </w:p>
        </w:tc>
        <w:tc>
          <w:tcPr>
            <w:tcW w:w="460" w:type="dxa"/>
            <w:vAlign w:val="bottom"/>
            <w:shd w:val="clear" w:color="auto" w:fill="E6E7E7"/>
          </w:tcPr>
          <w:p>
            <w:pPr>
              <w:spacing w:after="0"/>
              <w:rPr>
                <w:sz w:val="17"/>
                <w:szCs w:val="17"/>
                <w:color w:val="auto"/>
              </w:rPr>
            </w:pPr>
          </w:p>
        </w:tc>
        <w:tc>
          <w:tcPr>
            <w:tcW w:w="580" w:type="dxa"/>
            <w:vAlign w:val="bottom"/>
            <w:shd w:val="clear" w:color="auto" w:fill="E6E7E7"/>
          </w:tcPr>
          <w:p>
            <w:pPr>
              <w:spacing w:after="0"/>
              <w:rPr>
                <w:sz w:val="17"/>
                <w:szCs w:val="17"/>
                <w:color w:val="auto"/>
              </w:rPr>
            </w:pPr>
          </w:p>
        </w:tc>
        <w:tc>
          <w:tcPr>
            <w:tcW w:w="80" w:type="dxa"/>
            <w:vAlign w:val="bottom"/>
            <w:shd w:val="clear" w:color="auto" w:fill="E6E7E7"/>
          </w:tcPr>
          <w:p>
            <w:pPr>
              <w:spacing w:after="0"/>
              <w:rPr>
                <w:sz w:val="17"/>
                <w:szCs w:val="17"/>
                <w:color w:val="auto"/>
              </w:rPr>
            </w:pPr>
          </w:p>
        </w:tc>
        <w:tc>
          <w:tcPr>
            <w:tcW w:w="180" w:type="dxa"/>
            <w:vAlign w:val="bottom"/>
            <w:shd w:val="clear" w:color="auto" w:fill="E6E7E7"/>
          </w:tcPr>
          <w:p>
            <w:pPr>
              <w:spacing w:after="0"/>
              <w:rPr>
                <w:sz w:val="17"/>
                <w:szCs w:val="17"/>
                <w:color w:val="auto"/>
              </w:rPr>
            </w:pPr>
          </w:p>
        </w:tc>
        <w:tc>
          <w:tcPr>
            <w:tcW w:w="600" w:type="dxa"/>
            <w:vAlign w:val="bottom"/>
            <w:gridSpan w:val="2"/>
            <w:shd w:val="clear" w:color="auto" w:fill="E6E7E7"/>
          </w:tcPr>
          <w:p>
            <w:pPr>
              <w:jc w:val="right"/>
              <w:ind w:right="2"/>
              <w:spacing w:after="0" w:line="202" w:lineRule="exact"/>
              <w:rPr>
                <w:sz w:val="20"/>
                <w:szCs w:val="20"/>
                <w:color w:val="auto"/>
              </w:rPr>
            </w:pPr>
            <w:r>
              <w:rPr>
                <w:rFonts w:ascii="Arial" w:cs="Arial" w:eastAsia="Arial" w:hAnsi="Arial"/>
                <w:sz w:val="18"/>
                <w:szCs w:val="18"/>
                <w:b w:val="1"/>
                <w:bCs w:val="1"/>
                <w:color w:val="auto"/>
              </w:rPr>
              <w:t>(106)</w:t>
            </w:r>
          </w:p>
        </w:tc>
        <w:tc>
          <w:tcPr>
            <w:tcW w:w="160" w:type="dxa"/>
            <w:vAlign w:val="bottom"/>
            <w:shd w:val="clear" w:color="auto" w:fill="E6E7E7"/>
          </w:tcPr>
          <w:p>
            <w:pPr>
              <w:spacing w:after="0"/>
              <w:rPr>
                <w:sz w:val="17"/>
                <w:szCs w:val="17"/>
                <w:color w:val="auto"/>
              </w:rPr>
            </w:pPr>
          </w:p>
        </w:tc>
        <w:tc>
          <w:tcPr>
            <w:tcW w:w="5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(82)</w:t>
            </w:r>
          </w:p>
        </w:tc>
        <w:tc>
          <w:tcPr>
            <w:tcW w:w="160" w:type="dxa"/>
            <w:vAlign w:val="bottom"/>
            <w:shd w:val="clear" w:color="auto" w:fill="E6E7E7"/>
          </w:tcPr>
          <w:p>
            <w:pPr>
              <w:spacing w:after="0"/>
              <w:rPr>
                <w:sz w:val="17"/>
                <w:szCs w:val="17"/>
                <w:color w:val="auto"/>
              </w:rPr>
            </w:pPr>
          </w:p>
        </w:tc>
        <w:tc>
          <w:tcPr>
            <w:tcW w:w="580" w:type="dxa"/>
            <w:vAlign w:val="bottom"/>
            <w:gridSpan w:val="2"/>
            <w:shd w:val="clear" w:color="auto" w:fill="E6E7E7"/>
          </w:tcPr>
          <w:p>
            <w:pPr>
              <w:jc w:val="right"/>
              <w:ind w:right="20"/>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73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
              <w:spacing w:after="0" w:line="202" w:lineRule="exact"/>
              <w:rPr>
                <w:sz w:val="20"/>
                <w:szCs w:val="20"/>
                <w:color w:val="auto"/>
              </w:rPr>
            </w:pPr>
            <w:r>
              <w:rPr>
                <w:rFonts w:ascii="Arial" w:cs="Arial" w:eastAsia="Arial" w:hAnsi="Arial"/>
                <w:sz w:val="18"/>
                <w:szCs w:val="18"/>
                <w:b w:val="1"/>
                <w:bCs w:val="1"/>
                <w:color w:val="auto"/>
              </w:rPr>
              <w:t>(18)</w:t>
            </w:r>
          </w:p>
        </w:tc>
        <w:tc>
          <w:tcPr>
            <w:tcW w:w="160" w:type="dxa"/>
            <w:vAlign w:val="bottom"/>
          </w:tcPr>
          <w:p>
            <w:pPr>
              <w:spacing w:after="0"/>
              <w:rPr>
                <w:sz w:val="18"/>
                <w:szCs w:val="18"/>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100" w:type="dxa"/>
            <w:vAlign w:val="bottom"/>
            <w:shd w:val="clear" w:color="auto" w:fill="E6E7E7"/>
          </w:tcPr>
          <w:p>
            <w:pPr>
              <w:spacing w:after="0"/>
              <w:rPr>
                <w:sz w:val="17"/>
                <w:szCs w:val="17"/>
                <w:color w:val="auto"/>
              </w:rPr>
            </w:pPr>
          </w:p>
        </w:tc>
        <w:tc>
          <w:tcPr>
            <w:tcW w:w="7320" w:type="dxa"/>
            <w:vAlign w:val="bottom"/>
            <w:gridSpan w:val="2"/>
            <w:shd w:val="clear" w:color="auto" w:fill="E6E7E7"/>
          </w:tcPr>
          <w:p>
            <w:pPr>
              <w:ind w:left="100"/>
              <w:spacing w:after="0" w:line="202" w:lineRule="exact"/>
              <w:rPr>
                <w:sz w:val="20"/>
                <w:szCs w:val="20"/>
                <w:color w:val="auto"/>
              </w:rPr>
            </w:pPr>
            <w:r>
              <w:rPr>
                <w:rFonts w:ascii="Arial" w:cs="Arial" w:eastAsia="Arial" w:hAnsi="Arial"/>
                <w:sz w:val="18"/>
                <w:szCs w:val="18"/>
                <w:color w:val="auto"/>
              </w:rPr>
              <w:t>Total provision for income taxes</w:t>
            </w:r>
          </w:p>
        </w:tc>
        <w:tc>
          <w:tcPr>
            <w:tcW w:w="460" w:type="dxa"/>
            <w:vAlign w:val="bottom"/>
            <w:shd w:val="clear" w:color="auto" w:fill="E6E7E7"/>
          </w:tcPr>
          <w:p>
            <w:pPr>
              <w:spacing w:after="0"/>
              <w:rPr>
                <w:sz w:val="17"/>
                <w:szCs w:val="17"/>
                <w:color w:val="auto"/>
              </w:rPr>
            </w:pPr>
          </w:p>
        </w:tc>
        <w:tc>
          <w:tcPr>
            <w:tcW w:w="580" w:type="dxa"/>
            <w:vAlign w:val="bottom"/>
            <w:shd w:val="clear" w:color="auto" w:fill="E6E7E7"/>
          </w:tcPr>
          <w:p>
            <w:pPr>
              <w:spacing w:after="0"/>
              <w:rPr>
                <w:sz w:val="17"/>
                <w:szCs w:val="17"/>
                <w:color w:val="auto"/>
              </w:rPr>
            </w:pPr>
          </w:p>
        </w:tc>
        <w:tc>
          <w:tcPr>
            <w:tcW w:w="80" w:type="dxa"/>
            <w:vAlign w:val="bottom"/>
            <w:shd w:val="clear" w:color="auto" w:fill="E6E7E7"/>
          </w:tcPr>
          <w:p>
            <w:pPr>
              <w:spacing w:after="0"/>
              <w:rPr>
                <w:sz w:val="17"/>
                <w:szCs w:val="17"/>
                <w:color w:val="auto"/>
              </w:rPr>
            </w:pPr>
          </w:p>
        </w:tc>
        <w:tc>
          <w:tcPr>
            <w:tcW w:w="180" w:type="dxa"/>
            <w:vAlign w:val="bottom"/>
            <w:tcBorders>
              <w:top w:val="single" w:sz="8" w:color="auto"/>
              <w:bottom w:val="single" w:sz="8" w:color="auto"/>
            </w:tcBorders>
            <w:shd w:val="clear" w:color="auto" w:fill="E6E7E7"/>
          </w:tcPr>
          <w:p>
            <w:pPr>
              <w:spacing w:after="0" w:line="202" w:lineRule="exact"/>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gridSpan w:val="2"/>
            <w:shd w:val="clear" w:color="auto" w:fill="E6E7E7"/>
          </w:tcPr>
          <w:p>
            <w:pPr>
              <w:jc w:val="right"/>
              <w:ind w:right="62"/>
              <w:spacing w:after="0" w:line="202" w:lineRule="exact"/>
              <w:rPr>
                <w:sz w:val="20"/>
                <w:szCs w:val="20"/>
                <w:color w:val="auto"/>
              </w:rPr>
            </w:pPr>
            <w:r>
              <w:rPr>
                <w:rFonts w:ascii="Arial" w:cs="Arial" w:eastAsia="Arial" w:hAnsi="Arial"/>
                <w:sz w:val="18"/>
                <w:szCs w:val="18"/>
                <w:b w:val="1"/>
                <w:bCs w:val="1"/>
                <w:color w:val="auto"/>
              </w:rPr>
              <w:t>987</w:t>
            </w:r>
          </w:p>
        </w:tc>
        <w:tc>
          <w:tcPr>
            <w:tcW w:w="660" w:type="dxa"/>
            <w:vAlign w:val="bottom"/>
            <w:tcBorders>
              <w:top w:val="single" w:sz="8" w:color="auto"/>
              <w:bottom w:val="single" w:sz="8" w:color="auto"/>
            </w:tcBorders>
            <w:gridSpan w:val="2"/>
            <w:shd w:val="clear" w:color="auto" w:fill="E6E7E7"/>
          </w:tcPr>
          <w:p>
            <w:pPr>
              <w:jc w:val="right"/>
              <w:spacing w:after="0" w:line="202" w:lineRule="exact"/>
              <w:rPr>
                <w:sz w:val="20"/>
                <w:szCs w:val="20"/>
                <w:color w:val="auto"/>
              </w:rPr>
            </w:pPr>
            <w:r>
              <w:rPr>
                <w:rFonts w:ascii="Arial" w:cs="Arial" w:eastAsia="Arial" w:hAnsi="Arial"/>
                <w:sz w:val="18"/>
                <w:szCs w:val="18"/>
                <w:color w:val="auto"/>
              </w:rPr>
              <w:t>$ 582</w:t>
            </w:r>
          </w:p>
        </w:tc>
        <w:tc>
          <w:tcPr>
            <w:tcW w:w="160" w:type="dxa"/>
            <w:vAlign w:val="bottom"/>
            <w:tcBorders>
              <w:top w:val="single" w:sz="8" w:color="auto"/>
              <w:bottom w:val="single" w:sz="8" w:color="auto"/>
            </w:tcBorders>
            <w:shd w:val="clear" w:color="auto" w:fill="E6E7E7"/>
          </w:tcPr>
          <w:p>
            <w:pPr>
              <w:spacing w:after="0"/>
              <w:rPr>
                <w:sz w:val="17"/>
                <w:szCs w:val="17"/>
                <w:color w:val="auto"/>
              </w:rPr>
            </w:pPr>
          </w:p>
        </w:tc>
        <w:tc>
          <w:tcPr>
            <w:tcW w:w="520" w:type="dxa"/>
            <w:vAlign w:val="bottom"/>
            <w:tcBorders>
              <w:top w:val="single" w:sz="8" w:color="auto"/>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$ 481</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240" w:top="287" w:right="479" w:bottom="1440" w:gutter="0" w:footer="0" w:header="0"/>
        </w:sectPr>
      </w:pPr>
    </w:p>
    <w:bookmarkStart w:id="84" w:name="page85"/>
    <w:bookmarkEnd w:id="84"/>
    <w:p>
      <w:pPr>
        <w:ind w:left="7700"/>
        <w:spacing w:after="0"/>
        <w:tabs>
          <w:tab w:leader="none" w:pos="1090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2006 ANNUAL REPORT</w:t>
      </w:r>
      <w:r>
        <w:rPr>
          <w:sz w:val="20"/>
          <w:szCs w:val="20"/>
          <w:color w:val="auto"/>
        </w:rPr>
        <w:tab/>
      </w:r>
      <w:r>
        <w:rPr>
          <w:rFonts w:ascii="Arial" w:cs="Arial" w:eastAsia="Arial" w:hAnsi="Arial"/>
          <w:sz w:val="12"/>
          <w:szCs w:val="12"/>
          <w:color w:val="939598"/>
        </w:rPr>
        <w:t>35</w:t>
      </w:r>
    </w:p>
    <w:p>
      <w:pPr>
        <w:spacing w:after="0" w:line="14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primary components of deferred income tax assets and liabilities at December 31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939598"/>
              </w:rPr>
              <w:t>DECEMBER 31,</w:t>
            </w:r>
          </w:p>
        </w:tc>
      </w:tr>
      <w:tr>
        <w:trPr>
          <w:trHeight w:val="68"/>
        </w:trPr>
        <w:tc>
          <w:tcPr>
            <w:tcW w:w="73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149"/>
        </w:trPr>
        <w:tc>
          <w:tcPr>
            <w:tcW w:w="7380" w:type="dxa"/>
            <w:vAlign w:val="bottom"/>
            <w:shd w:val="clear" w:color="auto" w:fill="939598"/>
          </w:tcPr>
          <w:p>
            <w:pPr>
              <w:spacing w:after="0"/>
              <w:rPr>
                <w:sz w:val="12"/>
                <w:szCs w:val="12"/>
                <w:color w:val="auto"/>
              </w:rPr>
            </w:pPr>
          </w:p>
        </w:tc>
        <w:tc>
          <w:tcPr>
            <w:tcW w:w="1900" w:type="dxa"/>
            <w:vAlign w:val="bottom"/>
            <w:shd w:val="clear" w:color="auto" w:fill="939598"/>
          </w:tcPr>
          <w:p>
            <w:pPr>
              <w:spacing w:after="0"/>
              <w:rPr>
                <w:sz w:val="12"/>
                <w:szCs w:val="12"/>
                <w:color w:val="auto"/>
              </w:rPr>
            </w:pPr>
          </w:p>
        </w:tc>
        <w:tc>
          <w:tcPr>
            <w:tcW w:w="100" w:type="dxa"/>
            <w:vAlign w:val="bottom"/>
            <w:shd w:val="clear" w:color="auto" w:fill="939598"/>
          </w:tcPr>
          <w:p>
            <w:pPr>
              <w:spacing w:after="0"/>
              <w:rPr>
                <w:sz w:val="12"/>
                <w:szCs w:val="12"/>
                <w:color w:val="auto"/>
              </w:rPr>
            </w:pPr>
          </w:p>
        </w:tc>
        <w:tc>
          <w:tcPr>
            <w:tcW w:w="600" w:type="dxa"/>
            <w:vAlign w:val="bottom"/>
            <w:shd w:val="clear" w:color="auto" w:fill="939598"/>
          </w:tcPr>
          <w:p>
            <w:pPr>
              <w:jc w:val="right"/>
              <w:ind w:right="194"/>
              <w:spacing w:after="0" w:line="149" w:lineRule="exact"/>
              <w:rPr>
                <w:sz w:val="20"/>
                <w:szCs w:val="20"/>
                <w:color w:val="auto"/>
              </w:rPr>
            </w:pPr>
            <w:r>
              <w:rPr>
                <w:rFonts w:ascii="Arial" w:cs="Arial" w:eastAsia="Arial" w:hAnsi="Arial"/>
                <w:sz w:val="14"/>
                <w:szCs w:val="14"/>
                <w:b w:val="1"/>
                <w:bCs w:val="1"/>
                <w:color w:val="FFFFFF"/>
                <w:w w:val="96"/>
              </w:rPr>
              <w:t>2006</w:t>
            </w:r>
          </w:p>
        </w:tc>
        <w:tc>
          <w:tcPr>
            <w:tcW w:w="220" w:type="dxa"/>
            <w:vAlign w:val="bottom"/>
            <w:shd w:val="clear" w:color="auto" w:fill="939598"/>
          </w:tcPr>
          <w:p>
            <w:pPr>
              <w:spacing w:after="0"/>
              <w:rPr>
                <w:sz w:val="12"/>
                <w:szCs w:val="12"/>
                <w:color w:val="auto"/>
              </w:rPr>
            </w:pPr>
          </w:p>
        </w:tc>
        <w:tc>
          <w:tcPr>
            <w:tcW w:w="460" w:type="dxa"/>
            <w:vAlign w:val="bottom"/>
            <w:shd w:val="clear" w:color="auto" w:fill="939598"/>
          </w:tcPr>
          <w:p>
            <w:pPr>
              <w:jc w:val="right"/>
              <w:ind w:right="53"/>
              <w:spacing w:after="0" w:line="149" w:lineRule="exact"/>
              <w:rPr>
                <w:sz w:val="20"/>
                <w:szCs w:val="20"/>
                <w:color w:val="auto"/>
              </w:rPr>
            </w:pPr>
            <w:r>
              <w:rPr>
                <w:rFonts w:ascii="Arial" w:cs="Arial" w:eastAsia="Arial" w:hAnsi="Arial"/>
                <w:sz w:val="14"/>
                <w:szCs w:val="14"/>
                <w:b w:val="1"/>
                <w:bCs w:val="1"/>
                <w:color w:val="FFFFFF"/>
                <w:w w:val="96"/>
              </w:rPr>
              <w:t>2005</w:t>
            </w:r>
          </w:p>
        </w:tc>
        <w:tc>
          <w:tcPr>
            <w:tcW w:w="60" w:type="dxa"/>
            <w:vAlign w:val="bottom"/>
            <w:shd w:val="clear" w:color="auto" w:fill="939598"/>
          </w:tcPr>
          <w:p>
            <w:pPr>
              <w:spacing w:after="0"/>
              <w:rPr>
                <w:sz w:val="12"/>
                <w:szCs w:val="12"/>
                <w:color w:val="auto"/>
              </w:rPr>
            </w:pPr>
          </w:p>
        </w:tc>
      </w:tr>
      <w:tr>
        <w:trPr>
          <w:trHeight w:val="270"/>
        </w:trPr>
        <w:tc>
          <w:tcPr>
            <w:tcW w:w="7380" w:type="dxa"/>
            <w:vAlign w:val="bottom"/>
          </w:tcPr>
          <w:p>
            <w:pPr>
              <w:ind w:left="200"/>
              <w:spacing w:after="0"/>
              <w:rPr>
                <w:sz w:val="20"/>
                <w:szCs w:val="20"/>
                <w:color w:val="auto"/>
              </w:rPr>
            </w:pPr>
            <w:r>
              <w:rPr>
                <w:rFonts w:ascii="Arial" w:cs="Arial" w:eastAsia="Arial" w:hAnsi="Arial"/>
                <w:sz w:val="18"/>
                <w:szCs w:val="18"/>
                <w:color w:val="auto"/>
              </w:rPr>
              <w:t>Deferred income tax assets:</w:t>
            </w: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03"/>
        </w:trPr>
        <w:tc>
          <w:tcPr>
            <w:tcW w:w="738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Accrued retirement costs (defined benefit and retiree health care)</w:t>
            </w:r>
          </w:p>
        </w:tc>
        <w:tc>
          <w:tcPr>
            <w:tcW w:w="2000" w:type="dxa"/>
            <w:vAlign w:val="bottom"/>
            <w:gridSpan w:val="2"/>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6E7E7"/>
          </w:tcPr>
          <w:p>
            <w:pPr>
              <w:jc w:val="right"/>
              <w:ind w:right="74"/>
              <w:spacing w:after="0" w:line="202" w:lineRule="exact"/>
              <w:rPr>
                <w:sz w:val="20"/>
                <w:szCs w:val="20"/>
                <w:color w:val="auto"/>
              </w:rPr>
            </w:pPr>
            <w:r>
              <w:rPr>
                <w:rFonts w:ascii="Arial" w:cs="Arial" w:eastAsia="Arial" w:hAnsi="Arial"/>
                <w:sz w:val="18"/>
                <w:szCs w:val="18"/>
                <w:b w:val="1"/>
                <w:bCs w:val="1"/>
                <w:color w:val="auto"/>
              </w:rPr>
              <w:t>194</w:t>
            </w:r>
          </w:p>
        </w:tc>
        <w:tc>
          <w:tcPr>
            <w:tcW w:w="2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45</w:t>
            </w:r>
          </w:p>
        </w:tc>
        <w:tc>
          <w:tcPr>
            <w:tcW w:w="60" w:type="dxa"/>
            <w:vAlign w:val="bottom"/>
            <w:shd w:val="clear" w:color="auto" w:fill="E6E7E7"/>
          </w:tcPr>
          <w:p>
            <w:pPr>
              <w:spacing w:after="0"/>
              <w:rPr>
                <w:sz w:val="17"/>
                <w:szCs w:val="17"/>
                <w:color w:val="auto"/>
              </w:rPr>
            </w:pPr>
          </w:p>
        </w:tc>
      </w:tr>
      <w:tr>
        <w:trPr>
          <w:trHeight w:val="203"/>
        </w:trPr>
        <w:tc>
          <w:tcPr>
            <w:tcW w:w="7380" w:type="dxa"/>
            <w:vAlign w:val="bottom"/>
          </w:tcPr>
          <w:p>
            <w:pPr>
              <w:ind w:left="420"/>
              <w:spacing w:after="0" w:line="202" w:lineRule="exact"/>
              <w:rPr>
                <w:sz w:val="20"/>
                <w:szCs w:val="20"/>
                <w:color w:val="auto"/>
              </w:rPr>
            </w:pPr>
            <w:r>
              <w:rPr>
                <w:rFonts w:ascii="Arial" w:cs="Arial" w:eastAsia="Arial" w:hAnsi="Arial"/>
                <w:sz w:val="18"/>
                <w:szCs w:val="18"/>
                <w:color w:val="auto"/>
              </w:rPr>
              <w:t>Inventories and related reserves</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392</w:t>
            </w:r>
          </w:p>
        </w:tc>
        <w:tc>
          <w:tcPr>
            <w:tcW w:w="2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315</w:t>
            </w:r>
          </w:p>
        </w:tc>
        <w:tc>
          <w:tcPr>
            <w:tcW w:w="60" w:type="dxa"/>
            <w:vAlign w:val="bottom"/>
          </w:tcPr>
          <w:p>
            <w:pPr>
              <w:spacing w:after="0"/>
              <w:rPr>
                <w:sz w:val="17"/>
                <w:szCs w:val="17"/>
                <w:color w:val="auto"/>
              </w:rPr>
            </w:pPr>
          </w:p>
        </w:tc>
      </w:tr>
      <w:tr>
        <w:trPr>
          <w:trHeight w:val="203"/>
        </w:trPr>
        <w:tc>
          <w:tcPr>
            <w:tcW w:w="738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Stock-based compensation</w:t>
            </w:r>
          </w:p>
        </w:tc>
        <w:tc>
          <w:tcPr>
            <w:tcW w:w="1900" w:type="dxa"/>
            <w:vAlign w:val="bottom"/>
            <w:shd w:val="clear" w:color="auto" w:fill="E6E7E7"/>
          </w:tcPr>
          <w:p>
            <w:pPr>
              <w:spacing w:after="0"/>
              <w:rPr>
                <w:sz w:val="17"/>
                <w:szCs w:val="17"/>
                <w:color w:val="auto"/>
              </w:rPr>
            </w:pPr>
          </w:p>
        </w:tc>
        <w:tc>
          <w:tcPr>
            <w:tcW w:w="100" w:type="dxa"/>
            <w:vAlign w:val="bottom"/>
            <w:shd w:val="clear" w:color="auto" w:fill="E6E7E7"/>
          </w:tcPr>
          <w:p>
            <w:pPr>
              <w:spacing w:after="0"/>
              <w:rPr>
                <w:sz w:val="17"/>
                <w:szCs w:val="17"/>
                <w:color w:val="auto"/>
              </w:rPr>
            </w:pPr>
          </w:p>
        </w:tc>
        <w:tc>
          <w:tcPr>
            <w:tcW w:w="600" w:type="dxa"/>
            <w:vAlign w:val="bottom"/>
            <w:shd w:val="clear" w:color="auto" w:fill="E6E7E7"/>
          </w:tcPr>
          <w:p>
            <w:pPr>
              <w:jc w:val="right"/>
              <w:ind w:right="74"/>
              <w:spacing w:after="0" w:line="202" w:lineRule="exact"/>
              <w:rPr>
                <w:sz w:val="20"/>
                <w:szCs w:val="20"/>
                <w:color w:val="auto"/>
              </w:rPr>
            </w:pPr>
            <w:r>
              <w:rPr>
                <w:rFonts w:ascii="Arial" w:cs="Arial" w:eastAsia="Arial" w:hAnsi="Arial"/>
                <w:sz w:val="18"/>
                <w:szCs w:val="18"/>
                <w:b w:val="1"/>
                <w:bCs w:val="1"/>
                <w:color w:val="auto"/>
              </w:rPr>
              <w:t>156</w:t>
            </w:r>
          </w:p>
        </w:tc>
        <w:tc>
          <w:tcPr>
            <w:tcW w:w="220" w:type="dxa"/>
            <w:vAlign w:val="bottom"/>
            <w:shd w:val="clear" w:color="auto" w:fill="E6E7E7"/>
          </w:tcPr>
          <w:p>
            <w:pPr>
              <w:spacing w:after="0"/>
              <w:rPr>
                <w:sz w:val="17"/>
                <w:szCs w:val="17"/>
                <w:color w:val="auto"/>
              </w:rPr>
            </w:pPr>
          </w:p>
        </w:tc>
        <w:tc>
          <w:tcPr>
            <w:tcW w:w="4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61</w:t>
            </w:r>
          </w:p>
        </w:tc>
        <w:tc>
          <w:tcPr>
            <w:tcW w:w="60" w:type="dxa"/>
            <w:vAlign w:val="bottom"/>
            <w:shd w:val="clear" w:color="auto" w:fill="E6E7E7"/>
          </w:tcPr>
          <w:p>
            <w:pPr>
              <w:spacing w:after="0"/>
              <w:rPr>
                <w:sz w:val="17"/>
                <w:szCs w:val="17"/>
                <w:color w:val="auto"/>
              </w:rPr>
            </w:pPr>
          </w:p>
        </w:tc>
      </w:tr>
      <w:tr>
        <w:trPr>
          <w:trHeight w:val="203"/>
        </w:trPr>
        <w:tc>
          <w:tcPr>
            <w:tcW w:w="7380" w:type="dxa"/>
            <w:vAlign w:val="bottom"/>
          </w:tcPr>
          <w:p>
            <w:pPr>
              <w:ind w:left="420"/>
              <w:spacing w:after="0" w:line="202" w:lineRule="exact"/>
              <w:rPr>
                <w:sz w:val="20"/>
                <w:szCs w:val="20"/>
                <w:color w:val="auto"/>
              </w:rPr>
            </w:pPr>
            <w:r>
              <w:rPr>
                <w:rFonts w:ascii="Arial" w:cs="Arial" w:eastAsia="Arial" w:hAnsi="Arial"/>
                <w:sz w:val="18"/>
                <w:szCs w:val="18"/>
                <w:color w:val="auto"/>
              </w:rPr>
              <w:t>Accrued expenses</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295</w:t>
            </w:r>
          </w:p>
        </w:tc>
        <w:tc>
          <w:tcPr>
            <w:tcW w:w="2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260</w:t>
            </w:r>
          </w:p>
        </w:tc>
        <w:tc>
          <w:tcPr>
            <w:tcW w:w="60" w:type="dxa"/>
            <w:vAlign w:val="bottom"/>
          </w:tcPr>
          <w:p>
            <w:pPr>
              <w:spacing w:after="0"/>
              <w:rPr>
                <w:sz w:val="17"/>
                <w:szCs w:val="17"/>
                <w:color w:val="auto"/>
              </w:rPr>
            </w:pPr>
          </w:p>
        </w:tc>
      </w:tr>
      <w:tr>
        <w:trPr>
          <w:trHeight w:val="203"/>
        </w:trPr>
        <w:tc>
          <w:tcPr>
            <w:tcW w:w="738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Deferred loss and tax credits</w:t>
            </w:r>
          </w:p>
        </w:tc>
        <w:tc>
          <w:tcPr>
            <w:tcW w:w="1900" w:type="dxa"/>
            <w:vAlign w:val="bottom"/>
            <w:shd w:val="clear" w:color="auto" w:fill="E6E7E7"/>
          </w:tcPr>
          <w:p>
            <w:pPr>
              <w:spacing w:after="0"/>
              <w:rPr>
                <w:sz w:val="17"/>
                <w:szCs w:val="17"/>
                <w:color w:val="auto"/>
              </w:rPr>
            </w:pPr>
          </w:p>
        </w:tc>
        <w:tc>
          <w:tcPr>
            <w:tcW w:w="100" w:type="dxa"/>
            <w:vAlign w:val="bottom"/>
            <w:shd w:val="clear" w:color="auto" w:fill="E6E7E7"/>
          </w:tcPr>
          <w:p>
            <w:pPr>
              <w:spacing w:after="0"/>
              <w:rPr>
                <w:sz w:val="17"/>
                <w:szCs w:val="17"/>
                <w:color w:val="auto"/>
              </w:rPr>
            </w:pPr>
          </w:p>
        </w:tc>
        <w:tc>
          <w:tcPr>
            <w:tcW w:w="600" w:type="dxa"/>
            <w:vAlign w:val="bottom"/>
            <w:shd w:val="clear" w:color="auto" w:fill="E6E7E7"/>
          </w:tcPr>
          <w:p>
            <w:pPr>
              <w:jc w:val="right"/>
              <w:ind w:right="74"/>
              <w:spacing w:after="0" w:line="202" w:lineRule="exact"/>
              <w:rPr>
                <w:sz w:val="20"/>
                <w:szCs w:val="20"/>
                <w:color w:val="auto"/>
              </w:rPr>
            </w:pPr>
            <w:r>
              <w:rPr>
                <w:rFonts w:ascii="Arial" w:cs="Arial" w:eastAsia="Arial" w:hAnsi="Arial"/>
                <w:sz w:val="18"/>
                <w:szCs w:val="18"/>
                <w:b w:val="1"/>
                <w:bCs w:val="1"/>
                <w:color w:val="auto"/>
              </w:rPr>
              <w:t>387</w:t>
            </w:r>
          </w:p>
        </w:tc>
        <w:tc>
          <w:tcPr>
            <w:tcW w:w="220" w:type="dxa"/>
            <w:vAlign w:val="bottom"/>
            <w:shd w:val="clear" w:color="auto" w:fill="E6E7E7"/>
          </w:tcPr>
          <w:p>
            <w:pPr>
              <w:spacing w:after="0"/>
              <w:rPr>
                <w:sz w:val="17"/>
                <w:szCs w:val="17"/>
                <w:color w:val="auto"/>
              </w:rPr>
            </w:pPr>
          </w:p>
        </w:tc>
        <w:tc>
          <w:tcPr>
            <w:tcW w:w="4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372</w:t>
            </w:r>
          </w:p>
        </w:tc>
        <w:tc>
          <w:tcPr>
            <w:tcW w:w="60" w:type="dxa"/>
            <w:vAlign w:val="bottom"/>
            <w:shd w:val="clear" w:color="auto" w:fill="E6E7E7"/>
          </w:tcPr>
          <w:p>
            <w:pPr>
              <w:spacing w:after="0"/>
              <w:rPr>
                <w:sz w:val="17"/>
                <w:szCs w:val="17"/>
                <w:color w:val="auto"/>
              </w:rPr>
            </w:pPr>
          </w:p>
        </w:tc>
      </w:tr>
      <w:tr>
        <w:trPr>
          <w:trHeight w:val="203"/>
        </w:trPr>
        <w:tc>
          <w:tcPr>
            <w:tcW w:w="7380" w:type="dxa"/>
            <w:vAlign w:val="bottom"/>
          </w:tcPr>
          <w:p>
            <w:pPr>
              <w:ind w:left="420"/>
              <w:spacing w:after="0" w:line="202" w:lineRule="exact"/>
              <w:rPr>
                <w:sz w:val="20"/>
                <w:szCs w:val="20"/>
                <w:color w:val="auto"/>
              </w:rPr>
            </w:pPr>
            <w:r>
              <w:rPr>
                <w:rFonts w:ascii="Arial" w:cs="Arial" w:eastAsia="Arial" w:hAnsi="Arial"/>
                <w:sz w:val="18"/>
                <w:szCs w:val="18"/>
                <w:color w:val="auto"/>
              </w:rPr>
              <w:t>Investments</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48</w:t>
            </w:r>
          </w:p>
        </w:tc>
        <w:tc>
          <w:tcPr>
            <w:tcW w:w="2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60" w:type="dxa"/>
            <w:vAlign w:val="bottom"/>
          </w:tcPr>
          <w:p>
            <w:pPr>
              <w:spacing w:after="0"/>
              <w:rPr>
                <w:sz w:val="17"/>
                <w:szCs w:val="17"/>
                <w:color w:val="auto"/>
              </w:rPr>
            </w:pPr>
          </w:p>
        </w:tc>
      </w:tr>
      <w:tr>
        <w:trPr>
          <w:trHeight w:val="203"/>
        </w:trPr>
        <w:tc>
          <w:tcPr>
            <w:tcW w:w="738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Other</w:t>
            </w:r>
          </w:p>
        </w:tc>
        <w:tc>
          <w:tcPr>
            <w:tcW w:w="1900" w:type="dxa"/>
            <w:vAlign w:val="bottom"/>
            <w:shd w:val="clear" w:color="auto" w:fill="E6E7E7"/>
          </w:tcPr>
          <w:p>
            <w:pPr>
              <w:spacing w:after="0"/>
              <w:rPr>
                <w:sz w:val="17"/>
                <w:szCs w:val="17"/>
                <w:color w:val="auto"/>
              </w:rPr>
            </w:pPr>
          </w:p>
        </w:tc>
        <w:tc>
          <w:tcPr>
            <w:tcW w:w="100" w:type="dxa"/>
            <w:vAlign w:val="bottom"/>
            <w:tcBorders>
              <w:bottom w:val="single" w:sz="8" w:color="auto"/>
            </w:tcBorders>
            <w:shd w:val="clear" w:color="auto" w:fill="E6E7E7"/>
          </w:tcPr>
          <w:p>
            <w:pPr>
              <w:spacing w:after="0"/>
              <w:rPr>
                <w:sz w:val="17"/>
                <w:szCs w:val="17"/>
                <w:color w:val="auto"/>
              </w:rPr>
            </w:pPr>
          </w:p>
        </w:tc>
        <w:tc>
          <w:tcPr>
            <w:tcW w:w="600" w:type="dxa"/>
            <w:vAlign w:val="bottom"/>
            <w:tcBorders>
              <w:bottom w:val="single" w:sz="8" w:color="auto"/>
            </w:tcBorders>
            <w:shd w:val="clear" w:color="auto" w:fill="E6E7E7"/>
          </w:tcPr>
          <w:p>
            <w:pPr>
              <w:jc w:val="right"/>
              <w:ind w:right="74"/>
              <w:spacing w:after="0" w:line="202" w:lineRule="exact"/>
              <w:rPr>
                <w:sz w:val="20"/>
                <w:szCs w:val="20"/>
                <w:color w:val="auto"/>
              </w:rPr>
            </w:pPr>
            <w:r>
              <w:rPr>
                <w:rFonts w:ascii="Arial" w:cs="Arial" w:eastAsia="Arial" w:hAnsi="Arial"/>
                <w:sz w:val="18"/>
                <w:szCs w:val="18"/>
                <w:b w:val="1"/>
                <w:bCs w:val="1"/>
                <w:color w:val="auto"/>
              </w:rPr>
              <w:t>121</w:t>
            </w:r>
          </w:p>
        </w:tc>
        <w:tc>
          <w:tcPr>
            <w:tcW w:w="220" w:type="dxa"/>
            <w:vAlign w:val="bottom"/>
            <w:tcBorders>
              <w:bottom w:val="single" w:sz="8" w:color="auto"/>
            </w:tcBorders>
            <w:shd w:val="clear" w:color="auto" w:fill="E6E7E7"/>
          </w:tcPr>
          <w:p>
            <w:pPr>
              <w:spacing w:after="0"/>
              <w:rPr>
                <w:sz w:val="17"/>
                <w:szCs w:val="17"/>
                <w:color w:val="auto"/>
              </w:rPr>
            </w:pPr>
          </w:p>
        </w:tc>
        <w:tc>
          <w:tcPr>
            <w:tcW w:w="46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108</w:t>
            </w:r>
          </w:p>
        </w:tc>
        <w:tc>
          <w:tcPr>
            <w:tcW w:w="60" w:type="dxa"/>
            <w:vAlign w:val="bottom"/>
            <w:shd w:val="clear" w:color="auto" w:fill="E6E7E7"/>
          </w:tcPr>
          <w:p>
            <w:pPr>
              <w:spacing w:after="0"/>
              <w:rPr>
                <w:sz w:val="17"/>
                <w:szCs w:val="17"/>
                <w:color w:val="auto"/>
              </w:rPr>
            </w:pPr>
          </w:p>
        </w:tc>
      </w:tr>
      <w:tr>
        <w:trPr>
          <w:trHeight w:val="210"/>
        </w:trPr>
        <w:tc>
          <w:tcPr>
            <w:tcW w:w="7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74"/>
              <w:spacing w:after="0"/>
              <w:rPr>
                <w:sz w:val="20"/>
                <w:szCs w:val="20"/>
                <w:color w:val="auto"/>
              </w:rPr>
            </w:pPr>
            <w:r>
              <w:rPr>
                <w:rFonts w:ascii="Arial" w:cs="Arial" w:eastAsia="Arial" w:hAnsi="Arial"/>
                <w:sz w:val="18"/>
                <w:szCs w:val="18"/>
                <w:b w:val="1"/>
                <w:bCs w:val="1"/>
                <w:color w:val="auto"/>
                <w:w w:val="93"/>
              </w:rPr>
              <w:t>1,593</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1,217</w:t>
            </w:r>
          </w:p>
        </w:tc>
        <w:tc>
          <w:tcPr>
            <w:tcW w:w="60" w:type="dxa"/>
            <w:vAlign w:val="bottom"/>
          </w:tcPr>
          <w:p>
            <w:pPr>
              <w:spacing w:after="0"/>
              <w:rPr>
                <w:sz w:val="18"/>
                <w:szCs w:val="18"/>
                <w:color w:val="auto"/>
              </w:rPr>
            </w:pPr>
          </w:p>
        </w:tc>
      </w:tr>
      <w:tr>
        <w:trPr>
          <w:trHeight w:val="203"/>
        </w:trPr>
        <w:tc>
          <w:tcPr>
            <w:tcW w:w="738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Less valuation allowance</w:t>
            </w:r>
          </w:p>
        </w:tc>
        <w:tc>
          <w:tcPr>
            <w:tcW w:w="1900" w:type="dxa"/>
            <w:vAlign w:val="bottom"/>
            <w:shd w:val="clear" w:color="auto" w:fill="E6E7E7"/>
          </w:tcPr>
          <w:p>
            <w:pPr>
              <w:spacing w:after="0"/>
              <w:rPr>
                <w:sz w:val="17"/>
                <w:szCs w:val="17"/>
                <w:color w:val="auto"/>
              </w:rPr>
            </w:pPr>
          </w:p>
        </w:tc>
        <w:tc>
          <w:tcPr>
            <w:tcW w:w="100" w:type="dxa"/>
            <w:vAlign w:val="bottom"/>
            <w:shd w:val="clear" w:color="auto" w:fill="E6E7E7"/>
          </w:tcPr>
          <w:p>
            <w:pPr>
              <w:spacing w:after="0"/>
              <w:rPr>
                <w:sz w:val="17"/>
                <w:szCs w:val="17"/>
                <w:color w:val="auto"/>
              </w:rPr>
            </w:pPr>
          </w:p>
        </w:tc>
        <w:tc>
          <w:tcPr>
            <w:tcW w:w="600" w:type="dxa"/>
            <w:vAlign w:val="bottom"/>
            <w:shd w:val="clear" w:color="auto" w:fill="E6E7E7"/>
          </w:tcPr>
          <w:p>
            <w:pPr>
              <w:jc w:val="right"/>
              <w:ind w:right="14"/>
              <w:spacing w:after="0" w:line="202" w:lineRule="exact"/>
              <w:rPr>
                <w:sz w:val="20"/>
                <w:szCs w:val="20"/>
                <w:color w:val="auto"/>
              </w:rPr>
            </w:pPr>
            <w:r>
              <w:rPr>
                <w:rFonts w:ascii="Arial" w:cs="Arial" w:eastAsia="Arial" w:hAnsi="Arial"/>
                <w:sz w:val="18"/>
                <w:szCs w:val="18"/>
                <w:b w:val="1"/>
                <w:bCs w:val="1"/>
                <w:color w:val="auto"/>
              </w:rPr>
              <w:t>(14)</w:t>
            </w:r>
          </w:p>
        </w:tc>
        <w:tc>
          <w:tcPr>
            <w:tcW w:w="220" w:type="dxa"/>
            <w:vAlign w:val="bottom"/>
            <w:shd w:val="clear" w:color="auto" w:fill="E6E7E7"/>
          </w:tcPr>
          <w:p>
            <w:pPr>
              <w:spacing w:after="0"/>
              <w:rPr>
                <w:sz w:val="17"/>
                <w:szCs w:val="17"/>
                <w:color w:val="auto"/>
              </w:rPr>
            </w:pPr>
          </w:p>
        </w:tc>
        <w:tc>
          <w:tcPr>
            <w:tcW w:w="520" w:type="dxa"/>
            <w:vAlign w:val="bottom"/>
            <w:gridSpan w:val="2"/>
            <w:shd w:val="clear" w:color="auto" w:fill="E6E7E7"/>
          </w:tcPr>
          <w:p>
            <w:pPr>
              <w:jc w:val="right"/>
              <w:ind w:right="20"/>
              <w:spacing w:after="0" w:line="202" w:lineRule="exact"/>
              <w:rPr>
                <w:sz w:val="20"/>
                <w:szCs w:val="20"/>
                <w:color w:val="auto"/>
              </w:rPr>
            </w:pPr>
            <w:r>
              <w:rPr>
                <w:rFonts w:ascii="Arial" w:cs="Arial" w:eastAsia="Arial" w:hAnsi="Arial"/>
                <w:sz w:val="18"/>
                <w:szCs w:val="18"/>
                <w:color w:val="auto"/>
              </w:rPr>
              <w:t>(36)</w:t>
            </w:r>
          </w:p>
        </w:tc>
      </w:tr>
      <w:tr>
        <w:trPr>
          <w:trHeight w:val="210"/>
        </w:trPr>
        <w:tc>
          <w:tcPr>
            <w:tcW w:w="7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w w:val="93"/>
              </w:rPr>
              <w:t>1,579</w:t>
            </w:r>
          </w:p>
        </w:tc>
        <w:tc>
          <w:tcPr>
            <w:tcW w:w="2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1,181</w:t>
            </w:r>
          </w:p>
        </w:tc>
        <w:tc>
          <w:tcPr>
            <w:tcW w:w="60" w:type="dxa"/>
            <w:vAlign w:val="bottom"/>
          </w:tcPr>
          <w:p>
            <w:pPr>
              <w:spacing w:after="0"/>
              <w:rPr>
                <w:sz w:val="18"/>
                <w:szCs w:val="18"/>
                <w:color w:val="auto"/>
              </w:rPr>
            </w:pPr>
          </w:p>
        </w:tc>
      </w:tr>
      <w:tr>
        <w:trPr>
          <w:trHeight w:val="203"/>
        </w:trPr>
        <w:tc>
          <w:tcPr>
            <w:tcW w:w="738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Deferred income tax liabilities:</w:t>
            </w:r>
          </w:p>
        </w:tc>
        <w:tc>
          <w:tcPr>
            <w:tcW w:w="1900" w:type="dxa"/>
            <w:vAlign w:val="bottom"/>
            <w:shd w:val="clear" w:color="auto" w:fill="E6E7E7"/>
          </w:tcPr>
          <w:p>
            <w:pPr>
              <w:spacing w:after="0"/>
              <w:rPr>
                <w:sz w:val="17"/>
                <w:szCs w:val="17"/>
                <w:color w:val="auto"/>
              </w:rPr>
            </w:pPr>
          </w:p>
        </w:tc>
        <w:tc>
          <w:tcPr>
            <w:tcW w:w="100" w:type="dxa"/>
            <w:vAlign w:val="bottom"/>
            <w:shd w:val="clear" w:color="auto" w:fill="E6E7E7"/>
          </w:tcPr>
          <w:p>
            <w:pPr>
              <w:spacing w:after="0"/>
              <w:rPr>
                <w:sz w:val="17"/>
                <w:szCs w:val="17"/>
                <w:color w:val="auto"/>
              </w:rPr>
            </w:pPr>
          </w:p>
        </w:tc>
        <w:tc>
          <w:tcPr>
            <w:tcW w:w="600" w:type="dxa"/>
            <w:vAlign w:val="bottom"/>
            <w:shd w:val="clear" w:color="auto" w:fill="E6E7E7"/>
          </w:tcPr>
          <w:p>
            <w:pPr>
              <w:spacing w:after="0"/>
              <w:rPr>
                <w:sz w:val="17"/>
                <w:szCs w:val="17"/>
                <w:color w:val="auto"/>
              </w:rPr>
            </w:pPr>
          </w:p>
        </w:tc>
        <w:tc>
          <w:tcPr>
            <w:tcW w:w="220" w:type="dxa"/>
            <w:vAlign w:val="bottom"/>
            <w:shd w:val="clear" w:color="auto" w:fill="E6E7E7"/>
          </w:tcPr>
          <w:p>
            <w:pPr>
              <w:spacing w:after="0"/>
              <w:rPr>
                <w:sz w:val="17"/>
                <w:szCs w:val="17"/>
                <w:color w:val="auto"/>
              </w:rPr>
            </w:pPr>
          </w:p>
        </w:tc>
        <w:tc>
          <w:tcPr>
            <w:tcW w:w="46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r>
      <w:tr>
        <w:trPr>
          <w:trHeight w:val="203"/>
        </w:trPr>
        <w:tc>
          <w:tcPr>
            <w:tcW w:w="7380" w:type="dxa"/>
            <w:vAlign w:val="bottom"/>
          </w:tcPr>
          <w:p>
            <w:pPr>
              <w:ind w:left="420"/>
              <w:spacing w:after="0" w:line="202" w:lineRule="exact"/>
              <w:rPr>
                <w:sz w:val="20"/>
                <w:szCs w:val="20"/>
                <w:color w:val="auto"/>
              </w:rPr>
            </w:pPr>
            <w:r>
              <w:rPr>
                <w:rFonts w:ascii="Arial" w:cs="Arial" w:eastAsia="Arial" w:hAnsi="Arial"/>
                <w:sz w:val="18"/>
                <w:szCs w:val="18"/>
                <w:color w:val="auto"/>
              </w:rPr>
              <w:t>Property, plant and equipment</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(145)</w:t>
            </w:r>
          </w:p>
        </w:tc>
        <w:tc>
          <w:tcPr>
            <w:tcW w:w="220" w:type="dxa"/>
            <w:vAlign w:val="bottom"/>
          </w:tcPr>
          <w:p>
            <w:pPr>
              <w:spacing w:after="0"/>
              <w:rPr>
                <w:sz w:val="17"/>
                <w:szCs w:val="17"/>
                <w:color w:val="auto"/>
              </w:rPr>
            </w:pPr>
          </w:p>
        </w:tc>
        <w:tc>
          <w:tcPr>
            <w:tcW w:w="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(172)</w:t>
            </w:r>
          </w:p>
        </w:tc>
      </w:tr>
      <w:tr>
        <w:trPr>
          <w:trHeight w:val="203"/>
        </w:trPr>
        <w:tc>
          <w:tcPr>
            <w:tcW w:w="738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Intangibles</w:t>
            </w:r>
          </w:p>
        </w:tc>
        <w:tc>
          <w:tcPr>
            <w:tcW w:w="1900" w:type="dxa"/>
            <w:vAlign w:val="bottom"/>
            <w:shd w:val="clear" w:color="auto" w:fill="E6E7E7"/>
          </w:tcPr>
          <w:p>
            <w:pPr>
              <w:spacing w:after="0"/>
              <w:rPr>
                <w:sz w:val="17"/>
                <w:szCs w:val="17"/>
                <w:color w:val="auto"/>
              </w:rPr>
            </w:pPr>
          </w:p>
        </w:tc>
        <w:tc>
          <w:tcPr>
            <w:tcW w:w="100" w:type="dxa"/>
            <w:vAlign w:val="bottom"/>
            <w:shd w:val="clear" w:color="auto" w:fill="E6E7E7"/>
          </w:tcPr>
          <w:p>
            <w:pPr>
              <w:spacing w:after="0"/>
              <w:rPr>
                <w:sz w:val="17"/>
                <w:szCs w:val="17"/>
                <w:color w:val="auto"/>
              </w:rPr>
            </w:pPr>
          </w:p>
        </w:tc>
        <w:tc>
          <w:tcPr>
            <w:tcW w:w="600" w:type="dxa"/>
            <w:vAlign w:val="bottom"/>
            <w:shd w:val="clear" w:color="auto" w:fill="E6E7E7"/>
          </w:tcPr>
          <w:p>
            <w:pPr>
              <w:jc w:val="right"/>
              <w:ind w:right="14"/>
              <w:spacing w:after="0" w:line="202" w:lineRule="exact"/>
              <w:rPr>
                <w:sz w:val="20"/>
                <w:szCs w:val="20"/>
                <w:color w:val="auto"/>
              </w:rPr>
            </w:pPr>
            <w:r>
              <w:rPr>
                <w:rFonts w:ascii="Arial" w:cs="Arial" w:eastAsia="Arial" w:hAnsi="Arial"/>
                <w:sz w:val="18"/>
                <w:szCs w:val="18"/>
                <w:b w:val="1"/>
                <w:bCs w:val="1"/>
                <w:color w:val="auto"/>
              </w:rPr>
              <w:t>(29)</w:t>
            </w:r>
          </w:p>
        </w:tc>
        <w:tc>
          <w:tcPr>
            <w:tcW w:w="220" w:type="dxa"/>
            <w:vAlign w:val="bottom"/>
            <w:shd w:val="clear" w:color="auto" w:fill="E6E7E7"/>
          </w:tcPr>
          <w:p>
            <w:pPr>
              <w:spacing w:after="0"/>
              <w:rPr>
                <w:sz w:val="17"/>
                <w:szCs w:val="17"/>
                <w:color w:val="auto"/>
              </w:rPr>
            </w:pPr>
          </w:p>
        </w:tc>
        <w:tc>
          <w:tcPr>
            <w:tcW w:w="520" w:type="dxa"/>
            <w:vAlign w:val="bottom"/>
            <w:gridSpan w:val="2"/>
            <w:shd w:val="clear" w:color="auto" w:fill="E6E7E7"/>
          </w:tcPr>
          <w:p>
            <w:pPr>
              <w:jc w:val="right"/>
              <w:ind w:right="20"/>
              <w:spacing w:after="0" w:line="202" w:lineRule="exact"/>
              <w:rPr>
                <w:sz w:val="20"/>
                <w:szCs w:val="20"/>
                <w:color w:val="auto"/>
              </w:rPr>
            </w:pPr>
            <w:r>
              <w:rPr>
                <w:rFonts w:ascii="Arial" w:cs="Arial" w:eastAsia="Arial" w:hAnsi="Arial"/>
                <w:sz w:val="18"/>
                <w:szCs w:val="18"/>
                <w:color w:val="auto"/>
              </w:rPr>
              <w:t>(11)</w:t>
            </w:r>
          </w:p>
        </w:tc>
      </w:tr>
      <w:tr>
        <w:trPr>
          <w:trHeight w:val="203"/>
        </w:trPr>
        <w:tc>
          <w:tcPr>
            <w:tcW w:w="7380" w:type="dxa"/>
            <w:vAlign w:val="bottom"/>
          </w:tcPr>
          <w:p>
            <w:pPr>
              <w:ind w:left="420"/>
              <w:spacing w:after="0" w:line="202" w:lineRule="exact"/>
              <w:rPr>
                <w:sz w:val="20"/>
                <w:szCs w:val="20"/>
                <w:color w:val="auto"/>
              </w:rPr>
            </w:pPr>
            <w:r>
              <w:rPr>
                <w:rFonts w:ascii="Arial" w:cs="Arial" w:eastAsia="Arial" w:hAnsi="Arial"/>
                <w:sz w:val="18"/>
                <w:szCs w:val="18"/>
                <w:color w:val="auto"/>
              </w:rPr>
              <w:t>Non-U.S. earnings</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(26)</w:t>
            </w:r>
          </w:p>
        </w:tc>
        <w:tc>
          <w:tcPr>
            <w:tcW w:w="220" w:type="dxa"/>
            <w:vAlign w:val="bottom"/>
          </w:tcPr>
          <w:p>
            <w:pPr>
              <w:spacing w:after="0"/>
              <w:rPr>
                <w:sz w:val="17"/>
                <w:szCs w:val="17"/>
                <w:color w:val="auto"/>
              </w:rPr>
            </w:pPr>
          </w:p>
        </w:tc>
        <w:tc>
          <w:tcPr>
            <w:tcW w:w="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w:t>
            </w:r>
          </w:p>
        </w:tc>
      </w:tr>
      <w:tr>
        <w:trPr>
          <w:trHeight w:val="203"/>
        </w:trPr>
        <w:tc>
          <w:tcPr>
            <w:tcW w:w="738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Other</w:t>
            </w:r>
          </w:p>
        </w:tc>
        <w:tc>
          <w:tcPr>
            <w:tcW w:w="1900" w:type="dxa"/>
            <w:vAlign w:val="bottom"/>
            <w:shd w:val="clear" w:color="auto" w:fill="E6E7E7"/>
          </w:tcPr>
          <w:p>
            <w:pPr>
              <w:spacing w:after="0"/>
              <w:rPr>
                <w:sz w:val="17"/>
                <w:szCs w:val="17"/>
                <w:color w:val="auto"/>
              </w:rPr>
            </w:pPr>
          </w:p>
        </w:tc>
        <w:tc>
          <w:tcPr>
            <w:tcW w:w="100" w:type="dxa"/>
            <w:vAlign w:val="bottom"/>
            <w:shd w:val="clear" w:color="auto" w:fill="E6E7E7"/>
          </w:tcPr>
          <w:p>
            <w:pPr>
              <w:spacing w:after="0"/>
              <w:rPr>
                <w:sz w:val="17"/>
                <w:szCs w:val="17"/>
                <w:color w:val="auto"/>
              </w:rPr>
            </w:pPr>
          </w:p>
        </w:tc>
        <w:tc>
          <w:tcPr>
            <w:tcW w:w="600" w:type="dxa"/>
            <w:vAlign w:val="bottom"/>
            <w:shd w:val="clear" w:color="auto" w:fill="E6E7E7"/>
          </w:tcPr>
          <w:p>
            <w:pPr>
              <w:jc w:val="right"/>
              <w:ind w:right="14"/>
              <w:spacing w:after="0" w:line="202" w:lineRule="exact"/>
              <w:rPr>
                <w:sz w:val="20"/>
                <w:szCs w:val="20"/>
                <w:color w:val="auto"/>
              </w:rPr>
            </w:pPr>
            <w:r>
              <w:rPr>
                <w:rFonts w:ascii="Arial" w:cs="Arial" w:eastAsia="Arial" w:hAnsi="Arial"/>
                <w:sz w:val="18"/>
                <w:szCs w:val="18"/>
                <w:b w:val="1"/>
                <w:bCs w:val="1"/>
                <w:color w:val="auto"/>
              </w:rPr>
              <w:t>(60)</w:t>
            </w:r>
          </w:p>
        </w:tc>
        <w:tc>
          <w:tcPr>
            <w:tcW w:w="220" w:type="dxa"/>
            <w:vAlign w:val="bottom"/>
            <w:shd w:val="clear" w:color="auto" w:fill="E6E7E7"/>
          </w:tcPr>
          <w:p>
            <w:pPr>
              <w:spacing w:after="0"/>
              <w:rPr>
                <w:sz w:val="17"/>
                <w:szCs w:val="17"/>
                <w:color w:val="auto"/>
              </w:rPr>
            </w:pPr>
          </w:p>
        </w:tc>
        <w:tc>
          <w:tcPr>
            <w:tcW w:w="520" w:type="dxa"/>
            <w:vAlign w:val="bottom"/>
            <w:gridSpan w:val="2"/>
            <w:shd w:val="clear" w:color="auto" w:fill="E6E7E7"/>
          </w:tcPr>
          <w:p>
            <w:pPr>
              <w:jc w:val="right"/>
              <w:ind w:right="20"/>
              <w:spacing w:after="0" w:line="202" w:lineRule="exact"/>
              <w:rPr>
                <w:sz w:val="20"/>
                <w:szCs w:val="20"/>
                <w:color w:val="auto"/>
              </w:rPr>
            </w:pPr>
            <w:r>
              <w:rPr>
                <w:rFonts w:ascii="Arial" w:cs="Arial" w:eastAsia="Arial" w:hAnsi="Arial"/>
                <w:sz w:val="18"/>
                <w:szCs w:val="18"/>
                <w:color w:val="auto"/>
              </w:rPr>
              <w:t>(3)</w:t>
            </w:r>
          </w:p>
        </w:tc>
      </w:tr>
      <w:tr>
        <w:trPr>
          <w:trHeight w:val="20"/>
        </w:trPr>
        <w:tc>
          <w:tcPr>
            <w:tcW w:w="7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7"/>
        </w:trPr>
        <w:tc>
          <w:tcPr>
            <w:tcW w:w="7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b w:val="1"/>
                <w:bCs w:val="1"/>
                <w:color w:val="auto"/>
              </w:rPr>
              <w:t>(260)</w:t>
            </w:r>
          </w:p>
        </w:tc>
        <w:tc>
          <w:tcPr>
            <w:tcW w:w="2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r>
      <w:tr>
        <w:trPr>
          <w:trHeight w:val="203"/>
        </w:trPr>
        <w:tc>
          <w:tcPr>
            <w:tcW w:w="738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Net deferred income tax asset</w:t>
            </w:r>
          </w:p>
        </w:tc>
        <w:tc>
          <w:tcPr>
            <w:tcW w:w="1900" w:type="dxa"/>
            <w:vAlign w:val="bottom"/>
            <w:shd w:val="clear" w:color="auto" w:fill="E6E7E7"/>
          </w:tcPr>
          <w:p>
            <w:pPr>
              <w:spacing w:after="0"/>
              <w:rPr>
                <w:sz w:val="17"/>
                <w:szCs w:val="17"/>
                <w:color w:val="auto"/>
              </w:rPr>
            </w:pPr>
          </w:p>
        </w:tc>
        <w:tc>
          <w:tcPr>
            <w:tcW w:w="100" w:type="dxa"/>
            <w:vAlign w:val="bottom"/>
            <w:tcBorders>
              <w:top w:val="single" w:sz="8" w:color="auto"/>
              <w:bottom w:val="single" w:sz="8" w:color="auto"/>
            </w:tcBorders>
            <w:shd w:val="clear" w:color="auto" w:fill="E6E7E7"/>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00" w:type="dxa"/>
            <w:vAlign w:val="bottom"/>
            <w:tcBorders>
              <w:top w:val="single" w:sz="8" w:color="auto"/>
              <w:bottom w:val="single" w:sz="8" w:color="auto"/>
            </w:tcBorders>
            <w:shd w:val="clear" w:color="auto" w:fill="E6E7E7"/>
          </w:tcPr>
          <w:p>
            <w:pPr>
              <w:jc w:val="right"/>
              <w:ind w:right="74"/>
              <w:spacing w:after="0" w:line="202" w:lineRule="exact"/>
              <w:rPr>
                <w:sz w:val="20"/>
                <w:szCs w:val="20"/>
                <w:color w:val="auto"/>
              </w:rPr>
            </w:pPr>
            <w:r>
              <w:rPr>
                <w:rFonts w:ascii="Arial" w:cs="Arial" w:eastAsia="Arial" w:hAnsi="Arial"/>
                <w:sz w:val="18"/>
                <w:szCs w:val="18"/>
                <w:b w:val="1"/>
                <w:bCs w:val="1"/>
                <w:color w:val="auto"/>
                <w:w w:val="93"/>
              </w:rPr>
              <w:t>1,319</w:t>
            </w:r>
          </w:p>
        </w:tc>
        <w:tc>
          <w:tcPr>
            <w:tcW w:w="220" w:type="dxa"/>
            <w:vAlign w:val="bottom"/>
            <w:tcBorders>
              <w:top w:val="single" w:sz="8" w:color="auto"/>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989</w:t>
            </w:r>
          </w:p>
        </w:tc>
        <w:tc>
          <w:tcPr>
            <w:tcW w:w="60" w:type="dxa"/>
            <w:vAlign w:val="bottom"/>
            <w:shd w:val="clear" w:color="auto" w:fill="E6E7E7"/>
          </w:tcPr>
          <w:p>
            <w:pPr>
              <w:spacing w:after="0"/>
              <w:rPr>
                <w:sz w:val="17"/>
                <w:szCs w:val="17"/>
                <w:color w:val="auto"/>
              </w:rPr>
            </w:pPr>
          </w:p>
        </w:tc>
      </w:tr>
      <w:tr>
        <w:trPr>
          <w:trHeight w:val="20"/>
        </w:trPr>
        <w:tc>
          <w:tcPr>
            <w:tcW w:w="7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left="100" w:right="180"/>
        <w:spacing w:after="0" w:line="236" w:lineRule="auto"/>
        <w:rPr>
          <w:sz w:val="20"/>
          <w:szCs w:val="20"/>
          <w:color w:val="auto"/>
        </w:rPr>
      </w:pPr>
      <w:r>
        <w:rPr>
          <w:rFonts w:ascii="Arial" w:cs="Arial" w:eastAsia="Arial" w:hAnsi="Arial"/>
          <w:sz w:val="18"/>
          <w:szCs w:val="18"/>
          <w:color w:val="auto"/>
        </w:rPr>
        <w:t>As of December 31, 2006 and 2005, the net deferred income tax assets of $1.32 billion and $989 million were presented in the balance sheets, based on tax jurisdiction, as deferred income tax assets of $1.34 billion and $1.01 billion and deferred income tax liabilities of $23 million and $23 million. We make an ongoing assessment regarding the realization of U.S. and non-U.S. deferred tax assets. While these assets are not assured of realization, our assessment is that a valuation allowance is not required for the remaining balance of the deferred tax assets. This assessment is based on our evaluation of relevant criteria including the existence of: (a) deferred tax liabilities that can be used to absorb deferred tax assets, (b) taxable income in prior carryback years, and (c) future taxable income.</w:t>
      </w:r>
    </w:p>
    <w:p>
      <w:pPr>
        <w:spacing w:after="0" w:line="15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We have aggregate U.S. and non-U.S. tax loss carryforwards of approximately $85 million of which $11 million expire through the year 2024.</w:t>
      </w:r>
    </w:p>
    <w:p>
      <w:pPr>
        <w:spacing w:after="0" w:line="181" w:lineRule="exact"/>
        <w:rPr>
          <w:sz w:val="20"/>
          <w:szCs w:val="20"/>
          <w:color w:val="auto"/>
        </w:rPr>
      </w:pPr>
    </w:p>
    <w:p>
      <w:pPr>
        <w:ind w:left="100" w:right="440"/>
        <w:spacing w:after="0" w:line="239" w:lineRule="auto"/>
        <w:rPr>
          <w:sz w:val="20"/>
          <w:szCs w:val="20"/>
          <w:color w:val="auto"/>
        </w:rPr>
      </w:pPr>
      <w:r>
        <w:rPr>
          <w:rFonts w:ascii="Arial" w:cs="Arial" w:eastAsia="Arial" w:hAnsi="Arial"/>
          <w:sz w:val="18"/>
          <w:szCs w:val="18"/>
          <w:color w:val="auto"/>
        </w:rPr>
        <w:t>During 2005, we repatriated approximately $1.29 billion of non-U.S. subsidiary earnings that qualified under the AJCA and recognized a related tax expense of $55 million.</w:t>
      </w:r>
    </w:p>
    <w:p>
      <w:pPr>
        <w:spacing w:after="0" w:line="155" w:lineRule="exact"/>
        <w:rPr>
          <w:sz w:val="20"/>
          <w:szCs w:val="20"/>
          <w:color w:val="auto"/>
        </w:rPr>
      </w:pPr>
    </w:p>
    <w:p>
      <w:pPr>
        <w:ind w:left="100" w:right="220"/>
        <w:spacing w:after="0" w:line="275" w:lineRule="auto"/>
        <w:rPr>
          <w:sz w:val="20"/>
          <w:szCs w:val="20"/>
          <w:color w:val="auto"/>
        </w:rPr>
      </w:pPr>
      <w:r>
        <w:rPr>
          <w:rFonts w:ascii="Arial" w:cs="Arial" w:eastAsia="Arial" w:hAnsi="Arial"/>
          <w:sz w:val="16"/>
          <w:szCs w:val="16"/>
          <w:color w:val="auto"/>
        </w:rPr>
        <w:t>Provision has previously been made for deferred taxes on undistributed earnings of non-U.S. subsidiaries to the extent that dividend payments from such companies are expected to result in additional tax liability. The remaining undistributed earnings (approximately $1.29 billion at December 31, 2006) have been indefinitely reinvested; therefore, no provision has been made for taxes due upon remittance of these earnings. Determination of the amount of unrecognized deferred tax liability on these unremitted earnings is not feasible.</w:t>
      </w:r>
    </w:p>
    <w:p>
      <w:pPr>
        <w:spacing w:after="0" w:line="129" w:lineRule="exact"/>
        <w:rPr>
          <w:sz w:val="20"/>
          <w:szCs w:val="20"/>
          <w:color w:val="auto"/>
        </w:rPr>
      </w:pPr>
    </w:p>
    <w:p>
      <w:pPr>
        <w:ind w:left="100" w:right="60"/>
        <w:spacing w:after="0" w:line="236" w:lineRule="auto"/>
        <w:rPr>
          <w:sz w:val="20"/>
          <w:szCs w:val="20"/>
          <w:color w:val="auto"/>
        </w:rPr>
      </w:pPr>
      <w:r>
        <w:rPr>
          <w:rFonts w:ascii="Arial" w:cs="Arial" w:eastAsia="Arial" w:hAnsi="Arial"/>
          <w:sz w:val="18"/>
          <w:szCs w:val="18"/>
          <w:color w:val="auto"/>
        </w:rPr>
        <w:t>We operate in a number of tax jurisdictions and are subject to examination of our income tax returns by tax authorities in those jurisdictions. Those tax authorities may challenge any item on these tax returns. The tax matters challenged can be complex in nature and uncertain as to their ultimate outcome. We assess the ultimate resolution of these tax matters as they arise and establish reserves for tax contingencies when we believe an unfavorable outcome is likely and the liability can be reasonably estimated. These reserves involve considerable judgment and estimation and are based on the best information available including tax regulations, the outcome of court cases, and other information relevant to the issues raised. Although we believe our reserves for tax contingencies are reasonable, adjustments could be required in the future based on changes in facts and circumstances surrounding these contingencies.</w:t>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14. Commitments and Contingencies</w:t>
      </w:r>
    </w:p>
    <w:p>
      <w:pPr>
        <w:spacing w:after="0" w:line="180" w:lineRule="exact"/>
        <w:rPr>
          <w:sz w:val="20"/>
          <w:szCs w:val="20"/>
          <w:color w:val="auto"/>
        </w:rPr>
      </w:pPr>
    </w:p>
    <w:p>
      <w:pPr>
        <w:ind w:left="100" w:right="40"/>
        <w:spacing w:after="0" w:line="237" w:lineRule="auto"/>
        <w:rPr>
          <w:sz w:val="20"/>
          <w:szCs w:val="20"/>
          <w:color w:val="auto"/>
        </w:rPr>
      </w:pPr>
      <w:r>
        <w:rPr>
          <w:rFonts w:ascii="Arial" w:cs="Arial" w:eastAsia="Arial" w:hAnsi="Arial"/>
          <w:sz w:val="18"/>
          <w:szCs w:val="18"/>
          <w:u w:val="single" w:color="auto"/>
          <w:color w:val="auto"/>
        </w:rPr>
        <w:t>Italian Grants</w:t>
      </w:r>
      <w:r>
        <w:rPr>
          <w:rFonts w:ascii="Arial" w:cs="Arial" w:eastAsia="Arial" w:hAnsi="Arial"/>
          <w:sz w:val="18"/>
          <w:szCs w:val="18"/>
          <w:color w:val="auto"/>
        </w:rPr>
        <w:t>: Italian government auditors have completed a review, conducted in the ordinary course, of approximately $250 million of grants from the Italian government to TI’s former memory operations in Italy. The Ministry of Industry, which is responsible for reviewing the auditors’ findings, has published final decrees on all projects relating to the grants, resulting in a $28 million favorable settlement in the fourth quarter of 2006. As of December 31, 2006, we have no material obligations remaining on the grants.</w:t>
      </w:r>
    </w:p>
    <w:p>
      <w:pPr>
        <w:sectPr>
          <w:pgSz w:w="11900" w:h="16838" w:orient="portrait"/>
          <w:cols w:equalWidth="0" w:num="1">
            <w:col w:w="11060"/>
          </w:cols>
          <w:pgMar w:left="600" w:top="287" w:right="239" w:bottom="1440" w:gutter="0" w:footer="0" w:header="0"/>
        </w:sectPr>
      </w:pPr>
    </w:p>
    <w:bookmarkStart w:id="85" w:name="page86"/>
    <w:bookmarkEnd w:id="85"/>
    <w:p>
      <w:pPr>
        <w:spacing w:after="0"/>
        <w:tabs>
          <w:tab w:leader="none" w:pos="36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36</w:t>
        <w:tab/>
        <w:t>TEXAS INSTRUMENTS 2006 ANNUAL REPORT</w:t>
      </w:r>
    </w:p>
    <w:p>
      <w:pPr>
        <w:spacing w:after="0" w:line="140" w:lineRule="exact"/>
        <w:rPr>
          <w:sz w:val="20"/>
          <w:szCs w:val="20"/>
          <w:color w:val="auto"/>
        </w:rPr>
      </w:pPr>
    </w:p>
    <w:p>
      <w:pPr>
        <w:ind w:left="460" w:right="300"/>
        <w:spacing w:after="0" w:line="237" w:lineRule="auto"/>
        <w:rPr>
          <w:sz w:val="20"/>
          <w:szCs w:val="20"/>
          <w:color w:val="auto"/>
        </w:rPr>
      </w:pPr>
      <w:r>
        <w:rPr>
          <w:rFonts w:ascii="Arial" w:cs="Arial" w:eastAsia="Arial" w:hAnsi="Arial"/>
          <w:sz w:val="18"/>
          <w:szCs w:val="18"/>
          <w:u w:val="single" w:color="auto"/>
          <w:color w:val="auto"/>
        </w:rPr>
        <w:t>Venture Capital Commitments</w:t>
      </w:r>
      <w:r>
        <w:rPr>
          <w:rFonts w:ascii="Arial" w:cs="Arial" w:eastAsia="Arial" w:hAnsi="Arial"/>
          <w:sz w:val="18"/>
          <w:szCs w:val="18"/>
          <w:color w:val="auto"/>
        </w:rPr>
        <w:t>: We have investments in certain venture capital funds and have committed to provide additional capital to those funds. As appropriate investments are entered into, the venture capital general partners may draw upon those committed additional funds. As of December 31, 2006, we may be required to provide an additional $32 million when the committed funds are called by the venture capital funds’ general partners.</w:t>
      </w:r>
    </w:p>
    <w:p>
      <w:pPr>
        <w:spacing w:after="0" w:line="155" w:lineRule="exact"/>
        <w:rPr>
          <w:sz w:val="20"/>
          <w:szCs w:val="20"/>
          <w:color w:val="auto"/>
        </w:rPr>
      </w:pPr>
    </w:p>
    <w:p>
      <w:pPr>
        <w:jc w:val="both"/>
        <w:ind w:left="460" w:right="100"/>
        <w:spacing w:after="0" w:line="237" w:lineRule="auto"/>
        <w:rPr>
          <w:sz w:val="20"/>
          <w:szCs w:val="20"/>
          <w:color w:val="auto"/>
        </w:rPr>
      </w:pPr>
      <w:r>
        <w:rPr>
          <w:rFonts w:ascii="Arial" w:cs="Arial" w:eastAsia="Arial" w:hAnsi="Arial"/>
          <w:sz w:val="18"/>
          <w:szCs w:val="18"/>
          <w:u w:val="single" w:color="auto"/>
          <w:color w:val="auto"/>
        </w:rPr>
        <w:t>Leases</w:t>
      </w:r>
      <w:r>
        <w:rPr>
          <w:rFonts w:ascii="Arial" w:cs="Arial" w:eastAsia="Arial" w:hAnsi="Arial"/>
          <w:sz w:val="18"/>
          <w:szCs w:val="18"/>
          <w:color w:val="auto"/>
        </w:rPr>
        <w:t>: We conduct certain operations in leased facilities and also lease a portion of our data processing and other equipment. In addition, certain long-term supply agreements to purchase industrial gases are also accounted for as operating leases. Lease agreements frequently include purchase and renewal provisions and require us to pay taxes, insurance and maintenance costs. Rental and lease expense incurred was $125 million in 2006, $126 million in 2005 and $124 million in 2004.</w:t>
      </w:r>
    </w:p>
    <w:p>
      <w:pPr>
        <w:spacing w:after="0" w:line="155" w:lineRule="exact"/>
        <w:rPr>
          <w:sz w:val="20"/>
          <w:szCs w:val="20"/>
          <w:color w:val="auto"/>
        </w:rPr>
      </w:pPr>
    </w:p>
    <w:p>
      <w:pPr>
        <w:jc w:val="both"/>
        <w:ind w:left="460" w:right="80"/>
        <w:spacing w:after="0" w:line="238" w:lineRule="auto"/>
        <w:rPr>
          <w:sz w:val="20"/>
          <w:szCs w:val="20"/>
          <w:color w:val="auto"/>
        </w:rPr>
      </w:pPr>
      <w:r>
        <w:rPr>
          <w:rFonts w:ascii="Arial" w:cs="Arial" w:eastAsia="Arial" w:hAnsi="Arial"/>
          <w:sz w:val="18"/>
          <w:szCs w:val="18"/>
          <w:u w:val="single" w:color="auto"/>
          <w:color w:val="auto"/>
        </w:rPr>
        <w:t>Software Licenses</w:t>
      </w:r>
      <w:r>
        <w:rPr>
          <w:rFonts w:ascii="Arial" w:cs="Arial" w:eastAsia="Arial" w:hAnsi="Arial"/>
          <w:sz w:val="18"/>
          <w:szCs w:val="18"/>
          <w:color w:val="auto"/>
        </w:rPr>
        <w:t>: We have licenses for certain electronic design automation software that are accounted for in accordance with Statement of Position 98-1. The related liabilities are apportioned between current liabilities (accounts payable) and long-term liabilities (other liabilities) on the balance sheet.</w:t>
      </w:r>
    </w:p>
    <w:p>
      <w:pPr>
        <w:spacing w:after="0" w:line="154" w:lineRule="exact"/>
        <w:rPr>
          <w:sz w:val="20"/>
          <w:szCs w:val="20"/>
          <w:color w:val="auto"/>
        </w:rPr>
      </w:pPr>
    </w:p>
    <w:p>
      <w:pPr>
        <w:ind w:left="460" w:right="160"/>
        <w:spacing w:after="0" w:line="239" w:lineRule="auto"/>
        <w:rPr>
          <w:sz w:val="20"/>
          <w:szCs w:val="20"/>
          <w:color w:val="auto"/>
        </w:rPr>
      </w:pPr>
      <w:r>
        <w:rPr>
          <w:rFonts w:ascii="Arial" w:cs="Arial" w:eastAsia="Arial" w:hAnsi="Arial"/>
          <w:sz w:val="18"/>
          <w:szCs w:val="18"/>
          <w:u w:val="single" w:color="auto"/>
          <w:color w:val="auto"/>
        </w:rPr>
        <w:t>Purchase Commitments</w:t>
      </w:r>
      <w:r>
        <w:rPr>
          <w:rFonts w:ascii="Arial" w:cs="Arial" w:eastAsia="Arial" w:hAnsi="Arial"/>
          <w:sz w:val="18"/>
          <w:szCs w:val="18"/>
          <w:color w:val="auto"/>
        </w:rPr>
        <w:t>: We have certain purchase commitments that are for normal usage, some of which contain provisions for minimum payments.</w:t>
      </w:r>
    </w:p>
    <w:p>
      <w:pPr>
        <w:spacing w:after="0" w:line="155" w:lineRule="exact"/>
        <w:rPr>
          <w:sz w:val="20"/>
          <w:szCs w:val="20"/>
          <w:color w:val="auto"/>
        </w:rPr>
      </w:pPr>
    </w:p>
    <w:p>
      <w:pPr>
        <w:ind w:left="460" w:right="720"/>
        <w:spacing w:after="0" w:line="239" w:lineRule="auto"/>
        <w:rPr>
          <w:sz w:val="20"/>
          <w:szCs w:val="20"/>
          <w:color w:val="auto"/>
        </w:rPr>
      </w:pPr>
      <w:r>
        <w:rPr>
          <w:rFonts w:ascii="Arial" w:cs="Arial" w:eastAsia="Arial" w:hAnsi="Arial"/>
          <w:sz w:val="18"/>
          <w:szCs w:val="18"/>
          <w:u w:val="single" w:color="auto"/>
          <w:color w:val="auto"/>
        </w:rPr>
        <w:t>Summary</w:t>
      </w:r>
      <w:r>
        <w:rPr>
          <w:rFonts w:ascii="Arial" w:cs="Arial" w:eastAsia="Arial" w:hAnsi="Arial"/>
          <w:sz w:val="18"/>
          <w:szCs w:val="18"/>
          <w:color w:val="auto"/>
        </w:rPr>
        <w:t>: At December 31, 2006, we were committed to make the following minimum payments under operating leases, capitalized software licenses and purchase commitments:</w:t>
      </w:r>
    </w:p>
    <w:p>
      <w:pPr>
        <w:spacing w:after="0" w:line="16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200" w:type="dxa"/>
            <w:vAlign w:val="bottom"/>
            <w:shd w:val="clear" w:color="auto" w:fill="939598"/>
          </w:tcPr>
          <w:p>
            <w:pPr>
              <w:spacing w:after="0"/>
              <w:rPr>
                <w:sz w:val="14"/>
                <w:szCs w:val="14"/>
                <w:color w:val="auto"/>
              </w:rPr>
            </w:pPr>
          </w:p>
        </w:tc>
        <w:tc>
          <w:tcPr>
            <w:tcW w:w="3420" w:type="dxa"/>
            <w:vAlign w:val="bottom"/>
            <w:shd w:val="clear" w:color="auto" w:fill="939598"/>
          </w:tcPr>
          <w:p>
            <w:pPr>
              <w:spacing w:after="0"/>
              <w:rPr>
                <w:sz w:val="14"/>
                <w:szCs w:val="14"/>
                <w:color w:val="auto"/>
              </w:rPr>
            </w:pPr>
          </w:p>
        </w:tc>
        <w:tc>
          <w:tcPr>
            <w:tcW w:w="680" w:type="dxa"/>
            <w:vAlign w:val="bottom"/>
            <w:shd w:val="clear" w:color="auto" w:fill="939598"/>
          </w:tcPr>
          <w:p>
            <w:pPr>
              <w:spacing w:after="0"/>
              <w:rPr>
                <w:sz w:val="14"/>
                <w:szCs w:val="14"/>
                <w:color w:val="auto"/>
              </w:rPr>
            </w:pPr>
          </w:p>
        </w:tc>
        <w:tc>
          <w:tcPr>
            <w:tcW w:w="1240" w:type="dxa"/>
            <w:vAlign w:val="bottom"/>
            <w:gridSpan w:val="2"/>
            <w:shd w:val="clear" w:color="auto" w:fill="939598"/>
          </w:tcPr>
          <w:p>
            <w:pPr>
              <w:ind w:left="260"/>
              <w:spacing w:after="0"/>
              <w:rPr>
                <w:sz w:val="20"/>
                <w:szCs w:val="20"/>
                <w:color w:val="auto"/>
              </w:rPr>
            </w:pPr>
            <w:r>
              <w:rPr>
                <w:rFonts w:ascii="Arial" w:cs="Arial" w:eastAsia="Arial" w:hAnsi="Arial"/>
                <w:sz w:val="14"/>
                <w:szCs w:val="14"/>
                <w:b w:val="1"/>
                <w:bCs w:val="1"/>
                <w:color w:val="FFFFFF"/>
              </w:rPr>
              <w:t>Capitalized</w:t>
            </w:r>
          </w:p>
        </w:tc>
        <w:tc>
          <w:tcPr>
            <w:tcW w:w="400" w:type="dxa"/>
            <w:vAlign w:val="bottom"/>
            <w:shd w:val="clear" w:color="auto" w:fill="939598"/>
          </w:tcPr>
          <w:p>
            <w:pPr>
              <w:spacing w:after="0"/>
              <w:rPr>
                <w:sz w:val="14"/>
                <w:szCs w:val="14"/>
                <w:color w:val="auto"/>
              </w:rPr>
            </w:pPr>
          </w:p>
        </w:tc>
        <w:tc>
          <w:tcPr>
            <w:tcW w:w="780" w:type="dxa"/>
            <w:vAlign w:val="bottom"/>
            <w:shd w:val="clear" w:color="auto" w:fill="939598"/>
          </w:tcPr>
          <w:p>
            <w:pPr>
              <w:spacing w:after="0"/>
              <w:rPr>
                <w:sz w:val="14"/>
                <w:szCs w:val="14"/>
                <w:color w:val="auto"/>
              </w:rPr>
            </w:pPr>
          </w:p>
        </w:tc>
      </w:tr>
      <w:tr>
        <w:trPr>
          <w:trHeight w:val="149"/>
        </w:trPr>
        <w:tc>
          <w:tcPr>
            <w:tcW w:w="4200" w:type="dxa"/>
            <w:vAlign w:val="bottom"/>
            <w:shd w:val="clear" w:color="auto" w:fill="939598"/>
          </w:tcPr>
          <w:p>
            <w:pPr>
              <w:spacing w:after="0"/>
              <w:rPr>
                <w:sz w:val="12"/>
                <w:szCs w:val="12"/>
                <w:color w:val="auto"/>
              </w:rPr>
            </w:pPr>
          </w:p>
        </w:tc>
        <w:tc>
          <w:tcPr>
            <w:tcW w:w="4100" w:type="dxa"/>
            <w:vAlign w:val="bottom"/>
            <w:gridSpan w:val="2"/>
            <w:shd w:val="clear" w:color="auto" w:fill="939598"/>
          </w:tcPr>
          <w:p>
            <w:pPr>
              <w:ind w:left="3200"/>
              <w:spacing w:after="0" w:line="149" w:lineRule="exact"/>
              <w:rPr>
                <w:sz w:val="20"/>
                <w:szCs w:val="20"/>
                <w:color w:val="auto"/>
              </w:rPr>
            </w:pPr>
            <w:r>
              <w:rPr>
                <w:rFonts w:ascii="Arial" w:cs="Arial" w:eastAsia="Arial" w:hAnsi="Arial"/>
                <w:sz w:val="14"/>
                <w:szCs w:val="14"/>
                <w:b w:val="1"/>
                <w:bCs w:val="1"/>
                <w:color w:val="FFFFFF"/>
              </w:rPr>
              <w:t>Operating</w:t>
            </w:r>
          </w:p>
        </w:tc>
        <w:tc>
          <w:tcPr>
            <w:tcW w:w="1240" w:type="dxa"/>
            <w:vAlign w:val="bottom"/>
            <w:gridSpan w:val="2"/>
            <w:shd w:val="clear" w:color="auto" w:fill="939598"/>
          </w:tcPr>
          <w:p>
            <w:pPr>
              <w:jc w:val="right"/>
              <w:ind w:right="232"/>
              <w:spacing w:after="0" w:line="149" w:lineRule="exact"/>
              <w:rPr>
                <w:sz w:val="20"/>
                <w:szCs w:val="20"/>
                <w:color w:val="auto"/>
              </w:rPr>
            </w:pPr>
            <w:r>
              <w:rPr>
                <w:rFonts w:ascii="Arial" w:cs="Arial" w:eastAsia="Arial" w:hAnsi="Arial"/>
                <w:sz w:val="14"/>
                <w:szCs w:val="14"/>
                <w:b w:val="1"/>
                <w:bCs w:val="1"/>
                <w:color w:val="FFFFFF"/>
              </w:rPr>
              <w:t>Software</w:t>
            </w:r>
          </w:p>
        </w:tc>
        <w:tc>
          <w:tcPr>
            <w:tcW w:w="400" w:type="dxa"/>
            <w:vAlign w:val="bottom"/>
            <w:shd w:val="clear" w:color="auto" w:fill="939598"/>
          </w:tcPr>
          <w:p>
            <w:pPr>
              <w:spacing w:after="0"/>
              <w:rPr>
                <w:sz w:val="12"/>
                <w:szCs w:val="12"/>
                <w:color w:val="auto"/>
              </w:rPr>
            </w:pPr>
          </w:p>
        </w:tc>
        <w:tc>
          <w:tcPr>
            <w:tcW w:w="780" w:type="dxa"/>
            <w:vAlign w:val="bottom"/>
            <w:shd w:val="clear" w:color="auto" w:fill="939598"/>
          </w:tcPr>
          <w:p>
            <w:pPr>
              <w:jc w:val="right"/>
              <w:ind w:right="75"/>
              <w:spacing w:after="0" w:line="149" w:lineRule="exact"/>
              <w:rPr>
                <w:sz w:val="20"/>
                <w:szCs w:val="20"/>
                <w:color w:val="auto"/>
              </w:rPr>
            </w:pPr>
            <w:r>
              <w:rPr>
                <w:rFonts w:ascii="Arial" w:cs="Arial" w:eastAsia="Arial" w:hAnsi="Arial"/>
                <w:sz w:val="14"/>
                <w:szCs w:val="14"/>
                <w:b w:val="1"/>
                <w:bCs w:val="1"/>
                <w:color w:val="FFFFFF"/>
                <w:w w:val="95"/>
              </w:rPr>
              <w:t>Purchase</w:t>
            </w:r>
          </w:p>
        </w:tc>
      </w:tr>
      <w:tr>
        <w:trPr>
          <w:trHeight w:val="165"/>
        </w:trPr>
        <w:tc>
          <w:tcPr>
            <w:tcW w:w="4200" w:type="dxa"/>
            <w:vAlign w:val="bottom"/>
            <w:shd w:val="clear" w:color="auto" w:fill="939598"/>
          </w:tcPr>
          <w:p>
            <w:pPr>
              <w:spacing w:after="0"/>
              <w:rPr>
                <w:sz w:val="14"/>
                <w:szCs w:val="14"/>
                <w:color w:val="auto"/>
              </w:rPr>
            </w:pPr>
          </w:p>
        </w:tc>
        <w:tc>
          <w:tcPr>
            <w:tcW w:w="4100" w:type="dxa"/>
            <w:vAlign w:val="bottom"/>
            <w:gridSpan w:val="2"/>
            <w:shd w:val="clear" w:color="auto" w:fill="939598"/>
          </w:tcPr>
          <w:p>
            <w:pPr>
              <w:jc w:val="right"/>
              <w:ind w:right="272"/>
              <w:spacing w:after="0"/>
              <w:rPr>
                <w:sz w:val="20"/>
                <w:szCs w:val="20"/>
                <w:color w:val="auto"/>
              </w:rPr>
            </w:pPr>
            <w:r>
              <w:rPr>
                <w:rFonts w:ascii="Arial" w:cs="Arial" w:eastAsia="Arial" w:hAnsi="Arial"/>
                <w:sz w:val="14"/>
                <w:szCs w:val="14"/>
                <w:b w:val="1"/>
                <w:bCs w:val="1"/>
                <w:color w:val="FFFFFF"/>
              </w:rPr>
              <w:t>Leases</w:t>
            </w:r>
          </w:p>
        </w:tc>
        <w:tc>
          <w:tcPr>
            <w:tcW w:w="1240" w:type="dxa"/>
            <w:vAlign w:val="bottom"/>
            <w:gridSpan w:val="2"/>
            <w:shd w:val="clear" w:color="auto" w:fill="939598"/>
          </w:tcPr>
          <w:p>
            <w:pPr>
              <w:jc w:val="right"/>
              <w:ind w:right="232"/>
              <w:spacing w:after="0"/>
              <w:rPr>
                <w:sz w:val="20"/>
                <w:szCs w:val="20"/>
                <w:color w:val="auto"/>
              </w:rPr>
            </w:pPr>
            <w:r>
              <w:rPr>
                <w:rFonts w:ascii="Arial" w:cs="Arial" w:eastAsia="Arial" w:hAnsi="Arial"/>
                <w:sz w:val="14"/>
                <w:szCs w:val="14"/>
                <w:b w:val="1"/>
                <w:bCs w:val="1"/>
                <w:color w:val="FFFFFF"/>
              </w:rPr>
              <w:t>Licenses</w:t>
            </w:r>
          </w:p>
        </w:tc>
        <w:tc>
          <w:tcPr>
            <w:tcW w:w="1180" w:type="dxa"/>
            <w:vAlign w:val="bottom"/>
            <w:gridSpan w:val="2"/>
            <w:shd w:val="clear" w:color="auto" w:fill="939598"/>
          </w:tcPr>
          <w:p>
            <w:pPr>
              <w:ind w:left="280"/>
              <w:spacing w:after="0"/>
              <w:rPr>
                <w:sz w:val="20"/>
                <w:szCs w:val="20"/>
                <w:color w:val="auto"/>
              </w:rPr>
            </w:pPr>
            <w:r>
              <w:rPr>
                <w:rFonts w:ascii="Arial" w:cs="Arial" w:eastAsia="Arial" w:hAnsi="Arial"/>
                <w:sz w:val="14"/>
                <w:szCs w:val="14"/>
                <w:b w:val="1"/>
                <w:bCs w:val="1"/>
                <w:color w:val="FFFFFF"/>
                <w:w w:val="94"/>
              </w:rPr>
              <w:t>Commitments</w:t>
            </w:r>
          </w:p>
        </w:tc>
      </w:tr>
      <w:tr>
        <w:trPr>
          <w:trHeight w:val="270"/>
        </w:trPr>
        <w:tc>
          <w:tcPr>
            <w:tcW w:w="4200" w:type="dxa"/>
            <w:vAlign w:val="bottom"/>
          </w:tcPr>
          <w:p>
            <w:pPr>
              <w:ind w:left="200"/>
              <w:spacing w:after="0"/>
              <w:rPr>
                <w:sz w:val="20"/>
                <w:szCs w:val="20"/>
                <w:color w:val="auto"/>
              </w:rPr>
            </w:pPr>
            <w:r>
              <w:rPr>
                <w:rFonts w:ascii="Arial" w:cs="Arial" w:eastAsia="Arial" w:hAnsi="Arial"/>
                <w:sz w:val="18"/>
                <w:szCs w:val="18"/>
                <w:color w:val="auto"/>
              </w:rPr>
              <w:t>2007</w:t>
            </w:r>
          </w:p>
        </w:tc>
        <w:tc>
          <w:tcPr>
            <w:tcW w:w="3420" w:type="dxa"/>
            <w:vAlign w:val="bottom"/>
          </w:tcPr>
          <w:p>
            <w:pPr>
              <w:ind w:left="32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2"/>
              <w:spacing w:after="0"/>
              <w:rPr>
                <w:sz w:val="20"/>
                <w:szCs w:val="20"/>
                <w:color w:val="auto"/>
              </w:rPr>
            </w:pPr>
            <w:r>
              <w:rPr>
                <w:rFonts w:ascii="Arial" w:cs="Arial" w:eastAsia="Arial" w:hAnsi="Arial"/>
                <w:sz w:val="18"/>
                <w:szCs w:val="18"/>
                <w:color w:val="auto"/>
              </w:rPr>
              <w:t>85</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33</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03"/>
        </w:trPr>
        <w:tc>
          <w:tcPr>
            <w:tcW w:w="420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2008</w:t>
            </w:r>
          </w:p>
        </w:tc>
        <w:tc>
          <w:tcPr>
            <w:tcW w:w="3420" w:type="dxa"/>
            <w:vAlign w:val="bottom"/>
            <w:shd w:val="clear" w:color="auto" w:fill="E6E7E7"/>
          </w:tcPr>
          <w:p>
            <w:pPr>
              <w:spacing w:after="0"/>
              <w:rPr>
                <w:sz w:val="17"/>
                <w:szCs w:val="17"/>
                <w:color w:val="auto"/>
              </w:rPr>
            </w:pPr>
          </w:p>
        </w:tc>
        <w:tc>
          <w:tcPr>
            <w:tcW w:w="680" w:type="dxa"/>
            <w:vAlign w:val="bottom"/>
            <w:shd w:val="clear" w:color="auto" w:fill="E6E7E7"/>
          </w:tcPr>
          <w:p>
            <w:pPr>
              <w:jc w:val="right"/>
              <w:ind w:right="172"/>
              <w:spacing w:after="0" w:line="202" w:lineRule="exact"/>
              <w:rPr>
                <w:sz w:val="20"/>
                <w:szCs w:val="20"/>
                <w:color w:val="auto"/>
              </w:rPr>
            </w:pPr>
            <w:r>
              <w:rPr>
                <w:rFonts w:ascii="Arial" w:cs="Arial" w:eastAsia="Arial" w:hAnsi="Arial"/>
                <w:sz w:val="18"/>
                <w:szCs w:val="18"/>
                <w:color w:val="auto"/>
              </w:rPr>
              <w:t>57</w:t>
            </w:r>
          </w:p>
        </w:tc>
        <w:tc>
          <w:tcPr>
            <w:tcW w:w="580" w:type="dxa"/>
            <w:vAlign w:val="bottom"/>
            <w:shd w:val="clear" w:color="auto" w:fill="E6E7E7"/>
          </w:tcPr>
          <w:p>
            <w:pPr>
              <w:spacing w:after="0"/>
              <w:rPr>
                <w:sz w:val="17"/>
                <w:szCs w:val="17"/>
                <w:color w:val="auto"/>
              </w:rPr>
            </w:pPr>
          </w:p>
        </w:tc>
        <w:tc>
          <w:tcPr>
            <w:tcW w:w="660" w:type="dxa"/>
            <w:vAlign w:val="bottom"/>
            <w:shd w:val="clear" w:color="auto" w:fill="E6E7E7"/>
          </w:tcPr>
          <w:p>
            <w:pPr>
              <w:jc w:val="right"/>
              <w:ind w:right="172"/>
              <w:spacing w:after="0" w:line="202" w:lineRule="exact"/>
              <w:rPr>
                <w:sz w:val="20"/>
                <w:szCs w:val="20"/>
                <w:color w:val="auto"/>
              </w:rPr>
            </w:pPr>
            <w:r>
              <w:rPr>
                <w:rFonts w:ascii="Arial" w:cs="Arial" w:eastAsia="Arial" w:hAnsi="Arial"/>
                <w:sz w:val="18"/>
                <w:szCs w:val="18"/>
                <w:color w:val="auto"/>
              </w:rPr>
              <w:t>21</w:t>
            </w:r>
          </w:p>
        </w:tc>
        <w:tc>
          <w:tcPr>
            <w:tcW w:w="400" w:type="dxa"/>
            <w:vAlign w:val="bottom"/>
            <w:shd w:val="clear" w:color="auto" w:fill="E6E7E7"/>
          </w:tcPr>
          <w:p>
            <w:pPr>
              <w:spacing w:after="0"/>
              <w:rPr>
                <w:sz w:val="17"/>
                <w:szCs w:val="17"/>
                <w:color w:val="auto"/>
              </w:rPr>
            </w:pPr>
          </w:p>
        </w:tc>
        <w:tc>
          <w:tcPr>
            <w:tcW w:w="7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93</w:t>
            </w:r>
          </w:p>
        </w:tc>
      </w:tr>
      <w:tr>
        <w:trPr>
          <w:trHeight w:val="203"/>
        </w:trPr>
        <w:tc>
          <w:tcPr>
            <w:tcW w:w="4200" w:type="dxa"/>
            <w:vAlign w:val="bottom"/>
          </w:tcPr>
          <w:p>
            <w:pPr>
              <w:ind w:left="200"/>
              <w:spacing w:after="0" w:line="202" w:lineRule="exact"/>
              <w:rPr>
                <w:sz w:val="20"/>
                <w:szCs w:val="20"/>
                <w:color w:val="auto"/>
              </w:rPr>
            </w:pPr>
            <w:r>
              <w:rPr>
                <w:rFonts w:ascii="Arial" w:cs="Arial" w:eastAsia="Arial" w:hAnsi="Arial"/>
                <w:sz w:val="18"/>
                <w:szCs w:val="18"/>
                <w:color w:val="auto"/>
              </w:rPr>
              <w:t>2009</w:t>
            </w:r>
          </w:p>
        </w:tc>
        <w:tc>
          <w:tcPr>
            <w:tcW w:w="3420" w:type="dxa"/>
            <w:vAlign w:val="bottom"/>
          </w:tcPr>
          <w:p>
            <w:pPr>
              <w:spacing w:after="0"/>
              <w:rPr>
                <w:sz w:val="17"/>
                <w:szCs w:val="17"/>
                <w:color w:val="auto"/>
              </w:rPr>
            </w:pPr>
          </w:p>
        </w:tc>
        <w:tc>
          <w:tcPr>
            <w:tcW w:w="6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44</w:t>
            </w:r>
          </w:p>
        </w:tc>
        <w:tc>
          <w:tcPr>
            <w:tcW w:w="580" w:type="dxa"/>
            <w:vAlign w:val="bottom"/>
          </w:tcPr>
          <w:p>
            <w:pPr>
              <w:spacing w:after="0"/>
              <w:rPr>
                <w:sz w:val="17"/>
                <w:szCs w:val="17"/>
                <w:color w:val="auto"/>
              </w:rPr>
            </w:pPr>
          </w:p>
        </w:tc>
        <w:tc>
          <w:tcPr>
            <w:tcW w:w="6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15</w:t>
            </w:r>
          </w:p>
        </w:tc>
        <w:tc>
          <w:tcPr>
            <w:tcW w:w="4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r>
      <w:tr>
        <w:trPr>
          <w:trHeight w:val="203"/>
        </w:trPr>
        <w:tc>
          <w:tcPr>
            <w:tcW w:w="420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2010</w:t>
            </w:r>
          </w:p>
        </w:tc>
        <w:tc>
          <w:tcPr>
            <w:tcW w:w="3420" w:type="dxa"/>
            <w:vAlign w:val="bottom"/>
            <w:shd w:val="clear" w:color="auto" w:fill="E6E7E7"/>
          </w:tcPr>
          <w:p>
            <w:pPr>
              <w:spacing w:after="0"/>
              <w:rPr>
                <w:sz w:val="17"/>
                <w:szCs w:val="17"/>
                <w:color w:val="auto"/>
              </w:rPr>
            </w:pPr>
          </w:p>
        </w:tc>
        <w:tc>
          <w:tcPr>
            <w:tcW w:w="680" w:type="dxa"/>
            <w:vAlign w:val="bottom"/>
            <w:shd w:val="clear" w:color="auto" w:fill="E6E7E7"/>
          </w:tcPr>
          <w:p>
            <w:pPr>
              <w:jc w:val="right"/>
              <w:ind w:right="172"/>
              <w:spacing w:after="0" w:line="202" w:lineRule="exact"/>
              <w:rPr>
                <w:sz w:val="20"/>
                <w:szCs w:val="20"/>
                <w:color w:val="auto"/>
              </w:rPr>
            </w:pPr>
            <w:r>
              <w:rPr>
                <w:rFonts w:ascii="Arial" w:cs="Arial" w:eastAsia="Arial" w:hAnsi="Arial"/>
                <w:sz w:val="18"/>
                <w:szCs w:val="18"/>
                <w:color w:val="auto"/>
              </w:rPr>
              <w:t>38</w:t>
            </w:r>
          </w:p>
        </w:tc>
        <w:tc>
          <w:tcPr>
            <w:tcW w:w="580" w:type="dxa"/>
            <w:vAlign w:val="bottom"/>
            <w:shd w:val="clear" w:color="auto" w:fill="E6E7E7"/>
          </w:tcPr>
          <w:p>
            <w:pPr>
              <w:spacing w:after="0"/>
              <w:rPr>
                <w:sz w:val="17"/>
                <w:szCs w:val="17"/>
                <w:color w:val="auto"/>
              </w:rPr>
            </w:pPr>
          </w:p>
        </w:tc>
        <w:tc>
          <w:tcPr>
            <w:tcW w:w="660" w:type="dxa"/>
            <w:vAlign w:val="bottom"/>
            <w:shd w:val="clear" w:color="auto" w:fill="E6E7E7"/>
          </w:tcPr>
          <w:p>
            <w:pPr>
              <w:jc w:val="right"/>
              <w:ind w:right="172"/>
              <w:spacing w:after="0" w:line="202" w:lineRule="exact"/>
              <w:rPr>
                <w:sz w:val="20"/>
                <w:szCs w:val="20"/>
                <w:color w:val="auto"/>
              </w:rPr>
            </w:pPr>
            <w:r>
              <w:rPr>
                <w:rFonts w:ascii="Arial" w:cs="Arial" w:eastAsia="Arial" w:hAnsi="Arial"/>
                <w:sz w:val="18"/>
                <w:szCs w:val="18"/>
                <w:color w:val="auto"/>
              </w:rPr>
              <w:t>8</w:t>
            </w:r>
          </w:p>
        </w:tc>
        <w:tc>
          <w:tcPr>
            <w:tcW w:w="400" w:type="dxa"/>
            <w:vAlign w:val="bottom"/>
            <w:shd w:val="clear" w:color="auto" w:fill="E6E7E7"/>
          </w:tcPr>
          <w:p>
            <w:pPr>
              <w:spacing w:after="0"/>
              <w:rPr>
                <w:sz w:val="17"/>
                <w:szCs w:val="17"/>
                <w:color w:val="auto"/>
              </w:rPr>
            </w:pPr>
          </w:p>
        </w:tc>
        <w:tc>
          <w:tcPr>
            <w:tcW w:w="7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4200" w:type="dxa"/>
            <w:vAlign w:val="bottom"/>
          </w:tcPr>
          <w:p>
            <w:pPr>
              <w:ind w:left="200"/>
              <w:spacing w:after="0" w:line="202" w:lineRule="exact"/>
              <w:rPr>
                <w:sz w:val="20"/>
                <w:szCs w:val="20"/>
                <w:color w:val="auto"/>
              </w:rPr>
            </w:pPr>
            <w:r>
              <w:rPr>
                <w:rFonts w:ascii="Arial" w:cs="Arial" w:eastAsia="Arial" w:hAnsi="Arial"/>
                <w:sz w:val="18"/>
                <w:szCs w:val="18"/>
                <w:color w:val="auto"/>
              </w:rPr>
              <w:t>2011</w:t>
            </w:r>
          </w:p>
        </w:tc>
        <w:tc>
          <w:tcPr>
            <w:tcW w:w="3420" w:type="dxa"/>
            <w:vAlign w:val="bottom"/>
          </w:tcPr>
          <w:p>
            <w:pPr>
              <w:spacing w:after="0"/>
              <w:rPr>
                <w:sz w:val="17"/>
                <w:szCs w:val="17"/>
                <w:color w:val="auto"/>
              </w:rPr>
            </w:pPr>
          </w:p>
        </w:tc>
        <w:tc>
          <w:tcPr>
            <w:tcW w:w="6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33</w:t>
            </w:r>
          </w:p>
        </w:tc>
        <w:tc>
          <w:tcPr>
            <w:tcW w:w="580" w:type="dxa"/>
            <w:vAlign w:val="bottom"/>
          </w:tcPr>
          <w:p>
            <w:pPr>
              <w:spacing w:after="0"/>
              <w:rPr>
                <w:sz w:val="17"/>
                <w:szCs w:val="17"/>
                <w:color w:val="auto"/>
              </w:rPr>
            </w:pPr>
          </w:p>
        </w:tc>
        <w:tc>
          <w:tcPr>
            <w:tcW w:w="6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420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Thereafter</w:t>
            </w:r>
          </w:p>
        </w:tc>
        <w:tc>
          <w:tcPr>
            <w:tcW w:w="3420" w:type="dxa"/>
            <w:vAlign w:val="bottom"/>
            <w:shd w:val="clear" w:color="auto" w:fill="E6E7E7"/>
          </w:tcPr>
          <w:p>
            <w:pPr>
              <w:spacing w:after="0"/>
              <w:rPr>
                <w:sz w:val="17"/>
                <w:szCs w:val="17"/>
                <w:color w:val="auto"/>
              </w:rPr>
            </w:pPr>
          </w:p>
        </w:tc>
        <w:tc>
          <w:tcPr>
            <w:tcW w:w="680" w:type="dxa"/>
            <w:vAlign w:val="bottom"/>
            <w:shd w:val="clear" w:color="auto" w:fill="E6E7E7"/>
          </w:tcPr>
          <w:p>
            <w:pPr>
              <w:jc w:val="right"/>
              <w:ind w:right="172"/>
              <w:spacing w:after="0" w:line="202" w:lineRule="exact"/>
              <w:rPr>
                <w:sz w:val="20"/>
                <w:szCs w:val="20"/>
                <w:color w:val="auto"/>
              </w:rPr>
            </w:pPr>
            <w:r>
              <w:rPr>
                <w:rFonts w:ascii="Arial" w:cs="Arial" w:eastAsia="Arial" w:hAnsi="Arial"/>
                <w:sz w:val="18"/>
                <w:szCs w:val="18"/>
                <w:color w:val="auto"/>
              </w:rPr>
              <w:t>162</w:t>
            </w:r>
          </w:p>
        </w:tc>
        <w:tc>
          <w:tcPr>
            <w:tcW w:w="580" w:type="dxa"/>
            <w:vAlign w:val="bottom"/>
            <w:shd w:val="clear" w:color="auto" w:fill="E6E7E7"/>
          </w:tcPr>
          <w:p>
            <w:pPr>
              <w:spacing w:after="0"/>
              <w:rPr>
                <w:sz w:val="17"/>
                <w:szCs w:val="17"/>
                <w:color w:val="auto"/>
              </w:rPr>
            </w:pPr>
          </w:p>
        </w:tc>
        <w:tc>
          <w:tcPr>
            <w:tcW w:w="660" w:type="dxa"/>
            <w:vAlign w:val="bottom"/>
            <w:shd w:val="clear" w:color="auto" w:fill="E6E7E7"/>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E6E7E7"/>
          </w:tcPr>
          <w:p>
            <w:pPr>
              <w:spacing w:after="0"/>
              <w:rPr>
                <w:sz w:val="17"/>
                <w:szCs w:val="17"/>
                <w:color w:val="auto"/>
              </w:rPr>
            </w:pPr>
          </w:p>
        </w:tc>
        <w:tc>
          <w:tcPr>
            <w:tcW w:w="7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61</w:t>
            </w:r>
          </w:p>
        </w:tc>
      </w:tr>
    </w:tbl>
    <w:p>
      <w:pPr>
        <w:spacing w:after="0" w:line="165" w:lineRule="exact"/>
        <w:rPr>
          <w:sz w:val="20"/>
          <w:szCs w:val="20"/>
          <w:color w:val="auto"/>
        </w:rPr>
      </w:pPr>
    </w:p>
    <w:p>
      <w:pPr>
        <w:ind w:left="460" w:right="500"/>
        <w:spacing w:after="0" w:line="239" w:lineRule="auto"/>
        <w:rPr>
          <w:sz w:val="20"/>
          <w:szCs w:val="20"/>
          <w:color w:val="auto"/>
        </w:rPr>
      </w:pPr>
      <w:r>
        <w:rPr>
          <w:rFonts w:ascii="Arial" w:cs="Arial" w:eastAsia="Arial" w:hAnsi="Arial"/>
          <w:sz w:val="18"/>
          <w:szCs w:val="18"/>
          <w:u w:val="single" w:color="auto"/>
          <w:color w:val="auto"/>
        </w:rPr>
        <w:t>Letters of Credit</w:t>
      </w:r>
      <w:r>
        <w:rPr>
          <w:rFonts w:ascii="Arial" w:cs="Arial" w:eastAsia="Arial" w:hAnsi="Arial"/>
          <w:sz w:val="18"/>
          <w:szCs w:val="18"/>
          <w:color w:val="auto"/>
        </w:rPr>
        <w:t xml:space="preserve"> : At December 31, 2006, we had $63 million of unused documentary letters of credit to enable manufacturers of certain products for the Education Technology segment to receive payment upon shipment to us.</w:t>
      </w:r>
    </w:p>
    <w:p>
      <w:pPr>
        <w:spacing w:after="0" w:line="155" w:lineRule="exact"/>
        <w:rPr>
          <w:sz w:val="20"/>
          <w:szCs w:val="20"/>
          <w:color w:val="auto"/>
        </w:rPr>
      </w:pPr>
    </w:p>
    <w:p>
      <w:pPr>
        <w:ind w:left="460" w:right="160"/>
        <w:spacing w:after="0" w:line="238" w:lineRule="auto"/>
        <w:rPr>
          <w:sz w:val="20"/>
          <w:szCs w:val="20"/>
          <w:color w:val="auto"/>
        </w:rPr>
      </w:pPr>
      <w:r>
        <w:rPr>
          <w:rFonts w:ascii="Arial" w:cs="Arial" w:eastAsia="Arial" w:hAnsi="Arial"/>
          <w:sz w:val="18"/>
          <w:szCs w:val="18"/>
          <w:u w:val="single" w:color="auto"/>
          <w:color w:val="auto"/>
        </w:rPr>
        <w:t>Indemnification Guarantees</w:t>
      </w:r>
      <w:r>
        <w:rPr>
          <w:rFonts w:ascii="Arial" w:cs="Arial" w:eastAsia="Arial" w:hAnsi="Arial"/>
          <w:sz w:val="18"/>
          <w:szCs w:val="18"/>
          <w:color w:val="auto"/>
        </w:rPr>
        <w:t>: We routinely sell products with a limited intellectual property indemnification included in the terms of sale. Historically, we have had only minimal and infrequent losses associated with these indemnities. Consequently, any future liabilities resulting from the intellectual property indemnities cannot reasonably be estimated or accrued.</w:t>
      </w:r>
    </w:p>
    <w:p>
      <w:pPr>
        <w:spacing w:after="0" w:line="154" w:lineRule="exact"/>
        <w:rPr>
          <w:sz w:val="20"/>
          <w:szCs w:val="20"/>
          <w:color w:val="auto"/>
        </w:rPr>
      </w:pPr>
    </w:p>
    <w:p>
      <w:pPr>
        <w:ind w:left="460"/>
        <w:spacing w:after="0" w:line="236" w:lineRule="auto"/>
        <w:rPr>
          <w:sz w:val="20"/>
          <w:szCs w:val="20"/>
          <w:color w:val="auto"/>
        </w:rPr>
      </w:pPr>
      <w:r>
        <w:rPr>
          <w:rFonts w:ascii="Arial" w:cs="Arial" w:eastAsia="Arial" w:hAnsi="Arial"/>
          <w:sz w:val="18"/>
          <w:szCs w:val="18"/>
          <w:u w:val="single" w:color="auto"/>
          <w:color w:val="auto"/>
        </w:rPr>
        <w:t>Warranty Costs/Product Liabilities</w:t>
      </w:r>
      <w:r>
        <w:rPr>
          <w:rFonts w:ascii="Arial" w:cs="Arial" w:eastAsia="Arial" w:hAnsi="Arial"/>
          <w:sz w:val="18"/>
          <w:szCs w:val="18"/>
          <w:color w:val="auto"/>
        </w:rPr>
        <w:t xml:space="preserve"> : We accrue for known product-related claims if a loss is probable and can be reasonably estimated. During the periods presented, there have been no material accruals or payments regarding product warranty or product liability, and historically we have experienced a low rate of payments on product claims. Consistent with general industry practice, we enter formal contracts with certain customers in which the parties define warranty remedies. Typically, our warranty for semiconductor products covers three years, an obligation to repair, replace or refund, and a maximum payment obligation tied to the price paid for our products. In some cases, product claims may be disproportionate to the price of our products.</w:t>
      </w:r>
    </w:p>
    <w:p>
      <w:pPr>
        <w:spacing w:after="0" w:line="156" w:lineRule="exact"/>
        <w:rPr>
          <w:sz w:val="20"/>
          <w:szCs w:val="20"/>
          <w:color w:val="auto"/>
        </w:rPr>
      </w:pPr>
    </w:p>
    <w:p>
      <w:pPr>
        <w:jc w:val="both"/>
        <w:ind w:left="460" w:right="120"/>
        <w:spacing w:after="0" w:line="238" w:lineRule="auto"/>
        <w:rPr>
          <w:sz w:val="20"/>
          <w:szCs w:val="20"/>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We are subject to various legal and administrative proceedings. Although it is not possible to predict the outcome of these matters, we believe that the results of these proceedings will not have a material adverse effect upon our financial condition, results of operations or liquidity.</w:t>
      </w:r>
    </w:p>
    <w:p>
      <w:pPr>
        <w:spacing w:after="0" w:line="154" w:lineRule="exact"/>
        <w:rPr>
          <w:sz w:val="20"/>
          <w:szCs w:val="20"/>
          <w:color w:val="auto"/>
        </w:rPr>
      </w:pPr>
    </w:p>
    <w:p>
      <w:pPr>
        <w:ind w:left="460" w:right="180"/>
        <w:spacing w:after="0" w:line="236" w:lineRule="auto"/>
        <w:rPr>
          <w:sz w:val="20"/>
          <w:szCs w:val="20"/>
          <w:color w:val="auto"/>
        </w:rPr>
      </w:pPr>
      <w:r>
        <w:rPr>
          <w:rFonts w:ascii="Arial" w:cs="Arial" w:eastAsia="Arial" w:hAnsi="Arial"/>
          <w:sz w:val="18"/>
          <w:szCs w:val="18"/>
          <w:u w:val="single" w:color="auto"/>
          <w:color w:val="auto"/>
        </w:rPr>
        <w:t>Discontinued Operations Indemnity</w:t>
      </w:r>
      <w:r>
        <w:rPr>
          <w:rFonts w:ascii="Arial" w:cs="Arial" w:eastAsia="Arial" w:hAnsi="Arial"/>
          <w:sz w:val="18"/>
          <w:szCs w:val="18"/>
          <w:color w:val="auto"/>
        </w:rPr>
        <w:t>: In connection with the sale of the former Sensors &amp; Controls business, we have agreed to indemnify Sensata for certain specified litigation matters, as well as other liabilities, including environmental liabilities. Our indemnification obligations with respect to breaches of representations and warranties and the specified litigation matters are, generally, subject to a total deductible of $30 million and our maximum potential exposure is limited to $300 million. There were no significant liabilities recorded under these indemnification obligations.</w:t>
      </w:r>
    </w:p>
    <w:p>
      <w:pPr>
        <w:sectPr>
          <w:pgSz w:w="11900" w:h="16838" w:orient="portrait"/>
          <w:cols w:equalWidth="0" w:num="1">
            <w:col w:w="11420"/>
          </w:cols>
          <w:pgMar w:left="240" w:top="287" w:right="239" w:bottom="1440" w:gutter="0" w:footer="0" w:header="0"/>
        </w:sectPr>
      </w:pPr>
    </w:p>
    <w:bookmarkStart w:id="86" w:name="page87"/>
    <w:bookmarkEnd w:id="86"/>
    <w:p>
      <w:pPr>
        <w:jc w:val="right"/>
        <w:spacing w:after="0"/>
        <w:tabs>
          <w:tab w:leader="none" w:pos="12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2006 ANNUAL REPORT</w:t>
      </w:r>
      <w:r>
        <w:rPr>
          <w:sz w:val="20"/>
          <w:szCs w:val="20"/>
          <w:color w:val="auto"/>
        </w:rPr>
        <w:tab/>
      </w:r>
      <w:r>
        <w:rPr>
          <w:rFonts w:ascii="Arial" w:cs="Arial" w:eastAsia="Arial" w:hAnsi="Arial"/>
          <w:sz w:val="12"/>
          <w:szCs w:val="12"/>
          <w:color w:val="939598"/>
        </w:rPr>
        <w:t>37</w:t>
      </w:r>
    </w:p>
    <w:p>
      <w:pPr>
        <w:spacing w:after="0" w:line="11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15. Supplemental Financial Information</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Other Income (Expense) Net:</w:t>
      </w:r>
    </w:p>
    <w:tbl>
      <w:tblPr>
        <w:tblLayout w:type="fixed"/>
        <w:tblInd w:w="0" w:type="dxa"/>
        <w:tblCellMar>
          <w:top w:w="0" w:type="dxa"/>
          <w:left w:w="0" w:type="dxa"/>
          <w:bottom w:w="0" w:type="dxa"/>
          <w:right w:w="0" w:type="dxa"/>
        </w:tblCellMar>
      </w:tblPr>
      <w:tr>
        <w:trPr>
          <w:trHeight w:val="159"/>
        </w:trPr>
        <w:tc>
          <w:tcPr>
            <w:tcW w:w="9100" w:type="dxa"/>
            <w:vAlign w:val="bottom"/>
            <w:shd w:val="clear" w:color="auto" w:fill="939598"/>
          </w:tcPr>
          <w:p>
            <w:pPr>
              <w:spacing w:after="0"/>
              <w:rPr>
                <w:sz w:val="13"/>
                <w:szCs w:val="13"/>
                <w:color w:val="auto"/>
              </w:rPr>
            </w:pPr>
          </w:p>
        </w:tc>
        <w:tc>
          <w:tcPr>
            <w:tcW w:w="500" w:type="dxa"/>
            <w:vAlign w:val="bottom"/>
            <w:gridSpan w:val="2"/>
            <w:shd w:val="clear" w:color="auto" w:fill="939598"/>
          </w:tcPr>
          <w:p>
            <w:pPr>
              <w:jc w:val="right"/>
              <w:ind w:right="32"/>
              <w:spacing w:after="0" w:line="159" w:lineRule="exact"/>
              <w:rPr>
                <w:sz w:val="20"/>
                <w:szCs w:val="20"/>
                <w:color w:val="auto"/>
              </w:rPr>
            </w:pPr>
            <w:r>
              <w:rPr>
                <w:rFonts w:ascii="Arial" w:cs="Arial" w:eastAsia="Arial" w:hAnsi="Arial"/>
                <w:sz w:val="14"/>
                <w:szCs w:val="14"/>
                <w:b w:val="1"/>
                <w:bCs w:val="1"/>
                <w:color w:val="FFFFFF"/>
              </w:rPr>
              <w:t>2006</w:t>
            </w:r>
          </w:p>
        </w:tc>
        <w:tc>
          <w:tcPr>
            <w:tcW w:w="560" w:type="dxa"/>
            <w:vAlign w:val="bottom"/>
            <w:shd w:val="clear" w:color="auto" w:fill="939598"/>
          </w:tcPr>
          <w:p>
            <w:pPr>
              <w:jc w:val="right"/>
              <w:ind w:right="56"/>
              <w:spacing w:after="0" w:line="159" w:lineRule="exact"/>
              <w:rPr>
                <w:sz w:val="20"/>
                <w:szCs w:val="20"/>
                <w:color w:val="auto"/>
              </w:rPr>
            </w:pPr>
            <w:r>
              <w:rPr>
                <w:rFonts w:ascii="Arial" w:cs="Arial" w:eastAsia="Arial" w:hAnsi="Arial"/>
                <w:sz w:val="14"/>
                <w:szCs w:val="14"/>
                <w:b w:val="1"/>
                <w:bCs w:val="1"/>
                <w:color w:val="FFFFFF"/>
              </w:rPr>
              <w:t>2005</w:t>
            </w:r>
          </w:p>
        </w:tc>
        <w:tc>
          <w:tcPr>
            <w:tcW w:w="500" w:type="dxa"/>
            <w:vAlign w:val="bottom"/>
            <w:shd w:val="clear" w:color="auto" w:fill="939598"/>
          </w:tcPr>
          <w:p>
            <w:pPr>
              <w:jc w:val="right"/>
              <w:spacing w:after="0" w:line="159" w:lineRule="exact"/>
              <w:rPr>
                <w:sz w:val="20"/>
                <w:szCs w:val="20"/>
                <w:color w:val="auto"/>
              </w:rPr>
            </w:pPr>
            <w:r>
              <w:rPr>
                <w:rFonts w:ascii="Arial" w:cs="Arial" w:eastAsia="Arial" w:hAnsi="Arial"/>
                <w:sz w:val="14"/>
                <w:szCs w:val="14"/>
                <w:b w:val="1"/>
                <w:bCs w:val="1"/>
                <w:color w:val="FFFFFF"/>
              </w:rPr>
              <w:t>2004</w:t>
            </w:r>
          </w:p>
        </w:tc>
        <w:tc>
          <w:tcPr>
            <w:tcW w:w="60" w:type="dxa"/>
            <w:vAlign w:val="bottom"/>
            <w:shd w:val="clear" w:color="auto" w:fill="939598"/>
          </w:tcPr>
          <w:p>
            <w:pPr>
              <w:spacing w:after="0"/>
              <w:rPr>
                <w:sz w:val="13"/>
                <w:szCs w:val="13"/>
                <w:color w:val="auto"/>
              </w:rPr>
            </w:pPr>
          </w:p>
        </w:tc>
      </w:tr>
      <w:tr>
        <w:trPr>
          <w:trHeight w:val="270"/>
        </w:trPr>
        <w:tc>
          <w:tcPr>
            <w:tcW w:w="910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$ 196</w:t>
            </w:r>
          </w:p>
        </w:tc>
        <w:tc>
          <w:tcPr>
            <w:tcW w:w="560" w:type="dxa"/>
            <w:vAlign w:val="bottom"/>
          </w:tcPr>
          <w:p>
            <w:pPr>
              <w:jc w:val="right"/>
              <w:spacing w:after="0"/>
              <w:rPr>
                <w:sz w:val="20"/>
                <w:szCs w:val="20"/>
                <w:color w:val="auto"/>
              </w:rPr>
            </w:pPr>
            <w:r>
              <w:rPr>
                <w:rFonts w:ascii="Arial" w:cs="Arial" w:eastAsia="Arial" w:hAnsi="Arial"/>
                <w:sz w:val="18"/>
                <w:szCs w:val="18"/>
                <w:color w:val="auto"/>
              </w:rPr>
              <w:t>$ 165</w:t>
            </w:r>
          </w:p>
        </w:tc>
        <w:tc>
          <w:tcPr>
            <w:tcW w:w="500" w:type="dxa"/>
            <w:vAlign w:val="bottom"/>
          </w:tcPr>
          <w:p>
            <w:pPr>
              <w:jc w:val="right"/>
              <w:spacing w:after="0"/>
              <w:rPr>
                <w:sz w:val="20"/>
                <w:szCs w:val="20"/>
                <w:color w:val="auto"/>
              </w:rPr>
            </w:pPr>
            <w:r>
              <w:rPr>
                <w:rFonts w:ascii="Arial" w:cs="Arial" w:eastAsia="Arial" w:hAnsi="Arial"/>
                <w:sz w:val="18"/>
                <w:szCs w:val="18"/>
                <w:color w:val="auto"/>
              </w:rPr>
              <w:t>$ 136</w:t>
            </w:r>
          </w:p>
        </w:tc>
        <w:tc>
          <w:tcPr>
            <w:tcW w:w="60" w:type="dxa"/>
            <w:vAlign w:val="bottom"/>
          </w:tcPr>
          <w:p>
            <w:pPr>
              <w:spacing w:after="0"/>
              <w:rPr>
                <w:sz w:val="23"/>
                <w:szCs w:val="23"/>
                <w:color w:val="auto"/>
              </w:rPr>
            </w:pPr>
          </w:p>
        </w:tc>
      </w:tr>
      <w:tr>
        <w:trPr>
          <w:trHeight w:val="203"/>
        </w:trPr>
        <w:tc>
          <w:tcPr>
            <w:tcW w:w="9100" w:type="dxa"/>
            <w:vAlign w:val="bottom"/>
            <w:shd w:val="clear" w:color="auto" w:fill="E6E7E7"/>
          </w:tcPr>
          <w:p>
            <w:pPr>
              <w:ind w:left="140"/>
              <w:spacing w:after="0" w:line="202" w:lineRule="exact"/>
              <w:rPr>
                <w:sz w:val="20"/>
                <w:szCs w:val="20"/>
                <w:color w:val="auto"/>
              </w:rPr>
            </w:pPr>
            <w:r>
              <w:rPr>
                <w:rFonts w:ascii="Arial" w:cs="Arial" w:eastAsia="Arial" w:hAnsi="Arial"/>
                <w:sz w:val="18"/>
                <w:szCs w:val="18"/>
                <w:color w:val="auto"/>
              </w:rPr>
              <w:t>Settlement of Italian grants (a)</w:t>
            </w:r>
          </w:p>
        </w:tc>
        <w:tc>
          <w:tcPr>
            <w:tcW w:w="500" w:type="dxa"/>
            <w:vAlign w:val="bottom"/>
            <w:gridSpan w:val="2"/>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28</w:t>
            </w:r>
          </w:p>
        </w:tc>
        <w:tc>
          <w:tcPr>
            <w:tcW w:w="5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11</w:t>
            </w:r>
          </w:p>
        </w:tc>
        <w:tc>
          <w:tcPr>
            <w:tcW w:w="5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54</w:t>
            </w:r>
          </w:p>
        </w:tc>
        <w:tc>
          <w:tcPr>
            <w:tcW w:w="60" w:type="dxa"/>
            <w:vAlign w:val="bottom"/>
            <w:shd w:val="clear" w:color="auto" w:fill="E6E7E7"/>
          </w:tcPr>
          <w:p>
            <w:pPr>
              <w:spacing w:after="0"/>
              <w:rPr>
                <w:sz w:val="17"/>
                <w:szCs w:val="17"/>
                <w:color w:val="auto"/>
              </w:rPr>
            </w:pPr>
          </w:p>
        </w:tc>
      </w:tr>
      <w:tr>
        <w:trPr>
          <w:trHeight w:val="203"/>
        </w:trPr>
        <w:tc>
          <w:tcPr>
            <w:tcW w:w="9100" w:type="dxa"/>
            <w:vAlign w:val="bottom"/>
          </w:tcPr>
          <w:p>
            <w:pPr>
              <w:ind w:left="140"/>
              <w:spacing w:after="0" w:line="202" w:lineRule="exact"/>
              <w:rPr>
                <w:sz w:val="20"/>
                <w:szCs w:val="20"/>
                <w:color w:val="auto"/>
              </w:rPr>
            </w:pPr>
            <w:r>
              <w:rPr>
                <w:rFonts w:ascii="Arial" w:cs="Arial" w:eastAsia="Arial" w:hAnsi="Arial"/>
                <w:sz w:val="18"/>
                <w:szCs w:val="18"/>
                <w:color w:val="auto"/>
              </w:rPr>
              <w:t>Sales tax refund benefits (b)</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20</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60" w:type="dxa"/>
            <w:vAlign w:val="bottom"/>
          </w:tcPr>
          <w:p>
            <w:pPr>
              <w:spacing w:after="0"/>
              <w:rPr>
                <w:sz w:val="17"/>
                <w:szCs w:val="17"/>
                <w:color w:val="auto"/>
              </w:rPr>
            </w:pPr>
          </w:p>
        </w:tc>
      </w:tr>
      <w:tr>
        <w:trPr>
          <w:trHeight w:val="203"/>
        </w:trPr>
        <w:tc>
          <w:tcPr>
            <w:tcW w:w="9100" w:type="dxa"/>
            <w:vAlign w:val="bottom"/>
            <w:shd w:val="clear" w:color="auto" w:fill="E6E7E7"/>
          </w:tcPr>
          <w:p>
            <w:pPr>
              <w:ind w:left="140"/>
              <w:spacing w:after="0" w:line="202" w:lineRule="exact"/>
              <w:rPr>
                <w:sz w:val="20"/>
                <w:szCs w:val="20"/>
                <w:color w:val="auto"/>
              </w:rPr>
            </w:pPr>
            <w:r>
              <w:rPr>
                <w:rFonts w:ascii="Arial" w:cs="Arial" w:eastAsia="Arial" w:hAnsi="Arial"/>
                <w:sz w:val="18"/>
                <w:szCs w:val="18"/>
                <w:color w:val="auto"/>
              </w:rPr>
              <w:t>Other (c)</w:t>
            </w:r>
          </w:p>
        </w:tc>
        <w:tc>
          <w:tcPr>
            <w:tcW w:w="500" w:type="dxa"/>
            <w:vAlign w:val="bottom"/>
            <w:gridSpan w:val="2"/>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21</w:t>
            </w:r>
          </w:p>
        </w:tc>
        <w:tc>
          <w:tcPr>
            <w:tcW w:w="5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29</w:t>
            </w:r>
          </w:p>
        </w:tc>
        <w:tc>
          <w:tcPr>
            <w:tcW w:w="5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24</w:t>
            </w:r>
          </w:p>
        </w:tc>
        <w:tc>
          <w:tcPr>
            <w:tcW w:w="60" w:type="dxa"/>
            <w:vAlign w:val="bottom"/>
            <w:shd w:val="clear" w:color="auto" w:fill="E6E7E7"/>
          </w:tcPr>
          <w:p>
            <w:pPr>
              <w:spacing w:after="0"/>
              <w:rPr>
                <w:sz w:val="17"/>
                <w:szCs w:val="17"/>
                <w:color w:val="auto"/>
              </w:rPr>
            </w:pPr>
          </w:p>
        </w:tc>
      </w:tr>
      <w:tr>
        <w:trPr>
          <w:trHeight w:val="210"/>
        </w:trPr>
        <w:tc>
          <w:tcPr>
            <w:tcW w:w="9100" w:type="dxa"/>
            <w:vAlign w:val="bottom"/>
          </w:tcPr>
          <w:p>
            <w:pPr>
              <w:ind w:left="1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$ 265</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$ 205</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$ 233</w:t>
            </w:r>
          </w:p>
        </w:tc>
        <w:tc>
          <w:tcPr>
            <w:tcW w:w="60" w:type="dxa"/>
            <w:vAlign w:val="bottom"/>
          </w:tcPr>
          <w:p>
            <w:pPr>
              <w:spacing w:after="0"/>
              <w:rPr>
                <w:sz w:val="18"/>
                <w:szCs w:val="18"/>
                <w:color w:val="auto"/>
              </w:rPr>
            </w:pPr>
          </w:p>
        </w:tc>
      </w:tr>
      <w:tr>
        <w:trPr>
          <w:trHeight w:val="20"/>
        </w:trPr>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right="260" w:hanging="346"/>
        <w:spacing w:after="0" w:line="221" w:lineRule="auto"/>
        <w:tabs>
          <w:tab w:leader="none" w:pos="4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Reflects benefits recognized due to the resolution of matters relating to grants from the government of Italy to our former memory business operations in Italy (see Note 14 for details).</w:t>
      </w:r>
    </w:p>
    <w:p>
      <w:pPr>
        <w:ind w:left="440" w:right="140" w:hanging="346"/>
        <w:spacing w:after="0" w:line="221" w:lineRule="auto"/>
        <w:tabs>
          <w:tab w:leader="none" w:pos="4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Reflects refunds of overpayments attributable to previously divested businesses and interest on refunds relating to settlements of audits of sales and use taxes paid to the State of Texas.</w:t>
      </w:r>
    </w:p>
    <w:p>
      <w:pPr>
        <w:ind w:left="440" w:right="60" w:hanging="346"/>
        <w:spacing w:after="0" w:line="226" w:lineRule="auto"/>
        <w:tabs>
          <w:tab w:leader="none" w:pos="4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Includes lease income of approximately $20 million per year, primarily from the purchaser of our former defense electronics business divested in 1997. As of December 31, 2006, the aggregate amount of non-cancellable future lease payments to be received from these leases is $108 million. These leases contain renewal options. Other also includes miscellaneous non-operational items such as gains and losses related to previously divested businesses, interest income and expense related to non-investment items such as taxes, and gains and losses from currency exchange rate changes.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80" w:type="dxa"/>
            <w:vAlign w:val="bottom"/>
          </w:tcPr>
          <w:p>
            <w:pPr>
              <w:spacing w:after="0"/>
              <w:rPr>
                <w:sz w:val="20"/>
                <w:szCs w:val="20"/>
                <w:color w:val="auto"/>
              </w:rPr>
            </w:pPr>
            <w:r>
              <w:rPr>
                <w:rFonts w:ascii="Arial" w:cs="Arial" w:eastAsia="Arial" w:hAnsi="Arial"/>
                <w:sz w:val="18"/>
                <w:szCs w:val="18"/>
                <w:i w:val="1"/>
                <w:iCs w:val="1"/>
                <w:color w:val="auto"/>
              </w:rPr>
              <w:t>Inventories:</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center"/>
              <w:spacing w:after="0"/>
              <w:rPr>
                <w:sz w:val="20"/>
                <w:szCs w:val="20"/>
                <w:color w:val="auto"/>
              </w:rPr>
            </w:pPr>
            <w:r>
              <w:rPr>
                <w:rFonts w:ascii="Arial" w:cs="Arial" w:eastAsia="Arial" w:hAnsi="Arial"/>
                <w:sz w:val="14"/>
                <w:szCs w:val="14"/>
                <w:b w:val="1"/>
                <w:bCs w:val="1"/>
                <w:color w:val="939598"/>
                <w:w w:val="96"/>
              </w:rPr>
              <w:t>DECEMBER 31,</w:t>
            </w:r>
          </w:p>
        </w:tc>
      </w:tr>
      <w:tr>
        <w:trPr>
          <w:trHeight w:val="149"/>
        </w:trPr>
        <w:tc>
          <w:tcPr>
            <w:tcW w:w="6180" w:type="dxa"/>
            <w:vAlign w:val="bottom"/>
            <w:shd w:val="clear" w:color="auto" w:fill="939598"/>
          </w:tcPr>
          <w:p>
            <w:pPr>
              <w:spacing w:after="0"/>
              <w:rPr>
                <w:sz w:val="12"/>
                <w:szCs w:val="12"/>
                <w:color w:val="auto"/>
              </w:rPr>
            </w:pPr>
          </w:p>
        </w:tc>
        <w:tc>
          <w:tcPr>
            <w:tcW w:w="3280" w:type="dxa"/>
            <w:vAlign w:val="bottom"/>
            <w:shd w:val="clear" w:color="auto" w:fill="939598"/>
          </w:tcPr>
          <w:p>
            <w:pPr>
              <w:spacing w:after="0"/>
              <w:rPr>
                <w:sz w:val="12"/>
                <w:szCs w:val="12"/>
                <w:color w:val="auto"/>
              </w:rPr>
            </w:pPr>
          </w:p>
        </w:tc>
        <w:tc>
          <w:tcPr>
            <w:tcW w:w="100" w:type="dxa"/>
            <w:vAlign w:val="bottom"/>
            <w:shd w:val="clear" w:color="auto" w:fill="939598"/>
          </w:tcPr>
          <w:p>
            <w:pPr>
              <w:spacing w:after="0"/>
              <w:rPr>
                <w:sz w:val="12"/>
                <w:szCs w:val="12"/>
                <w:color w:val="auto"/>
              </w:rPr>
            </w:pPr>
          </w:p>
        </w:tc>
        <w:tc>
          <w:tcPr>
            <w:tcW w:w="500" w:type="dxa"/>
            <w:vAlign w:val="bottom"/>
            <w:shd w:val="clear" w:color="auto" w:fill="939598"/>
          </w:tcPr>
          <w:p>
            <w:pPr>
              <w:jc w:val="right"/>
              <w:ind w:right="99"/>
              <w:spacing w:after="0" w:line="149" w:lineRule="exact"/>
              <w:rPr>
                <w:sz w:val="20"/>
                <w:szCs w:val="20"/>
                <w:color w:val="auto"/>
              </w:rPr>
            </w:pPr>
            <w:r>
              <w:rPr>
                <w:rFonts w:ascii="Arial" w:cs="Arial" w:eastAsia="Arial" w:hAnsi="Arial"/>
                <w:sz w:val="14"/>
                <w:szCs w:val="14"/>
                <w:b w:val="1"/>
                <w:bCs w:val="1"/>
                <w:color w:val="FFFFFF"/>
                <w:w w:val="96"/>
              </w:rPr>
              <w:t>2006</w:t>
            </w:r>
          </w:p>
        </w:tc>
        <w:tc>
          <w:tcPr>
            <w:tcW w:w="160" w:type="dxa"/>
            <w:vAlign w:val="bottom"/>
            <w:shd w:val="clear" w:color="auto" w:fill="939598"/>
          </w:tcPr>
          <w:p>
            <w:pPr>
              <w:spacing w:after="0"/>
              <w:rPr>
                <w:sz w:val="12"/>
                <w:szCs w:val="12"/>
                <w:color w:val="auto"/>
              </w:rPr>
            </w:pPr>
          </w:p>
        </w:tc>
        <w:tc>
          <w:tcPr>
            <w:tcW w:w="440" w:type="dxa"/>
            <w:vAlign w:val="bottom"/>
            <w:shd w:val="clear" w:color="auto" w:fill="939598"/>
          </w:tcPr>
          <w:p>
            <w:pPr>
              <w:jc w:val="right"/>
              <w:ind w:right="36"/>
              <w:spacing w:after="0" w:line="149" w:lineRule="exact"/>
              <w:rPr>
                <w:sz w:val="20"/>
                <w:szCs w:val="20"/>
                <w:color w:val="auto"/>
              </w:rPr>
            </w:pPr>
            <w:r>
              <w:rPr>
                <w:rFonts w:ascii="Arial" w:cs="Arial" w:eastAsia="Arial" w:hAnsi="Arial"/>
                <w:sz w:val="14"/>
                <w:szCs w:val="14"/>
                <w:b w:val="1"/>
                <w:bCs w:val="1"/>
                <w:color w:val="FFFFFF"/>
                <w:w w:val="96"/>
              </w:rPr>
              <w:t>2005</w:t>
            </w:r>
          </w:p>
        </w:tc>
        <w:tc>
          <w:tcPr>
            <w:tcW w:w="60" w:type="dxa"/>
            <w:vAlign w:val="bottom"/>
            <w:shd w:val="clear" w:color="auto" w:fill="939598"/>
          </w:tcPr>
          <w:p>
            <w:pPr>
              <w:spacing w:after="0"/>
              <w:rPr>
                <w:sz w:val="12"/>
                <w:szCs w:val="12"/>
                <w:color w:val="auto"/>
              </w:rPr>
            </w:pPr>
          </w:p>
        </w:tc>
      </w:tr>
      <w:tr>
        <w:trPr>
          <w:trHeight w:val="270"/>
        </w:trPr>
        <w:tc>
          <w:tcPr>
            <w:tcW w:w="6180" w:type="dxa"/>
            <w:vAlign w:val="bottom"/>
          </w:tcPr>
          <w:p>
            <w:pPr>
              <w:ind w:left="140"/>
              <w:spacing w:after="0"/>
              <w:rPr>
                <w:sz w:val="20"/>
                <w:szCs w:val="20"/>
                <w:color w:val="auto"/>
              </w:rPr>
            </w:pPr>
            <w:r>
              <w:rPr>
                <w:rFonts w:ascii="Arial" w:cs="Arial" w:eastAsia="Arial" w:hAnsi="Arial"/>
                <w:sz w:val="18"/>
                <w:szCs w:val="18"/>
                <w:color w:val="auto"/>
              </w:rPr>
              <w:t>Raw materials and purchased parts</w:t>
            </w:r>
          </w:p>
        </w:tc>
        <w:tc>
          <w:tcPr>
            <w:tcW w:w="3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23"/>
                <w:szCs w:val="23"/>
                <w:color w:val="auto"/>
              </w:rPr>
            </w:pPr>
          </w:p>
        </w:tc>
      </w:tr>
      <w:tr>
        <w:trPr>
          <w:trHeight w:val="203"/>
        </w:trPr>
        <w:tc>
          <w:tcPr>
            <w:tcW w:w="6180" w:type="dxa"/>
            <w:vAlign w:val="bottom"/>
            <w:shd w:val="clear" w:color="auto" w:fill="E6E7E7"/>
          </w:tcPr>
          <w:p>
            <w:pPr>
              <w:ind w:left="140"/>
              <w:spacing w:after="0" w:line="202" w:lineRule="exact"/>
              <w:rPr>
                <w:sz w:val="20"/>
                <w:szCs w:val="20"/>
                <w:color w:val="auto"/>
              </w:rPr>
            </w:pPr>
            <w:r>
              <w:rPr>
                <w:rFonts w:ascii="Arial" w:cs="Arial" w:eastAsia="Arial" w:hAnsi="Arial"/>
                <w:sz w:val="18"/>
                <w:szCs w:val="18"/>
                <w:color w:val="auto"/>
              </w:rPr>
              <w:t>Work in process</w:t>
            </w:r>
          </w:p>
        </w:tc>
        <w:tc>
          <w:tcPr>
            <w:tcW w:w="3280" w:type="dxa"/>
            <w:vAlign w:val="bottom"/>
            <w:shd w:val="clear" w:color="auto" w:fill="E6E7E7"/>
          </w:tcPr>
          <w:p>
            <w:pPr>
              <w:spacing w:after="0"/>
              <w:rPr>
                <w:sz w:val="17"/>
                <w:szCs w:val="17"/>
                <w:color w:val="auto"/>
              </w:rPr>
            </w:pPr>
          </w:p>
        </w:tc>
        <w:tc>
          <w:tcPr>
            <w:tcW w:w="100" w:type="dxa"/>
            <w:vAlign w:val="bottom"/>
            <w:shd w:val="clear" w:color="auto" w:fill="E6E7E7"/>
          </w:tcPr>
          <w:p>
            <w:pPr>
              <w:spacing w:after="0"/>
              <w:rPr>
                <w:sz w:val="17"/>
                <w:szCs w:val="17"/>
                <w:color w:val="auto"/>
              </w:rPr>
            </w:pPr>
          </w:p>
        </w:tc>
        <w:tc>
          <w:tcPr>
            <w:tcW w:w="50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930</w:t>
            </w:r>
          </w:p>
        </w:tc>
        <w:tc>
          <w:tcPr>
            <w:tcW w:w="160" w:type="dxa"/>
            <w:vAlign w:val="bottom"/>
            <w:shd w:val="clear" w:color="auto" w:fill="E6E7E7"/>
          </w:tcPr>
          <w:p>
            <w:pPr>
              <w:spacing w:after="0"/>
              <w:rPr>
                <w:sz w:val="17"/>
                <w:szCs w:val="17"/>
                <w:color w:val="auto"/>
              </w:rPr>
            </w:pPr>
          </w:p>
        </w:tc>
        <w:tc>
          <w:tcPr>
            <w:tcW w:w="4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813</w:t>
            </w:r>
          </w:p>
        </w:tc>
        <w:tc>
          <w:tcPr>
            <w:tcW w:w="60" w:type="dxa"/>
            <w:vAlign w:val="bottom"/>
            <w:shd w:val="clear" w:color="auto" w:fill="E6E7E7"/>
          </w:tcPr>
          <w:p>
            <w:pPr>
              <w:spacing w:after="0"/>
              <w:rPr>
                <w:sz w:val="17"/>
                <w:szCs w:val="17"/>
                <w:color w:val="auto"/>
              </w:rPr>
            </w:pPr>
          </w:p>
        </w:tc>
      </w:tr>
      <w:tr>
        <w:trPr>
          <w:trHeight w:val="210"/>
        </w:trPr>
        <w:tc>
          <w:tcPr>
            <w:tcW w:w="6180" w:type="dxa"/>
            <w:vAlign w:val="bottom"/>
          </w:tcPr>
          <w:p>
            <w:pPr>
              <w:ind w:left="140"/>
              <w:spacing w:after="0" w:line="202" w:lineRule="exact"/>
              <w:rPr>
                <w:sz w:val="20"/>
                <w:szCs w:val="20"/>
                <w:color w:val="auto"/>
              </w:rPr>
            </w:pPr>
            <w:r>
              <w:rPr>
                <w:rFonts w:ascii="Arial" w:cs="Arial" w:eastAsia="Arial" w:hAnsi="Arial"/>
                <w:sz w:val="18"/>
                <w:szCs w:val="18"/>
                <w:color w:val="auto"/>
              </w:rPr>
              <w:t>Finished goods</w:t>
            </w:r>
          </w:p>
        </w:tc>
        <w:tc>
          <w:tcPr>
            <w:tcW w:w="3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402</w:t>
            </w: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289</w:t>
            </w:r>
          </w:p>
        </w:tc>
        <w:tc>
          <w:tcPr>
            <w:tcW w:w="60" w:type="dxa"/>
            <w:vAlign w:val="bottom"/>
          </w:tcPr>
          <w:p>
            <w:pPr>
              <w:spacing w:after="0"/>
              <w:rPr>
                <w:sz w:val="18"/>
                <w:szCs w:val="18"/>
                <w:color w:val="auto"/>
              </w:rPr>
            </w:pPr>
          </w:p>
        </w:tc>
      </w:tr>
      <w:tr>
        <w:trPr>
          <w:trHeight w:val="203"/>
        </w:trPr>
        <w:tc>
          <w:tcPr>
            <w:tcW w:w="6180" w:type="dxa"/>
            <w:vAlign w:val="bottom"/>
            <w:shd w:val="clear" w:color="auto" w:fill="E6E7E7"/>
          </w:tcPr>
          <w:p>
            <w:pPr>
              <w:ind w:left="140"/>
              <w:spacing w:after="0" w:line="202" w:lineRule="exact"/>
              <w:rPr>
                <w:sz w:val="20"/>
                <w:szCs w:val="20"/>
                <w:color w:val="auto"/>
              </w:rPr>
            </w:pPr>
            <w:r>
              <w:rPr>
                <w:rFonts w:ascii="Arial" w:cs="Arial" w:eastAsia="Arial" w:hAnsi="Arial"/>
                <w:sz w:val="18"/>
                <w:szCs w:val="18"/>
                <w:color w:val="auto"/>
              </w:rPr>
              <w:t>Total</w:t>
            </w:r>
          </w:p>
        </w:tc>
        <w:tc>
          <w:tcPr>
            <w:tcW w:w="3280" w:type="dxa"/>
            <w:vAlign w:val="bottom"/>
            <w:shd w:val="clear" w:color="auto" w:fill="E6E7E7"/>
          </w:tcPr>
          <w:p>
            <w:pPr>
              <w:spacing w:after="0"/>
              <w:rPr>
                <w:sz w:val="17"/>
                <w:szCs w:val="17"/>
                <w:color w:val="auto"/>
              </w:rPr>
            </w:pPr>
          </w:p>
        </w:tc>
        <w:tc>
          <w:tcPr>
            <w:tcW w:w="10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w w:val="97"/>
              </w:rPr>
              <w:t>1,437</w:t>
            </w:r>
          </w:p>
        </w:tc>
        <w:tc>
          <w:tcPr>
            <w:tcW w:w="160" w:type="dxa"/>
            <w:vAlign w:val="bottom"/>
            <w:tcBorders>
              <w:bottom w:val="single" w:sz="8" w:color="auto"/>
            </w:tcBorders>
            <w:shd w:val="clear" w:color="auto" w:fill="E6E7E7"/>
          </w:tcPr>
          <w:p>
            <w:pPr>
              <w:jc w:val="center"/>
              <w:spacing w:after="0" w:line="202" w:lineRule="exact"/>
              <w:rPr>
                <w:sz w:val="20"/>
                <w:szCs w:val="20"/>
                <w:color w:val="auto"/>
              </w:rPr>
            </w:pPr>
            <w:r>
              <w:rPr>
                <w:rFonts w:ascii="Arial" w:cs="Arial" w:eastAsia="Arial" w:hAnsi="Arial"/>
                <w:sz w:val="18"/>
                <w:szCs w:val="18"/>
                <w:u w:val="single" w:color="auto"/>
                <w:color w:val="auto"/>
                <w:w w:val="99"/>
              </w:rPr>
              <w:t>$</w:t>
            </w:r>
          </w:p>
        </w:tc>
        <w:tc>
          <w:tcPr>
            <w:tcW w:w="44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w w:val="93"/>
              </w:rPr>
              <w:t>1,185</w:t>
            </w:r>
          </w:p>
        </w:tc>
        <w:tc>
          <w:tcPr>
            <w:tcW w:w="60" w:type="dxa"/>
            <w:vAlign w:val="bottom"/>
            <w:shd w:val="clear" w:color="auto" w:fill="E6E7E7"/>
          </w:tcPr>
          <w:p>
            <w:pPr>
              <w:spacing w:after="0"/>
              <w:rPr>
                <w:sz w:val="17"/>
                <w:szCs w:val="17"/>
                <w:color w:val="auto"/>
              </w:rPr>
            </w:pPr>
          </w:p>
        </w:tc>
      </w:tr>
      <w:tr>
        <w:trPr>
          <w:trHeight w:val="20"/>
        </w:trPr>
        <w:tc>
          <w:tcPr>
            <w:tcW w:w="61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600" w:top="287" w:right="239" w:bottom="1440" w:gutter="0" w:footer="0" w:header="0"/>
        </w:sectPr>
      </w:pP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Property, Plant and Equipment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291455" cy="2317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91455"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left="1200"/>
        <w:spacing w:after="0"/>
        <w:rPr>
          <w:sz w:val="20"/>
          <w:szCs w:val="20"/>
          <w:color w:val="auto"/>
        </w:rPr>
      </w:pPr>
      <w:r>
        <w:rPr>
          <w:rFonts w:ascii="Arial" w:cs="Arial" w:eastAsia="Arial" w:hAnsi="Arial"/>
          <w:sz w:val="12"/>
          <w:szCs w:val="12"/>
          <w:b w:val="1"/>
          <w:bCs w:val="1"/>
          <w:color w:val="939598"/>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17145</wp:posOffset>
            </wp:positionV>
            <wp:extent cx="1517650" cy="431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17650" cy="43180"/>
                    </a:xfrm>
                    <a:prstGeom prst="rect">
                      <a:avLst/>
                    </a:prstGeom>
                    <a:noFill/>
                  </pic:spPr>
                </pic:pic>
              </a:graphicData>
            </a:graphic>
          </wp:anchor>
        </w:drawing>
      </w:r>
    </w:p>
    <w:p>
      <w:pPr>
        <w:spacing w:after="0"/>
        <w:tabs>
          <w:tab w:leader="none" w:pos="1020" w:val="left"/>
          <w:tab w:leader="none" w:pos="1720" w:val="left"/>
        </w:tabs>
        <w:rPr>
          <w:sz w:val="20"/>
          <w:szCs w:val="20"/>
          <w:color w:val="auto"/>
        </w:rPr>
      </w:pPr>
      <w:r>
        <w:rPr>
          <w:rFonts w:ascii="Arial" w:cs="Arial" w:eastAsia="Arial" w:hAnsi="Arial"/>
          <w:sz w:val="14"/>
          <w:szCs w:val="14"/>
          <w:b w:val="1"/>
          <w:bCs w:val="1"/>
          <w:color w:val="FFFFFF"/>
        </w:rPr>
        <w:t>Depreciable</w:t>
      </w:r>
      <w:r>
        <w:rPr>
          <w:sz w:val="20"/>
          <w:szCs w:val="20"/>
          <w:color w:val="auto"/>
        </w:rPr>
        <w:tab/>
      </w:r>
      <w:r>
        <w:rPr>
          <w:rFonts w:ascii="Arial" w:cs="Arial" w:eastAsia="Arial" w:hAnsi="Arial"/>
          <w:sz w:val="27"/>
          <w:szCs w:val="27"/>
          <w:b w:val="1"/>
          <w:bCs w:val="1"/>
          <w:color w:val="FFFFFF"/>
          <w:vertAlign w:val="subscript"/>
        </w:rPr>
        <w:t>2006</w:t>
      </w:r>
      <w:r>
        <w:rPr>
          <w:sz w:val="20"/>
          <w:szCs w:val="20"/>
          <w:color w:val="auto"/>
        </w:rPr>
        <w:tab/>
      </w:r>
      <w:r>
        <w:rPr>
          <w:rFonts w:ascii="Arial" w:cs="Arial" w:eastAsia="Arial" w:hAnsi="Arial"/>
          <w:sz w:val="20"/>
          <w:szCs w:val="20"/>
          <w:b w:val="1"/>
          <w:bCs w:val="1"/>
          <w:color w:val="FFFFFF"/>
          <w:vertAlign w:val="subscript"/>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-93345</wp:posOffset>
            </wp:positionV>
            <wp:extent cx="151765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17650" cy="18859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4"/>
          <w:szCs w:val="14"/>
          <w:b w:val="1"/>
          <w:bCs w:val="1"/>
          <w:color w:val="FFFFFF"/>
        </w:rPr>
        <w:t>Lives</w:t>
      </w:r>
    </w:p>
    <w:p>
      <w:pPr>
        <w:spacing w:after="0" w:line="37" w:lineRule="exact"/>
        <w:rPr>
          <w:sz w:val="20"/>
          <w:szCs w:val="20"/>
          <w:color w:val="auto"/>
        </w:rPr>
      </w:pPr>
    </w:p>
    <w:p>
      <w:pPr>
        <w:sectPr>
          <w:pgSz w:w="11900" w:h="16838" w:orient="portrait"/>
          <w:cols w:equalWidth="0" w:num="2">
            <w:col w:w="7740" w:space="720"/>
            <w:col w:w="2600"/>
          </w:cols>
          <w:pgMar w:left="600" w:top="287" w:right="2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5380" w:type="dxa"/>
            <w:vAlign w:val="bottom"/>
          </w:tcPr>
          <w:p>
            <w:pPr>
              <w:ind w:left="140"/>
              <w:spacing w:after="0"/>
              <w:rPr>
                <w:sz w:val="20"/>
                <w:szCs w:val="20"/>
                <w:color w:val="auto"/>
              </w:rPr>
            </w:pPr>
            <w:r>
              <w:rPr>
                <w:rFonts w:ascii="Arial" w:cs="Arial" w:eastAsia="Arial" w:hAnsi="Arial"/>
                <w:sz w:val="18"/>
                <w:szCs w:val="18"/>
                <w:color w:val="auto"/>
              </w:rPr>
              <w:t>Land</w:t>
            </w:r>
          </w:p>
        </w:tc>
        <w:tc>
          <w:tcPr>
            <w:tcW w:w="3920" w:type="dxa"/>
            <w:vAlign w:val="bottom"/>
          </w:tcPr>
          <w:p>
            <w:pPr>
              <w:jc w:val="center"/>
              <w:ind w:left="2912"/>
              <w:spacing w:after="0"/>
              <w:rPr>
                <w:sz w:val="20"/>
                <w:szCs w:val="20"/>
                <w:color w:val="auto"/>
              </w:rPr>
            </w:pPr>
            <w:r>
              <w:rPr>
                <w:rFonts w:ascii="Arial" w:cs="Arial" w:eastAsia="Arial" w:hAnsi="Arial"/>
                <w:sz w:val="18"/>
                <w:szCs w:val="18"/>
                <w:color w:val="auto"/>
                <w:w w:val="88"/>
              </w:rPr>
              <w:t>—</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9"/>
                <w:szCs w:val="19"/>
                <w:color w:val="auto"/>
              </w:rPr>
            </w:pPr>
          </w:p>
        </w:tc>
      </w:tr>
      <w:tr>
        <w:trPr>
          <w:trHeight w:val="203"/>
        </w:trPr>
        <w:tc>
          <w:tcPr>
            <w:tcW w:w="5380" w:type="dxa"/>
            <w:vAlign w:val="bottom"/>
            <w:shd w:val="clear" w:color="auto" w:fill="E6E7E7"/>
          </w:tcPr>
          <w:p>
            <w:pPr>
              <w:ind w:left="140"/>
              <w:spacing w:after="0" w:line="202" w:lineRule="exact"/>
              <w:rPr>
                <w:sz w:val="20"/>
                <w:szCs w:val="20"/>
                <w:color w:val="auto"/>
              </w:rPr>
            </w:pPr>
            <w:r>
              <w:rPr>
                <w:rFonts w:ascii="Arial" w:cs="Arial" w:eastAsia="Arial" w:hAnsi="Arial"/>
                <w:sz w:val="18"/>
                <w:szCs w:val="18"/>
                <w:color w:val="auto"/>
              </w:rPr>
              <w:t>Buildings and improvements</w:t>
            </w:r>
          </w:p>
        </w:tc>
        <w:tc>
          <w:tcPr>
            <w:tcW w:w="3920" w:type="dxa"/>
            <w:vAlign w:val="bottom"/>
            <w:shd w:val="clear" w:color="auto" w:fill="E6E7E7"/>
          </w:tcPr>
          <w:p>
            <w:pPr>
              <w:jc w:val="center"/>
              <w:ind w:left="2912"/>
              <w:spacing w:after="0" w:line="202" w:lineRule="exact"/>
              <w:rPr>
                <w:sz w:val="20"/>
                <w:szCs w:val="20"/>
                <w:color w:val="auto"/>
              </w:rPr>
            </w:pPr>
            <w:r>
              <w:rPr>
                <w:rFonts w:ascii="Arial" w:cs="Arial" w:eastAsia="Arial" w:hAnsi="Arial"/>
                <w:sz w:val="18"/>
                <w:szCs w:val="18"/>
                <w:color w:val="auto"/>
                <w:w w:val="98"/>
              </w:rPr>
              <w:t>5-40 years</w:t>
            </w:r>
          </w:p>
        </w:tc>
        <w:tc>
          <w:tcPr>
            <w:tcW w:w="60" w:type="dxa"/>
            <w:vAlign w:val="bottom"/>
            <w:shd w:val="clear" w:color="auto" w:fill="E6E7E7"/>
          </w:tcPr>
          <w:p>
            <w:pPr>
              <w:spacing w:after="0"/>
              <w:rPr>
                <w:sz w:val="17"/>
                <w:szCs w:val="17"/>
                <w:color w:val="auto"/>
              </w:rPr>
            </w:pPr>
          </w:p>
        </w:tc>
        <w:tc>
          <w:tcPr>
            <w:tcW w:w="120" w:type="dxa"/>
            <w:vAlign w:val="bottom"/>
            <w:shd w:val="clear" w:color="auto" w:fill="E6E7E7"/>
          </w:tcPr>
          <w:p>
            <w:pPr>
              <w:spacing w:after="0"/>
              <w:rPr>
                <w:sz w:val="17"/>
                <w:szCs w:val="17"/>
                <w:color w:val="auto"/>
              </w:rPr>
            </w:pPr>
          </w:p>
        </w:tc>
        <w:tc>
          <w:tcPr>
            <w:tcW w:w="5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2,890</w:t>
            </w:r>
          </w:p>
        </w:tc>
        <w:tc>
          <w:tcPr>
            <w:tcW w:w="180" w:type="dxa"/>
            <w:vAlign w:val="bottom"/>
            <w:shd w:val="clear" w:color="auto" w:fill="E6E7E7"/>
          </w:tcPr>
          <w:p>
            <w:pPr>
              <w:spacing w:after="0"/>
              <w:rPr>
                <w:sz w:val="17"/>
                <w:szCs w:val="17"/>
                <w:color w:val="auto"/>
              </w:rPr>
            </w:pPr>
          </w:p>
        </w:tc>
        <w:tc>
          <w:tcPr>
            <w:tcW w:w="4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2,930</w:t>
            </w:r>
          </w:p>
        </w:tc>
        <w:tc>
          <w:tcPr>
            <w:tcW w:w="60" w:type="dxa"/>
            <w:vAlign w:val="bottom"/>
            <w:shd w:val="clear" w:color="auto" w:fill="E6E7E7"/>
          </w:tcPr>
          <w:p>
            <w:pPr>
              <w:spacing w:after="0"/>
              <w:rPr>
                <w:sz w:val="17"/>
                <w:szCs w:val="17"/>
                <w:color w:val="auto"/>
              </w:rPr>
            </w:pPr>
          </w:p>
        </w:tc>
      </w:tr>
      <w:tr>
        <w:trPr>
          <w:trHeight w:val="210"/>
        </w:trPr>
        <w:tc>
          <w:tcPr>
            <w:tcW w:w="5380" w:type="dxa"/>
            <w:vAlign w:val="bottom"/>
          </w:tcPr>
          <w:p>
            <w:pPr>
              <w:ind w:left="140"/>
              <w:spacing w:after="0" w:line="202" w:lineRule="exact"/>
              <w:rPr>
                <w:sz w:val="20"/>
                <w:szCs w:val="20"/>
                <w:color w:val="auto"/>
              </w:rPr>
            </w:pPr>
            <w:r>
              <w:rPr>
                <w:rFonts w:ascii="Arial" w:cs="Arial" w:eastAsia="Arial" w:hAnsi="Arial"/>
                <w:sz w:val="18"/>
                <w:szCs w:val="18"/>
                <w:color w:val="auto"/>
              </w:rPr>
              <w:t>Machinery and equipment</w:t>
            </w:r>
          </w:p>
        </w:tc>
        <w:tc>
          <w:tcPr>
            <w:tcW w:w="3920" w:type="dxa"/>
            <w:vAlign w:val="bottom"/>
          </w:tcPr>
          <w:p>
            <w:pPr>
              <w:jc w:val="center"/>
              <w:ind w:left="2912"/>
              <w:spacing w:after="0" w:line="202" w:lineRule="exact"/>
              <w:rPr>
                <w:sz w:val="20"/>
                <w:szCs w:val="20"/>
                <w:color w:val="auto"/>
              </w:rPr>
            </w:pPr>
            <w:r>
              <w:rPr>
                <w:rFonts w:ascii="Arial" w:cs="Arial" w:eastAsia="Arial" w:hAnsi="Arial"/>
                <w:sz w:val="18"/>
                <w:szCs w:val="18"/>
                <w:color w:val="auto"/>
                <w:w w:val="98"/>
              </w:rPr>
              <w:t>3-10 years</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4,779</w:t>
            </w: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5,365</w:t>
            </w:r>
          </w:p>
        </w:tc>
        <w:tc>
          <w:tcPr>
            <w:tcW w:w="60" w:type="dxa"/>
            <w:vAlign w:val="bottom"/>
          </w:tcPr>
          <w:p>
            <w:pPr>
              <w:spacing w:after="0"/>
              <w:rPr>
                <w:sz w:val="18"/>
                <w:szCs w:val="18"/>
                <w:color w:val="auto"/>
              </w:rPr>
            </w:pPr>
          </w:p>
        </w:tc>
      </w:tr>
      <w:tr>
        <w:trPr>
          <w:trHeight w:val="203"/>
        </w:trPr>
        <w:tc>
          <w:tcPr>
            <w:tcW w:w="5380" w:type="dxa"/>
            <w:vAlign w:val="bottom"/>
            <w:shd w:val="clear" w:color="auto" w:fill="E6E7E7"/>
          </w:tcPr>
          <w:p>
            <w:pPr>
              <w:ind w:left="140"/>
              <w:spacing w:after="0" w:line="202" w:lineRule="exact"/>
              <w:rPr>
                <w:sz w:val="20"/>
                <w:szCs w:val="20"/>
                <w:color w:val="auto"/>
              </w:rPr>
            </w:pPr>
            <w:r>
              <w:rPr>
                <w:rFonts w:ascii="Arial" w:cs="Arial" w:eastAsia="Arial" w:hAnsi="Arial"/>
                <w:sz w:val="18"/>
                <w:szCs w:val="18"/>
                <w:color w:val="auto"/>
              </w:rPr>
              <w:t>Total</w:t>
            </w:r>
          </w:p>
        </w:tc>
        <w:tc>
          <w:tcPr>
            <w:tcW w:w="392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c>
          <w:tcPr>
            <w:tcW w:w="120" w:type="dxa"/>
            <w:vAlign w:val="bottom"/>
            <w:tcBorders>
              <w:bottom w:val="single" w:sz="8" w:color="auto"/>
            </w:tcBorders>
            <w:shd w:val="clear" w:color="auto" w:fill="E6E7E7"/>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7,751</w:t>
            </w:r>
          </w:p>
        </w:tc>
        <w:tc>
          <w:tcPr>
            <w:tcW w:w="18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8,374</w:t>
            </w:r>
          </w:p>
        </w:tc>
        <w:tc>
          <w:tcPr>
            <w:tcW w:w="60" w:type="dxa"/>
            <w:vAlign w:val="bottom"/>
            <w:shd w:val="clear" w:color="auto" w:fill="E6E7E7"/>
          </w:tcPr>
          <w:p>
            <w:pPr>
              <w:spacing w:after="0"/>
              <w:rPr>
                <w:sz w:val="17"/>
                <w:szCs w:val="17"/>
                <w:color w:val="auto"/>
              </w:rPr>
            </w:pPr>
          </w:p>
        </w:tc>
      </w:tr>
      <w:tr>
        <w:trPr>
          <w:trHeight w:val="20"/>
        </w:trPr>
        <w:tc>
          <w:tcPr>
            <w:tcW w:w="53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Authorizations for property, plant and equipment expenditures in future years were $341 million at December 31, 2006.</w:t>
      </w:r>
    </w:p>
    <w:p>
      <w:pPr>
        <w:sectPr>
          <w:pgSz w:w="11900" w:h="16838" w:orient="portrait"/>
          <w:cols w:equalWidth="0" w:num="1">
            <w:col w:w="11060"/>
          </w:cols>
          <w:pgMar w:left="600" w:top="287" w:right="239" w:bottom="1440" w:gutter="0" w:footer="0" w:header="0"/>
          <w:type w:val="continuous"/>
        </w:sectPr>
      </w:pPr>
    </w:p>
    <w:bookmarkStart w:id="87" w:name="page88"/>
    <w:bookmarkEnd w:id="87"/>
    <w:p>
      <w:pPr>
        <w:spacing w:after="0"/>
        <w:tabs>
          <w:tab w:leader="none" w:pos="36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38</w:t>
        <w:tab/>
        <w:t>TEXAS INSTRUMENTS 2006 ANNUAL REPORT</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6350</wp:posOffset>
            </wp:positionV>
            <wp:extent cx="5977255"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77255" cy="137160"/>
                    </a:xfrm>
                    <a:prstGeom prst="rect">
                      <a:avLst/>
                    </a:prstGeom>
                    <a:noFill/>
                  </pic:spPr>
                </pic:pic>
              </a:graphicData>
            </a:graphic>
          </wp:anchor>
        </w:drawing>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Accrued salaries, wages and vacation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-1270</wp:posOffset>
            </wp:positionV>
            <wp:extent cx="680910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ind w:left="360"/>
        <w:spacing w:after="0" w:line="234" w:lineRule="auto"/>
        <w:rPr>
          <w:sz w:val="20"/>
          <w:szCs w:val="20"/>
          <w:color w:val="auto"/>
        </w:rPr>
      </w:pPr>
      <w:r>
        <w:rPr>
          <w:rFonts w:ascii="Arial" w:cs="Arial" w:eastAsia="Arial" w:hAnsi="Arial"/>
          <w:sz w:val="18"/>
          <w:szCs w:val="18"/>
          <w:color w:val="auto"/>
        </w:rPr>
        <w:t>Customer incentive programs and allowances</w:t>
      </w:r>
    </w:p>
    <w:p>
      <w:pPr>
        <w:ind w:left="360"/>
        <w:spacing w:after="0" w:line="235" w:lineRule="auto"/>
        <w:rPr>
          <w:sz w:val="20"/>
          <w:szCs w:val="20"/>
          <w:color w:val="auto"/>
        </w:rPr>
      </w:pPr>
      <w:r>
        <w:rPr>
          <w:rFonts w:ascii="Arial" w:cs="Arial" w:eastAsia="Arial" w:hAnsi="Arial"/>
          <w:sz w:val="18"/>
          <w:szCs w:val="18"/>
          <w:color w:val="auto"/>
        </w:rPr>
        <w:t>Property and other non-income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-635</wp:posOffset>
            </wp:positionV>
            <wp:extent cx="6809105"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Other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6350</wp:posOffset>
            </wp:positionV>
            <wp:extent cx="593471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34710" cy="137160"/>
                    </a:xfrm>
                    <a:prstGeom prst="rect">
                      <a:avLst/>
                    </a:prstGeom>
                    <a:noFill/>
                  </pic:spPr>
                </pic:pic>
              </a:graphicData>
            </a:graphic>
          </wp:anchor>
        </w:drawing>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Unrealized losses on available-for-sale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9525</wp:posOffset>
            </wp:positionV>
            <wp:extent cx="6809105"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Postretirement benefit plans:</w:t>
      </w:r>
    </w:p>
    <w:p>
      <w:pPr>
        <w:ind w:left="360"/>
        <w:spacing w:after="0" w:line="234" w:lineRule="auto"/>
        <w:rPr>
          <w:sz w:val="20"/>
          <w:szCs w:val="20"/>
          <w:color w:val="auto"/>
        </w:rPr>
      </w:pPr>
      <w:r>
        <w:rPr>
          <w:rFonts w:ascii="Arial" w:cs="Arial" w:eastAsia="Arial" w:hAnsi="Arial"/>
          <w:sz w:val="18"/>
          <w:szCs w:val="18"/>
          <w:color w:val="auto"/>
        </w:rPr>
        <w:t>Minimum pension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-635</wp:posOffset>
            </wp:positionV>
            <wp:extent cx="680910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ind w:left="360"/>
        <w:spacing w:after="0" w:line="235" w:lineRule="auto"/>
        <w:rPr>
          <w:sz w:val="20"/>
          <w:szCs w:val="20"/>
          <w:color w:val="auto"/>
        </w:rPr>
      </w:pPr>
      <w:r>
        <w:rPr>
          <w:rFonts w:ascii="Arial" w:cs="Arial" w:eastAsia="Arial" w:hAnsi="Arial"/>
          <w:sz w:val="18"/>
          <w:szCs w:val="18"/>
          <w:color w:val="auto"/>
        </w:rPr>
        <w:t>Prior service cost</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actuarial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12065</wp:posOffset>
            </wp:positionV>
            <wp:extent cx="6809105"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939598"/>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28575</wp:posOffset>
            </wp:positionV>
            <wp:extent cx="831850" cy="431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31850" cy="43180"/>
                    </a:xfrm>
                    <a:prstGeom prst="rect">
                      <a:avLst/>
                    </a:prstGeom>
                    <a:noFill/>
                  </pic:spPr>
                </pic:pic>
              </a:graphicData>
            </a:graphic>
          </wp:anchor>
        </w:drawing>
      </w:r>
    </w:p>
    <w:p>
      <w:pPr>
        <w:spacing w:after="0" w:line="76" w:lineRule="exact"/>
        <w:rPr>
          <w:sz w:val="20"/>
          <w:szCs w:val="20"/>
          <w:color w:val="auto"/>
        </w:rPr>
      </w:pPr>
    </w:p>
    <w:p>
      <w:pPr>
        <w:ind w:left="160"/>
        <w:spacing w:after="0"/>
        <w:tabs>
          <w:tab w:leader="none" w:pos="760" w:val="left"/>
        </w:tabs>
        <w:rPr>
          <w:sz w:val="20"/>
          <w:szCs w:val="20"/>
          <w:color w:val="auto"/>
        </w:rPr>
      </w:pPr>
      <w:r>
        <w:rPr>
          <w:rFonts w:ascii="Arial" w:cs="Arial" w:eastAsia="Arial" w:hAnsi="Arial"/>
          <w:sz w:val="14"/>
          <w:szCs w:val="14"/>
          <w:b w:val="1"/>
          <w:bCs w:val="1"/>
          <w:color w:val="FFFFFF"/>
        </w:rPr>
        <w:t>2006</w:t>
      </w:r>
      <w:r>
        <w:rPr>
          <w:sz w:val="20"/>
          <w:szCs w:val="20"/>
          <w:color w:val="auto"/>
        </w:rPr>
        <w:tab/>
      </w:r>
      <w:r>
        <w:rPr>
          <w:rFonts w:ascii="Arial" w:cs="Arial" w:eastAsia="Arial" w:hAnsi="Arial"/>
          <w:sz w:val="14"/>
          <w:szCs w:val="14"/>
          <w:b w:val="1"/>
          <w:bCs w:val="1"/>
          <w:color w:val="FFFFFF"/>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-90805</wp:posOffset>
            </wp:positionV>
            <wp:extent cx="831850" cy="946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31850" cy="94615"/>
                    </a:xfrm>
                    <a:prstGeom prst="rect">
                      <a:avLst/>
                    </a:prstGeom>
                    <a:noFill/>
                  </pic:spPr>
                </pic:pic>
              </a:graphicData>
            </a:graphic>
          </wp:anchor>
        </w:drawing>
      </w:r>
    </w:p>
    <w:p>
      <w:pPr>
        <w:ind w:left="320" w:hanging="320"/>
        <w:spacing w:after="0"/>
        <w:tabs>
          <w:tab w:leader="none" w:pos="32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368 </w:t>
      </w:r>
      <w:r>
        <w:rPr>
          <w:rFonts w:ascii="Arial" w:cs="Arial" w:eastAsia="Arial" w:hAnsi="Arial"/>
          <w:sz w:val="18"/>
          <w:szCs w:val="18"/>
          <w:color w:val="auto"/>
        </w:rPr>
        <w:t>$ 340</w:t>
      </w:r>
    </w:p>
    <w:p>
      <w:pPr>
        <w:ind w:left="320"/>
        <w:spacing w:after="0" w:line="234"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188   </w:t>
      </w:r>
      <w:r>
        <w:rPr>
          <w:rFonts w:ascii="Arial" w:cs="Arial" w:eastAsia="Arial" w:hAnsi="Arial"/>
          <w:sz w:val="18"/>
          <w:szCs w:val="18"/>
          <w:color w:val="auto"/>
        </w:rPr>
        <w:t>152</w:t>
      </w:r>
    </w:p>
    <w:p>
      <w:pPr>
        <w:ind w:left="320"/>
        <w:spacing w:after="0" w:line="234"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134</w:t>
      </w: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347   </w:t>
      </w:r>
      <w:r>
        <w:rPr>
          <w:rFonts w:ascii="Arial" w:cs="Arial" w:eastAsia="Arial" w:hAnsi="Arial"/>
          <w:sz w:val="18"/>
          <w:szCs w:val="18"/>
          <w:color w:val="auto"/>
        </w:rPr>
        <w:t>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372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 xml:space="preserve">$ 1,029 </w:t>
      </w:r>
      <w:r>
        <w:rPr>
          <w:rFonts w:ascii="Arial" w:cs="Arial" w:eastAsia="Arial" w:hAnsi="Arial"/>
          <w:sz w:val="18"/>
          <w:szCs w:val="18"/>
          <w:u w:val="single" w:color="auto"/>
          <w:color w:val="auto"/>
        </w:rPr>
        <w:t>$ 948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372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8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939598"/>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2540</wp:posOffset>
            </wp:positionV>
            <wp:extent cx="875030" cy="431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75030" cy="43180"/>
                    </a:xfrm>
                    <a:prstGeom prst="rect">
                      <a:avLst/>
                    </a:prstGeom>
                    <a:noFill/>
                  </pic:spPr>
                </pic:pic>
              </a:graphicData>
            </a:graphic>
          </wp:anchor>
        </w:drawing>
      </w:r>
    </w:p>
    <w:p>
      <w:pPr>
        <w:spacing w:after="0" w:line="35" w:lineRule="exact"/>
        <w:rPr>
          <w:sz w:val="20"/>
          <w:szCs w:val="20"/>
          <w:color w:val="auto"/>
        </w:rPr>
      </w:pPr>
    </w:p>
    <w:p>
      <w:pPr>
        <w:ind w:left="120"/>
        <w:spacing w:after="0"/>
        <w:tabs>
          <w:tab w:leader="none" w:pos="800" w:val="left"/>
        </w:tabs>
        <w:rPr>
          <w:sz w:val="20"/>
          <w:szCs w:val="20"/>
          <w:color w:val="auto"/>
        </w:rPr>
      </w:pPr>
      <w:r>
        <w:rPr>
          <w:rFonts w:ascii="Arial" w:cs="Arial" w:eastAsia="Arial" w:hAnsi="Arial"/>
          <w:sz w:val="14"/>
          <w:szCs w:val="14"/>
          <w:b w:val="1"/>
          <w:bCs w:val="1"/>
          <w:color w:val="FFFFFF"/>
        </w:rPr>
        <w:t>2006</w:t>
      </w:r>
      <w:r>
        <w:rPr>
          <w:sz w:val="20"/>
          <w:szCs w:val="20"/>
          <w:color w:val="auto"/>
        </w:rPr>
        <w:tab/>
      </w:r>
      <w:r>
        <w:rPr>
          <w:rFonts w:ascii="Arial" w:cs="Arial" w:eastAsia="Arial" w:hAnsi="Arial"/>
          <w:sz w:val="14"/>
          <w:szCs w:val="14"/>
          <w:b w:val="1"/>
          <w:bCs w:val="1"/>
          <w:color w:val="FFFFFF"/>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-90805</wp:posOffset>
            </wp:positionV>
            <wp:extent cx="875030" cy="946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75030" cy="94615"/>
                    </a:xfrm>
                    <a:prstGeom prst="rect">
                      <a:avLst/>
                    </a:prstGeom>
                    <a:noFill/>
                  </pic:spPr>
                </pic:pic>
              </a:graphicData>
            </a:graphic>
          </wp:anchor>
        </w:drawing>
      </w:r>
    </w:p>
    <w:p>
      <w:pPr>
        <w:ind w:left="260" w:hanging="219"/>
        <w:spacing w:after="0"/>
        <w:tabs>
          <w:tab w:leader="none" w:pos="2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$(16)</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color w:val="auto"/>
        </w:rPr>
        <w:t>(65)</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6</w:t>
      </w:r>
      <w:r>
        <w:rPr>
          <w:rFonts w:ascii="Arial" w:cs="Arial" w:eastAsia="Arial" w:hAnsi="Arial"/>
          <w:sz w:val="16"/>
          <w:szCs w:val="16"/>
          <w:color w:val="auto"/>
        </w:rPr>
        <w:t>—</w:t>
      </w:r>
    </w:p>
    <w:p>
      <w:pPr>
        <w:spacing w:after="0" w:line="1" w:lineRule="exact"/>
        <w:rPr>
          <w:sz w:val="20"/>
          <w:szCs w:val="20"/>
          <w:color w:val="auto"/>
        </w:rPr>
      </w:pPr>
    </w:p>
    <w:p>
      <w:pPr>
        <w:ind w:left="980" w:hanging="818"/>
        <w:spacing w:after="0"/>
        <w:tabs>
          <w:tab w:leader="none" w:pos="980"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-4445</wp:posOffset>
            </wp:positionV>
            <wp:extent cx="7029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ind w:left="40"/>
        <w:spacing w:after="0"/>
        <w:tabs>
          <w:tab w:leader="none" w:pos="760" w:val="left"/>
        </w:tabs>
        <w:rPr>
          <w:sz w:val="20"/>
          <w:szCs w:val="20"/>
          <w:color w:val="auto"/>
        </w:rPr>
      </w:pPr>
      <w:r>
        <w:rPr>
          <w:rFonts w:ascii="Arial" w:cs="Arial" w:eastAsia="Arial" w:hAnsi="Arial"/>
          <w:sz w:val="18"/>
          <w:szCs w:val="18"/>
          <w:b w:val="1"/>
          <w:bCs w:val="1"/>
          <w:u w:val="single" w:color="auto"/>
          <w:color w:val="auto"/>
        </w:rPr>
        <w:t>$ (363)</w:t>
      </w:r>
      <w:r>
        <w:rPr>
          <w:sz w:val="20"/>
          <w:szCs w:val="20"/>
          <w:color w:val="auto"/>
        </w:rPr>
        <w:tab/>
      </w:r>
      <w:r>
        <w:rPr>
          <w:rFonts w:ascii="Arial" w:cs="Arial" w:eastAsia="Arial" w:hAnsi="Arial"/>
          <w:sz w:val="16"/>
          <w:szCs w:val="16"/>
          <w:u w:val="single" w:color="auto"/>
          <w:color w:val="auto"/>
        </w:rPr>
        <w:t>$(81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24130</wp:posOffset>
            </wp:positionV>
            <wp:extent cx="7029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9140" w:space="720"/>
            <w:col w:w="1320"/>
          </w:cols>
          <w:pgMar w:left="240" w:top="287" w:right="479" w:bottom="1440" w:gutter="0" w:footer="0" w:header="0"/>
        </w:sectPr>
      </w:pPr>
    </w:p>
    <w:p>
      <w:pPr>
        <w:ind w:left="460"/>
        <w:spacing w:after="0"/>
        <w:rPr>
          <w:sz w:val="20"/>
          <w:szCs w:val="20"/>
          <w:color w:val="auto"/>
        </w:rPr>
      </w:pPr>
      <w:r>
        <w:rPr>
          <w:rFonts w:ascii="Arial" w:cs="Arial" w:eastAsia="Arial" w:hAnsi="Arial"/>
          <w:sz w:val="18"/>
          <w:szCs w:val="18"/>
          <w:i w:val="1"/>
          <w:iCs w:val="1"/>
          <w:color w:val="auto"/>
        </w:rPr>
        <w:t>Cash Payments:</w:t>
      </w:r>
    </w:p>
    <w:p>
      <w:pPr>
        <w:spacing w:after="0" w:line="30" w:lineRule="exact"/>
        <w:rPr>
          <w:sz w:val="20"/>
          <w:szCs w:val="20"/>
          <w:color w:val="auto"/>
        </w:rPr>
      </w:pPr>
    </w:p>
    <w:tbl>
      <w:tblPr>
        <w:tblLayout w:type="fixed"/>
        <w:tblInd w:w="360" w:type="dxa"/>
        <w:tblCellMar>
          <w:top w:w="0" w:type="dxa"/>
          <w:left w:w="0" w:type="dxa"/>
          <w:bottom w:w="0" w:type="dxa"/>
          <w:right w:w="0" w:type="dxa"/>
        </w:tblCellMar>
      </w:tblPr>
      <w:tr>
        <w:trPr>
          <w:trHeight w:val="196"/>
        </w:trPr>
        <w:tc>
          <w:tcPr>
            <w:tcW w:w="8580" w:type="dxa"/>
            <w:vAlign w:val="bottom"/>
            <w:shd w:val="clear" w:color="auto" w:fill="939598"/>
          </w:tcPr>
          <w:p>
            <w:pPr>
              <w:spacing w:after="0"/>
              <w:rPr>
                <w:sz w:val="17"/>
                <w:szCs w:val="17"/>
                <w:color w:val="auto"/>
              </w:rPr>
            </w:pPr>
          </w:p>
        </w:tc>
        <w:tc>
          <w:tcPr>
            <w:tcW w:w="920" w:type="dxa"/>
            <w:vAlign w:val="bottom"/>
            <w:shd w:val="clear" w:color="auto" w:fill="939598"/>
          </w:tcPr>
          <w:p>
            <w:pPr>
              <w:jc w:val="right"/>
              <w:ind w:right="179"/>
              <w:spacing w:after="0"/>
              <w:rPr>
                <w:sz w:val="20"/>
                <w:szCs w:val="20"/>
                <w:color w:val="auto"/>
              </w:rPr>
            </w:pPr>
            <w:r>
              <w:rPr>
                <w:rFonts w:ascii="Arial" w:cs="Arial" w:eastAsia="Arial" w:hAnsi="Arial"/>
                <w:sz w:val="14"/>
                <w:szCs w:val="14"/>
                <w:b w:val="1"/>
                <w:bCs w:val="1"/>
                <w:color w:val="FFFFFF"/>
              </w:rPr>
              <w:t>2006</w:t>
            </w:r>
          </w:p>
        </w:tc>
        <w:tc>
          <w:tcPr>
            <w:tcW w:w="660" w:type="dxa"/>
            <w:vAlign w:val="bottom"/>
            <w:shd w:val="clear" w:color="auto" w:fill="939598"/>
          </w:tcPr>
          <w:p>
            <w:pPr>
              <w:jc w:val="right"/>
              <w:ind w:right="99"/>
              <w:spacing w:after="0"/>
              <w:rPr>
                <w:sz w:val="20"/>
                <w:szCs w:val="20"/>
                <w:color w:val="auto"/>
              </w:rPr>
            </w:pPr>
            <w:r>
              <w:rPr>
                <w:rFonts w:ascii="Arial" w:cs="Arial" w:eastAsia="Arial" w:hAnsi="Arial"/>
                <w:sz w:val="14"/>
                <w:szCs w:val="14"/>
                <w:b w:val="1"/>
                <w:bCs w:val="1"/>
                <w:color w:val="FFFFFF"/>
              </w:rPr>
              <w:t>2005</w:t>
            </w:r>
          </w:p>
        </w:tc>
        <w:tc>
          <w:tcPr>
            <w:tcW w:w="560" w:type="dxa"/>
            <w:vAlign w:val="bottom"/>
            <w:shd w:val="clear" w:color="auto" w:fill="939598"/>
          </w:tcPr>
          <w:p>
            <w:pPr>
              <w:jc w:val="right"/>
              <w:spacing w:after="0"/>
              <w:rPr>
                <w:sz w:val="20"/>
                <w:szCs w:val="20"/>
                <w:color w:val="auto"/>
              </w:rPr>
            </w:pPr>
            <w:r>
              <w:rPr>
                <w:rFonts w:ascii="Arial" w:cs="Arial" w:eastAsia="Arial" w:hAnsi="Arial"/>
                <w:sz w:val="14"/>
                <w:szCs w:val="14"/>
                <w:b w:val="1"/>
                <w:bCs w:val="1"/>
                <w:color w:val="FFFFFF"/>
              </w:rPr>
              <w:t>2004</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Income taxes (net of refunds)</w:t>
            </w:r>
          </w:p>
        </w:tc>
        <w:tc>
          <w:tcPr>
            <w:tcW w:w="920" w:type="dxa"/>
            <w:vAlign w:val="bottom"/>
          </w:tcPr>
          <w:p>
            <w:pPr>
              <w:jc w:val="right"/>
              <w:ind w:right="19"/>
              <w:spacing w:after="0" w:line="202" w:lineRule="exact"/>
              <w:rPr>
                <w:sz w:val="20"/>
                <w:szCs w:val="20"/>
                <w:color w:val="auto"/>
              </w:rPr>
            </w:pPr>
            <w:r>
              <w:rPr>
                <w:rFonts w:ascii="Arial" w:cs="Arial" w:eastAsia="Arial" w:hAnsi="Arial"/>
                <w:sz w:val="18"/>
                <w:szCs w:val="18"/>
                <w:color w:val="auto"/>
              </w:rPr>
              <w:t>$ 1,830</w:t>
            </w:r>
          </w:p>
        </w:tc>
        <w:tc>
          <w:tcPr>
            <w:tcW w:w="660" w:type="dxa"/>
            <w:vAlign w:val="bottom"/>
          </w:tcPr>
          <w:p>
            <w:pPr>
              <w:jc w:val="right"/>
              <w:ind w:right="19"/>
              <w:spacing w:after="0" w:line="202" w:lineRule="exact"/>
              <w:rPr>
                <w:sz w:val="20"/>
                <w:szCs w:val="20"/>
                <w:color w:val="auto"/>
              </w:rPr>
            </w:pPr>
            <w:r>
              <w:rPr>
                <w:rFonts w:ascii="Arial" w:cs="Arial" w:eastAsia="Arial" w:hAnsi="Arial"/>
                <w:sz w:val="18"/>
                <w:szCs w:val="18"/>
                <w:color w:val="auto"/>
              </w:rPr>
              <w:t>$ 591</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$ 261</w:t>
            </w:r>
          </w:p>
        </w:tc>
      </w:tr>
      <w:tr>
        <w:trPr>
          <w:trHeight w:val="203"/>
        </w:trPr>
        <w:tc>
          <w:tcPr>
            <w:tcW w:w="8580" w:type="dxa"/>
            <w:vAlign w:val="bottom"/>
            <w:shd w:val="clear" w:color="auto" w:fill="E6E7E7"/>
          </w:tcPr>
          <w:p>
            <w:pPr>
              <w:spacing w:after="0" w:line="202" w:lineRule="exact"/>
              <w:rPr>
                <w:sz w:val="20"/>
                <w:szCs w:val="20"/>
                <w:color w:val="auto"/>
              </w:rPr>
            </w:pPr>
            <w:r>
              <w:rPr>
                <w:rFonts w:ascii="Arial" w:cs="Arial" w:eastAsia="Arial" w:hAnsi="Arial"/>
                <w:sz w:val="18"/>
                <w:szCs w:val="18"/>
                <w:color w:val="auto"/>
              </w:rPr>
              <w:t>Interest (net of amounts capitalized)</w:t>
            </w:r>
          </w:p>
        </w:tc>
        <w:tc>
          <w:tcPr>
            <w:tcW w:w="920" w:type="dxa"/>
            <w:vAlign w:val="bottom"/>
            <w:shd w:val="clear" w:color="auto" w:fill="E6E7E7"/>
          </w:tcPr>
          <w:p>
            <w:pPr>
              <w:jc w:val="right"/>
              <w:ind w:right="19"/>
              <w:spacing w:after="0" w:line="202" w:lineRule="exact"/>
              <w:rPr>
                <w:sz w:val="20"/>
                <w:szCs w:val="20"/>
                <w:color w:val="auto"/>
              </w:rPr>
            </w:pPr>
            <w:r>
              <w:rPr>
                <w:rFonts w:ascii="Arial" w:cs="Arial" w:eastAsia="Arial" w:hAnsi="Arial"/>
                <w:sz w:val="18"/>
                <w:szCs w:val="18"/>
                <w:color w:val="auto"/>
              </w:rPr>
              <w:t>7</w:t>
            </w:r>
          </w:p>
        </w:tc>
        <w:tc>
          <w:tcPr>
            <w:tcW w:w="660" w:type="dxa"/>
            <w:vAlign w:val="bottom"/>
            <w:shd w:val="clear" w:color="auto" w:fill="E6E7E7"/>
          </w:tcPr>
          <w:p>
            <w:pPr>
              <w:jc w:val="right"/>
              <w:ind w:right="19"/>
              <w:spacing w:after="0" w:line="202" w:lineRule="exact"/>
              <w:rPr>
                <w:sz w:val="20"/>
                <w:szCs w:val="20"/>
                <w:color w:val="auto"/>
              </w:rPr>
            </w:pPr>
            <w:r>
              <w:rPr>
                <w:rFonts w:ascii="Arial" w:cs="Arial" w:eastAsia="Arial" w:hAnsi="Arial"/>
                <w:sz w:val="18"/>
                <w:szCs w:val="18"/>
                <w:color w:val="auto"/>
              </w:rPr>
              <w:t>9</w:t>
            </w:r>
          </w:p>
        </w:tc>
        <w:tc>
          <w:tcPr>
            <w:tcW w:w="5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21</w:t>
            </w:r>
          </w:p>
        </w:tc>
      </w:tr>
    </w:tbl>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 Subsequent Event</w:t>
      </w:r>
    </w:p>
    <w:p>
      <w:pPr>
        <w:spacing w:after="0" w:line="180" w:lineRule="exact"/>
        <w:rPr>
          <w:sz w:val="20"/>
          <w:szCs w:val="20"/>
          <w:color w:val="auto"/>
        </w:rPr>
      </w:pPr>
    </w:p>
    <w:p>
      <w:pPr>
        <w:ind w:left="460"/>
        <w:spacing w:after="0" w:line="271" w:lineRule="auto"/>
        <w:rPr>
          <w:sz w:val="20"/>
          <w:szCs w:val="20"/>
          <w:color w:val="auto"/>
        </w:rPr>
      </w:pPr>
      <w:r>
        <w:rPr>
          <w:rFonts w:ascii="Arial" w:cs="Arial" w:eastAsia="Arial" w:hAnsi="Arial"/>
          <w:sz w:val="16"/>
          <w:szCs w:val="16"/>
          <w:color w:val="auto"/>
        </w:rPr>
        <w:t>On January 22, 2007, we announced a plan to change the way we develop advanced digital manufacturing process technology. Instead of separately creating our own core process technology, we will work collaboratively with our foundry partners to specify and drive the next generations of digital process technology. Additionally, we will stop production at an older digital factory and move its manufacturing equipment into several of our analog factories to support greater analog output. These changes will be made throughout 2007, and when complete are expected to reduce annualized costs by about $200 million. About 500 jobs are expected to be reduced by year end. In total, we will take restructuring charges of approximately $55 million, about evenly distributed across the four quarters of 2007.</w:t>
      </w:r>
    </w:p>
    <w:p>
      <w:pPr>
        <w:sectPr>
          <w:pgSz w:w="11900" w:h="16838" w:orient="portrait"/>
          <w:cols w:equalWidth="0" w:num="1">
            <w:col w:w="11180"/>
          </w:cols>
          <w:pgMar w:left="240" w:top="287" w:right="479" w:bottom="1440" w:gutter="0" w:footer="0" w:header="0"/>
          <w:type w:val="continuous"/>
        </w:sectPr>
      </w:pPr>
    </w:p>
    <w:bookmarkStart w:id="88" w:name="page89"/>
    <w:bookmarkEnd w:id="88"/>
    <w:p>
      <w:pPr>
        <w:jc w:val="right"/>
        <w:spacing w:after="0"/>
        <w:tabs>
          <w:tab w:leader="none" w:pos="12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2006 ANNUAL REPORT</w:t>
      </w:r>
      <w:r>
        <w:rPr>
          <w:sz w:val="20"/>
          <w:szCs w:val="20"/>
          <w:color w:val="auto"/>
        </w:rPr>
        <w:tab/>
      </w:r>
      <w:r>
        <w:rPr>
          <w:rFonts w:ascii="Arial" w:cs="Arial" w:eastAsia="Arial" w:hAnsi="Arial"/>
          <w:sz w:val="12"/>
          <w:szCs w:val="12"/>
          <w:color w:val="939598"/>
        </w:rPr>
        <w:t>39</w:t>
      </w:r>
    </w:p>
    <w:p>
      <w:pPr>
        <w:spacing w:after="0" w:line="10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rPr>
          <w:sz w:val="20"/>
          <w:szCs w:val="20"/>
          <w:color w:val="auto"/>
        </w:rPr>
      </w:pPr>
      <w:r>
        <w:rPr>
          <w:rFonts w:ascii="Arial" w:cs="Arial" w:eastAsia="Arial" w:hAnsi="Arial"/>
          <w:sz w:val="18"/>
          <w:szCs w:val="18"/>
          <w:color w:val="auto"/>
        </w:rPr>
        <w:t>Texas Instruments Incorporated</w:t>
      </w:r>
    </w:p>
    <w:p>
      <w:pPr>
        <w:spacing w:after="0" w:line="15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have audited the accompanying consolidated balance sheets of Texas Instruments Incorporated and subsidiaries (the Company) as of December 31, 2006 and 2005, and the related consolidated statements of income, comprehensive income, stockholders’ equity, and cash flows for each of the three years in the period ended December 31, 2006. These financial statements are the responsibility of the Company’s management. Our responsibility is to express an opinion on these financial statements based on our audits.</w:t>
      </w:r>
    </w:p>
    <w:p>
      <w:pPr>
        <w:spacing w:after="0" w:line="155" w:lineRule="exact"/>
        <w:rPr>
          <w:sz w:val="20"/>
          <w:szCs w:val="20"/>
          <w:color w:val="auto"/>
        </w:rPr>
      </w:pPr>
    </w:p>
    <w:p>
      <w:pPr>
        <w:ind w:right="420"/>
        <w:spacing w:after="0" w:line="273"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jc w:val="both"/>
        <w:ind w:right="220"/>
        <w:spacing w:after="0" w:line="281"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Texas Instruments Incorporated and subsidiaries at December 31, 2006 and 2005, and the consolidated results of their operations and their cash flows for each of the three years in the period ended December 31, 2006, in conformity with U.S. generally accepted accounting principles.</w:t>
      </w:r>
    </w:p>
    <w:p>
      <w:pPr>
        <w:spacing w:after="0" w:line="124" w:lineRule="exact"/>
        <w:rPr>
          <w:sz w:val="20"/>
          <w:szCs w:val="20"/>
          <w:color w:val="auto"/>
        </w:rPr>
      </w:pPr>
    </w:p>
    <w:p>
      <w:pPr>
        <w:ind w:right="480"/>
        <w:spacing w:after="0" w:line="299" w:lineRule="auto"/>
        <w:rPr>
          <w:sz w:val="20"/>
          <w:szCs w:val="20"/>
          <w:color w:val="auto"/>
        </w:rPr>
      </w:pPr>
      <w:r>
        <w:rPr>
          <w:rFonts w:ascii="Arial" w:cs="Arial" w:eastAsia="Arial" w:hAnsi="Arial"/>
          <w:sz w:val="16"/>
          <w:szCs w:val="16"/>
          <w:color w:val="auto"/>
        </w:rPr>
        <w:t>As discussed in Note 1 to the consolidated financial statements, the Company changed its method of accounting for stock-based compensation, depreciation, and postretirement benefits effective July 1, 2005, January 1, 2006, and December 31, 2006, respectively.</w:t>
      </w:r>
    </w:p>
    <w:p>
      <w:pPr>
        <w:spacing w:after="0" w:line="109"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effectiveness of the Company’s internal control over financial reporting as of December 31, 2006, based on criteria established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w:t>
      </w:r>
      <w:r>
        <w:rPr>
          <w:rFonts w:ascii="Arial" w:cs="Arial" w:eastAsia="Arial" w:hAnsi="Arial"/>
          <w:sz w:val="18"/>
          <w:szCs w:val="18"/>
          <w:color w:val="auto"/>
        </w:rPr>
        <w:t>–</w:t>
      </w:r>
      <w:r>
        <w:rPr>
          <w:rFonts w:ascii="Arial" w:cs="Arial" w:eastAsia="Arial" w:hAnsi="Arial"/>
          <w:sz w:val="18"/>
          <w:szCs w:val="18"/>
          <w:i w:val="1"/>
          <w:iCs w:val="1"/>
          <w:color w:val="auto"/>
        </w:rPr>
        <w:t xml:space="preserve"> Integrated Framework </w:t>
      </w:r>
      <w:r>
        <w:rPr>
          <w:rFonts w:ascii="Arial" w:cs="Arial" w:eastAsia="Arial" w:hAnsi="Arial"/>
          <w:sz w:val="18"/>
          <w:szCs w:val="18"/>
          <w:color w:val="auto"/>
        </w:rPr>
        <w:t>issued by the Committee of Sponsoring Organizations of the Treadway Commission and our report dated</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23, 2007,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147955</wp:posOffset>
            </wp:positionV>
            <wp:extent cx="2204085" cy="6858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20408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rPr>
          <w:sz w:val="20"/>
          <w:szCs w:val="20"/>
          <w:color w:val="auto"/>
        </w:rPr>
      </w:pPr>
      <w:r>
        <w:rPr>
          <w:rFonts w:ascii="Arial" w:cs="Arial" w:eastAsia="Arial" w:hAnsi="Arial"/>
          <w:sz w:val="18"/>
          <w:szCs w:val="18"/>
          <w:color w:val="auto"/>
        </w:rPr>
        <w:t>February 23, 2007</w:t>
      </w:r>
    </w:p>
    <w:p>
      <w:pPr>
        <w:sectPr>
          <w:pgSz w:w="11900" w:h="16838" w:orient="portrait"/>
          <w:cols w:equalWidth="0" w:num="1">
            <w:col w:w="10960"/>
          </w:cols>
          <w:pgMar w:left="700" w:top="287" w:right="239" w:bottom="1440" w:gutter="0" w:footer="0" w:header="0"/>
        </w:sectPr>
      </w:pPr>
    </w:p>
    <w:bookmarkStart w:id="89" w:name="page90"/>
    <w:bookmarkEnd w:id="89"/>
    <w:p>
      <w:pPr>
        <w:spacing w:after="0"/>
        <w:tabs>
          <w:tab w:leader="none" w:pos="36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40</w:t>
        <w:tab/>
        <w:t>TEXAS INSTRUMENTS 2006 ANNUAL REPORT</w:t>
      </w:r>
    </w:p>
    <w:p>
      <w:pPr>
        <w:spacing w:after="0" w:line="104"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REPORT BY MANAGEMENT ON INTERNAL CONTROL OVER FINANCIAL REPORTING</w:t>
      </w:r>
    </w:p>
    <w:p>
      <w:pPr>
        <w:spacing w:after="0" w:line="188" w:lineRule="exact"/>
        <w:rPr>
          <w:sz w:val="20"/>
          <w:szCs w:val="20"/>
          <w:color w:val="auto"/>
        </w:rPr>
      </w:pPr>
    </w:p>
    <w:p>
      <w:pPr>
        <w:ind w:left="460" w:right="80"/>
        <w:spacing w:after="0" w:line="237" w:lineRule="auto"/>
        <w:rPr>
          <w:sz w:val="20"/>
          <w:szCs w:val="20"/>
          <w:color w:val="auto"/>
        </w:rPr>
      </w:pPr>
      <w:r>
        <w:rPr>
          <w:rFonts w:ascii="Arial" w:cs="Arial" w:eastAsia="Arial" w:hAnsi="Arial"/>
          <w:sz w:val="18"/>
          <w:szCs w:val="18"/>
          <w:color w:val="auto"/>
        </w:rPr>
        <w:t>The management of TI is responsible for establishing and maintaining adequate internal control over financial reporting. TI’s internal control system was designed to provide reasonable assurance to our management and board of directors regarding the reliability of financial reporting and the preparation and fair presentation of financial statements issued for external purposes in accordance with generally accepted accounting principles.</w:t>
      </w:r>
    </w:p>
    <w:p>
      <w:pPr>
        <w:spacing w:after="0" w:line="155" w:lineRule="exact"/>
        <w:rPr>
          <w:sz w:val="20"/>
          <w:szCs w:val="20"/>
          <w:color w:val="auto"/>
        </w:rPr>
      </w:pPr>
    </w:p>
    <w:p>
      <w:pPr>
        <w:ind w:left="460"/>
        <w:spacing w:after="0" w:line="238" w:lineRule="auto"/>
        <w:rPr>
          <w:sz w:val="20"/>
          <w:szCs w:val="20"/>
          <w:color w:val="auto"/>
        </w:rPr>
      </w:pPr>
      <w:r>
        <w:rPr>
          <w:rFonts w:ascii="Arial" w:cs="Arial" w:eastAsia="Arial" w:hAnsi="Arial"/>
          <w:sz w:val="18"/>
          <w:szCs w:val="18"/>
          <w:color w:val="auto"/>
        </w:rPr>
        <w:t>All internal control systems, no matter how well designed, have inherent limitations and may not prevent or detect misstatements. Therefore, even those systems determined to be effective can only provide reasonable assurance with respect to financial reporting reliability and financial statement preparation and presentation.</w:t>
      </w:r>
    </w:p>
    <w:p>
      <w:pPr>
        <w:spacing w:after="0" w:line="154" w:lineRule="exact"/>
        <w:rPr>
          <w:sz w:val="20"/>
          <w:szCs w:val="20"/>
          <w:color w:val="auto"/>
        </w:rPr>
      </w:pPr>
    </w:p>
    <w:p>
      <w:pPr>
        <w:ind w:left="460" w:right="40"/>
        <w:spacing w:after="0" w:line="237" w:lineRule="auto"/>
        <w:rPr>
          <w:sz w:val="20"/>
          <w:szCs w:val="20"/>
          <w:color w:val="auto"/>
        </w:rPr>
      </w:pPr>
      <w:r>
        <w:rPr>
          <w:rFonts w:ascii="Arial" w:cs="Arial" w:eastAsia="Arial" w:hAnsi="Arial"/>
          <w:sz w:val="18"/>
          <w:szCs w:val="18"/>
          <w:color w:val="auto"/>
        </w:rPr>
        <w:t xml:space="preserve">TI management assessed the effectiveness of internal control over financial reporting as of December 31, 2006. In making this assessment, we used the criteria set forth by the Committee of Sponsoring Organizations of the Treadway Commission (the COSO criteria)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w:t>
      </w:r>
      <w:r>
        <w:rPr>
          <w:rFonts w:ascii="Arial" w:cs="Arial" w:eastAsia="Arial" w:hAnsi="Arial"/>
          <w:sz w:val="18"/>
          <w:szCs w:val="18"/>
          <w:color w:val="auto"/>
        </w:rPr>
        <w:t>–</w:t>
      </w:r>
      <w:r>
        <w:rPr>
          <w:rFonts w:ascii="Arial" w:cs="Arial" w:eastAsia="Arial" w:hAnsi="Arial"/>
          <w:sz w:val="18"/>
          <w:szCs w:val="18"/>
          <w:i w:val="1"/>
          <w:iCs w:val="1"/>
          <w:color w:val="auto"/>
        </w:rPr>
        <w:t xml:space="preserve"> Integrated Framework</w:t>
      </w:r>
      <w:r>
        <w:rPr>
          <w:rFonts w:ascii="Arial" w:cs="Arial" w:eastAsia="Arial" w:hAnsi="Arial"/>
          <w:sz w:val="18"/>
          <w:szCs w:val="18"/>
          <w:color w:val="auto"/>
        </w:rPr>
        <w:t>. Based on our assessment, we believe that, as of December 31, 2006, our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is effective based on the COSO criteria.</w:t>
      </w:r>
    </w:p>
    <w:p>
      <w:pPr>
        <w:spacing w:after="0" w:line="155" w:lineRule="exact"/>
        <w:rPr>
          <w:sz w:val="20"/>
          <w:szCs w:val="20"/>
          <w:color w:val="auto"/>
        </w:rPr>
      </w:pPr>
    </w:p>
    <w:p>
      <w:pPr>
        <w:ind w:left="460" w:right="20"/>
        <w:spacing w:after="0" w:line="239" w:lineRule="auto"/>
        <w:rPr>
          <w:sz w:val="20"/>
          <w:szCs w:val="20"/>
          <w:color w:val="auto"/>
        </w:rPr>
      </w:pPr>
      <w:r>
        <w:rPr>
          <w:rFonts w:ascii="Arial" w:cs="Arial" w:eastAsia="Arial" w:hAnsi="Arial"/>
          <w:sz w:val="18"/>
          <w:szCs w:val="18"/>
          <w:color w:val="auto"/>
        </w:rPr>
        <w:t>TI’s independent registered public accounting firm, Ernst &amp; Young LLP, has issued an audit report on our assessment of internal control over financial reporting, which immediately follows this report.</w:t>
      </w:r>
    </w:p>
    <w:p>
      <w:pPr>
        <w:sectPr>
          <w:pgSz w:w="11900" w:h="16838" w:orient="portrait"/>
          <w:cols w:equalWidth="0" w:num="1">
            <w:col w:w="11340"/>
          </w:cols>
          <w:pgMar w:left="240" w:top="287" w:right="319" w:bottom="1440" w:gutter="0" w:footer="0" w:header="0"/>
        </w:sectPr>
      </w:pPr>
    </w:p>
    <w:bookmarkStart w:id="90" w:name="page91"/>
    <w:bookmarkEnd w:id="90"/>
    <w:p>
      <w:pPr>
        <w:ind w:left="7600"/>
        <w:spacing w:after="0"/>
        <w:tabs>
          <w:tab w:leader="none" w:pos="1080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2006 ANNUAL REPORT</w:t>
      </w:r>
      <w:r>
        <w:rPr>
          <w:sz w:val="20"/>
          <w:szCs w:val="20"/>
          <w:color w:val="auto"/>
        </w:rPr>
        <w:tab/>
      </w:r>
      <w:r>
        <w:rPr>
          <w:rFonts w:ascii="Arial" w:cs="Arial" w:eastAsia="Arial" w:hAnsi="Arial"/>
          <w:sz w:val="12"/>
          <w:szCs w:val="12"/>
          <w:color w:val="939598"/>
        </w:rPr>
        <w:t>41</w:t>
      </w:r>
    </w:p>
    <w:p>
      <w:pPr>
        <w:spacing w:after="0" w:line="104" w:lineRule="exact"/>
        <w:rPr>
          <w:sz w:val="20"/>
          <w:szCs w:val="20"/>
          <w:color w:val="auto"/>
        </w:rPr>
      </w:pPr>
    </w:p>
    <w:p>
      <w:pPr>
        <w:ind w:left="80" w:right="3180"/>
        <w:spacing w:after="0" w:line="261" w:lineRule="auto"/>
        <w:rPr>
          <w:sz w:val="20"/>
          <w:szCs w:val="20"/>
          <w:color w:val="auto"/>
        </w:rPr>
      </w:pPr>
      <w:r>
        <w:rPr>
          <w:rFonts w:ascii="Arial" w:cs="Arial" w:eastAsia="Arial" w:hAnsi="Arial"/>
          <w:sz w:val="22"/>
          <w:szCs w:val="22"/>
          <w:b w:val="1"/>
          <w:bCs w:val="1"/>
          <w:color w:val="auto"/>
        </w:rPr>
        <w:t>REPORT OF INDEPENDENT REGISTERED PUBLIC ACCOUNTING FIRM ON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rPr>
          <w:sz w:val="20"/>
          <w:szCs w:val="20"/>
          <w:color w:val="auto"/>
        </w:rPr>
      </w:pPr>
      <w:r>
        <w:rPr>
          <w:rFonts w:ascii="Arial" w:cs="Arial" w:eastAsia="Arial" w:hAnsi="Arial"/>
          <w:sz w:val="18"/>
          <w:szCs w:val="18"/>
          <w:color w:val="auto"/>
        </w:rPr>
        <w:t>Texas Instruments Incorporated</w:t>
      </w:r>
    </w:p>
    <w:p>
      <w:pPr>
        <w:spacing w:after="0" w:line="158"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 xml:space="preserve">We have audited management’s assessment, included in the accompanying Report by Management on Internal Control over Financial Reporting, that Texas Instruments Incorporated and subsidiaries maintained effective internal control over financial reporting as of December 31, 2006,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(the COSO criteria). Texas Instruments Incorporated’s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55"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29"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3"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In our opinion, management’s assessment that Texas Instruments Incorporated maintained effective internal control over financial reporting as of December 31, 2006, is fairly stated, in all material respects, based on the COSO criteria. Also, in our opinion, Texas Instruments Incorporated maintained, in all material respects, effective internal control over financial reporting as of December 31, 2006, based on the COSO criteria.</w:t>
      </w:r>
    </w:p>
    <w:p>
      <w:pPr>
        <w:spacing w:after="0" w:line="155" w:lineRule="exact"/>
        <w:rPr>
          <w:sz w:val="20"/>
          <w:szCs w:val="20"/>
          <w:color w:val="auto"/>
        </w:rPr>
      </w:pPr>
    </w:p>
    <w:p>
      <w:pPr>
        <w:ind w:right="340"/>
        <w:spacing w:after="0" w:line="23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Texas Instruments Incorporated and subsidiaries as of December 31, 2006 and 2005, and the related consolidated statements of income, comprehensive income, stockholders’ equity, and cash flows for each of the three years in the period ended December 31, 2006, of Texas Instruments Incorporated and our report dated February 23, 2007,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149225</wp:posOffset>
            </wp:positionV>
            <wp:extent cx="2204085" cy="6858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20408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rPr>
          <w:sz w:val="20"/>
          <w:szCs w:val="20"/>
          <w:color w:val="auto"/>
        </w:rPr>
      </w:pPr>
      <w:r>
        <w:rPr>
          <w:rFonts w:ascii="Arial" w:cs="Arial" w:eastAsia="Arial" w:hAnsi="Arial"/>
          <w:sz w:val="18"/>
          <w:szCs w:val="18"/>
          <w:color w:val="auto"/>
        </w:rPr>
        <w:t>February 23, 2007</w:t>
      </w:r>
    </w:p>
    <w:p>
      <w:pPr>
        <w:sectPr>
          <w:pgSz w:w="11900" w:h="16838" w:orient="portrait"/>
          <w:cols w:equalWidth="0" w:num="1">
            <w:col w:w="10960"/>
          </w:cols>
          <w:pgMar w:left="700" w:top="287" w:right="239" w:bottom="1440" w:gutter="0" w:footer="0" w:header="0"/>
        </w:sectPr>
      </w:pPr>
    </w:p>
    <w:bookmarkStart w:id="91" w:name="page92"/>
    <w:bookmarkEnd w:id="91"/>
    <w:p>
      <w:pPr>
        <w:spacing w:after="0"/>
        <w:tabs>
          <w:tab w:leader="none" w:pos="36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42</w:t>
        <w:tab/>
        <w:t>TEXAS INSTRUMENTS 2006 ANNUAL REPORT</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SUMMARY OF SELECTED FINANCIAL DATA</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18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3440" w:type="dxa"/>
            <w:vAlign w:val="bottom"/>
            <w:shd w:val="clear" w:color="auto" w:fill="939598"/>
          </w:tcPr>
          <w:p>
            <w:pPr>
              <w:spacing w:after="0"/>
              <w:rPr>
                <w:sz w:val="20"/>
                <w:szCs w:val="20"/>
                <w:color w:val="auto"/>
              </w:rPr>
            </w:pPr>
            <w:r>
              <w:rPr>
                <w:rFonts w:ascii="Arial" w:cs="Arial" w:eastAsia="Arial" w:hAnsi="Arial"/>
                <w:sz w:val="14"/>
                <w:szCs w:val="14"/>
                <w:b w:val="1"/>
                <w:bCs w:val="1"/>
                <w:color w:val="FFFFFF"/>
              </w:rPr>
              <w:t>Years Ended December 31,</w:t>
            </w:r>
          </w:p>
        </w:tc>
        <w:tc>
          <w:tcPr>
            <w:tcW w:w="2480" w:type="dxa"/>
            <w:vAlign w:val="bottom"/>
            <w:shd w:val="clear" w:color="auto" w:fill="939598"/>
          </w:tcPr>
          <w:p>
            <w:pPr>
              <w:jc w:val="right"/>
              <w:ind w:right="392"/>
              <w:spacing w:after="0"/>
              <w:rPr>
                <w:sz w:val="20"/>
                <w:szCs w:val="20"/>
                <w:color w:val="auto"/>
              </w:rPr>
            </w:pPr>
            <w:r>
              <w:rPr>
                <w:rFonts w:ascii="Arial" w:cs="Arial" w:eastAsia="Arial" w:hAnsi="Arial"/>
                <w:sz w:val="14"/>
                <w:szCs w:val="14"/>
                <w:b w:val="1"/>
                <w:bCs w:val="1"/>
                <w:color w:val="FFFFFF"/>
              </w:rPr>
              <w:t>2006</w:t>
            </w:r>
          </w:p>
        </w:tc>
        <w:tc>
          <w:tcPr>
            <w:tcW w:w="1220" w:type="dxa"/>
            <w:vAlign w:val="bottom"/>
            <w:shd w:val="clear" w:color="auto" w:fill="939598"/>
          </w:tcPr>
          <w:p>
            <w:pPr>
              <w:jc w:val="right"/>
              <w:ind w:right="372"/>
              <w:spacing w:after="0"/>
              <w:rPr>
                <w:sz w:val="20"/>
                <w:szCs w:val="20"/>
                <w:color w:val="auto"/>
              </w:rPr>
            </w:pPr>
            <w:r>
              <w:rPr>
                <w:rFonts w:ascii="Arial" w:cs="Arial" w:eastAsia="Arial" w:hAnsi="Arial"/>
                <w:sz w:val="14"/>
                <w:szCs w:val="14"/>
                <w:b w:val="1"/>
                <w:bCs w:val="1"/>
                <w:color w:val="FFFFFF"/>
              </w:rPr>
              <w:t>2005</w:t>
            </w:r>
          </w:p>
        </w:tc>
        <w:tc>
          <w:tcPr>
            <w:tcW w:w="1200" w:type="dxa"/>
            <w:vAlign w:val="bottom"/>
            <w:shd w:val="clear" w:color="auto" w:fill="939598"/>
          </w:tcPr>
          <w:p>
            <w:pPr>
              <w:jc w:val="right"/>
              <w:ind w:right="372"/>
              <w:spacing w:after="0"/>
              <w:rPr>
                <w:sz w:val="20"/>
                <w:szCs w:val="20"/>
                <w:color w:val="auto"/>
              </w:rPr>
            </w:pPr>
            <w:r>
              <w:rPr>
                <w:rFonts w:ascii="Arial" w:cs="Arial" w:eastAsia="Arial" w:hAnsi="Arial"/>
                <w:sz w:val="14"/>
                <w:szCs w:val="14"/>
                <w:b w:val="1"/>
                <w:bCs w:val="1"/>
                <w:color w:val="FFFFFF"/>
              </w:rPr>
              <w:t>2004</w:t>
            </w:r>
          </w:p>
        </w:tc>
        <w:tc>
          <w:tcPr>
            <w:tcW w:w="1240" w:type="dxa"/>
            <w:vAlign w:val="bottom"/>
            <w:shd w:val="clear" w:color="auto" w:fill="939598"/>
          </w:tcPr>
          <w:p>
            <w:pPr>
              <w:jc w:val="right"/>
              <w:ind w:right="412"/>
              <w:spacing w:after="0"/>
              <w:rPr>
                <w:sz w:val="20"/>
                <w:szCs w:val="20"/>
                <w:color w:val="auto"/>
              </w:rPr>
            </w:pPr>
            <w:r>
              <w:rPr>
                <w:rFonts w:ascii="Arial" w:cs="Arial" w:eastAsia="Arial" w:hAnsi="Arial"/>
                <w:sz w:val="14"/>
                <w:szCs w:val="14"/>
                <w:b w:val="1"/>
                <w:bCs w:val="1"/>
                <w:color w:val="FFFFFF"/>
              </w:rPr>
              <w:t>2003</w:t>
            </w:r>
          </w:p>
        </w:tc>
        <w:tc>
          <w:tcPr>
            <w:tcW w:w="1140" w:type="dxa"/>
            <w:vAlign w:val="bottom"/>
            <w:shd w:val="clear" w:color="auto" w:fill="939598"/>
          </w:tcPr>
          <w:p>
            <w:pPr>
              <w:jc w:val="right"/>
              <w:ind w:right="292"/>
              <w:spacing w:after="0"/>
              <w:rPr>
                <w:sz w:val="20"/>
                <w:szCs w:val="20"/>
                <w:color w:val="auto"/>
              </w:rPr>
            </w:pPr>
            <w:r>
              <w:rPr>
                <w:rFonts w:ascii="Arial" w:cs="Arial" w:eastAsia="Arial" w:hAnsi="Arial"/>
                <w:sz w:val="14"/>
                <w:szCs w:val="14"/>
                <w:b w:val="1"/>
                <w:bCs w:val="1"/>
                <w:color w:val="FFFFFF"/>
              </w:rPr>
              <w:t>2002</w:t>
            </w:r>
          </w:p>
        </w:tc>
      </w:tr>
    </w:tbl>
    <w:p>
      <w:pPr>
        <w:spacing w:after="0" w:line="44" w:lineRule="exact"/>
        <w:rPr>
          <w:sz w:val="20"/>
          <w:szCs w:val="20"/>
          <w:color w:val="auto"/>
        </w:rPr>
      </w:pPr>
    </w:p>
    <w:p>
      <w:pPr>
        <w:sectPr>
          <w:pgSz w:w="11900" w:h="16838" w:orient="portrait"/>
          <w:cols w:equalWidth="0" w:num="1">
            <w:col w:w="11080"/>
          </w:cols>
          <w:pgMar w:left="240" w:top="287" w:right="579" w:bottom="1440" w:gutter="0" w:footer="0" w:header="0"/>
        </w:sectPr>
      </w:pPr>
    </w:p>
    <w:p>
      <w:pPr>
        <w:spacing w:after="0" w:line="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Net revenue</w:t>
      </w:r>
    </w:p>
    <w:p>
      <w:pPr>
        <w:ind w:left="500"/>
        <w:spacing w:after="0"/>
        <w:rPr>
          <w:sz w:val="20"/>
          <w:szCs w:val="20"/>
          <w:color w:val="auto"/>
        </w:rPr>
      </w:pPr>
      <w:r>
        <w:rPr>
          <w:rFonts w:ascii="Arial" w:cs="Arial" w:eastAsia="Arial" w:hAnsi="Arial"/>
          <w:sz w:val="18"/>
          <w:szCs w:val="18"/>
          <w:color w:val="auto"/>
        </w:rPr>
        <w:t>Operating costs and expenses</w:t>
      </w:r>
    </w:p>
    <w:p>
      <w:pPr>
        <w:spacing w:after="0" w:line="1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Profit from operations</w:t>
      </w:r>
    </w:p>
    <w:p>
      <w:pPr>
        <w:ind w:left="500"/>
        <w:spacing w:after="0" w:line="234" w:lineRule="auto"/>
        <w:rPr>
          <w:sz w:val="20"/>
          <w:szCs w:val="20"/>
          <w:color w:val="auto"/>
        </w:rPr>
      </w:pPr>
      <w:r>
        <w:rPr>
          <w:rFonts w:ascii="Arial" w:cs="Arial" w:eastAsia="Arial" w:hAnsi="Arial"/>
          <w:sz w:val="18"/>
          <w:szCs w:val="18"/>
          <w:color w:val="auto"/>
        </w:rPr>
        <w:t>Other income (expense) net</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 on loans</w:t>
      </w:r>
    </w:p>
    <w:p>
      <w:pPr>
        <w:spacing w:after="0" w:line="23" w:lineRule="exact"/>
        <w:rPr>
          <w:sz w:val="20"/>
          <w:szCs w:val="20"/>
          <w:color w:val="auto"/>
        </w:rPr>
      </w:pPr>
    </w:p>
    <w:p>
      <w:pPr>
        <w:ind w:left="720" w:hanging="215"/>
        <w:spacing w:after="0" w:line="234" w:lineRule="auto"/>
        <w:rPr>
          <w:sz w:val="20"/>
          <w:szCs w:val="20"/>
          <w:color w:val="auto"/>
        </w:rPr>
      </w:pPr>
      <w:r>
        <w:rPr>
          <w:rFonts w:ascii="Arial" w:cs="Arial" w:eastAsia="Arial" w:hAnsi="Arial"/>
          <w:sz w:val="18"/>
          <w:szCs w:val="18"/>
          <w:color w:val="auto"/>
        </w:rPr>
        <w:t>Income (loss) from continuing operations before income taxes</w:t>
      </w:r>
    </w:p>
    <w:p>
      <w:pPr>
        <w:spacing w:after="0" w:line="2" w:lineRule="exact"/>
        <w:rPr>
          <w:sz w:val="20"/>
          <w:szCs w:val="20"/>
          <w:color w:val="auto"/>
        </w:rPr>
      </w:pPr>
    </w:p>
    <w:p>
      <w:pPr>
        <w:ind w:left="500" w:right="1160"/>
        <w:spacing w:after="0" w:line="281" w:lineRule="auto"/>
        <w:rPr>
          <w:sz w:val="20"/>
          <w:szCs w:val="20"/>
          <w:color w:val="auto"/>
        </w:rPr>
      </w:pPr>
      <w:r>
        <w:rPr>
          <w:rFonts w:ascii="Arial" w:cs="Arial" w:eastAsia="Arial" w:hAnsi="Arial"/>
          <w:sz w:val="16"/>
          <w:szCs w:val="16"/>
          <w:color w:val="auto"/>
        </w:rPr>
        <w:t>Provision (benefit) for income taxes Income (loss) from continuing operations</w:t>
      </w:r>
    </w:p>
    <w:p>
      <w:pPr>
        <w:spacing w:after="0" w:line="1" w:lineRule="exact"/>
        <w:rPr>
          <w:sz w:val="20"/>
          <w:szCs w:val="20"/>
          <w:color w:val="auto"/>
        </w:rPr>
      </w:pPr>
    </w:p>
    <w:p>
      <w:pPr>
        <w:ind w:left="720" w:right="300" w:hanging="215"/>
        <w:spacing w:after="0" w:line="233" w:lineRule="auto"/>
        <w:rPr>
          <w:sz w:val="20"/>
          <w:szCs w:val="20"/>
          <w:color w:val="auto"/>
        </w:rPr>
      </w:pPr>
      <w:r>
        <w:rPr>
          <w:rFonts w:ascii="Arial" w:cs="Arial" w:eastAsia="Arial" w:hAnsi="Arial"/>
          <w:sz w:val="18"/>
          <w:szCs w:val="18"/>
          <w:color w:val="auto"/>
        </w:rPr>
        <w:t>Income from discontinued operations, net of income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6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   14,255</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   12,335</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   11,552</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8,911</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06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10,888</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9,776</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9,592</w:t>
            </w:r>
          </w:p>
        </w:tc>
        <w:tc>
          <w:tcPr>
            <w:tcW w:w="44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8,146</w:t>
            </w: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40" w:type="dxa"/>
            <w:vAlign w:val="bottom"/>
            <w:tcBorders>
              <w:top w:val="single" w:sz="8" w:color="auto"/>
            </w:tcBorders>
          </w:tcPr>
          <w:p>
            <w:pPr>
              <w:jc w:val="right"/>
              <w:ind w:right="92"/>
              <w:spacing w:after="0" w:line="191" w:lineRule="exact"/>
              <w:rPr>
                <w:sz w:val="20"/>
                <w:szCs w:val="20"/>
                <w:color w:val="auto"/>
              </w:rPr>
            </w:pPr>
            <w:r>
              <w:rPr>
                <w:rFonts w:ascii="Arial" w:cs="Arial" w:eastAsia="Arial" w:hAnsi="Arial"/>
                <w:sz w:val="18"/>
                <w:szCs w:val="18"/>
                <w:b w:val="1"/>
                <w:bCs w:val="1"/>
                <w:color w:val="auto"/>
              </w:rPr>
              <w:t>3,367</w:t>
            </w:r>
          </w:p>
        </w:tc>
        <w:tc>
          <w:tcPr>
            <w:tcW w:w="1220" w:type="dxa"/>
            <w:vAlign w:val="bottom"/>
            <w:tcBorders>
              <w:top w:val="single" w:sz="8" w:color="auto"/>
            </w:tcBorders>
          </w:tcPr>
          <w:p>
            <w:pPr>
              <w:jc w:val="right"/>
              <w:ind w:right="72"/>
              <w:spacing w:after="0" w:line="191" w:lineRule="exact"/>
              <w:rPr>
                <w:sz w:val="20"/>
                <w:szCs w:val="20"/>
                <w:color w:val="auto"/>
              </w:rPr>
            </w:pPr>
            <w:r>
              <w:rPr>
                <w:rFonts w:ascii="Arial" w:cs="Arial" w:eastAsia="Arial" w:hAnsi="Arial"/>
                <w:sz w:val="18"/>
                <w:szCs w:val="18"/>
                <w:color w:val="auto"/>
              </w:rPr>
              <w:t>2,559</w:t>
            </w:r>
          </w:p>
        </w:tc>
        <w:tc>
          <w:tcPr>
            <w:tcW w:w="1200" w:type="dxa"/>
            <w:vAlign w:val="bottom"/>
            <w:tcBorders>
              <w:top w:val="single" w:sz="8" w:color="auto"/>
            </w:tcBorders>
          </w:tcPr>
          <w:p>
            <w:pPr>
              <w:jc w:val="right"/>
              <w:ind w:right="52"/>
              <w:spacing w:after="0" w:line="191" w:lineRule="exact"/>
              <w:rPr>
                <w:sz w:val="20"/>
                <w:szCs w:val="20"/>
                <w:color w:val="auto"/>
              </w:rPr>
            </w:pPr>
            <w:r>
              <w:rPr>
                <w:rFonts w:ascii="Arial" w:cs="Arial" w:eastAsia="Arial" w:hAnsi="Arial"/>
                <w:sz w:val="18"/>
                <w:szCs w:val="18"/>
                <w:color w:val="auto"/>
              </w:rPr>
              <w:t>1,960</w:t>
            </w:r>
          </w:p>
        </w:tc>
        <w:tc>
          <w:tcPr>
            <w:tcW w:w="4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112"/>
              <w:spacing w:after="0" w:line="191" w:lineRule="exact"/>
              <w:rPr>
                <w:sz w:val="20"/>
                <w:szCs w:val="20"/>
                <w:color w:val="auto"/>
              </w:rPr>
            </w:pPr>
            <w:r>
              <w:rPr>
                <w:rFonts w:ascii="Arial" w:cs="Arial" w:eastAsia="Arial" w:hAnsi="Arial"/>
                <w:sz w:val="18"/>
                <w:szCs w:val="18"/>
                <w:color w:val="auto"/>
              </w:rPr>
              <w:t>765</w:t>
            </w:r>
          </w:p>
        </w:tc>
        <w:tc>
          <w:tcPr>
            <w:tcW w:w="4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100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92"/>
              <w:spacing w:after="0" w:line="202" w:lineRule="exact"/>
              <w:rPr>
                <w:sz w:val="20"/>
                <w:szCs w:val="20"/>
                <w:color w:val="auto"/>
              </w:rPr>
            </w:pPr>
            <w:r>
              <w:rPr>
                <w:rFonts w:ascii="Arial" w:cs="Arial" w:eastAsia="Arial" w:hAnsi="Arial"/>
                <w:sz w:val="18"/>
                <w:szCs w:val="18"/>
                <w:b w:val="1"/>
                <w:bCs w:val="1"/>
                <w:color w:val="auto"/>
              </w:rPr>
              <w:t>265</w:t>
            </w:r>
          </w:p>
        </w:tc>
        <w:tc>
          <w:tcPr>
            <w:tcW w:w="12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205</w:t>
            </w:r>
          </w:p>
        </w:tc>
        <w:tc>
          <w:tcPr>
            <w:tcW w:w="12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233</w:t>
            </w:r>
          </w:p>
        </w:tc>
        <w:tc>
          <w:tcPr>
            <w:tcW w:w="440" w:type="dxa"/>
            <w:vAlign w:val="bottom"/>
          </w:tcPr>
          <w:p>
            <w:pPr>
              <w:spacing w:after="0"/>
              <w:rPr>
                <w:sz w:val="17"/>
                <w:szCs w:val="17"/>
                <w:color w:val="auto"/>
              </w:rPr>
            </w:pPr>
          </w:p>
        </w:tc>
        <w:tc>
          <w:tcPr>
            <w:tcW w:w="8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324</w:t>
            </w:r>
          </w:p>
        </w:tc>
        <w:tc>
          <w:tcPr>
            <w:tcW w:w="44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7</w:t>
            </w: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w:t>
            </w: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21</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39</w:t>
            </w:r>
          </w:p>
        </w:tc>
        <w:tc>
          <w:tcPr>
            <w:tcW w:w="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3"/>
        </w:trPr>
        <w:tc>
          <w:tcPr>
            <w:tcW w:w="106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3,625</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2,755</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2,172</w:t>
            </w:r>
          </w:p>
        </w:tc>
        <w:tc>
          <w:tcPr>
            <w:tcW w:w="440" w:type="dxa"/>
            <w:vAlign w:val="bottom"/>
          </w:tcPr>
          <w:p>
            <w:pPr>
              <w:spacing w:after="0"/>
              <w:rPr>
                <w:sz w:val="24"/>
                <w:szCs w:val="24"/>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1,050</w:t>
            </w:r>
          </w:p>
        </w:tc>
        <w:tc>
          <w:tcPr>
            <w:tcW w:w="4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987</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582</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481</w:t>
            </w:r>
          </w:p>
        </w:tc>
        <w:tc>
          <w:tcPr>
            <w:tcW w:w="44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vMerge w:val="continue"/>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2,638</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2,173</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1,691</w:t>
            </w:r>
          </w:p>
        </w:tc>
        <w:tc>
          <w:tcPr>
            <w:tcW w:w="44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1,065</w:t>
            </w:r>
          </w:p>
        </w:tc>
        <w:tc>
          <w:tcPr>
            <w:tcW w:w="4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388"/>
        </w:trPr>
        <w:tc>
          <w:tcPr>
            <w:tcW w:w="106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1,703</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151</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170</w:t>
            </w:r>
          </w:p>
        </w:tc>
        <w:tc>
          <w:tcPr>
            <w:tcW w:w="440" w:type="dxa"/>
            <w:vAlign w:val="bottom"/>
          </w:tcPr>
          <w:p>
            <w:pPr>
              <w:spacing w:after="0"/>
              <w:rPr>
                <w:sz w:val="24"/>
                <w:szCs w:val="24"/>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133</w:t>
            </w:r>
          </w:p>
        </w:tc>
        <w:tc>
          <w:tcPr>
            <w:tcW w:w="4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-3086100</wp:posOffset>
            </wp:positionH>
            <wp:positionV relativeFrom="paragraph">
              <wp:posOffset>-1337310</wp:posOffset>
            </wp:positionV>
            <wp:extent cx="68091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09105" cy="128905"/>
                    </a:xfrm>
                    <a:prstGeom prst="rect">
                      <a:avLst/>
                    </a:prstGeom>
                    <a:noFill/>
                  </pic:spPr>
                </pic:pic>
              </a:graphicData>
            </a:graphic>
          </wp:anchor>
        </w:drawing>
        <w:drawing>
          <wp:anchor simplePos="0" relativeHeight="251657728" behindDoc="1" locked="0" layoutInCell="0" allowOverlap="1">
            <wp:simplePos x="0" y="0"/>
            <wp:positionH relativeFrom="column">
              <wp:posOffset>-3086100</wp:posOffset>
            </wp:positionH>
            <wp:positionV relativeFrom="paragraph">
              <wp:posOffset>-1062990</wp:posOffset>
            </wp:positionV>
            <wp:extent cx="68091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09105" cy="128905"/>
                    </a:xfrm>
                    <a:prstGeom prst="rect">
                      <a:avLst/>
                    </a:prstGeom>
                    <a:noFill/>
                  </pic:spPr>
                </pic:pic>
              </a:graphicData>
            </a:graphic>
          </wp:anchor>
        </w:drawing>
        <w:drawing>
          <wp:anchor simplePos="0" relativeHeight="251657728" behindDoc="1" locked="0" layoutInCell="0" allowOverlap="1">
            <wp:simplePos x="0" y="0"/>
            <wp:positionH relativeFrom="column">
              <wp:posOffset>-3086100</wp:posOffset>
            </wp:positionH>
            <wp:positionV relativeFrom="paragraph">
              <wp:posOffset>-788035</wp:posOffset>
            </wp:positionV>
            <wp:extent cx="6809105" cy="2571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09105" cy="257175"/>
                    </a:xfrm>
                    <a:prstGeom prst="rect">
                      <a:avLst/>
                    </a:prstGeom>
                    <a:noFill/>
                  </pic:spPr>
                </pic:pic>
              </a:graphicData>
            </a:graphic>
          </wp:anchor>
        </w:drawing>
        <w:drawing>
          <wp:anchor simplePos="0" relativeHeight="251657728" behindDoc="1" locked="0" layoutInCell="0" allowOverlap="1">
            <wp:simplePos x="0" y="0"/>
            <wp:positionH relativeFrom="column">
              <wp:posOffset>-3086100</wp:posOffset>
            </wp:positionH>
            <wp:positionV relativeFrom="paragraph">
              <wp:posOffset>-385445</wp:posOffset>
            </wp:positionV>
            <wp:extent cx="68091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840" w:space="380"/>
            <w:col w:w="5860"/>
          </w:cols>
          <w:pgMar w:left="240" w:top="287" w:right="579" w:bottom="1440" w:gutter="0" w:footer="0" w:header="0"/>
          <w:type w:val="continuous"/>
        </w:sectPr>
      </w:pPr>
    </w:p>
    <w:tbl>
      <w:tblPr>
        <w:tblLayout w:type="fixed"/>
        <w:tblInd w:w="360" w:type="dxa"/>
        <w:tblCellMar>
          <w:top w:w="0" w:type="dxa"/>
          <w:left w:w="0" w:type="dxa"/>
          <w:bottom w:w="0" w:type="dxa"/>
          <w:right w:w="0" w:type="dxa"/>
        </w:tblCellMar>
      </w:tblPr>
      <w:tr>
        <w:trPr>
          <w:trHeight w:val="20"/>
        </w:trPr>
        <w:tc>
          <w:tcPr>
            <w:tcW w:w="48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80" w:type="dxa"/>
            <w:vAlign w:val="bottom"/>
            <w:tcBorders>
              <w:right w:val="single" w:sz="8" w:color="E6E7E7"/>
            </w:tcBorders>
            <w:shd w:val="clear" w:color="auto" w:fill="E6E7E7"/>
          </w:tcPr>
          <w:p>
            <w:pPr>
              <w:ind w:left="140"/>
              <w:spacing w:after="0" w:line="189" w:lineRule="exact"/>
              <w:rPr>
                <w:sz w:val="20"/>
                <w:szCs w:val="20"/>
                <w:color w:val="auto"/>
              </w:rPr>
            </w:pPr>
            <w:r>
              <w:rPr>
                <w:rFonts w:ascii="Arial" w:cs="Arial" w:eastAsia="Arial" w:hAnsi="Arial"/>
                <w:sz w:val="18"/>
                <w:szCs w:val="18"/>
                <w:color w:val="auto"/>
              </w:rPr>
              <w:t>Net income (loss)</w:t>
            </w:r>
          </w:p>
        </w:tc>
        <w:tc>
          <w:tcPr>
            <w:tcW w:w="80" w:type="dxa"/>
            <w:vAlign w:val="bottom"/>
            <w:shd w:val="clear" w:color="auto" w:fill="E6E7E7"/>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E6E7E7"/>
          </w:tcPr>
          <w:p>
            <w:pPr>
              <w:jc w:val="right"/>
              <w:ind w:right="92"/>
              <w:spacing w:after="0" w:line="189" w:lineRule="exact"/>
              <w:rPr>
                <w:sz w:val="20"/>
                <w:szCs w:val="20"/>
                <w:color w:val="auto"/>
              </w:rPr>
            </w:pPr>
            <w:r>
              <w:rPr>
                <w:rFonts w:ascii="Arial" w:cs="Arial" w:eastAsia="Arial" w:hAnsi="Arial"/>
                <w:sz w:val="18"/>
                <w:szCs w:val="18"/>
                <w:b w:val="1"/>
                <w:bCs w:val="1"/>
                <w:color w:val="auto"/>
              </w:rPr>
              <w:t>4,341</w:t>
            </w:r>
          </w:p>
        </w:tc>
        <w:tc>
          <w:tcPr>
            <w:tcW w:w="280" w:type="dxa"/>
            <w:vAlign w:val="bottom"/>
            <w:shd w:val="clear" w:color="auto" w:fill="E6E7E7"/>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E6E7E7"/>
          </w:tcPr>
          <w:p>
            <w:pPr>
              <w:jc w:val="right"/>
              <w:ind w:right="72"/>
              <w:spacing w:after="0" w:line="189" w:lineRule="exact"/>
              <w:rPr>
                <w:sz w:val="20"/>
                <w:szCs w:val="20"/>
                <w:color w:val="auto"/>
              </w:rPr>
            </w:pPr>
            <w:r>
              <w:rPr>
                <w:rFonts w:ascii="Arial" w:cs="Arial" w:eastAsia="Arial" w:hAnsi="Arial"/>
                <w:sz w:val="18"/>
                <w:szCs w:val="18"/>
                <w:color w:val="auto"/>
              </w:rPr>
              <w:t>2,324</w:t>
            </w:r>
          </w:p>
        </w:tc>
        <w:tc>
          <w:tcPr>
            <w:tcW w:w="260" w:type="dxa"/>
            <w:vAlign w:val="bottom"/>
            <w:shd w:val="clear" w:color="auto" w:fill="E6E7E7"/>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E6E7E7"/>
          </w:tcPr>
          <w:p>
            <w:pPr>
              <w:jc w:val="right"/>
              <w:ind w:right="52"/>
              <w:spacing w:after="0" w:line="189" w:lineRule="exact"/>
              <w:rPr>
                <w:sz w:val="20"/>
                <w:szCs w:val="20"/>
                <w:color w:val="auto"/>
              </w:rPr>
            </w:pPr>
            <w:r>
              <w:rPr>
                <w:rFonts w:ascii="Arial" w:cs="Arial" w:eastAsia="Arial" w:hAnsi="Arial"/>
                <w:sz w:val="18"/>
                <w:szCs w:val="18"/>
                <w:color w:val="auto"/>
              </w:rPr>
              <w:t>1,861</w:t>
            </w:r>
          </w:p>
        </w:tc>
        <w:tc>
          <w:tcPr>
            <w:tcW w:w="260" w:type="dxa"/>
            <w:vAlign w:val="bottom"/>
            <w:shd w:val="clear" w:color="auto" w:fill="E6E7E7"/>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E6E7E7"/>
          </w:tcPr>
          <w:p>
            <w:pPr>
              <w:jc w:val="right"/>
              <w:ind w:right="92"/>
              <w:spacing w:after="0" w:line="189" w:lineRule="exact"/>
              <w:rPr>
                <w:sz w:val="20"/>
                <w:szCs w:val="20"/>
                <w:color w:val="auto"/>
              </w:rPr>
            </w:pPr>
            <w:r>
              <w:rPr>
                <w:rFonts w:ascii="Arial" w:cs="Arial" w:eastAsia="Arial" w:hAnsi="Arial"/>
                <w:sz w:val="18"/>
                <w:szCs w:val="18"/>
                <w:color w:val="auto"/>
              </w:rPr>
              <w:t>1,198</w:t>
            </w:r>
          </w:p>
        </w:tc>
        <w:tc>
          <w:tcPr>
            <w:tcW w:w="280" w:type="dxa"/>
            <w:vAlign w:val="bottom"/>
            <w:shd w:val="clear" w:color="auto" w:fill="E6E7E7"/>
          </w:tcPr>
          <w:p>
            <w:pPr>
              <w:jc w:val="right"/>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6E7E7"/>
          </w:tcPr>
          <w:p>
            <w:pPr>
              <w:jc w:val="right"/>
              <w:ind w:right="20"/>
              <w:spacing w:after="0" w:line="189" w:lineRule="exact"/>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140"/>
              <w:spacing w:after="0"/>
              <w:rPr>
                <w:sz w:val="20"/>
                <w:szCs w:val="20"/>
                <w:color w:val="auto"/>
              </w:rPr>
            </w:pPr>
            <w:r>
              <w:rPr>
                <w:rFonts w:ascii="Arial" w:cs="Arial" w:eastAsia="Arial" w:hAnsi="Arial"/>
                <w:sz w:val="18"/>
                <w:szCs w:val="18"/>
                <w:color w:val="auto"/>
              </w:rPr>
              <w:t>Basic income (loss) from continuing operations per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880" w:type="dxa"/>
            <w:vAlign w:val="bottom"/>
            <w:vMerge w:val="continue"/>
          </w:tcPr>
          <w:p>
            <w:pPr>
              <w:spacing w:after="0"/>
              <w:rPr>
                <w:sz w:val="17"/>
                <w:szCs w:val="17"/>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1.73</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80" w:type="dxa"/>
            <w:vAlign w:val="bottom"/>
          </w:tcPr>
          <w:p>
            <w:pPr>
              <w:ind w:left="360"/>
              <w:spacing w:after="0" w:line="200" w:lineRule="exact"/>
              <w:rPr>
                <w:sz w:val="20"/>
                <w:szCs w:val="20"/>
                <w:color w:val="auto"/>
              </w:rPr>
            </w:pPr>
            <w:r>
              <w:rPr>
                <w:rFonts w:ascii="Arial" w:cs="Arial" w:eastAsia="Arial" w:hAnsi="Arial"/>
                <w:sz w:val="18"/>
                <w:szCs w:val="18"/>
                <w:color w:val="auto"/>
              </w:rPr>
              <w:t>common share</w:t>
            </w:r>
          </w:p>
        </w:tc>
        <w:tc>
          <w:tcPr>
            <w:tcW w:w="8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line="200" w:lineRule="exact"/>
              <w:rPr>
                <w:sz w:val="20"/>
                <w:szCs w:val="20"/>
                <w:color w:val="auto"/>
              </w:rPr>
            </w:pPr>
            <w:r>
              <w:rPr>
                <w:rFonts w:ascii="Arial" w:cs="Arial" w:eastAsia="Arial" w:hAnsi="Arial"/>
                <w:sz w:val="18"/>
                <w:szCs w:val="18"/>
                <w:color w:val="auto"/>
              </w:rPr>
              <w:t>1.33</w:t>
            </w:r>
          </w:p>
        </w:tc>
        <w:tc>
          <w:tcPr>
            <w:tcW w:w="2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line="200" w:lineRule="exact"/>
              <w:rPr>
                <w:sz w:val="20"/>
                <w:szCs w:val="20"/>
                <w:color w:val="auto"/>
              </w:rPr>
            </w:pPr>
            <w:r>
              <w:rPr>
                <w:rFonts w:ascii="Arial" w:cs="Arial" w:eastAsia="Arial" w:hAnsi="Arial"/>
                <w:sz w:val="18"/>
                <w:szCs w:val="18"/>
                <w:color w:val="auto"/>
              </w:rPr>
              <w:t>0.98</w:t>
            </w:r>
          </w:p>
        </w:tc>
        <w:tc>
          <w:tcPr>
            <w:tcW w:w="2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line="200" w:lineRule="exact"/>
              <w:rPr>
                <w:sz w:val="20"/>
                <w:szCs w:val="20"/>
                <w:color w:val="auto"/>
              </w:rPr>
            </w:pPr>
            <w:r>
              <w:rPr>
                <w:rFonts w:ascii="Arial" w:cs="Arial" w:eastAsia="Arial" w:hAnsi="Arial"/>
                <w:sz w:val="18"/>
                <w:szCs w:val="18"/>
                <w:color w:val="auto"/>
              </w:rPr>
              <w:t>0.62</w:t>
            </w:r>
          </w:p>
        </w:tc>
        <w:tc>
          <w:tcPr>
            <w:tcW w:w="2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line="200" w:lineRule="exact"/>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880" w:type="dxa"/>
            <w:vAlign w:val="bottom"/>
            <w:tcBorders>
              <w:right w:val="single" w:sz="8" w:color="E6E7E7"/>
            </w:tcBorders>
            <w:shd w:val="clear" w:color="auto" w:fill="E6E7E7"/>
          </w:tcPr>
          <w:p>
            <w:pPr>
              <w:ind w:left="140"/>
              <w:spacing w:after="0" w:line="200" w:lineRule="exact"/>
              <w:rPr>
                <w:sz w:val="20"/>
                <w:szCs w:val="20"/>
                <w:color w:val="auto"/>
              </w:rPr>
            </w:pPr>
            <w:r>
              <w:rPr>
                <w:rFonts w:ascii="Arial" w:cs="Arial" w:eastAsia="Arial" w:hAnsi="Arial"/>
                <w:sz w:val="18"/>
                <w:szCs w:val="18"/>
                <w:color w:val="auto"/>
              </w:rPr>
              <w:t>Diluted income (loss) from continuing operations per</w:t>
            </w:r>
          </w:p>
        </w:tc>
        <w:tc>
          <w:tcPr>
            <w:tcW w:w="80" w:type="dxa"/>
            <w:vAlign w:val="bottom"/>
            <w:vMerge w:val="restart"/>
            <w:shd w:val="clear" w:color="auto" w:fill="E6E7E7"/>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vMerge w:val="restart"/>
            <w:shd w:val="clear" w:color="auto" w:fill="E6E7E7"/>
          </w:tcPr>
          <w:p>
            <w:pPr>
              <w:jc w:val="right"/>
              <w:ind w:right="92"/>
              <w:spacing w:after="0"/>
              <w:rPr>
                <w:sz w:val="20"/>
                <w:szCs w:val="20"/>
                <w:color w:val="auto"/>
              </w:rPr>
            </w:pPr>
            <w:r>
              <w:rPr>
                <w:rFonts w:ascii="Arial" w:cs="Arial" w:eastAsia="Arial" w:hAnsi="Arial"/>
                <w:sz w:val="18"/>
                <w:szCs w:val="18"/>
                <w:b w:val="1"/>
                <w:bCs w:val="1"/>
                <w:color w:val="auto"/>
              </w:rPr>
              <w:t>1.69</w:t>
            </w:r>
          </w:p>
        </w:tc>
        <w:tc>
          <w:tcPr>
            <w:tcW w:w="280" w:type="dxa"/>
            <w:vAlign w:val="bottom"/>
            <w:shd w:val="clear" w:color="auto" w:fill="E6E7E7"/>
          </w:tcPr>
          <w:p>
            <w:pPr>
              <w:spacing w:after="0"/>
              <w:rPr>
                <w:sz w:val="17"/>
                <w:szCs w:val="17"/>
                <w:color w:val="auto"/>
              </w:rPr>
            </w:pPr>
          </w:p>
        </w:tc>
        <w:tc>
          <w:tcPr>
            <w:tcW w:w="940" w:type="dxa"/>
            <w:vAlign w:val="bottom"/>
            <w:shd w:val="clear" w:color="auto" w:fill="E6E7E7"/>
          </w:tcPr>
          <w:p>
            <w:pPr>
              <w:spacing w:after="0"/>
              <w:rPr>
                <w:sz w:val="17"/>
                <w:szCs w:val="17"/>
                <w:color w:val="auto"/>
              </w:rPr>
            </w:pPr>
          </w:p>
        </w:tc>
        <w:tc>
          <w:tcPr>
            <w:tcW w:w="260" w:type="dxa"/>
            <w:vAlign w:val="bottom"/>
            <w:shd w:val="clear" w:color="auto" w:fill="E6E7E7"/>
          </w:tcPr>
          <w:p>
            <w:pPr>
              <w:spacing w:after="0"/>
              <w:rPr>
                <w:sz w:val="17"/>
                <w:szCs w:val="17"/>
                <w:color w:val="auto"/>
              </w:rPr>
            </w:pPr>
          </w:p>
        </w:tc>
        <w:tc>
          <w:tcPr>
            <w:tcW w:w="940" w:type="dxa"/>
            <w:vAlign w:val="bottom"/>
            <w:shd w:val="clear" w:color="auto" w:fill="E6E7E7"/>
          </w:tcPr>
          <w:p>
            <w:pPr>
              <w:spacing w:after="0"/>
              <w:rPr>
                <w:sz w:val="17"/>
                <w:szCs w:val="17"/>
                <w:color w:val="auto"/>
              </w:rPr>
            </w:pPr>
          </w:p>
        </w:tc>
        <w:tc>
          <w:tcPr>
            <w:tcW w:w="260" w:type="dxa"/>
            <w:vAlign w:val="bottom"/>
            <w:shd w:val="clear" w:color="auto" w:fill="E6E7E7"/>
          </w:tcPr>
          <w:p>
            <w:pPr>
              <w:spacing w:after="0"/>
              <w:rPr>
                <w:sz w:val="17"/>
                <w:szCs w:val="17"/>
                <w:color w:val="auto"/>
              </w:rPr>
            </w:pPr>
          </w:p>
        </w:tc>
        <w:tc>
          <w:tcPr>
            <w:tcW w:w="980" w:type="dxa"/>
            <w:vAlign w:val="bottom"/>
            <w:shd w:val="clear" w:color="auto" w:fill="E6E7E7"/>
          </w:tcPr>
          <w:p>
            <w:pPr>
              <w:spacing w:after="0"/>
              <w:rPr>
                <w:sz w:val="17"/>
                <w:szCs w:val="17"/>
                <w:color w:val="auto"/>
              </w:rPr>
            </w:pPr>
          </w:p>
        </w:tc>
        <w:tc>
          <w:tcPr>
            <w:tcW w:w="280" w:type="dxa"/>
            <w:vAlign w:val="bottom"/>
            <w:shd w:val="clear" w:color="auto" w:fill="E6E7E7"/>
          </w:tcPr>
          <w:p>
            <w:pPr>
              <w:spacing w:after="0"/>
              <w:rPr>
                <w:sz w:val="17"/>
                <w:szCs w:val="17"/>
                <w:color w:val="auto"/>
              </w:rPr>
            </w:pPr>
          </w:p>
        </w:tc>
        <w:tc>
          <w:tcPr>
            <w:tcW w:w="80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80" w:type="dxa"/>
            <w:vAlign w:val="bottom"/>
            <w:tcBorders>
              <w:right w:val="single" w:sz="8" w:color="E6E7E7"/>
            </w:tcBorders>
            <w:shd w:val="clear" w:color="auto" w:fill="E6E7E7"/>
          </w:tcPr>
          <w:p>
            <w:pPr>
              <w:ind w:left="360"/>
              <w:spacing w:after="0" w:line="200" w:lineRule="exact"/>
              <w:rPr>
                <w:sz w:val="20"/>
                <w:szCs w:val="20"/>
                <w:color w:val="auto"/>
              </w:rPr>
            </w:pPr>
            <w:r>
              <w:rPr>
                <w:rFonts w:ascii="Arial" w:cs="Arial" w:eastAsia="Arial" w:hAnsi="Arial"/>
                <w:sz w:val="18"/>
                <w:szCs w:val="18"/>
                <w:color w:val="auto"/>
              </w:rPr>
              <w:t>common share</w:t>
            </w:r>
          </w:p>
        </w:tc>
        <w:tc>
          <w:tcPr>
            <w:tcW w:w="80" w:type="dxa"/>
            <w:vAlign w:val="bottom"/>
            <w:vMerge w:val="continue"/>
            <w:shd w:val="clear" w:color="auto" w:fill="E6E7E7"/>
          </w:tcPr>
          <w:p>
            <w:pPr>
              <w:spacing w:after="0"/>
              <w:rPr>
                <w:sz w:val="17"/>
                <w:szCs w:val="17"/>
                <w:color w:val="auto"/>
              </w:rPr>
            </w:pPr>
          </w:p>
        </w:tc>
        <w:tc>
          <w:tcPr>
            <w:tcW w:w="960" w:type="dxa"/>
            <w:vAlign w:val="bottom"/>
            <w:vMerge w:val="continue"/>
            <w:shd w:val="clear" w:color="auto" w:fill="E6E7E7"/>
          </w:tcPr>
          <w:p>
            <w:pPr>
              <w:spacing w:after="0"/>
              <w:rPr>
                <w:sz w:val="17"/>
                <w:szCs w:val="17"/>
                <w:color w:val="auto"/>
              </w:rPr>
            </w:pPr>
          </w:p>
        </w:tc>
        <w:tc>
          <w:tcPr>
            <w:tcW w:w="280" w:type="dxa"/>
            <w:vAlign w:val="bottom"/>
            <w:shd w:val="clear" w:color="auto" w:fill="E6E7E7"/>
          </w:tcPr>
          <w:p>
            <w:pPr>
              <w:jc w:val="right"/>
              <w:spacing w:after="0" w:line="200" w:lineRule="exact"/>
              <w:rPr>
                <w:sz w:val="20"/>
                <w:szCs w:val="20"/>
                <w:color w:val="auto"/>
              </w:rPr>
            </w:pPr>
            <w:r>
              <w:rPr>
                <w:rFonts w:ascii="Arial" w:cs="Arial" w:eastAsia="Arial" w:hAnsi="Arial"/>
                <w:sz w:val="18"/>
                <w:szCs w:val="18"/>
                <w:color w:val="auto"/>
              </w:rPr>
              <w:t>$</w:t>
            </w:r>
          </w:p>
        </w:tc>
        <w:tc>
          <w:tcPr>
            <w:tcW w:w="940" w:type="dxa"/>
            <w:vAlign w:val="bottom"/>
            <w:shd w:val="clear" w:color="auto" w:fill="E6E7E7"/>
          </w:tcPr>
          <w:p>
            <w:pPr>
              <w:jc w:val="right"/>
              <w:ind w:right="72"/>
              <w:spacing w:after="0" w:line="200" w:lineRule="exact"/>
              <w:rPr>
                <w:sz w:val="20"/>
                <w:szCs w:val="20"/>
                <w:color w:val="auto"/>
              </w:rPr>
            </w:pPr>
            <w:r>
              <w:rPr>
                <w:rFonts w:ascii="Arial" w:cs="Arial" w:eastAsia="Arial" w:hAnsi="Arial"/>
                <w:sz w:val="18"/>
                <w:szCs w:val="18"/>
                <w:color w:val="auto"/>
              </w:rPr>
              <w:t>1.30</w:t>
            </w:r>
          </w:p>
        </w:tc>
        <w:tc>
          <w:tcPr>
            <w:tcW w:w="260" w:type="dxa"/>
            <w:vAlign w:val="bottom"/>
            <w:shd w:val="clear" w:color="auto" w:fill="E6E7E7"/>
          </w:tcPr>
          <w:p>
            <w:pPr>
              <w:jc w:val="right"/>
              <w:spacing w:after="0" w:line="200" w:lineRule="exact"/>
              <w:rPr>
                <w:sz w:val="20"/>
                <w:szCs w:val="20"/>
                <w:color w:val="auto"/>
              </w:rPr>
            </w:pPr>
            <w:r>
              <w:rPr>
                <w:rFonts w:ascii="Arial" w:cs="Arial" w:eastAsia="Arial" w:hAnsi="Arial"/>
                <w:sz w:val="18"/>
                <w:szCs w:val="18"/>
                <w:color w:val="auto"/>
              </w:rPr>
              <w:t>$</w:t>
            </w:r>
          </w:p>
        </w:tc>
        <w:tc>
          <w:tcPr>
            <w:tcW w:w="940" w:type="dxa"/>
            <w:vAlign w:val="bottom"/>
            <w:shd w:val="clear" w:color="auto" w:fill="E6E7E7"/>
          </w:tcPr>
          <w:p>
            <w:pPr>
              <w:jc w:val="right"/>
              <w:ind w:right="52"/>
              <w:spacing w:after="0" w:line="200" w:lineRule="exact"/>
              <w:rPr>
                <w:sz w:val="20"/>
                <w:szCs w:val="20"/>
                <w:color w:val="auto"/>
              </w:rPr>
            </w:pPr>
            <w:r>
              <w:rPr>
                <w:rFonts w:ascii="Arial" w:cs="Arial" w:eastAsia="Arial" w:hAnsi="Arial"/>
                <w:sz w:val="18"/>
                <w:szCs w:val="18"/>
                <w:color w:val="auto"/>
              </w:rPr>
              <w:t>0.96</w:t>
            </w:r>
          </w:p>
        </w:tc>
        <w:tc>
          <w:tcPr>
            <w:tcW w:w="260" w:type="dxa"/>
            <w:vAlign w:val="bottom"/>
            <w:shd w:val="clear" w:color="auto" w:fill="E6E7E7"/>
          </w:tcPr>
          <w:p>
            <w:pPr>
              <w:jc w:val="right"/>
              <w:spacing w:after="0" w:line="200" w:lineRule="exact"/>
              <w:rPr>
                <w:sz w:val="20"/>
                <w:szCs w:val="20"/>
                <w:color w:val="auto"/>
              </w:rPr>
            </w:pPr>
            <w:r>
              <w:rPr>
                <w:rFonts w:ascii="Arial" w:cs="Arial" w:eastAsia="Arial" w:hAnsi="Arial"/>
                <w:sz w:val="18"/>
                <w:szCs w:val="18"/>
                <w:color w:val="auto"/>
              </w:rPr>
              <w:t>$</w:t>
            </w:r>
          </w:p>
        </w:tc>
        <w:tc>
          <w:tcPr>
            <w:tcW w:w="980" w:type="dxa"/>
            <w:vAlign w:val="bottom"/>
            <w:shd w:val="clear" w:color="auto" w:fill="E6E7E7"/>
          </w:tcPr>
          <w:p>
            <w:pPr>
              <w:jc w:val="right"/>
              <w:ind w:right="92"/>
              <w:spacing w:after="0" w:line="200" w:lineRule="exact"/>
              <w:rPr>
                <w:sz w:val="20"/>
                <w:szCs w:val="20"/>
                <w:color w:val="auto"/>
              </w:rPr>
            </w:pPr>
            <w:r>
              <w:rPr>
                <w:rFonts w:ascii="Arial" w:cs="Arial" w:eastAsia="Arial" w:hAnsi="Arial"/>
                <w:sz w:val="18"/>
                <w:szCs w:val="18"/>
                <w:color w:val="auto"/>
              </w:rPr>
              <w:t>0.60</w:t>
            </w:r>
          </w:p>
        </w:tc>
        <w:tc>
          <w:tcPr>
            <w:tcW w:w="280" w:type="dxa"/>
            <w:vAlign w:val="bottom"/>
            <w:shd w:val="clear" w:color="auto" w:fill="E6E7E7"/>
          </w:tcPr>
          <w:p>
            <w:pPr>
              <w:jc w:val="right"/>
              <w:spacing w:after="0" w:line="200"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6E7E7"/>
          </w:tcPr>
          <w:p>
            <w:pPr>
              <w:jc w:val="right"/>
              <w:ind w:right="20"/>
              <w:spacing w:after="0" w:line="200" w:lineRule="exact"/>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80" w:type="dxa"/>
            <w:vAlign w:val="bottom"/>
          </w:tcPr>
          <w:p>
            <w:pPr>
              <w:ind w:left="140"/>
              <w:spacing w:after="0" w:line="196" w:lineRule="exact"/>
              <w:rPr>
                <w:sz w:val="20"/>
                <w:szCs w:val="20"/>
                <w:color w:val="auto"/>
              </w:rPr>
            </w:pPr>
            <w:r>
              <w:rPr>
                <w:rFonts w:ascii="Arial" w:cs="Arial" w:eastAsia="Arial" w:hAnsi="Arial"/>
                <w:sz w:val="18"/>
                <w:szCs w:val="18"/>
                <w:color w:val="auto"/>
              </w:rPr>
              <w:t>Dividends declared per common share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b w:val="1"/>
                <w:bCs w:val="1"/>
                <w:color w:val="auto"/>
              </w:rPr>
              <w:t>0.130</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color w:val="auto"/>
              </w:rPr>
              <w:t>0.105</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0.089</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rPr>
              <w:t>0.085</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880" w:type="dxa"/>
            <w:vAlign w:val="bottom"/>
            <w:tcBorders>
              <w:right w:val="single" w:sz="8" w:color="E6E7E7"/>
            </w:tcBorders>
            <w:shd w:val="clear" w:color="auto" w:fill="E6E7E7"/>
          </w:tcPr>
          <w:p>
            <w:pPr>
              <w:ind w:left="140"/>
              <w:spacing w:after="0" w:line="200" w:lineRule="exact"/>
              <w:rPr>
                <w:sz w:val="20"/>
                <w:szCs w:val="20"/>
                <w:color w:val="auto"/>
              </w:rPr>
            </w:pPr>
            <w:r>
              <w:rPr>
                <w:rFonts w:ascii="Arial" w:cs="Arial" w:eastAsia="Arial" w:hAnsi="Arial"/>
                <w:sz w:val="18"/>
                <w:szCs w:val="18"/>
                <w:color w:val="auto"/>
              </w:rPr>
              <w:t>Average common and dilutive potential common shares</w:t>
            </w:r>
          </w:p>
        </w:tc>
        <w:tc>
          <w:tcPr>
            <w:tcW w:w="80" w:type="dxa"/>
            <w:vAlign w:val="bottom"/>
            <w:shd w:val="clear" w:color="auto" w:fill="E6E7E7"/>
          </w:tcPr>
          <w:p>
            <w:pPr>
              <w:spacing w:after="0"/>
              <w:rPr>
                <w:sz w:val="17"/>
                <w:szCs w:val="17"/>
                <w:color w:val="auto"/>
              </w:rPr>
            </w:pPr>
          </w:p>
        </w:tc>
        <w:tc>
          <w:tcPr>
            <w:tcW w:w="960" w:type="dxa"/>
            <w:vAlign w:val="bottom"/>
            <w:vMerge w:val="restart"/>
            <w:shd w:val="clear" w:color="auto" w:fill="E6E7E7"/>
          </w:tcPr>
          <w:p>
            <w:pPr>
              <w:jc w:val="right"/>
              <w:ind w:right="92"/>
              <w:spacing w:after="0"/>
              <w:rPr>
                <w:sz w:val="20"/>
                <w:szCs w:val="20"/>
                <w:color w:val="auto"/>
              </w:rPr>
            </w:pPr>
            <w:r>
              <w:rPr>
                <w:rFonts w:ascii="Arial" w:cs="Arial" w:eastAsia="Arial" w:hAnsi="Arial"/>
                <w:sz w:val="18"/>
                <w:szCs w:val="18"/>
                <w:b w:val="1"/>
                <w:bCs w:val="1"/>
                <w:color w:val="auto"/>
                <w:w w:val="94"/>
              </w:rPr>
              <w:t>1,559,772</w:t>
            </w:r>
          </w:p>
        </w:tc>
        <w:tc>
          <w:tcPr>
            <w:tcW w:w="280" w:type="dxa"/>
            <w:vAlign w:val="bottom"/>
            <w:shd w:val="clear" w:color="auto" w:fill="E6E7E7"/>
          </w:tcPr>
          <w:p>
            <w:pPr>
              <w:spacing w:after="0"/>
              <w:rPr>
                <w:sz w:val="17"/>
                <w:szCs w:val="17"/>
                <w:color w:val="auto"/>
              </w:rPr>
            </w:pPr>
          </w:p>
        </w:tc>
        <w:tc>
          <w:tcPr>
            <w:tcW w:w="940" w:type="dxa"/>
            <w:vAlign w:val="bottom"/>
            <w:shd w:val="clear" w:color="auto" w:fill="E6E7E7"/>
          </w:tcPr>
          <w:p>
            <w:pPr>
              <w:spacing w:after="0"/>
              <w:rPr>
                <w:sz w:val="17"/>
                <w:szCs w:val="17"/>
                <w:color w:val="auto"/>
              </w:rPr>
            </w:pPr>
          </w:p>
        </w:tc>
        <w:tc>
          <w:tcPr>
            <w:tcW w:w="260" w:type="dxa"/>
            <w:vAlign w:val="bottom"/>
            <w:shd w:val="clear" w:color="auto" w:fill="E6E7E7"/>
          </w:tcPr>
          <w:p>
            <w:pPr>
              <w:spacing w:after="0"/>
              <w:rPr>
                <w:sz w:val="17"/>
                <w:szCs w:val="17"/>
                <w:color w:val="auto"/>
              </w:rPr>
            </w:pPr>
          </w:p>
        </w:tc>
        <w:tc>
          <w:tcPr>
            <w:tcW w:w="940" w:type="dxa"/>
            <w:vAlign w:val="bottom"/>
            <w:shd w:val="clear" w:color="auto" w:fill="E6E7E7"/>
          </w:tcPr>
          <w:p>
            <w:pPr>
              <w:spacing w:after="0"/>
              <w:rPr>
                <w:sz w:val="17"/>
                <w:szCs w:val="17"/>
                <w:color w:val="auto"/>
              </w:rPr>
            </w:pPr>
          </w:p>
        </w:tc>
        <w:tc>
          <w:tcPr>
            <w:tcW w:w="260" w:type="dxa"/>
            <w:vAlign w:val="bottom"/>
            <w:shd w:val="clear" w:color="auto" w:fill="E6E7E7"/>
          </w:tcPr>
          <w:p>
            <w:pPr>
              <w:spacing w:after="0"/>
              <w:rPr>
                <w:sz w:val="17"/>
                <w:szCs w:val="17"/>
                <w:color w:val="auto"/>
              </w:rPr>
            </w:pPr>
          </w:p>
        </w:tc>
        <w:tc>
          <w:tcPr>
            <w:tcW w:w="980" w:type="dxa"/>
            <w:vAlign w:val="bottom"/>
            <w:shd w:val="clear" w:color="auto" w:fill="E6E7E7"/>
          </w:tcPr>
          <w:p>
            <w:pPr>
              <w:spacing w:after="0"/>
              <w:rPr>
                <w:sz w:val="17"/>
                <w:szCs w:val="17"/>
                <w:color w:val="auto"/>
              </w:rPr>
            </w:pPr>
          </w:p>
        </w:tc>
        <w:tc>
          <w:tcPr>
            <w:tcW w:w="280" w:type="dxa"/>
            <w:vAlign w:val="bottom"/>
            <w:shd w:val="clear" w:color="auto" w:fill="E6E7E7"/>
          </w:tcPr>
          <w:p>
            <w:pPr>
              <w:spacing w:after="0"/>
              <w:rPr>
                <w:sz w:val="17"/>
                <w:szCs w:val="17"/>
                <w:color w:val="auto"/>
              </w:rPr>
            </w:pPr>
          </w:p>
        </w:tc>
        <w:tc>
          <w:tcPr>
            <w:tcW w:w="800" w:type="dxa"/>
            <w:vAlign w:val="bottom"/>
            <w:shd w:val="clear" w:color="auto" w:fill="E6E7E7"/>
          </w:tcPr>
          <w:p>
            <w:pPr>
              <w:spacing w:after="0"/>
              <w:rPr>
                <w:sz w:val="17"/>
                <w:szCs w:val="17"/>
                <w:color w:val="auto"/>
              </w:rPr>
            </w:pP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80" w:type="dxa"/>
            <w:vAlign w:val="bottom"/>
            <w:tcBorders>
              <w:right w:val="single" w:sz="8" w:color="E6E7E7"/>
            </w:tcBorders>
            <w:shd w:val="clear" w:color="auto" w:fill="E6E7E7"/>
          </w:tcPr>
          <w:p>
            <w:pPr>
              <w:ind w:left="360"/>
              <w:spacing w:after="0" w:line="200" w:lineRule="exact"/>
              <w:rPr>
                <w:sz w:val="20"/>
                <w:szCs w:val="20"/>
                <w:color w:val="auto"/>
              </w:rPr>
            </w:pPr>
            <w:r>
              <w:rPr>
                <w:rFonts w:ascii="Arial" w:cs="Arial" w:eastAsia="Arial" w:hAnsi="Arial"/>
                <w:sz w:val="18"/>
                <w:szCs w:val="18"/>
                <w:color w:val="auto"/>
              </w:rPr>
              <w:t>outstanding, in thousands (a)</w:t>
            </w:r>
          </w:p>
        </w:tc>
        <w:tc>
          <w:tcPr>
            <w:tcW w:w="80" w:type="dxa"/>
            <w:vAlign w:val="bottom"/>
            <w:tcBorders>
              <w:bottom w:val="single" w:sz="8" w:color="auto"/>
            </w:tcBorders>
            <w:shd w:val="clear" w:color="auto" w:fill="E6E7E7"/>
          </w:tcPr>
          <w:p>
            <w:pPr>
              <w:spacing w:after="0"/>
              <w:rPr>
                <w:sz w:val="17"/>
                <w:szCs w:val="17"/>
                <w:color w:val="auto"/>
              </w:rPr>
            </w:pPr>
          </w:p>
        </w:tc>
        <w:tc>
          <w:tcPr>
            <w:tcW w:w="960" w:type="dxa"/>
            <w:vAlign w:val="bottom"/>
            <w:tcBorders>
              <w:bottom w:val="single" w:sz="8" w:color="auto"/>
            </w:tcBorders>
            <w:vMerge w:val="continue"/>
            <w:shd w:val="clear" w:color="auto" w:fill="E6E7E7"/>
          </w:tcPr>
          <w:p>
            <w:pPr>
              <w:spacing w:after="0"/>
              <w:rPr>
                <w:sz w:val="17"/>
                <w:szCs w:val="17"/>
                <w:color w:val="auto"/>
              </w:rPr>
            </w:pPr>
          </w:p>
        </w:tc>
        <w:tc>
          <w:tcPr>
            <w:tcW w:w="280" w:type="dxa"/>
            <w:vAlign w:val="bottom"/>
            <w:tcBorders>
              <w:bottom w:val="single" w:sz="8" w:color="auto"/>
            </w:tcBorders>
            <w:shd w:val="clear" w:color="auto" w:fill="E6E7E7"/>
          </w:tcPr>
          <w:p>
            <w:pPr>
              <w:spacing w:after="0"/>
              <w:rPr>
                <w:sz w:val="17"/>
                <w:szCs w:val="17"/>
                <w:color w:val="auto"/>
              </w:rPr>
            </w:pPr>
          </w:p>
        </w:tc>
        <w:tc>
          <w:tcPr>
            <w:tcW w:w="940" w:type="dxa"/>
            <w:vAlign w:val="bottom"/>
            <w:tcBorders>
              <w:bottom w:val="single" w:sz="8" w:color="auto"/>
            </w:tcBorders>
            <w:shd w:val="clear" w:color="auto" w:fill="E6E7E7"/>
          </w:tcPr>
          <w:p>
            <w:pPr>
              <w:jc w:val="right"/>
              <w:ind w:right="72"/>
              <w:spacing w:after="0" w:line="200" w:lineRule="exact"/>
              <w:rPr>
                <w:sz w:val="20"/>
                <w:szCs w:val="20"/>
                <w:color w:val="auto"/>
              </w:rPr>
            </w:pPr>
            <w:r>
              <w:rPr>
                <w:rFonts w:ascii="Arial" w:cs="Arial" w:eastAsia="Arial" w:hAnsi="Arial"/>
                <w:sz w:val="18"/>
                <w:szCs w:val="18"/>
                <w:color w:val="auto"/>
                <w:w w:val="94"/>
              </w:rPr>
              <w:t>1,670,916</w:t>
            </w:r>
          </w:p>
        </w:tc>
        <w:tc>
          <w:tcPr>
            <w:tcW w:w="260" w:type="dxa"/>
            <w:vAlign w:val="bottom"/>
            <w:tcBorders>
              <w:bottom w:val="single" w:sz="8" w:color="auto"/>
            </w:tcBorders>
            <w:shd w:val="clear" w:color="auto" w:fill="E6E7E7"/>
          </w:tcPr>
          <w:p>
            <w:pPr>
              <w:spacing w:after="0"/>
              <w:rPr>
                <w:sz w:val="17"/>
                <w:szCs w:val="17"/>
                <w:color w:val="auto"/>
              </w:rPr>
            </w:pPr>
          </w:p>
        </w:tc>
        <w:tc>
          <w:tcPr>
            <w:tcW w:w="940" w:type="dxa"/>
            <w:vAlign w:val="bottom"/>
            <w:tcBorders>
              <w:bottom w:val="single" w:sz="8" w:color="auto"/>
            </w:tcBorders>
            <w:shd w:val="clear" w:color="auto" w:fill="E6E7E7"/>
          </w:tcPr>
          <w:p>
            <w:pPr>
              <w:jc w:val="right"/>
              <w:ind w:right="52"/>
              <w:spacing w:after="0" w:line="200" w:lineRule="exact"/>
              <w:rPr>
                <w:sz w:val="20"/>
                <w:szCs w:val="20"/>
                <w:color w:val="auto"/>
              </w:rPr>
            </w:pPr>
            <w:r>
              <w:rPr>
                <w:rFonts w:ascii="Arial" w:cs="Arial" w:eastAsia="Arial" w:hAnsi="Arial"/>
                <w:sz w:val="18"/>
                <w:szCs w:val="18"/>
                <w:color w:val="auto"/>
                <w:w w:val="97"/>
              </w:rPr>
              <w:t>1,768,073</w:t>
            </w:r>
          </w:p>
        </w:tc>
        <w:tc>
          <w:tcPr>
            <w:tcW w:w="260" w:type="dxa"/>
            <w:vAlign w:val="bottom"/>
            <w:tcBorders>
              <w:bottom w:val="single" w:sz="8" w:color="auto"/>
            </w:tcBorders>
            <w:shd w:val="clear" w:color="auto" w:fill="E6E7E7"/>
          </w:tcPr>
          <w:p>
            <w:pPr>
              <w:spacing w:after="0"/>
              <w:rPr>
                <w:sz w:val="17"/>
                <w:szCs w:val="17"/>
                <w:color w:val="auto"/>
              </w:rPr>
            </w:pPr>
          </w:p>
        </w:tc>
        <w:tc>
          <w:tcPr>
            <w:tcW w:w="980" w:type="dxa"/>
            <w:vAlign w:val="bottom"/>
            <w:tcBorders>
              <w:bottom w:val="single" w:sz="8" w:color="auto"/>
            </w:tcBorders>
            <w:shd w:val="clear" w:color="auto" w:fill="E6E7E7"/>
          </w:tcPr>
          <w:p>
            <w:pPr>
              <w:jc w:val="right"/>
              <w:ind w:right="92"/>
              <w:spacing w:after="0" w:line="200" w:lineRule="exact"/>
              <w:rPr>
                <w:sz w:val="20"/>
                <w:szCs w:val="20"/>
                <w:color w:val="auto"/>
              </w:rPr>
            </w:pPr>
            <w:r>
              <w:rPr>
                <w:rFonts w:ascii="Arial" w:cs="Arial" w:eastAsia="Arial" w:hAnsi="Arial"/>
                <w:sz w:val="18"/>
                <w:szCs w:val="18"/>
                <w:color w:val="auto"/>
                <w:w w:val="97"/>
              </w:rPr>
              <w:t>1,766,400</w:t>
            </w:r>
          </w:p>
        </w:tc>
        <w:tc>
          <w:tcPr>
            <w:tcW w:w="280" w:type="dxa"/>
            <w:vAlign w:val="bottom"/>
            <w:tcBorders>
              <w:bottom w:val="single" w:sz="8" w:color="auto"/>
            </w:tcBorders>
            <w:shd w:val="clear" w:color="auto" w:fill="E6E7E7"/>
          </w:tcPr>
          <w:p>
            <w:pPr>
              <w:spacing w:after="0"/>
              <w:rPr>
                <w:sz w:val="17"/>
                <w:szCs w:val="17"/>
                <w:color w:val="auto"/>
              </w:rPr>
            </w:pPr>
          </w:p>
        </w:tc>
        <w:tc>
          <w:tcPr>
            <w:tcW w:w="800" w:type="dxa"/>
            <w:vAlign w:val="bottom"/>
            <w:tcBorders>
              <w:bottom w:val="single" w:sz="8" w:color="auto"/>
            </w:tcBorders>
            <w:shd w:val="clear" w:color="auto" w:fill="E6E7E7"/>
          </w:tcPr>
          <w:p>
            <w:pPr>
              <w:jc w:val="right"/>
              <w:spacing w:after="0" w:line="200" w:lineRule="exact"/>
              <w:rPr>
                <w:sz w:val="20"/>
                <w:szCs w:val="20"/>
                <w:color w:val="auto"/>
              </w:rPr>
            </w:pPr>
            <w:r>
              <w:rPr>
                <w:rFonts w:ascii="Arial" w:cs="Arial" w:eastAsia="Arial" w:hAnsi="Arial"/>
                <w:sz w:val="18"/>
                <w:szCs w:val="18"/>
                <w:color w:val="auto"/>
                <w:w w:val="94"/>
              </w:rPr>
              <w:t>1,733,343</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800" w:hanging="346"/>
        <w:spacing w:after="0"/>
        <w:tabs>
          <w:tab w:leader="none" w:pos="8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For the year ended December 31, 2002, dilutive potential common shares outstanding have been excluded due to the net loss for this period.</w:t>
      </w:r>
    </w:p>
    <w:p>
      <w:pPr>
        <w:spacing w:after="0" w:line="178"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720" w:type="dxa"/>
            <w:vAlign w:val="bottom"/>
            <w:shd w:val="clear" w:color="auto" w:fill="939598"/>
          </w:tcPr>
          <w:p>
            <w:pPr>
              <w:spacing w:after="0"/>
              <w:rPr>
                <w:sz w:val="20"/>
                <w:szCs w:val="20"/>
                <w:color w:val="auto"/>
              </w:rPr>
            </w:pPr>
            <w:r>
              <w:rPr>
                <w:rFonts w:ascii="Arial" w:cs="Arial" w:eastAsia="Arial" w:hAnsi="Arial"/>
                <w:sz w:val="14"/>
                <w:szCs w:val="14"/>
                <w:b w:val="1"/>
                <w:bCs w:val="1"/>
                <w:color w:val="FFFFFF"/>
              </w:rPr>
              <w:t>December 31,</w:t>
            </w:r>
          </w:p>
        </w:tc>
        <w:tc>
          <w:tcPr>
            <w:tcW w:w="2660" w:type="dxa"/>
            <w:vAlign w:val="bottom"/>
            <w:gridSpan w:val="2"/>
            <w:shd w:val="clear" w:color="auto" w:fill="939598"/>
          </w:tcPr>
          <w:p>
            <w:pPr>
              <w:jc w:val="right"/>
              <w:ind w:right="192"/>
              <w:spacing w:after="0"/>
              <w:rPr>
                <w:sz w:val="20"/>
                <w:szCs w:val="20"/>
                <w:color w:val="auto"/>
              </w:rPr>
            </w:pPr>
            <w:r>
              <w:rPr>
                <w:rFonts w:ascii="Arial" w:cs="Arial" w:eastAsia="Arial" w:hAnsi="Arial"/>
                <w:sz w:val="14"/>
                <w:szCs w:val="14"/>
                <w:b w:val="1"/>
                <w:bCs w:val="1"/>
                <w:color w:val="FFFFFF"/>
              </w:rPr>
              <w:t>2006</w:t>
            </w:r>
          </w:p>
        </w:tc>
        <w:tc>
          <w:tcPr>
            <w:tcW w:w="860" w:type="dxa"/>
            <w:vAlign w:val="bottom"/>
            <w:shd w:val="clear" w:color="auto" w:fill="939598"/>
          </w:tcPr>
          <w:p>
            <w:pPr>
              <w:jc w:val="right"/>
              <w:ind w:right="175"/>
              <w:spacing w:after="0"/>
              <w:rPr>
                <w:sz w:val="20"/>
                <w:szCs w:val="20"/>
                <w:color w:val="auto"/>
              </w:rPr>
            </w:pPr>
            <w:r>
              <w:rPr>
                <w:rFonts w:ascii="Arial" w:cs="Arial" w:eastAsia="Arial" w:hAnsi="Arial"/>
                <w:sz w:val="14"/>
                <w:szCs w:val="14"/>
                <w:b w:val="1"/>
                <w:bCs w:val="1"/>
                <w:color w:val="FFFFFF"/>
              </w:rPr>
              <w:t>2005</w:t>
            </w:r>
          </w:p>
        </w:tc>
        <w:tc>
          <w:tcPr>
            <w:tcW w:w="840" w:type="dxa"/>
            <w:vAlign w:val="bottom"/>
            <w:shd w:val="clear" w:color="auto" w:fill="939598"/>
          </w:tcPr>
          <w:p>
            <w:pPr>
              <w:jc w:val="right"/>
              <w:ind w:right="175"/>
              <w:spacing w:after="0"/>
              <w:rPr>
                <w:sz w:val="20"/>
                <w:szCs w:val="20"/>
                <w:color w:val="auto"/>
              </w:rPr>
            </w:pPr>
            <w:r>
              <w:rPr>
                <w:rFonts w:ascii="Arial" w:cs="Arial" w:eastAsia="Arial" w:hAnsi="Arial"/>
                <w:sz w:val="14"/>
                <w:szCs w:val="14"/>
                <w:b w:val="1"/>
                <w:bCs w:val="1"/>
                <w:color w:val="FFFFFF"/>
              </w:rPr>
              <w:t>2004</w:t>
            </w:r>
          </w:p>
        </w:tc>
        <w:tc>
          <w:tcPr>
            <w:tcW w:w="840" w:type="dxa"/>
            <w:vAlign w:val="bottom"/>
            <w:shd w:val="clear" w:color="auto" w:fill="939598"/>
          </w:tcPr>
          <w:p>
            <w:pPr>
              <w:jc w:val="right"/>
              <w:ind w:right="175"/>
              <w:spacing w:after="0"/>
              <w:rPr>
                <w:sz w:val="20"/>
                <w:szCs w:val="20"/>
                <w:color w:val="auto"/>
              </w:rPr>
            </w:pPr>
            <w:r>
              <w:rPr>
                <w:rFonts w:ascii="Arial" w:cs="Arial" w:eastAsia="Arial" w:hAnsi="Arial"/>
                <w:sz w:val="14"/>
                <w:szCs w:val="14"/>
                <w:b w:val="1"/>
                <w:bCs w:val="1"/>
                <w:color w:val="FFFFFF"/>
              </w:rPr>
              <w:t>2003</w:t>
            </w:r>
          </w:p>
        </w:tc>
        <w:tc>
          <w:tcPr>
            <w:tcW w:w="740" w:type="dxa"/>
            <w:vAlign w:val="bottom"/>
            <w:shd w:val="clear" w:color="auto" w:fill="939598"/>
          </w:tcPr>
          <w:p>
            <w:pPr>
              <w:jc w:val="right"/>
              <w:ind w:right="95"/>
              <w:spacing w:after="0"/>
              <w:rPr>
                <w:sz w:val="20"/>
                <w:szCs w:val="20"/>
                <w:color w:val="auto"/>
              </w:rPr>
            </w:pPr>
            <w:r>
              <w:rPr>
                <w:rFonts w:ascii="Arial" w:cs="Arial" w:eastAsia="Arial" w:hAnsi="Arial"/>
                <w:sz w:val="14"/>
                <w:szCs w:val="14"/>
                <w:b w:val="1"/>
                <w:bCs w:val="1"/>
                <w:color w:val="FFFFFF"/>
              </w:rPr>
              <w:t>2002</w:t>
            </w:r>
          </w:p>
        </w:tc>
        <w:tc>
          <w:tcPr>
            <w:tcW w:w="60" w:type="dxa"/>
            <w:vAlign w:val="bottom"/>
            <w:shd w:val="clear" w:color="auto" w:fill="939598"/>
          </w:tcPr>
          <w:p>
            <w:pPr>
              <w:spacing w:after="0"/>
              <w:rPr>
                <w:sz w:val="14"/>
                <w:szCs w:val="14"/>
                <w:color w:val="auto"/>
              </w:rPr>
            </w:pPr>
          </w:p>
        </w:tc>
      </w:tr>
      <w:tr>
        <w:trPr>
          <w:trHeight w:val="270"/>
        </w:trPr>
        <w:tc>
          <w:tcPr>
            <w:tcW w:w="4720" w:type="dxa"/>
            <w:vAlign w:val="bottom"/>
          </w:tcPr>
          <w:p>
            <w:pPr>
              <w:ind w:left="140"/>
              <w:spacing w:after="0"/>
              <w:rPr>
                <w:sz w:val="20"/>
                <w:szCs w:val="20"/>
                <w:color w:val="auto"/>
              </w:rPr>
            </w:pPr>
            <w:r>
              <w:rPr>
                <w:rFonts w:ascii="Arial" w:cs="Arial" w:eastAsia="Arial" w:hAnsi="Arial"/>
                <w:sz w:val="18"/>
                <w:szCs w:val="18"/>
                <w:color w:val="auto"/>
              </w:rPr>
              <w:t>Working capital</w:t>
            </w:r>
          </w:p>
        </w:tc>
        <w:tc>
          <w:tcPr>
            <w:tcW w:w="266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$ 5,776</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$ 7,035</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$ 8,373</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$ 5,626</w:t>
            </w:r>
          </w:p>
        </w:tc>
        <w:tc>
          <w:tcPr>
            <w:tcW w:w="740" w:type="dxa"/>
            <w:vAlign w:val="bottom"/>
          </w:tcPr>
          <w:p>
            <w:pPr>
              <w:jc w:val="right"/>
              <w:spacing w:after="0"/>
              <w:rPr>
                <w:sz w:val="20"/>
                <w:szCs w:val="20"/>
                <w:color w:val="auto"/>
              </w:rPr>
            </w:pPr>
            <w:r>
              <w:rPr>
                <w:rFonts w:ascii="Arial" w:cs="Arial" w:eastAsia="Arial" w:hAnsi="Arial"/>
                <w:sz w:val="18"/>
                <w:szCs w:val="18"/>
                <w:color w:val="auto"/>
              </w:rPr>
              <w:t>$ 4,344</w:t>
            </w:r>
          </w:p>
        </w:tc>
        <w:tc>
          <w:tcPr>
            <w:tcW w:w="60" w:type="dxa"/>
            <w:vAlign w:val="bottom"/>
          </w:tcPr>
          <w:p>
            <w:pPr>
              <w:spacing w:after="0"/>
              <w:rPr>
                <w:sz w:val="23"/>
                <w:szCs w:val="23"/>
                <w:color w:val="auto"/>
              </w:rPr>
            </w:pPr>
          </w:p>
        </w:tc>
      </w:tr>
      <w:tr>
        <w:trPr>
          <w:trHeight w:val="203"/>
        </w:trPr>
        <w:tc>
          <w:tcPr>
            <w:tcW w:w="4720" w:type="dxa"/>
            <w:vAlign w:val="bottom"/>
            <w:shd w:val="clear" w:color="auto" w:fill="E6E7E7"/>
          </w:tcPr>
          <w:p>
            <w:pPr>
              <w:ind w:left="140"/>
              <w:spacing w:after="0" w:line="202" w:lineRule="exact"/>
              <w:rPr>
                <w:sz w:val="20"/>
                <w:szCs w:val="20"/>
                <w:color w:val="auto"/>
              </w:rPr>
            </w:pPr>
            <w:r>
              <w:rPr>
                <w:rFonts w:ascii="Arial" w:cs="Arial" w:eastAsia="Arial" w:hAnsi="Arial"/>
                <w:sz w:val="18"/>
                <w:szCs w:val="18"/>
                <w:color w:val="auto"/>
              </w:rPr>
              <w:t>Property, plant and equipment, net</w:t>
            </w:r>
          </w:p>
        </w:tc>
        <w:tc>
          <w:tcPr>
            <w:tcW w:w="2660" w:type="dxa"/>
            <w:vAlign w:val="bottom"/>
            <w:gridSpan w:val="2"/>
            <w:shd w:val="clear" w:color="auto" w:fill="E6E7E7"/>
          </w:tcPr>
          <w:p>
            <w:pPr>
              <w:jc w:val="right"/>
              <w:ind w:right="12"/>
              <w:spacing w:after="0" w:line="202" w:lineRule="exact"/>
              <w:rPr>
                <w:sz w:val="20"/>
                <w:szCs w:val="20"/>
                <w:color w:val="auto"/>
              </w:rPr>
            </w:pPr>
            <w:r>
              <w:rPr>
                <w:rFonts w:ascii="Arial" w:cs="Arial" w:eastAsia="Arial" w:hAnsi="Arial"/>
                <w:sz w:val="18"/>
                <w:szCs w:val="18"/>
                <w:b w:val="1"/>
                <w:bCs w:val="1"/>
                <w:color w:val="auto"/>
              </w:rPr>
              <w:t>3,950</w:t>
            </w:r>
          </w:p>
        </w:tc>
        <w:tc>
          <w:tcPr>
            <w:tcW w:w="860" w:type="dxa"/>
            <w:vAlign w:val="bottom"/>
            <w:shd w:val="clear" w:color="auto" w:fill="E6E7E7"/>
          </w:tcPr>
          <w:p>
            <w:pPr>
              <w:jc w:val="right"/>
              <w:ind w:right="15"/>
              <w:spacing w:after="0" w:line="202" w:lineRule="exact"/>
              <w:rPr>
                <w:sz w:val="20"/>
                <w:szCs w:val="20"/>
                <w:color w:val="auto"/>
              </w:rPr>
            </w:pPr>
            <w:r>
              <w:rPr>
                <w:rFonts w:ascii="Arial" w:cs="Arial" w:eastAsia="Arial" w:hAnsi="Arial"/>
                <w:sz w:val="18"/>
                <w:szCs w:val="18"/>
                <w:color w:val="auto"/>
              </w:rPr>
              <w:t>3,730</w:t>
            </w:r>
          </w:p>
        </w:tc>
        <w:tc>
          <w:tcPr>
            <w:tcW w:w="840" w:type="dxa"/>
            <w:vAlign w:val="bottom"/>
            <w:shd w:val="clear" w:color="auto" w:fill="E6E7E7"/>
          </w:tcPr>
          <w:p>
            <w:pPr>
              <w:jc w:val="right"/>
              <w:ind w:right="15"/>
              <w:spacing w:after="0" w:line="202" w:lineRule="exact"/>
              <w:rPr>
                <w:sz w:val="20"/>
                <w:szCs w:val="20"/>
                <w:color w:val="auto"/>
              </w:rPr>
            </w:pPr>
            <w:r>
              <w:rPr>
                <w:rFonts w:ascii="Arial" w:cs="Arial" w:eastAsia="Arial" w:hAnsi="Arial"/>
                <w:sz w:val="18"/>
                <w:szCs w:val="18"/>
                <w:color w:val="auto"/>
              </w:rPr>
              <w:t>3,794</w:t>
            </w:r>
          </w:p>
        </w:tc>
        <w:tc>
          <w:tcPr>
            <w:tcW w:w="840" w:type="dxa"/>
            <w:vAlign w:val="bottom"/>
            <w:shd w:val="clear" w:color="auto" w:fill="E6E7E7"/>
          </w:tcPr>
          <w:p>
            <w:pPr>
              <w:jc w:val="right"/>
              <w:ind w:right="15"/>
              <w:spacing w:after="0" w:line="202" w:lineRule="exact"/>
              <w:rPr>
                <w:sz w:val="20"/>
                <w:szCs w:val="20"/>
                <w:color w:val="auto"/>
              </w:rPr>
            </w:pPr>
            <w:r>
              <w:rPr>
                <w:rFonts w:ascii="Arial" w:cs="Arial" w:eastAsia="Arial" w:hAnsi="Arial"/>
                <w:sz w:val="18"/>
                <w:szCs w:val="18"/>
                <w:color w:val="auto"/>
              </w:rPr>
              <w:t>3,998</w:t>
            </w:r>
          </w:p>
        </w:tc>
        <w:tc>
          <w:tcPr>
            <w:tcW w:w="7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4,663</w:t>
            </w:r>
          </w:p>
        </w:tc>
        <w:tc>
          <w:tcPr>
            <w:tcW w:w="60" w:type="dxa"/>
            <w:vAlign w:val="bottom"/>
            <w:shd w:val="clear" w:color="auto" w:fill="E6E7E7"/>
          </w:tcPr>
          <w:p>
            <w:pPr>
              <w:spacing w:after="0"/>
              <w:rPr>
                <w:sz w:val="17"/>
                <w:szCs w:val="17"/>
                <w:color w:val="auto"/>
              </w:rPr>
            </w:pPr>
          </w:p>
        </w:tc>
      </w:tr>
      <w:tr>
        <w:trPr>
          <w:trHeight w:val="203"/>
        </w:trPr>
        <w:tc>
          <w:tcPr>
            <w:tcW w:w="4720" w:type="dxa"/>
            <w:vAlign w:val="bottom"/>
          </w:tcPr>
          <w:p>
            <w:pPr>
              <w:ind w:left="140"/>
              <w:spacing w:after="0" w:line="202" w:lineRule="exact"/>
              <w:rPr>
                <w:sz w:val="20"/>
                <w:szCs w:val="20"/>
                <w:color w:val="auto"/>
              </w:rPr>
            </w:pPr>
            <w:r>
              <w:rPr>
                <w:rFonts w:ascii="Arial" w:cs="Arial" w:eastAsia="Arial" w:hAnsi="Arial"/>
                <w:sz w:val="18"/>
                <w:szCs w:val="18"/>
                <w:color w:val="auto"/>
              </w:rPr>
              <w:t>Total assets</w:t>
            </w:r>
          </w:p>
        </w:tc>
        <w:tc>
          <w:tcPr>
            <w:tcW w:w="266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auto"/>
              </w:rPr>
              <w:t>13,930</w:t>
            </w:r>
          </w:p>
        </w:tc>
        <w:tc>
          <w:tcPr>
            <w:tcW w:w="8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15,063</w:t>
            </w:r>
          </w:p>
        </w:tc>
        <w:tc>
          <w:tcPr>
            <w:tcW w:w="8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16,299</w:t>
            </w:r>
          </w:p>
        </w:tc>
        <w:tc>
          <w:tcPr>
            <w:tcW w:w="8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15,510</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14,679</w:t>
            </w:r>
          </w:p>
        </w:tc>
        <w:tc>
          <w:tcPr>
            <w:tcW w:w="60" w:type="dxa"/>
            <w:vAlign w:val="bottom"/>
          </w:tcPr>
          <w:p>
            <w:pPr>
              <w:spacing w:after="0"/>
              <w:rPr>
                <w:sz w:val="17"/>
                <w:szCs w:val="17"/>
                <w:color w:val="auto"/>
              </w:rPr>
            </w:pPr>
          </w:p>
        </w:tc>
      </w:tr>
      <w:tr>
        <w:trPr>
          <w:trHeight w:val="203"/>
        </w:trPr>
        <w:tc>
          <w:tcPr>
            <w:tcW w:w="4720" w:type="dxa"/>
            <w:vAlign w:val="bottom"/>
            <w:shd w:val="clear" w:color="auto" w:fill="E6E7E7"/>
          </w:tcPr>
          <w:p>
            <w:pPr>
              <w:ind w:left="140"/>
              <w:spacing w:after="0" w:line="202" w:lineRule="exact"/>
              <w:rPr>
                <w:sz w:val="20"/>
                <w:szCs w:val="20"/>
                <w:color w:val="auto"/>
              </w:rPr>
            </w:pPr>
            <w:r>
              <w:rPr>
                <w:rFonts w:ascii="Arial" w:cs="Arial" w:eastAsia="Arial" w:hAnsi="Arial"/>
                <w:sz w:val="18"/>
                <w:szCs w:val="18"/>
                <w:color w:val="auto"/>
              </w:rPr>
              <w:t>Long-term debt</w:t>
            </w:r>
          </w:p>
        </w:tc>
        <w:tc>
          <w:tcPr>
            <w:tcW w:w="1920" w:type="dxa"/>
            <w:vAlign w:val="bottom"/>
            <w:shd w:val="clear" w:color="auto" w:fill="E6E7E7"/>
          </w:tcPr>
          <w:p>
            <w:pPr>
              <w:spacing w:after="0"/>
              <w:rPr>
                <w:sz w:val="17"/>
                <w:szCs w:val="17"/>
                <w:color w:val="auto"/>
              </w:rPr>
            </w:pPr>
          </w:p>
        </w:tc>
        <w:tc>
          <w:tcPr>
            <w:tcW w:w="740" w:type="dxa"/>
            <w:vAlign w:val="bottom"/>
            <w:shd w:val="clear" w:color="auto" w:fill="E6E7E7"/>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6E7E7"/>
          </w:tcPr>
          <w:p>
            <w:pPr>
              <w:jc w:val="right"/>
              <w:ind w:right="15"/>
              <w:spacing w:after="0" w:line="202" w:lineRule="exact"/>
              <w:rPr>
                <w:sz w:val="20"/>
                <w:szCs w:val="20"/>
                <w:color w:val="auto"/>
              </w:rPr>
            </w:pPr>
            <w:r>
              <w:rPr>
                <w:rFonts w:ascii="Arial" w:cs="Arial" w:eastAsia="Arial" w:hAnsi="Arial"/>
                <w:sz w:val="18"/>
                <w:szCs w:val="18"/>
                <w:color w:val="auto"/>
              </w:rPr>
              <w:t>329</w:t>
            </w:r>
          </w:p>
        </w:tc>
        <w:tc>
          <w:tcPr>
            <w:tcW w:w="840" w:type="dxa"/>
            <w:vAlign w:val="bottom"/>
            <w:shd w:val="clear" w:color="auto" w:fill="E6E7E7"/>
          </w:tcPr>
          <w:p>
            <w:pPr>
              <w:jc w:val="right"/>
              <w:ind w:right="15"/>
              <w:spacing w:after="0" w:line="202" w:lineRule="exact"/>
              <w:rPr>
                <w:sz w:val="20"/>
                <w:szCs w:val="20"/>
                <w:color w:val="auto"/>
              </w:rPr>
            </w:pPr>
            <w:r>
              <w:rPr>
                <w:rFonts w:ascii="Arial" w:cs="Arial" w:eastAsia="Arial" w:hAnsi="Arial"/>
                <w:sz w:val="18"/>
                <w:szCs w:val="18"/>
                <w:color w:val="auto"/>
              </w:rPr>
              <w:t>368</w:t>
            </w:r>
          </w:p>
        </w:tc>
        <w:tc>
          <w:tcPr>
            <w:tcW w:w="840" w:type="dxa"/>
            <w:vAlign w:val="bottom"/>
            <w:shd w:val="clear" w:color="auto" w:fill="E6E7E7"/>
          </w:tcPr>
          <w:p>
            <w:pPr>
              <w:jc w:val="right"/>
              <w:ind w:right="15"/>
              <w:spacing w:after="0" w:line="202" w:lineRule="exact"/>
              <w:rPr>
                <w:sz w:val="20"/>
                <w:szCs w:val="20"/>
                <w:color w:val="auto"/>
              </w:rPr>
            </w:pPr>
            <w:r>
              <w:rPr>
                <w:rFonts w:ascii="Arial" w:cs="Arial" w:eastAsia="Arial" w:hAnsi="Arial"/>
                <w:sz w:val="18"/>
                <w:szCs w:val="18"/>
                <w:color w:val="auto"/>
              </w:rPr>
              <w:t>395</w:t>
            </w:r>
          </w:p>
        </w:tc>
        <w:tc>
          <w:tcPr>
            <w:tcW w:w="7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833</w:t>
            </w:r>
          </w:p>
        </w:tc>
        <w:tc>
          <w:tcPr>
            <w:tcW w:w="60" w:type="dxa"/>
            <w:vAlign w:val="bottom"/>
            <w:shd w:val="clear" w:color="auto" w:fill="E6E7E7"/>
          </w:tcPr>
          <w:p>
            <w:pPr>
              <w:spacing w:after="0"/>
              <w:rPr>
                <w:sz w:val="17"/>
                <w:szCs w:val="17"/>
                <w:color w:val="auto"/>
              </w:rPr>
            </w:pPr>
          </w:p>
        </w:tc>
      </w:tr>
      <w:tr>
        <w:trPr>
          <w:trHeight w:val="210"/>
        </w:trPr>
        <w:tc>
          <w:tcPr>
            <w:tcW w:w="4720" w:type="dxa"/>
            <w:vAlign w:val="bottom"/>
          </w:tcPr>
          <w:p>
            <w:pPr>
              <w:ind w:left="140"/>
              <w:spacing w:after="0" w:line="202" w:lineRule="exact"/>
              <w:rPr>
                <w:sz w:val="20"/>
                <w:szCs w:val="20"/>
                <w:color w:val="auto"/>
              </w:rPr>
            </w:pPr>
            <w:r>
              <w:rPr>
                <w:rFonts w:ascii="Arial" w:cs="Arial" w:eastAsia="Arial" w:hAnsi="Arial"/>
                <w:sz w:val="18"/>
                <w:szCs w:val="18"/>
                <w:color w:val="auto"/>
              </w:rPr>
              <w:t>Stockholders’ equity</w:t>
            </w:r>
          </w:p>
        </w:tc>
        <w:tc>
          <w:tcPr>
            <w:tcW w:w="266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auto"/>
              </w:rPr>
              <w:t>11,360</w:t>
            </w:r>
          </w:p>
        </w:tc>
        <w:tc>
          <w:tcPr>
            <w:tcW w:w="8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11,937</w:t>
            </w:r>
          </w:p>
        </w:tc>
        <w:tc>
          <w:tcPr>
            <w:tcW w:w="8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13,063</w:t>
            </w:r>
          </w:p>
        </w:tc>
        <w:tc>
          <w:tcPr>
            <w:tcW w:w="8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11,864</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10,734</w:t>
            </w:r>
          </w:p>
        </w:tc>
        <w:tc>
          <w:tcPr>
            <w:tcW w:w="60" w:type="dxa"/>
            <w:vAlign w:val="bottom"/>
          </w:tcPr>
          <w:p>
            <w:pPr>
              <w:spacing w:after="0"/>
              <w:rPr>
                <w:sz w:val="18"/>
                <w:szCs w:val="18"/>
                <w:color w:val="auto"/>
              </w:rPr>
            </w:pPr>
          </w:p>
        </w:tc>
      </w:tr>
      <w:tr>
        <w:trPr>
          <w:trHeight w:val="203"/>
        </w:trPr>
        <w:tc>
          <w:tcPr>
            <w:tcW w:w="4720" w:type="dxa"/>
            <w:vAlign w:val="bottom"/>
            <w:shd w:val="clear" w:color="auto" w:fill="E6E7E7"/>
          </w:tcPr>
          <w:p>
            <w:pPr>
              <w:ind w:left="140"/>
              <w:spacing w:after="0" w:line="202" w:lineRule="exact"/>
              <w:rPr>
                <w:sz w:val="20"/>
                <w:szCs w:val="20"/>
                <w:color w:val="auto"/>
              </w:rPr>
            </w:pPr>
            <w:r>
              <w:rPr>
                <w:rFonts w:ascii="Arial" w:cs="Arial" w:eastAsia="Arial" w:hAnsi="Arial"/>
                <w:sz w:val="18"/>
                <w:szCs w:val="18"/>
                <w:color w:val="auto"/>
              </w:rPr>
              <w:t>Employees</w:t>
            </w:r>
          </w:p>
        </w:tc>
        <w:tc>
          <w:tcPr>
            <w:tcW w:w="1920" w:type="dxa"/>
            <w:vAlign w:val="bottom"/>
            <w:shd w:val="clear" w:color="auto" w:fill="E6E7E7"/>
          </w:tcPr>
          <w:p>
            <w:pPr>
              <w:spacing w:after="0"/>
              <w:rPr>
                <w:sz w:val="17"/>
                <w:szCs w:val="17"/>
                <w:color w:val="auto"/>
              </w:rPr>
            </w:pPr>
          </w:p>
        </w:tc>
        <w:tc>
          <w:tcPr>
            <w:tcW w:w="740" w:type="dxa"/>
            <w:vAlign w:val="bottom"/>
            <w:tcBorders>
              <w:top w:val="single" w:sz="8" w:color="auto"/>
            </w:tcBorders>
            <w:shd w:val="clear" w:color="auto" w:fill="E6E7E7"/>
          </w:tcPr>
          <w:p>
            <w:pPr>
              <w:jc w:val="right"/>
              <w:ind w:right="12"/>
              <w:spacing w:after="0" w:line="202" w:lineRule="exact"/>
              <w:rPr>
                <w:sz w:val="20"/>
                <w:szCs w:val="20"/>
                <w:color w:val="auto"/>
              </w:rPr>
            </w:pPr>
            <w:r>
              <w:rPr>
                <w:rFonts w:ascii="Arial" w:cs="Arial" w:eastAsia="Arial" w:hAnsi="Arial"/>
                <w:sz w:val="18"/>
                <w:szCs w:val="18"/>
                <w:b w:val="1"/>
                <w:bCs w:val="1"/>
                <w:color w:val="auto"/>
              </w:rPr>
              <w:t>30,986</w:t>
            </w:r>
          </w:p>
        </w:tc>
        <w:tc>
          <w:tcPr>
            <w:tcW w:w="860" w:type="dxa"/>
            <w:vAlign w:val="bottom"/>
            <w:tcBorders>
              <w:top w:val="single" w:sz="8" w:color="auto"/>
            </w:tcBorders>
            <w:shd w:val="clear" w:color="auto" w:fill="E6E7E7"/>
          </w:tcPr>
          <w:p>
            <w:pPr>
              <w:jc w:val="right"/>
              <w:ind w:right="15"/>
              <w:spacing w:after="0" w:line="202" w:lineRule="exact"/>
              <w:rPr>
                <w:sz w:val="20"/>
                <w:szCs w:val="20"/>
                <w:color w:val="auto"/>
              </w:rPr>
            </w:pPr>
            <w:r>
              <w:rPr>
                <w:rFonts w:ascii="Arial" w:cs="Arial" w:eastAsia="Arial" w:hAnsi="Arial"/>
                <w:sz w:val="18"/>
                <w:szCs w:val="18"/>
                <w:color w:val="auto"/>
              </w:rPr>
              <w:t>30,068</w:t>
            </w:r>
          </w:p>
        </w:tc>
        <w:tc>
          <w:tcPr>
            <w:tcW w:w="840" w:type="dxa"/>
            <w:vAlign w:val="bottom"/>
            <w:tcBorders>
              <w:top w:val="single" w:sz="8" w:color="auto"/>
            </w:tcBorders>
            <w:shd w:val="clear" w:color="auto" w:fill="E6E7E7"/>
          </w:tcPr>
          <w:p>
            <w:pPr>
              <w:jc w:val="right"/>
              <w:ind w:right="15"/>
              <w:spacing w:after="0" w:line="202" w:lineRule="exact"/>
              <w:rPr>
                <w:sz w:val="20"/>
                <w:szCs w:val="20"/>
                <w:color w:val="auto"/>
              </w:rPr>
            </w:pPr>
            <w:r>
              <w:rPr>
                <w:rFonts w:ascii="Arial" w:cs="Arial" w:eastAsia="Arial" w:hAnsi="Arial"/>
                <w:sz w:val="18"/>
                <w:szCs w:val="18"/>
                <w:color w:val="auto"/>
              </w:rPr>
              <w:t>30,446</w:t>
            </w:r>
          </w:p>
        </w:tc>
        <w:tc>
          <w:tcPr>
            <w:tcW w:w="840" w:type="dxa"/>
            <w:vAlign w:val="bottom"/>
            <w:tcBorders>
              <w:top w:val="single" w:sz="8" w:color="auto"/>
            </w:tcBorders>
            <w:shd w:val="clear" w:color="auto" w:fill="E6E7E7"/>
          </w:tcPr>
          <w:p>
            <w:pPr>
              <w:jc w:val="right"/>
              <w:ind w:right="15"/>
              <w:spacing w:after="0" w:line="202" w:lineRule="exact"/>
              <w:rPr>
                <w:sz w:val="20"/>
                <w:szCs w:val="20"/>
                <w:color w:val="auto"/>
              </w:rPr>
            </w:pPr>
            <w:r>
              <w:rPr>
                <w:rFonts w:ascii="Arial" w:cs="Arial" w:eastAsia="Arial" w:hAnsi="Arial"/>
                <w:sz w:val="18"/>
                <w:szCs w:val="18"/>
                <w:color w:val="auto"/>
              </w:rPr>
              <w:t>29,083</w:t>
            </w:r>
          </w:p>
        </w:tc>
        <w:tc>
          <w:tcPr>
            <w:tcW w:w="740" w:type="dxa"/>
            <w:vAlign w:val="bottom"/>
            <w:tcBorders>
              <w:top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29,243</w:t>
            </w:r>
          </w:p>
        </w:tc>
        <w:tc>
          <w:tcPr>
            <w:tcW w:w="60" w:type="dxa"/>
            <w:vAlign w:val="bottom"/>
            <w:shd w:val="clear" w:color="auto" w:fill="E6E7E7"/>
          </w:tcPr>
          <w:p>
            <w:pPr>
              <w:spacing w:after="0"/>
              <w:rPr>
                <w:sz w:val="17"/>
                <w:szCs w:val="17"/>
                <w:color w:val="auto"/>
              </w:rPr>
            </w:pPr>
          </w:p>
        </w:tc>
      </w:tr>
      <w:tr>
        <w:trPr>
          <w:trHeight w:val="233"/>
        </w:trPr>
        <w:tc>
          <w:tcPr>
            <w:tcW w:w="4720" w:type="dxa"/>
            <w:vAlign w:val="bottom"/>
          </w:tcPr>
          <w:p>
            <w:pPr>
              <w:ind w:left="140"/>
              <w:spacing w:after="0"/>
              <w:rPr>
                <w:sz w:val="20"/>
                <w:szCs w:val="20"/>
                <w:color w:val="auto"/>
              </w:rPr>
            </w:pPr>
            <w:r>
              <w:rPr>
                <w:rFonts w:ascii="Arial" w:cs="Arial" w:eastAsia="Arial" w:hAnsi="Arial"/>
                <w:sz w:val="18"/>
                <w:szCs w:val="18"/>
                <w:color w:val="auto"/>
              </w:rPr>
              <w:t>Stockholders of record</w:t>
            </w:r>
          </w:p>
        </w:tc>
        <w:tc>
          <w:tcPr>
            <w:tcW w:w="266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27,976</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29,848</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27,496</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28,058</w:t>
            </w:r>
          </w:p>
        </w:tc>
        <w:tc>
          <w:tcPr>
            <w:tcW w:w="740" w:type="dxa"/>
            <w:vAlign w:val="bottom"/>
          </w:tcPr>
          <w:p>
            <w:pPr>
              <w:jc w:val="right"/>
              <w:spacing w:after="0"/>
              <w:rPr>
                <w:sz w:val="20"/>
                <w:szCs w:val="20"/>
                <w:color w:val="auto"/>
              </w:rPr>
            </w:pPr>
            <w:r>
              <w:rPr>
                <w:rFonts w:ascii="Arial" w:cs="Arial" w:eastAsia="Arial" w:hAnsi="Arial"/>
                <w:sz w:val="18"/>
                <w:szCs w:val="18"/>
                <w:color w:val="auto"/>
              </w:rPr>
              <w:t>26,884</w:t>
            </w:r>
          </w:p>
        </w:tc>
        <w:tc>
          <w:tcPr>
            <w:tcW w:w="60" w:type="dxa"/>
            <w:vAlign w:val="bottom"/>
          </w:tcPr>
          <w:p>
            <w:pPr>
              <w:spacing w:after="0"/>
              <w:rPr>
                <w:sz w:val="20"/>
                <w:szCs w:val="20"/>
                <w:color w:val="auto"/>
              </w:rPr>
            </w:pPr>
          </w:p>
        </w:tc>
      </w:tr>
    </w:tbl>
    <w:p>
      <w:pPr>
        <w:spacing w:after="0" w:line="13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See Notes to Financial Statements and Management’s Discussion and Analysis of Financial Condition and Results of Operations.</w:t>
      </w:r>
    </w:p>
    <w:p>
      <w:pPr>
        <w:sectPr>
          <w:pgSz w:w="11900" w:h="16838" w:orient="portrait"/>
          <w:cols w:equalWidth="0" w:num="1">
            <w:col w:w="11080"/>
          </w:cols>
          <w:pgMar w:left="240" w:top="287" w:right="579" w:bottom="1440" w:gutter="0" w:footer="0" w:header="0"/>
          <w:type w:val="continuous"/>
        </w:sectPr>
      </w:pPr>
    </w:p>
    <w:bookmarkStart w:id="92" w:name="page93"/>
    <w:bookmarkEnd w:id="92"/>
    <w:p>
      <w:pPr>
        <w:ind w:left="7600"/>
        <w:spacing w:after="0"/>
        <w:tabs>
          <w:tab w:leader="none" w:pos="1080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2006 ANNUAL REPORT</w:t>
      </w:r>
      <w:r>
        <w:rPr>
          <w:sz w:val="20"/>
          <w:szCs w:val="20"/>
          <w:color w:val="auto"/>
        </w:rPr>
        <w:tab/>
      </w:r>
      <w:r>
        <w:rPr>
          <w:rFonts w:ascii="Arial" w:cs="Arial" w:eastAsia="Arial" w:hAnsi="Arial"/>
          <w:sz w:val="12"/>
          <w:szCs w:val="12"/>
          <w:color w:val="939598"/>
        </w:rPr>
        <w:t>43</w:t>
      </w:r>
    </w:p>
    <w:p>
      <w:pPr>
        <w:spacing w:after="0" w:line="104" w:lineRule="exact"/>
        <w:rPr>
          <w:sz w:val="20"/>
          <w:szCs w:val="20"/>
          <w:color w:val="auto"/>
        </w:rPr>
      </w:pPr>
    </w:p>
    <w:p>
      <w:pPr>
        <w:ind w:left="120" w:right="1200"/>
        <w:spacing w:after="0" w:line="261" w:lineRule="auto"/>
        <w:rPr>
          <w:sz w:val="20"/>
          <w:szCs w:val="20"/>
          <w:color w:val="auto"/>
        </w:rPr>
      </w:pPr>
      <w:r>
        <w:rPr>
          <w:rFonts w:ascii="Arial" w:cs="Arial" w:eastAsia="Arial" w:hAnsi="Arial"/>
          <w:sz w:val="22"/>
          <w:szCs w:val="22"/>
          <w:b w:val="1"/>
          <w:bCs w:val="1"/>
          <w:color w:val="auto"/>
        </w:rPr>
        <w:t>MANAGEMENT’S DISCUSSION AND ANALYSIS OF FINANCIAL CONDITION AND RESULTS OF OPERATIONS</w:t>
      </w:r>
    </w:p>
    <w:p>
      <w:pPr>
        <w:spacing w:after="0" w:line="13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w:t>
      </w:r>
    </w:p>
    <w:p>
      <w:pPr>
        <w:spacing w:after="0" w:line="155"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The former Sensors &amp; Controls business has been reflected as discontinued operations (see Note 2 to the Financial Statements for additional information). The radio frequency identification (RFID) systems operations that had been part of the Sensors &amp; Controls segment are included in the Semiconductor segment. All amounts in this discussion reference continuing operations unless otherwise noted.</w:t>
      </w:r>
    </w:p>
    <w:p>
      <w:pPr>
        <w:spacing w:after="0" w:line="12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Educational &amp; Productivity Solutions segment has been renamed Education Technology to more accurately reflect the strategic focus of this business (see Note 12 to the Financial Statements for additional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0"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Texas Instruments makes, markets and sells high-technology components; more than 50,000 customers all over the world buy our products. We have two separate segments: Semiconductor and Education Technology. Semiconductor is by far the larger of these segments. It accounted for 96 percent of our revenue in 2006, and historically it averages a higher growth rate than Education Technology, although the semiconductor market is characterized by wide swings in growth rates from year to year. We were the world’s third-largest semiconductor company in 2006 as measured by revenue, according to preliminary estimates from iSuppli Corporation, an industry analyst.</w:t>
      </w:r>
    </w:p>
    <w:p>
      <w:pPr>
        <w:spacing w:after="0" w:line="12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our Semiconductor segment, we focus primarily on technologies that make it possible for a variety of consumer and industrial electronic equipment to process both analog and digital signals in real time. These technologies are known as analog semiconductors and digital signal processors, or DSPs, and together they account for about three-fourths of our Semiconductor revenue. Almost all of today’s digital electronic equipment requires some form of analog or digital signal processing.</w:t>
      </w:r>
    </w:p>
    <w:p>
      <w:pPr>
        <w:spacing w:after="0" w:line="155" w:lineRule="exact"/>
        <w:rPr>
          <w:sz w:val="20"/>
          <w:szCs w:val="20"/>
          <w:color w:val="auto"/>
        </w:rPr>
      </w:pPr>
    </w:p>
    <w:p>
      <w:pPr>
        <w:jc w:val="both"/>
        <w:ind w:right="140"/>
        <w:spacing w:after="0" w:line="281" w:lineRule="auto"/>
        <w:rPr>
          <w:sz w:val="20"/>
          <w:szCs w:val="20"/>
          <w:color w:val="auto"/>
        </w:rPr>
      </w:pPr>
      <w:r>
        <w:rPr>
          <w:rFonts w:ascii="Arial" w:cs="Arial" w:eastAsia="Arial" w:hAnsi="Arial"/>
          <w:sz w:val="16"/>
          <w:szCs w:val="16"/>
          <w:color w:val="auto"/>
        </w:rPr>
        <w:t>Analog semiconductors process “real world” inputs, such as sound, temperature, pressure and visual images, conditioning them, amplifying them and converting them into digital signals. They also assist in the management of power distribution and consumption, aspects critical to today’s portable electronic devices. Generally, analog products require less capital-intensive factories to manufacture than digital products.</w:t>
      </w:r>
    </w:p>
    <w:p>
      <w:pPr>
        <w:spacing w:after="0" w:line="12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analog semiconductors consist of custom products and standard products. Custom products are designed for specific applications for specific customers. Standard products include application-specific standard products (designed for a specific application and usable by multiple customers) and high-performance standard catalog products (usable in multiple applications by multiple customers). These standard products are characterized by differentiated features and specifications, as well as relatively high gross margins. Standard analog products tend to have long life spans. Many custom and standard products are proprietary and difficult for competitors to imitate. Analog products also include commodity products, which are sold in high volume and into a broad range of applications, and generally are differentiated by price and availability. We are the world’s largest supplier of analog semiconductors.</w:t>
      </w:r>
    </w:p>
    <w:p>
      <w:pPr>
        <w:spacing w:after="0" w:line="15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DSPs use complex algorithms and compression techniques to alter and improve a data stream. These products are ideal for applications that require precise, real-time processing of real-world signals that have been converted into digital form. Their power efficiency is important for battery-powered devices.</w:t>
      </w:r>
    </w:p>
    <w:p>
      <w:pPr>
        <w:spacing w:after="0" w:line="15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DSP portfolio includes custom, application-specific and standard products. Custom products are designed for specific customers with very high volumes in established markets. Application-specific products are implementations crafted for specific applications like wireless infrastructure, VoIP (Voice over Internet Protocol) gateways, digital still cameras and residential gateways, to name a few. Our standard DSP products are sold into a broad range of applications and seed the next generation of signal-processing innovation. We are the world’s largest supplier of DSPs.</w:t>
      </w:r>
    </w:p>
    <w:p>
      <w:pPr>
        <w:spacing w:after="0" w:line="157" w:lineRule="exact"/>
        <w:rPr>
          <w:sz w:val="20"/>
          <w:szCs w:val="20"/>
          <w:color w:val="auto"/>
        </w:rPr>
      </w:pPr>
    </w:p>
    <w:p>
      <w:pPr>
        <w:ind w:right="440"/>
        <w:spacing w:after="0" w:line="236" w:lineRule="auto"/>
        <w:rPr>
          <w:sz w:val="20"/>
          <w:szCs w:val="20"/>
          <w:color w:val="auto"/>
        </w:rPr>
      </w:pPr>
      <w:r>
        <w:rPr>
          <w:rFonts w:ascii="Arial" w:cs="Arial" w:eastAsia="Arial" w:hAnsi="Arial"/>
          <w:sz w:val="18"/>
          <w:szCs w:val="18"/>
          <w:color w:val="auto"/>
        </w:rPr>
        <w:t>We expect that our inventory levels generally will increase from historical levels in order to meet the requirements of our customers. For example, the analog market consists of a very broad base of customers that order relatively small quantities of many different analog products. These customers typically expect very short order lead times, requiring us to maintain more on-hand inventory. Also, analog suppliers typically hold a broader range of inventory in order to serve their customers, while manufacturing in efficient quantities. Analog products will be a growing portion of our inventory as our analog business</w:t>
      </w:r>
    </w:p>
    <w:p>
      <w:pPr>
        <w:sectPr>
          <w:pgSz w:w="11900" w:h="16838" w:orient="portrait"/>
          <w:cols w:equalWidth="0" w:num="1">
            <w:col w:w="10960"/>
          </w:cols>
          <w:pgMar w:left="700" w:top="287" w:right="239" w:bottom="1440" w:gutter="0" w:footer="0" w:header="0"/>
        </w:sectPr>
      </w:pPr>
    </w:p>
    <w:bookmarkStart w:id="93" w:name="page94"/>
    <w:bookmarkEnd w:id="93"/>
    <w:p>
      <w:pPr>
        <w:spacing w:after="0"/>
        <w:tabs>
          <w:tab w:leader="none" w:pos="36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44</w:t>
        <w:tab/>
        <w:t>TEXAS INSTRUMENTS 2006 ANNUAL REPORT</w:t>
      </w:r>
    </w:p>
    <w:p>
      <w:pPr>
        <w:spacing w:after="0" w:line="140" w:lineRule="exact"/>
        <w:rPr>
          <w:sz w:val="20"/>
          <w:szCs w:val="20"/>
          <w:color w:val="auto"/>
        </w:rPr>
      </w:pPr>
    </w:p>
    <w:p>
      <w:pPr>
        <w:ind w:left="460" w:right="20"/>
        <w:spacing w:after="0" w:line="236" w:lineRule="auto"/>
        <w:rPr>
          <w:sz w:val="20"/>
          <w:szCs w:val="20"/>
          <w:color w:val="auto"/>
        </w:rPr>
      </w:pPr>
      <w:r>
        <w:rPr>
          <w:rFonts w:ascii="Arial" w:cs="Arial" w:eastAsia="Arial" w:hAnsi="Arial"/>
          <w:sz w:val="18"/>
          <w:szCs w:val="18"/>
          <w:color w:val="auto"/>
        </w:rPr>
        <w:t>continues to grow and broaden its product portfolio. Additionally, our large customers are moving increasingly toward a business model that requires us to maintain inventory on a consignment basis on their behalf. We own and operate semiconductor manufacturing sites in the Americas, Japan, Europe and Asia. Our facilities require substantial investment to construct and are largely fixed-cost assets once in operation. Because we own most of our manufacturing capacity, a significant portion of our operating costs is fixed. In general, these costs do not decline with reductions in customer demand or our utilization of our manufacturing capacity, and can adversely affect profit margins as a result. Conversely, as product demand rises and factory utilization increases, the fixed costs are spread over increased output, which should improve profit margins.</w:t>
      </w:r>
    </w:p>
    <w:p>
      <w:pPr>
        <w:spacing w:after="0" w:line="155" w:lineRule="exact"/>
        <w:rPr>
          <w:sz w:val="20"/>
          <w:szCs w:val="20"/>
          <w:color w:val="auto"/>
        </w:rPr>
      </w:pPr>
    </w:p>
    <w:p>
      <w:pPr>
        <w:ind w:left="460"/>
        <w:spacing w:after="0" w:line="237" w:lineRule="auto"/>
        <w:rPr>
          <w:sz w:val="20"/>
          <w:szCs w:val="20"/>
          <w:color w:val="auto"/>
        </w:rPr>
      </w:pPr>
      <w:r>
        <w:rPr>
          <w:rFonts w:ascii="Arial" w:cs="Arial" w:eastAsia="Arial" w:hAnsi="Arial"/>
          <w:sz w:val="18"/>
          <w:szCs w:val="18"/>
          <w:color w:val="auto"/>
        </w:rPr>
        <w:t>As part of our manufacturing strategy, we outsource a portion of our product manufacturing to outside suppliers (foundries and assembly/test subcontractors), which reduces both the amount of capital expenditures and subsequent depreciation required to meet customer demands and fluctuations in profit margins. Outside foundries provided about 25 percent of our total wafers produced in 2006. (A wafer is a thin slice of silicon on which an array of semiconductor devices has been fabricated.)</w:t>
      </w:r>
    </w:p>
    <w:p>
      <w:pPr>
        <w:spacing w:after="0" w:line="155" w:lineRule="exact"/>
        <w:rPr>
          <w:sz w:val="20"/>
          <w:szCs w:val="20"/>
          <w:color w:val="auto"/>
        </w:rPr>
      </w:pPr>
    </w:p>
    <w:p>
      <w:pPr>
        <w:ind w:left="460" w:right="100"/>
        <w:spacing w:after="0" w:line="236" w:lineRule="auto"/>
        <w:rPr>
          <w:sz w:val="20"/>
          <w:szCs w:val="20"/>
          <w:color w:val="auto"/>
        </w:rPr>
      </w:pPr>
      <w:r>
        <w:rPr>
          <w:rFonts w:ascii="Arial" w:cs="Arial" w:eastAsia="Arial" w:hAnsi="Arial"/>
          <w:sz w:val="18"/>
          <w:szCs w:val="18"/>
          <w:color w:val="auto"/>
        </w:rPr>
        <w:t>The semiconductor market is characterized by constant and typically incremental innovation in product design and manufacturing technologies. We make significant investments in research and development (R&amp;D). Typically, products resulting from our R&amp;D investments in the current period do not contribute materially to revenue in that period, but should benefit us in future years. In general, new semiconductor products are shipped in limited quantities initially and will then ramp into high volumes over time. Prices and manufacturing costs tend to decline over time.</w:t>
      </w:r>
    </w:p>
    <w:p>
      <w:pPr>
        <w:spacing w:after="0" w:line="157" w:lineRule="exact"/>
        <w:rPr>
          <w:sz w:val="20"/>
          <w:szCs w:val="20"/>
          <w:color w:val="auto"/>
        </w:rPr>
      </w:pPr>
    </w:p>
    <w:p>
      <w:pPr>
        <w:ind w:left="460" w:right="40"/>
        <w:spacing w:after="0" w:line="236" w:lineRule="auto"/>
        <w:rPr>
          <w:sz w:val="20"/>
          <w:szCs w:val="20"/>
          <w:color w:val="auto"/>
        </w:rPr>
      </w:pPr>
      <w:r>
        <w:rPr>
          <w:rFonts w:ascii="Arial" w:cs="Arial" w:eastAsia="Arial" w:hAnsi="Arial"/>
          <w:sz w:val="18"/>
          <w:szCs w:val="18"/>
          <w:color w:val="auto"/>
        </w:rPr>
        <w:t>We strive to keep improving performance. One way will be by changing how we develop advanced digital manufacturing process technology. Instead of separately creating our own process technology, we will work collaboratively with our foundry suppliers to specify and drive the next generations of digital process technology, and we will continue making products on these processes in our world-class factories. We expect that our 32-nanometer manufacturing process will be the first process technology developed entirely through this new collaboration. This is a natural extension of our existing relationships with foundries that will increase our R&amp;D efficiency and our capital efficiency while maintaining our responsiveness to customers. Additionally, we will stop production at an older digital factory and move its manufacturing equipment into several of our analog factories to support greater analog output.</w:t>
      </w:r>
    </w:p>
    <w:p>
      <w:pPr>
        <w:spacing w:after="0" w:line="155" w:lineRule="exact"/>
        <w:rPr>
          <w:sz w:val="20"/>
          <w:szCs w:val="20"/>
          <w:color w:val="auto"/>
        </w:rPr>
      </w:pPr>
    </w:p>
    <w:p>
      <w:pPr>
        <w:jc w:val="both"/>
        <w:ind w:left="460" w:right="140"/>
        <w:spacing w:after="0" w:line="238" w:lineRule="auto"/>
        <w:rPr>
          <w:sz w:val="20"/>
          <w:szCs w:val="20"/>
          <w:color w:val="auto"/>
        </w:rPr>
      </w:pPr>
      <w:r>
        <w:rPr>
          <w:rFonts w:ascii="Arial" w:cs="Arial" w:eastAsia="Arial" w:hAnsi="Arial"/>
          <w:sz w:val="18"/>
          <w:szCs w:val="18"/>
          <w:color w:val="auto"/>
        </w:rPr>
        <w:t>These changes will be made throughout 2007, and when complete are expected to reduce costs by about $200 million annually. As a result of these actions, about 500 jobs are expected to be reduced by year end. In total, we expect to incur restructuring charges of approximately $55 million, about evenly distributed across the four quarters of 2007.</w:t>
      </w:r>
    </w:p>
    <w:p>
      <w:pPr>
        <w:spacing w:after="0" w:line="154" w:lineRule="exact"/>
        <w:rPr>
          <w:sz w:val="20"/>
          <w:szCs w:val="20"/>
          <w:color w:val="auto"/>
        </w:rPr>
      </w:pPr>
    </w:p>
    <w:p>
      <w:pPr>
        <w:ind w:left="460" w:right="80"/>
        <w:spacing w:after="0" w:line="275" w:lineRule="auto"/>
        <w:rPr>
          <w:sz w:val="20"/>
          <w:szCs w:val="20"/>
          <w:color w:val="auto"/>
        </w:rPr>
      </w:pPr>
      <w:r>
        <w:rPr>
          <w:rFonts w:ascii="Arial" w:cs="Arial" w:eastAsia="Arial" w:hAnsi="Arial"/>
          <w:sz w:val="16"/>
          <w:szCs w:val="16"/>
          <w:color w:val="auto"/>
        </w:rPr>
        <w:t>Our Education Technology segment is a leading supplier of graphing handheld calculators. It also provides our customers with business and scientific calculators and a wide range of advanced classroom tools and professional development that enables students and teachers to explore math and science interactively. Our products are marketed primarily through retailers and to schools through instructional dealers. This business segment represented 4 percent of our revenue in 2006. Prices of Education Technology products tend to be stable.</w:t>
      </w:r>
    </w:p>
    <w:p>
      <w:pPr>
        <w:spacing w:after="0" w:line="129" w:lineRule="exact"/>
        <w:rPr>
          <w:sz w:val="20"/>
          <w:szCs w:val="20"/>
          <w:color w:val="auto"/>
        </w:rPr>
      </w:pPr>
    </w:p>
    <w:p>
      <w:pPr>
        <w:ind w:left="460"/>
        <w:spacing w:after="0" w:line="236" w:lineRule="auto"/>
        <w:rPr>
          <w:sz w:val="20"/>
          <w:szCs w:val="20"/>
          <w:color w:val="auto"/>
        </w:rPr>
      </w:pPr>
      <w:r>
        <w:rPr>
          <w:rFonts w:ascii="Arial" w:cs="Arial" w:eastAsia="Arial" w:hAnsi="Arial"/>
          <w:sz w:val="18"/>
          <w:szCs w:val="18"/>
          <w:color w:val="auto"/>
        </w:rPr>
        <w:t xml:space="preserve">In the third quarter of 2005, we implemented the Financial Accounting Standards Board’s (FASB) Statement of Financial Accounting Standard (SFAS) No. 123(R),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The financial results of 2006 and 2005 include the effects of adopting this new accounting rule for stock options effective July 1, 2005. Before July 1, 2005, our financial results include the expense of restricted stock units, but not stock options. As a result our 2006 and 2005 financial results are not fully comparable to our prior financial results or to each other. For 2006, the total stock-based compensation expense was $332 million, or 2.3 percent of revenue, compared with $175 million, or 1.4 percent of revenue in 2005. Stock-based compensation expense has been included in the applicable income statement lines but has not been allocated between segments. Rather it is reflected in Corporate (see Note 1 to the Financial Statements for additional discussion of the impact of adopting SFAS 123(R)).</w:t>
      </w:r>
    </w:p>
    <w:p>
      <w:pPr>
        <w:spacing w:after="0" w:line="136" w:lineRule="exact"/>
        <w:rPr>
          <w:sz w:val="20"/>
          <w:szCs w:val="20"/>
          <w:color w:val="auto"/>
        </w:rPr>
      </w:pPr>
    </w:p>
    <w:p>
      <w:pPr>
        <w:ind w:left="460" w:right="80"/>
        <w:spacing w:after="0" w:line="247" w:lineRule="auto"/>
        <w:rPr>
          <w:sz w:val="20"/>
          <w:szCs w:val="20"/>
          <w:color w:val="auto"/>
        </w:rPr>
      </w:pPr>
      <w:r>
        <w:rPr>
          <w:rFonts w:ascii="Arial" w:cs="Arial" w:eastAsia="Arial" w:hAnsi="Arial"/>
          <w:sz w:val="18"/>
          <w:szCs w:val="18"/>
          <w:color w:val="auto"/>
        </w:rPr>
        <w:t xml:space="preserve">Included in Note 1 to the Financial Statements, under </w:t>
      </w:r>
      <w:r>
        <w:rPr>
          <w:rFonts w:ascii="Arial" w:cs="Arial" w:eastAsia="Arial" w:hAnsi="Arial"/>
          <w:sz w:val="18"/>
          <w:szCs w:val="18"/>
          <w:i w:val="1"/>
          <w:iCs w:val="1"/>
          <w:color w:val="auto"/>
        </w:rPr>
        <w:t>Prior Period Pro Forma Presentations,</w:t>
      </w:r>
      <w:r>
        <w:rPr>
          <w:rFonts w:ascii="Arial" w:cs="Arial" w:eastAsia="Arial" w:hAnsi="Arial"/>
          <w:sz w:val="18"/>
          <w:szCs w:val="18"/>
          <w:color w:val="auto"/>
        </w:rPr>
        <w:t xml:space="preserve"> is a table that reflects what our financial results would have been if our stock-based compensation had been accounted for under the fair value method in periods prior to the adoption of SFAS 123(R).</w:t>
      </w:r>
    </w:p>
    <w:p>
      <w:pPr>
        <w:spacing w:after="0" w:line="149" w:lineRule="exact"/>
        <w:rPr>
          <w:sz w:val="20"/>
          <w:szCs w:val="20"/>
          <w:color w:val="auto"/>
        </w:rPr>
      </w:pPr>
    </w:p>
    <w:p>
      <w:pPr>
        <w:ind w:left="460" w:right="40"/>
        <w:spacing w:after="0" w:line="236" w:lineRule="auto"/>
        <w:rPr>
          <w:sz w:val="20"/>
          <w:szCs w:val="20"/>
          <w:color w:val="auto"/>
        </w:rPr>
      </w:pPr>
      <w:r>
        <w:rPr>
          <w:rFonts w:ascii="Arial" w:cs="Arial" w:eastAsia="Arial" w:hAnsi="Arial"/>
          <w:sz w:val="18"/>
          <w:szCs w:val="18"/>
          <w:color w:val="auto"/>
        </w:rPr>
        <w:t xml:space="preserve">As a result of a study of the pattern of usage of long-lived depreciable assets, effective January 1, 2006, we adopted the straight-line method of depreciation for all property, plant and equipment on a prospective basis as allowed for under SFAS No. 154, </w:t>
      </w:r>
      <w:r>
        <w:rPr>
          <w:rFonts w:ascii="Arial" w:cs="Arial" w:eastAsia="Arial" w:hAnsi="Arial"/>
          <w:sz w:val="18"/>
          <w:szCs w:val="18"/>
          <w:i w:val="1"/>
          <w:iCs w:val="1"/>
          <w:color w:val="auto"/>
        </w:rPr>
        <w:t>“Accounting Changes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Error Corrections, a replacement of APB Opinion No. 20 and FASB Statement No. 3.” </w:t>
      </w:r>
      <w:r>
        <w:rPr>
          <w:rFonts w:ascii="Arial" w:cs="Arial" w:eastAsia="Arial" w:hAnsi="Arial"/>
          <w:sz w:val="18"/>
          <w:szCs w:val="18"/>
          <w:color w:val="auto"/>
        </w:rPr>
        <w:t>The change in depreciation method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2006, reduced depreciation expense by $156 million (see Financial Condition below and Note 1 to the Financial Statements for additional information).</w:t>
      </w:r>
    </w:p>
    <w:p>
      <w:pPr>
        <w:sectPr>
          <w:pgSz w:w="11900" w:h="16838" w:orient="portrait"/>
          <w:cols w:equalWidth="0" w:num="1">
            <w:col w:w="11400"/>
          </w:cols>
          <w:pgMar w:left="240" w:top="287" w:right="259" w:bottom="1440" w:gutter="0" w:footer="0" w:header="0"/>
        </w:sectPr>
      </w:pPr>
    </w:p>
    <w:bookmarkStart w:id="94" w:name="page95"/>
    <w:bookmarkEnd w:id="94"/>
    <w:p>
      <w:pPr>
        <w:ind w:left="8060"/>
        <w:spacing w:after="0"/>
        <w:tabs>
          <w:tab w:leader="none" w:pos="1126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2006 ANNUAL REPORT</w:t>
      </w:r>
      <w:r>
        <w:rPr>
          <w:sz w:val="20"/>
          <w:szCs w:val="20"/>
          <w:color w:val="auto"/>
        </w:rPr>
        <w:tab/>
      </w:r>
      <w:r>
        <w:rPr>
          <w:rFonts w:ascii="Arial" w:cs="Arial" w:eastAsia="Arial" w:hAnsi="Arial"/>
          <w:sz w:val="12"/>
          <w:szCs w:val="12"/>
          <w:color w:val="939598"/>
        </w:rPr>
        <w:t>45</w:t>
      </w:r>
    </w:p>
    <w:p>
      <w:pPr>
        <w:spacing w:after="0" w:line="140" w:lineRule="exact"/>
        <w:rPr>
          <w:sz w:val="20"/>
          <w:szCs w:val="20"/>
          <w:color w:val="auto"/>
        </w:rPr>
      </w:pPr>
    </w:p>
    <w:p>
      <w:pPr>
        <w:ind w:left="460" w:right="20"/>
        <w:spacing w:after="0" w:line="236" w:lineRule="auto"/>
        <w:rPr>
          <w:sz w:val="20"/>
          <w:szCs w:val="20"/>
          <w:color w:val="auto"/>
        </w:rPr>
      </w:pPr>
      <w:r>
        <w:rPr>
          <w:rFonts w:ascii="Arial" w:cs="Arial" w:eastAsia="Arial" w:hAnsi="Arial"/>
          <w:sz w:val="18"/>
          <w:szCs w:val="18"/>
          <w:color w:val="auto"/>
        </w:rPr>
        <w:t>We operate in a number of tax jurisdictions and are subject to several types of taxes including taxes based on income, capital, property and payroll, and sales and other transactional taxes. The timing of the final determination of our tax liabilities varies among these jurisdictions and their taxing authorities. As a result, during any particular reporting period, we might reflect (in either income before income taxes, the provision for income taxes or both) one or more tax refunds or assessments, or changes to tax liabilities, involving one or more taxing authorities.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Discontinued Operations</w:t>
      </w:r>
    </w:p>
    <w:p>
      <w:pPr>
        <w:spacing w:after="0" w:line="158" w:lineRule="exact"/>
        <w:rPr>
          <w:sz w:val="20"/>
          <w:szCs w:val="20"/>
          <w:color w:val="auto"/>
        </w:rPr>
      </w:pPr>
    </w:p>
    <w:p>
      <w:pPr>
        <w:ind w:left="460" w:right="140"/>
        <w:spacing w:after="0" w:line="237" w:lineRule="auto"/>
        <w:rPr>
          <w:sz w:val="20"/>
          <w:szCs w:val="20"/>
          <w:color w:val="auto"/>
        </w:rPr>
      </w:pPr>
      <w:r>
        <w:rPr>
          <w:rFonts w:ascii="Arial" w:cs="Arial" w:eastAsia="Arial" w:hAnsi="Arial"/>
          <w:sz w:val="18"/>
          <w:szCs w:val="18"/>
          <w:color w:val="auto"/>
        </w:rPr>
        <w:t>In January 2006, we entered into a definitive agreement to sell the Sensors &amp; Controls segment, excluding the RFID systems operations, to an affiliate of Bain Capital, LLC, for $3 billion in cash. The sale was completed on April 27, 2006. The former Sensors &amp; Controls business acquired by Bain Capital, LLC was renamed Sensata Technologies (Sensata). The RFID operations retained are now included in the Semiconductor segment.</w:t>
      </w:r>
    </w:p>
    <w:p>
      <w:pPr>
        <w:spacing w:after="0" w:line="155" w:lineRule="exact"/>
        <w:rPr>
          <w:sz w:val="20"/>
          <w:szCs w:val="20"/>
          <w:color w:val="auto"/>
        </w:rPr>
      </w:pPr>
    </w:p>
    <w:p>
      <w:pPr>
        <w:ind w:left="460" w:right="160"/>
        <w:spacing w:after="0" w:line="299" w:lineRule="auto"/>
        <w:rPr>
          <w:sz w:val="20"/>
          <w:szCs w:val="20"/>
          <w:color w:val="auto"/>
        </w:rPr>
      </w:pPr>
      <w:r>
        <w:rPr>
          <w:rFonts w:ascii="Arial" w:cs="Arial" w:eastAsia="Arial" w:hAnsi="Arial"/>
          <w:sz w:val="16"/>
          <w:szCs w:val="16"/>
          <w:color w:val="auto"/>
        </w:rPr>
        <w:t>Products in the former Sensors &amp; Controls business included sensors and electrical and electronic controls. Primary markets were automotive and industrial. Other targeted markets included heating, ventilation, air conditioning, refrigeration and industrial control systems.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2006 Compared with 2005</w:t>
      </w:r>
    </w:p>
    <w:p>
      <w:pPr>
        <w:spacing w:after="0" w:line="158" w:lineRule="exact"/>
        <w:rPr>
          <w:sz w:val="20"/>
          <w:szCs w:val="20"/>
          <w:color w:val="auto"/>
        </w:rPr>
      </w:pPr>
    </w:p>
    <w:p>
      <w:pPr>
        <w:ind w:left="460" w:right="120"/>
        <w:spacing w:after="0" w:line="237" w:lineRule="auto"/>
        <w:rPr>
          <w:sz w:val="20"/>
          <w:szCs w:val="20"/>
          <w:color w:val="auto"/>
        </w:rPr>
      </w:pPr>
      <w:r>
        <w:rPr>
          <w:rFonts w:ascii="Arial" w:cs="Arial" w:eastAsia="Arial" w:hAnsi="Arial"/>
          <w:sz w:val="18"/>
          <w:szCs w:val="18"/>
          <w:color w:val="auto"/>
        </w:rPr>
        <w:t>We delivered important financial achievements in 2006. Specifically, our semiconductor revenue grew more than one and a half times faster than the market, our earnings per share increased almost twice as fast as our revenue, and our return on invested capital expanded to 21.5 percent. Most important to these results was our high-performance analog product line, which grew revenue 33 percent and continued to raise the bar on gross margin for the entire company.</w:t>
      </w:r>
    </w:p>
    <w:p>
      <w:pPr>
        <w:spacing w:after="0" w:line="155" w:lineRule="exact"/>
        <w:rPr>
          <w:sz w:val="20"/>
          <w:szCs w:val="20"/>
          <w:color w:val="auto"/>
        </w:rPr>
      </w:pPr>
    </w:p>
    <w:p>
      <w:pPr>
        <w:ind w:left="460" w:right="280"/>
        <w:spacing w:after="0" w:line="238" w:lineRule="auto"/>
        <w:rPr>
          <w:sz w:val="20"/>
          <w:szCs w:val="20"/>
          <w:color w:val="auto"/>
        </w:rPr>
      </w:pPr>
      <w:r>
        <w:rPr>
          <w:rFonts w:ascii="Arial" w:cs="Arial" w:eastAsia="Arial" w:hAnsi="Arial"/>
          <w:sz w:val="18"/>
          <w:szCs w:val="18"/>
          <w:color w:val="auto"/>
        </w:rPr>
        <w:t>As expected, demand in the fourth quarter of the year was unseasonably weak, and we limited production to reduce our inventories. Even with these pressures, our profitability remained relatively stable, reflecting the benefits of our hybrid manufacturing strategy whereby we outsource to foundries a large part of our most costly production.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Statement of Operations – Selected Items</w:t>
      </w:r>
    </w:p>
    <w:p>
      <w:pPr>
        <w:spacing w:after="0" w:line="200"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939598"/>
        </w:rPr>
        <w:t>FOR THE YEARS ENDED</w:t>
      </w:r>
    </w:p>
    <w:p>
      <w:pPr>
        <w:spacing w:after="0" w:line="4"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939598"/>
        </w:rPr>
        <w:t>DECEMBER 31,</w:t>
      </w:r>
    </w:p>
    <w:p>
      <w:pPr>
        <w:spacing w:after="0" w:line="2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7300" w:type="dxa"/>
            <w:vAlign w:val="bottom"/>
            <w:shd w:val="clear" w:color="auto" w:fill="939598"/>
          </w:tcPr>
          <w:p>
            <w:pPr>
              <w:spacing w:after="0"/>
              <w:rPr>
                <w:sz w:val="18"/>
                <w:szCs w:val="18"/>
                <w:color w:val="auto"/>
              </w:rPr>
            </w:pPr>
          </w:p>
        </w:tc>
        <w:tc>
          <w:tcPr>
            <w:tcW w:w="280" w:type="dxa"/>
            <w:vAlign w:val="bottom"/>
            <w:shd w:val="clear" w:color="auto" w:fill="939598"/>
          </w:tcPr>
          <w:p>
            <w:pPr>
              <w:spacing w:after="0"/>
              <w:rPr>
                <w:sz w:val="18"/>
                <w:szCs w:val="18"/>
                <w:color w:val="auto"/>
              </w:rPr>
            </w:pPr>
          </w:p>
        </w:tc>
        <w:tc>
          <w:tcPr>
            <w:tcW w:w="20" w:type="dxa"/>
            <w:vAlign w:val="bottom"/>
            <w:shd w:val="clear" w:color="auto" w:fill="939598"/>
          </w:tcPr>
          <w:p>
            <w:pPr>
              <w:spacing w:after="0"/>
              <w:rPr>
                <w:sz w:val="18"/>
                <w:szCs w:val="18"/>
                <w:color w:val="auto"/>
              </w:rPr>
            </w:pPr>
          </w:p>
        </w:tc>
        <w:tc>
          <w:tcPr>
            <w:tcW w:w="120" w:type="dxa"/>
            <w:vAlign w:val="bottom"/>
            <w:shd w:val="clear" w:color="auto" w:fill="939598"/>
          </w:tcPr>
          <w:p>
            <w:pPr>
              <w:spacing w:after="0"/>
              <w:rPr>
                <w:sz w:val="18"/>
                <w:szCs w:val="18"/>
                <w:color w:val="auto"/>
              </w:rPr>
            </w:pPr>
          </w:p>
        </w:tc>
        <w:tc>
          <w:tcPr>
            <w:tcW w:w="860" w:type="dxa"/>
            <w:vAlign w:val="bottom"/>
            <w:shd w:val="clear" w:color="auto" w:fill="939598"/>
          </w:tcPr>
          <w:p>
            <w:pPr>
              <w:jc w:val="right"/>
              <w:ind w:right="413"/>
              <w:spacing w:after="0"/>
              <w:rPr>
                <w:sz w:val="20"/>
                <w:szCs w:val="20"/>
                <w:color w:val="auto"/>
              </w:rPr>
            </w:pPr>
            <w:r>
              <w:rPr>
                <w:rFonts w:ascii="Arial" w:cs="Arial" w:eastAsia="Arial" w:hAnsi="Arial"/>
                <w:sz w:val="14"/>
                <w:szCs w:val="14"/>
                <w:b w:val="1"/>
                <w:bCs w:val="1"/>
                <w:color w:val="FFFFFF"/>
              </w:rPr>
              <w:t>2006</w:t>
            </w:r>
          </w:p>
        </w:tc>
        <w:tc>
          <w:tcPr>
            <w:tcW w:w="260" w:type="dxa"/>
            <w:vAlign w:val="bottom"/>
            <w:shd w:val="clear" w:color="auto" w:fill="939598"/>
          </w:tcPr>
          <w:p>
            <w:pPr>
              <w:spacing w:after="0"/>
              <w:rPr>
                <w:sz w:val="18"/>
                <w:szCs w:val="18"/>
                <w:color w:val="auto"/>
              </w:rPr>
            </w:pPr>
          </w:p>
        </w:tc>
        <w:tc>
          <w:tcPr>
            <w:tcW w:w="880" w:type="dxa"/>
            <w:vAlign w:val="bottom"/>
            <w:shd w:val="clear" w:color="auto" w:fill="939598"/>
          </w:tcPr>
          <w:p>
            <w:pPr>
              <w:jc w:val="right"/>
              <w:ind w:right="413"/>
              <w:spacing w:after="0"/>
              <w:rPr>
                <w:sz w:val="20"/>
                <w:szCs w:val="20"/>
                <w:color w:val="auto"/>
              </w:rPr>
            </w:pPr>
            <w:r>
              <w:rPr>
                <w:rFonts w:ascii="Arial" w:cs="Arial" w:eastAsia="Arial" w:hAnsi="Arial"/>
                <w:sz w:val="14"/>
                <w:szCs w:val="14"/>
                <w:b w:val="1"/>
                <w:bCs w:val="1"/>
                <w:color w:val="FFFFFF"/>
              </w:rPr>
              <w:t>2005</w:t>
            </w:r>
          </w:p>
        </w:tc>
        <w:tc>
          <w:tcPr>
            <w:tcW w:w="260" w:type="dxa"/>
            <w:vAlign w:val="bottom"/>
            <w:shd w:val="clear" w:color="auto" w:fill="939598"/>
          </w:tcPr>
          <w:p>
            <w:pPr>
              <w:spacing w:after="0"/>
              <w:rPr>
                <w:sz w:val="18"/>
                <w:szCs w:val="18"/>
                <w:color w:val="auto"/>
              </w:rPr>
            </w:pPr>
          </w:p>
        </w:tc>
        <w:tc>
          <w:tcPr>
            <w:tcW w:w="580" w:type="dxa"/>
            <w:vAlign w:val="bottom"/>
            <w:shd w:val="clear" w:color="auto" w:fill="939598"/>
          </w:tcPr>
          <w:p>
            <w:pPr>
              <w:jc w:val="right"/>
              <w:ind w:right="113"/>
              <w:spacing w:after="0"/>
              <w:rPr>
                <w:sz w:val="20"/>
                <w:szCs w:val="20"/>
                <w:color w:val="auto"/>
              </w:rPr>
            </w:pPr>
            <w:r>
              <w:rPr>
                <w:rFonts w:ascii="Arial" w:cs="Arial" w:eastAsia="Arial" w:hAnsi="Arial"/>
                <w:sz w:val="14"/>
                <w:szCs w:val="14"/>
                <w:b w:val="1"/>
                <w:bCs w:val="1"/>
                <w:color w:val="FFFFFF"/>
              </w:rPr>
              <w:t>2004</w:t>
            </w:r>
          </w:p>
        </w:tc>
        <w:tc>
          <w:tcPr>
            <w:tcW w:w="160" w:type="dxa"/>
            <w:vAlign w:val="bottom"/>
            <w:shd w:val="clear" w:color="auto" w:fill="939598"/>
          </w:tcPr>
          <w:p>
            <w:pPr>
              <w:spacing w:after="0"/>
              <w:rPr>
                <w:sz w:val="18"/>
                <w:szCs w:val="18"/>
                <w:color w:val="auto"/>
              </w:rPr>
            </w:pPr>
          </w:p>
        </w:tc>
      </w:tr>
      <w:tr>
        <w:trPr>
          <w:trHeight w:val="270"/>
        </w:trPr>
        <w:tc>
          <w:tcPr>
            <w:tcW w:w="7300" w:type="dxa"/>
            <w:vAlign w:val="bottom"/>
          </w:tcPr>
          <w:p>
            <w:pPr>
              <w:spacing w:after="0"/>
              <w:rPr>
                <w:sz w:val="20"/>
                <w:szCs w:val="20"/>
                <w:color w:val="auto"/>
              </w:rPr>
            </w:pPr>
            <w:r>
              <w:rPr>
                <w:rFonts w:ascii="Arial" w:cs="Arial" w:eastAsia="Arial" w:hAnsi="Arial"/>
                <w:sz w:val="18"/>
                <w:szCs w:val="18"/>
                <w:color w:val="auto"/>
              </w:rPr>
              <w:t>Revenue by segment:</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03"/>
        </w:trPr>
        <w:tc>
          <w:tcPr>
            <w:tcW w:w="730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Semiconductor</w:t>
            </w:r>
          </w:p>
        </w:tc>
        <w:tc>
          <w:tcPr>
            <w:tcW w:w="420" w:type="dxa"/>
            <w:vAlign w:val="bottom"/>
            <w:gridSpan w:val="3"/>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6E7E7"/>
          </w:tcPr>
          <w:p>
            <w:pPr>
              <w:jc w:val="right"/>
              <w:ind w:right="213"/>
              <w:spacing w:after="0" w:line="202" w:lineRule="exact"/>
              <w:rPr>
                <w:sz w:val="20"/>
                <w:szCs w:val="20"/>
                <w:color w:val="auto"/>
              </w:rPr>
            </w:pPr>
            <w:r>
              <w:rPr>
                <w:rFonts w:ascii="Arial" w:cs="Arial" w:eastAsia="Arial" w:hAnsi="Arial"/>
                <w:sz w:val="18"/>
                <w:szCs w:val="18"/>
                <w:b w:val="1"/>
                <w:bCs w:val="1"/>
                <w:color w:val="auto"/>
                <w:w w:val="98"/>
              </w:rPr>
              <w:t>13,730</w:t>
            </w:r>
          </w:p>
        </w:tc>
        <w:tc>
          <w:tcPr>
            <w:tcW w:w="2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6E7E7"/>
          </w:tcPr>
          <w:p>
            <w:pPr>
              <w:jc w:val="right"/>
              <w:ind w:right="213"/>
              <w:spacing w:after="0" w:line="202" w:lineRule="exact"/>
              <w:rPr>
                <w:sz w:val="20"/>
                <w:szCs w:val="20"/>
                <w:color w:val="auto"/>
              </w:rPr>
            </w:pPr>
            <w:r>
              <w:rPr>
                <w:rFonts w:ascii="Arial" w:cs="Arial" w:eastAsia="Arial" w:hAnsi="Arial"/>
                <w:sz w:val="18"/>
                <w:szCs w:val="18"/>
                <w:color w:val="auto"/>
              </w:rPr>
              <w:t>11,829</w:t>
            </w:r>
          </w:p>
        </w:tc>
        <w:tc>
          <w:tcPr>
            <w:tcW w:w="2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11,034</w:t>
            </w:r>
          </w:p>
        </w:tc>
        <w:tc>
          <w:tcPr>
            <w:tcW w:w="160" w:type="dxa"/>
            <w:vAlign w:val="bottom"/>
            <w:shd w:val="clear" w:color="auto" w:fill="E6E7E7"/>
          </w:tcPr>
          <w:p>
            <w:pPr>
              <w:spacing w:after="0"/>
              <w:rPr>
                <w:sz w:val="17"/>
                <w:szCs w:val="17"/>
                <w:color w:val="auto"/>
              </w:rPr>
            </w:pPr>
          </w:p>
        </w:tc>
      </w:tr>
      <w:tr>
        <w:trPr>
          <w:trHeight w:val="210"/>
        </w:trPr>
        <w:tc>
          <w:tcPr>
            <w:tcW w:w="7300" w:type="dxa"/>
            <w:vAlign w:val="bottom"/>
          </w:tcPr>
          <w:p>
            <w:pPr>
              <w:ind w:left="200"/>
              <w:spacing w:after="0" w:line="202" w:lineRule="exact"/>
              <w:rPr>
                <w:sz w:val="20"/>
                <w:szCs w:val="20"/>
                <w:color w:val="auto"/>
              </w:rPr>
            </w:pPr>
            <w:r>
              <w:rPr>
                <w:rFonts w:ascii="Arial" w:cs="Arial" w:eastAsia="Arial" w:hAnsi="Arial"/>
                <w:sz w:val="18"/>
                <w:szCs w:val="18"/>
                <w:color w:val="auto"/>
              </w:rPr>
              <w:t>Education Technology</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3"/>
              <w:spacing w:after="0" w:line="202" w:lineRule="exact"/>
              <w:rPr>
                <w:sz w:val="20"/>
                <w:szCs w:val="20"/>
                <w:color w:val="auto"/>
              </w:rPr>
            </w:pPr>
            <w:r>
              <w:rPr>
                <w:rFonts w:ascii="Arial" w:cs="Arial" w:eastAsia="Arial" w:hAnsi="Arial"/>
                <w:sz w:val="18"/>
                <w:szCs w:val="18"/>
                <w:b w:val="1"/>
                <w:bCs w:val="1"/>
                <w:color w:val="auto"/>
              </w:rPr>
              <w:t>525</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3"/>
              <w:spacing w:after="0" w:line="202" w:lineRule="exact"/>
              <w:rPr>
                <w:sz w:val="20"/>
                <w:szCs w:val="20"/>
                <w:color w:val="auto"/>
              </w:rPr>
            </w:pPr>
            <w:r>
              <w:rPr>
                <w:rFonts w:ascii="Arial" w:cs="Arial" w:eastAsia="Arial" w:hAnsi="Arial"/>
                <w:sz w:val="18"/>
                <w:szCs w:val="18"/>
                <w:color w:val="auto"/>
              </w:rPr>
              <w:t>506</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518</w:t>
            </w:r>
          </w:p>
        </w:tc>
        <w:tc>
          <w:tcPr>
            <w:tcW w:w="160" w:type="dxa"/>
            <w:vAlign w:val="bottom"/>
          </w:tcPr>
          <w:p>
            <w:pPr>
              <w:spacing w:after="0"/>
              <w:rPr>
                <w:sz w:val="18"/>
                <w:szCs w:val="18"/>
                <w:color w:val="auto"/>
              </w:rPr>
            </w:pPr>
          </w:p>
        </w:tc>
      </w:tr>
      <w:tr>
        <w:trPr>
          <w:trHeight w:val="203"/>
        </w:trPr>
        <w:tc>
          <w:tcPr>
            <w:tcW w:w="730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Net revenue</w:t>
            </w:r>
          </w:p>
        </w:tc>
        <w:tc>
          <w:tcPr>
            <w:tcW w:w="28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120" w:type="dxa"/>
            <w:vAlign w:val="bottom"/>
            <w:shd w:val="clear" w:color="auto" w:fill="E6E7E7"/>
          </w:tcPr>
          <w:p>
            <w:pPr>
              <w:spacing w:after="0"/>
              <w:rPr>
                <w:sz w:val="17"/>
                <w:szCs w:val="17"/>
                <w:color w:val="auto"/>
              </w:rPr>
            </w:pPr>
          </w:p>
        </w:tc>
        <w:tc>
          <w:tcPr>
            <w:tcW w:w="860" w:type="dxa"/>
            <w:vAlign w:val="bottom"/>
            <w:shd w:val="clear" w:color="auto" w:fill="E6E7E7"/>
          </w:tcPr>
          <w:p>
            <w:pPr>
              <w:jc w:val="right"/>
              <w:ind w:right="213"/>
              <w:spacing w:after="0" w:line="202" w:lineRule="exact"/>
              <w:rPr>
                <w:sz w:val="20"/>
                <w:szCs w:val="20"/>
                <w:color w:val="auto"/>
              </w:rPr>
            </w:pPr>
            <w:r>
              <w:rPr>
                <w:rFonts w:ascii="Arial" w:cs="Arial" w:eastAsia="Arial" w:hAnsi="Arial"/>
                <w:sz w:val="18"/>
                <w:szCs w:val="18"/>
                <w:b w:val="1"/>
                <w:bCs w:val="1"/>
                <w:color w:val="auto"/>
                <w:w w:val="98"/>
              </w:rPr>
              <w:t>14,255</w:t>
            </w:r>
          </w:p>
        </w:tc>
        <w:tc>
          <w:tcPr>
            <w:tcW w:w="260" w:type="dxa"/>
            <w:vAlign w:val="bottom"/>
            <w:shd w:val="clear" w:color="auto" w:fill="E6E7E7"/>
          </w:tcPr>
          <w:p>
            <w:pPr>
              <w:spacing w:after="0"/>
              <w:rPr>
                <w:sz w:val="17"/>
                <w:szCs w:val="17"/>
                <w:color w:val="auto"/>
              </w:rPr>
            </w:pPr>
          </w:p>
        </w:tc>
        <w:tc>
          <w:tcPr>
            <w:tcW w:w="880" w:type="dxa"/>
            <w:vAlign w:val="bottom"/>
            <w:shd w:val="clear" w:color="auto" w:fill="E6E7E7"/>
          </w:tcPr>
          <w:p>
            <w:pPr>
              <w:jc w:val="right"/>
              <w:ind w:right="213"/>
              <w:spacing w:after="0" w:line="202" w:lineRule="exact"/>
              <w:rPr>
                <w:sz w:val="20"/>
                <w:szCs w:val="20"/>
                <w:color w:val="auto"/>
              </w:rPr>
            </w:pPr>
            <w:r>
              <w:rPr>
                <w:rFonts w:ascii="Arial" w:cs="Arial" w:eastAsia="Arial" w:hAnsi="Arial"/>
                <w:sz w:val="18"/>
                <w:szCs w:val="18"/>
                <w:color w:val="auto"/>
              </w:rPr>
              <w:t>12,335</w:t>
            </w:r>
          </w:p>
        </w:tc>
        <w:tc>
          <w:tcPr>
            <w:tcW w:w="260" w:type="dxa"/>
            <w:vAlign w:val="bottom"/>
            <w:shd w:val="clear" w:color="auto" w:fill="E6E7E7"/>
          </w:tcPr>
          <w:p>
            <w:pPr>
              <w:spacing w:after="0"/>
              <w:rPr>
                <w:sz w:val="17"/>
                <w:szCs w:val="17"/>
                <w:color w:val="auto"/>
              </w:rPr>
            </w:pPr>
          </w:p>
        </w:tc>
        <w:tc>
          <w:tcPr>
            <w:tcW w:w="5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11,552</w:t>
            </w:r>
          </w:p>
        </w:tc>
        <w:tc>
          <w:tcPr>
            <w:tcW w:w="160" w:type="dxa"/>
            <w:vAlign w:val="bottom"/>
            <w:shd w:val="clear" w:color="auto" w:fill="E6E7E7"/>
          </w:tcPr>
          <w:p>
            <w:pPr>
              <w:spacing w:after="0"/>
              <w:rPr>
                <w:sz w:val="17"/>
                <w:szCs w:val="17"/>
                <w:color w:val="auto"/>
              </w:rPr>
            </w:pPr>
          </w:p>
        </w:tc>
      </w:tr>
      <w:tr>
        <w:trPr>
          <w:trHeight w:val="210"/>
        </w:trPr>
        <w:tc>
          <w:tcPr>
            <w:tcW w:w="730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3"/>
              <w:spacing w:after="0" w:line="202" w:lineRule="exact"/>
              <w:rPr>
                <w:sz w:val="20"/>
                <w:szCs w:val="20"/>
                <w:color w:val="auto"/>
              </w:rPr>
            </w:pPr>
            <w:r>
              <w:rPr>
                <w:rFonts w:ascii="Arial" w:cs="Arial" w:eastAsia="Arial" w:hAnsi="Arial"/>
                <w:sz w:val="18"/>
                <w:szCs w:val="18"/>
                <w:b w:val="1"/>
                <w:bCs w:val="1"/>
                <w:color w:val="auto"/>
              </w:rPr>
              <w:t>6,996</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3"/>
              <w:spacing w:after="0" w:line="202" w:lineRule="exact"/>
              <w:rPr>
                <w:sz w:val="20"/>
                <w:szCs w:val="20"/>
                <w:color w:val="auto"/>
              </w:rPr>
            </w:pPr>
            <w:r>
              <w:rPr>
                <w:rFonts w:ascii="Arial" w:cs="Arial" w:eastAsia="Arial" w:hAnsi="Arial"/>
                <w:sz w:val="18"/>
                <w:szCs w:val="18"/>
                <w:color w:val="auto"/>
              </w:rPr>
              <w:t>6,319</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6,295</w:t>
            </w:r>
          </w:p>
        </w:tc>
        <w:tc>
          <w:tcPr>
            <w:tcW w:w="160" w:type="dxa"/>
            <w:vAlign w:val="bottom"/>
          </w:tcPr>
          <w:p>
            <w:pPr>
              <w:spacing w:after="0"/>
              <w:rPr>
                <w:sz w:val="18"/>
                <w:szCs w:val="18"/>
                <w:color w:val="auto"/>
              </w:rPr>
            </w:pPr>
          </w:p>
        </w:tc>
      </w:tr>
      <w:tr>
        <w:trPr>
          <w:trHeight w:val="203"/>
        </w:trPr>
        <w:tc>
          <w:tcPr>
            <w:tcW w:w="7300" w:type="dxa"/>
            <w:vAlign w:val="bottom"/>
            <w:shd w:val="clear" w:color="auto" w:fill="E6E7E7"/>
          </w:tcPr>
          <w:p>
            <w:pPr>
              <w:spacing w:after="0" w:line="202" w:lineRule="exact"/>
              <w:rPr>
                <w:sz w:val="20"/>
                <w:szCs w:val="20"/>
                <w:color w:val="auto"/>
              </w:rPr>
            </w:pPr>
            <w:r>
              <w:rPr>
                <w:rFonts w:ascii="Arial" w:cs="Arial" w:eastAsia="Arial" w:hAnsi="Arial"/>
                <w:sz w:val="18"/>
                <w:szCs w:val="18"/>
                <w:color w:val="auto"/>
              </w:rPr>
              <w:t>Gross profit</w:t>
            </w:r>
          </w:p>
        </w:tc>
        <w:tc>
          <w:tcPr>
            <w:tcW w:w="28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120" w:type="dxa"/>
            <w:vAlign w:val="bottom"/>
            <w:shd w:val="clear" w:color="auto" w:fill="E6E7E7"/>
          </w:tcPr>
          <w:p>
            <w:pPr>
              <w:spacing w:after="0"/>
              <w:rPr>
                <w:sz w:val="17"/>
                <w:szCs w:val="17"/>
                <w:color w:val="auto"/>
              </w:rPr>
            </w:pPr>
          </w:p>
        </w:tc>
        <w:tc>
          <w:tcPr>
            <w:tcW w:w="860" w:type="dxa"/>
            <w:vAlign w:val="bottom"/>
            <w:shd w:val="clear" w:color="auto" w:fill="E6E7E7"/>
          </w:tcPr>
          <w:p>
            <w:pPr>
              <w:jc w:val="right"/>
              <w:ind w:right="213"/>
              <w:spacing w:after="0" w:line="202" w:lineRule="exact"/>
              <w:rPr>
                <w:sz w:val="20"/>
                <w:szCs w:val="20"/>
                <w:color w:val="auto"/>
              </w:rPr>
            </w:pPr>
            <w:r>
              <w:rPr>
                <w:rFonts w:ascii="Arial" w:cs="Arial" w:eastAsia="Arial" w:hAnsi="Arial"/>
                <w:sz w:val="18"/>
                <w:szCs w:val="18"/>
                <w:b w:val="1"/>
                <w:bCs w:val="1"/>
                <w:color w:val="auto"/>
              </w:rPr>
              <w:t>7,259</w:t>
            </w:r>
          </w:p>
        </w:tc>
        <w:tc>
          <w:tcPr>
            <w:tcW w:w="260" w:type="dxa"/>
            <w:vAlign w:val="bottom"/>
            <w:shd w:val="clear" w:color="auto" w:fill="E6E7E7"/>
          </w:tcPr>
          <w:p>
            <w:pPr>
              <w:spacing w:after="0"/>
              <w:rPr>
                <w:sz w:val="17"/>
                <w:szCs w:val="17"/>
                <w:color w:val="auto"/>
              </w:rPr>
            </w:pPr>
          </w:p>
        </w:tc>
        <w:tc>
          <w:tcPr>
            <w:tcW w:w="880" w:type="dxa"/>
            <w:vAlign w:val="bottom"/>
            <w:shd w:val="clear" w:color="auto" w:fill="E6E7E7"/>
          </w:tcPr>
          <w:p>
            <w:pPr>
              <w:jc w:val="right"/>
              <w:ind w:right="213"/>
              <w:spacing w:after="0" w:line="202" w:lineRule="exact"/>
              <w:rPr>
                <w:sz w:val="20"/>
                <w:szCs w:val="20"/>
                <w:color w:val="auto"/>
              </w:rPr>
            </w:pPr>
            <w:r>
              <w:rPr>
                <w:rFonts w:ascii="Arial" w:cs="Arial" w:eastAsia="Arial" w:hAnsi="Arial"/>
                <w:sz w:val="18"/>
                <w:szCs w:val="18"/>
                <w:color w:val="auto"/>
              </w:rPr>
              <w:t>6,016</w:t>
            </w:r>
          </w:p>
        </w:tc>
        <w:tc>
          <w:tcPr>
            <w:tcW w:w="260" w:type="dxa"/>
            <w:vAlign w:val="bottom"/>
            <w:shd w:val="clear" w:color="auto" w:fill="E6E7E7"/>
          </w:tcPr>
          <w:p>
            <w:pPr>
              <w:spacing w:after="0"/>
              <w:rPr>
                <w:sz w:val="17"/>
                <w:szCs w:val="17"/>
                <w:color w:val="auto"/>
              </w:rPr>
            </w:pPr>
          </w:p>
        </w:tc>
        <w:tc>
          <w:tcPr>
            <w:tcW w:w="5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5,257</w:t>
            </w:r>
          </w:p>
        </w:tc>
        <w:tc>
          <w:tcPr>
            <w:tcW w:w="160" w:type="dxa"/>
            <w:vAlign w:val="bottom"/>
            <w:shd w:val="clear" w:color="auto" w:fill="E6E7E7"/>
          </w:tcPr>
          <w:p>
            <w:pPr>
              <w:spacing w:after="0"/>
              <w:rPr>
                <w:sz w:val="17"/>
                <w:szCs w:val="17"/>
                <w:color w:val="auto"/>
              </w:rPr>
            </w:pPr>
          </w:p>
        </w:tc>
      </w:tr>
      <w:tr>
        <w:trPr>
          <w:trHeight w:val="203"/>
        </w:trPr>
        <w:tc>
          <w:tcPr>
            <w:tcW w:w="7300" w:type="dxa"/>
            <w:vAlign w:val="bottom"/>
          </w:tcPr>
          <w:p>
            <w:pPr>
              <w:ind w:left="200"/>
              <w:spacing w:after="0" w:line="202" w:lineRule="exact"/>
              <w:rPr>
                <w:sz w:val="20"/>
                <w:szCs w:val="20"/>
                <w:color w:val="auto"/>
              </w:rPr>
            </w:pPr>
            <w:r>
              <w:rPr>
                <w:rFonts w:ascii="Arial" w:cs="Arial" w:eastAsia="Arial" w:hAnsi="Arial"/>
                <w:sz w:val="18"/>
                <w:szCs w:val="18"/>
                <w:color w:val="auto"/>
              </w:rPr>
              <w:t>Gross profit % of revenue</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50.9%</w:t>
            </w:r>
          </w:p>
        </w:tc>
        <w:tc>
          <w:tcPr>
            <w:tcW w:w="260" w:type="dxa"/>
            <w:vAlign w:val="bottom"/>
          </w:tcPr>
          <w:p>
            <w:pPr>
              <w:spacing w:after="0"/>
              <w:rPr>
                <w:sz w:val="17"/>
                <w:szCs w:val="17"/>
                <w:color w:val="auto"/>
              </w:rPr>
            </w:pPr>
          </w:p>
        </w:tc>
        <w:tc>
          <w:tcPr>
            <w:tcW w:w="8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48.8%</w:t>
            </w:r>
          </w:p>
        </w:tc>
        <w:tc>
          <w:tcPr>
            <w:tcW w:w="26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45.5%</w:t>
            </w:r>
          </w:p>
        </w:tc>
      </w:tr>
      <w:tr>
        <w:trPr>
          <w:trHeight w:val="203"/>
        </w:trPr>
        <w:tc>
          <w:tcPr>
            <w:tcW w:w="7300" w:type="dxa"/>
            <w:vAlign w:val="bottom"/>
            <w:shd w:val="clear" w:color="auto" w:fill="E6E7E7"/>
          </w:tcPr>
          <w:p>
            <w:pPr>
              <w:spacing w:after="0" w:line="202" w:lineRule="exact"/>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120" w:type="dxa"/>
            <w:vAlign w:val="bottom"/>
            <w:shd w:val="clear" w:color="auto" w:fill="E6E7E7"/>
          </w:tcPr>
          <w:p>
            <w:pPr>
              <w:spacing w:after="0"/>
              <w:rPr>
                <w:sz w:val="17"/>
                <w:szCs w:val="17"/>
                <w:color w:val="auto"/>
              </w:rPr>
            </w:pPr>
          </w:p>
        </w:tc>
        <w:tc>
          <w:tcPr>
            <w:tcW w:w="860" w:type="dxa"/>
            <w:vAlign w:val="bottom"/>
            <w:shd w:val="clear" w:color="auto" w:fill="E6E7E7"/>
          </w:tcPr>
          <w:p>
            <w:pPr>
              <w:jc w:val="right"/>
              <w:ind w:right="213"/>
              <w:spacing w:after="0" w:line="202" w:lineRule="exact"/>
              <w:rPr>
                <w:sz w:val="20"/>
                <w:szCs w:val="20"/>
                <w:color w:val="auto"/>
              </w:rPr>
            </w:pPr>
            <w:r>
              <w:rPr>
                <w:rFonts w:ascii="Arial" w:cs="Arial" w:eastAsia="Arial" w:hAnsi="Arial"/>
                <w:sz w:val="18"/>
                <w:szCs w:val="18"/>
                <w:b w:val="1"/>
                <w:bCs w:val="1"/>
                <w:color w:val="auto"/>
              </w:rPr>
              <w:t>2,195</w:t>
            </w:r>
          </w:p>
        </w:tc>
        <w:tc>
          <w:tcPr>
            <w:tcW w:w="260" w:type="dxa"/>
            <w:vAlign w:val="bottom"/>
            <w:shd w:val="clear" w:color="auto" w:fill="E6E7E7"/>
          </w:tcPr>
          <w:p>
            <w:pPr>
              <w:spacing w:after="0"/>
              <w:rPr>
                <w:sz w:val="17"/>
                <w:szCs w:val="17"/>
                <w:color w:val="auto"/>
              </w:rPr>
            </w:pPr>
          </w:p>
        </w:tc>
        <w:tc>
          <w:tcPr>
            <w:tcW w:w="880" w:type="dxa"/>
            <w:vAlign w:val="bottom"/>
            <w:shd w:val="clear" w:color="auto" w:fill="E6E7E7"/>
          </w:tcPr>
          <w:p>
            <w:pPr>
              <w:jc w:val="right"/>
              <w:ind w:right="213"/>
              <w:spacing w:after="0" w:line="202" w:lineRule="exact"/>
              <w:rPr>
                <w:sz w:val="20"/>
                <w:szCs w:val="20"/>
                <w:color w:val="auto"/>
              </w:rPr>
            </w:pPr>
            <w:r>
              <w:rPr>
                <w:rFonts w:ascii="Arial" w:cs="Arial" w:eastAsia="Arial" w:hAnsi="Arial"/>
                <w:sz w:val="18"/>
                <w:szCs w:val="18"/>
                <w:color w:val="auto"/>
              </w:rPr>
              <w:t>1,986</w:t>
            </w:r>
          </w:p>
        </w:tc>
        <w:tc>
          <w:tcPr>
            <w:tcW w:w="260" w:type="dxa"/>
            <w:vAlign w:val="bottom"/>
            <w:shd w:val="clear" w:color="auto" w:fill="E6E7E7"/>
          </w:tcPr>
          <w:p>
            <w:pPr>
              <w:spacing w:after="0"/>
              <w:rPr>
                <w:sz w:val="17"/>
                <w:szCs w:val="17"/>
                <w:color w:val="auto"/>
              </w:rPr>
            </w:pPr>
          </w:p>
        </w:tc>
        <w:tc>
          <w:tcPr>
            <w:tcW w:w="5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1,946</w:t>
            </w:r>
          </w:p>
        </w:tc>
        <w:tc>
          <w:tcPr>
            <w:tcW w:w="160" w:type="dxa"/>
            <w:vAlign w:val="bottom"/>
            <w:shd w:val="clear" w:color="auto" w:fill="E6E7E7"/>
          </w:tcPr>
          <w:p>
            <w:pPr>
              <w:spacing w:after="0"/>
              <w:rPr>
                <w:sz w:val="17"/>
                <w:szCs w:val="17"/>
                <w:color w:val="auto"/>
              </w:rPr>
            </w:pPr>
          </w:p>
        </w:tc>
      </w:tr>
      <w:tr>
        <w:trPr>
          <w:trHeight w:val="203"/>
        </w:trPr>
        <w:tc>
          <w:tcPr>
            <w:tcW w:w="7300" w:type="dxa"/>
            <w:vAlign w:val="bottom"/>
          </w:tcPr>
          <w:p>
            <w:pPr>
              <w:ind w:left="200"/>
              <w:spacing w:after="0" w:line="202" w:lineRule="exact"/>
              <w:rPr>
                <w:sz w:val="20"/>
                <w:szCs w:val="20"/>
                <w:color w:val="auto"/>
              </w:rPr>
            </w:pPr>
            <w:r>
              <w:rPr>
                <w:rFonts w:ascii="Arial" w:cs="Arial" w:eastAsia="Arial" w:hAnsi="Arial"/>
                <w:sz w:val="18"/>
                <w:szCs w:val="18"/>
                <w:color w:val="auto"/>
              </w:rPr>
              <w:t>R&amp;D % of revenue</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15.4%</w:t>
            </w:r>
          </w:p>
        </w:tc>
        <w:tc>
          <w:tcPr>
            <w:tcW w:w="260" w:type="dxa"/>
            <w:vAlign w:val="bottom"/>
          </w:tcPr>
          <w:p>
            <w:pPr>
              <w:spacing w:after="0"/>
              <w:rPr>
                <w:sz w:val="17"/>
                <w:szCs w:val="17"/>
                <w:color w:val="auto"/>
              </w:rPr>
            </w:pPr>
          </w:p>
        </w:tc>
        <w:tc>
          <w:tcPr>
            <w:tcW w:w="8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16.1%</w:t>
            </w:r>
          </w:p>
        </w:tc>
        <w:tc>
          <w:tcPr>
            <w:tcW w:w="26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16.8%</w:t>
            </w:r>
          </w:p>
        </w:tc>
      </w:tr>
      <w:tr>
        <w:trPr>
          <w:trHeight w:val="203"/>
        </w:trPr>
        <w:tc>
          <w:tcPr>
            <w:tcW w:w="7300" w:type="dxa"/>
            <w:vAlign w:val="bottom"/>
            <w:shd w:val="clear" w:color="auto" w:fill="E6E7E7"/>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120" w:type="dxa"/>
            <w:vAlign w:val="bottom"/>
            <w:shd w:val="clear" w:color="auto" w:fill="E6E7E7"/>
          </w:tcPr>
          <w:p>
            <w:pPr>
              <w:spacing w:after="0"/>
              <w:rPr>
                <w:sz w:val="17"/>
                <w:szCs w:val="17"/>
                <w:color w:val="auto"/>
              </w:rPr>
            </w:pPr>
          </w:p>
        </w:tc>
        <w:tc>
          <w:tcPr>
            <w:tcW w:w="860" w:type="dxa"/>
            <w:vAlign w:val="bottom"/>
            <w:shd w:val="clear" w:color="auto" w:fill="E6E7E7"/>
          </w:tcPr>
          <w:p>
            <w:pPr>
              <w:jc w:val="right"/>
              <w:ind w:right="213"/>
              <w:spacing w:after="0" w:line="202" w:lineRule="exact"/>
              <w:rPr>
                <w:sz w:val="20"/>
                <w:szCs w:val="20"/>
                <w:color w:val="auto"/>
              </w:rPr>
            </w:pPr>
            <w:r>
              <w:rPr>
                <w:rFonts w:ascii="Arial" w:cs="Arial" w:eastAsia="Arial" w:hAnsi="Arial"/>
                <w:sz w:val="18"/>
                <w:szCs w:val="18"/>
                <w:b w:val="1"/>
                <w:bCs w:val="1"/>
                <w:color w:val="auto"/>
              </w:rPr>
              <w:t>1,697</w:t>
            </w:r>
          </w:p>
        </w:tc>
        <w:tc>
          <w:tcPr>
            <w:tcW w:w="260" w:type="dxa"/>
            <w:vAlign w:val="bottom"/>
            <w:shd w:val="clear" w:color="auto" w:fill="E6E7E7"/>
          </w:tcPr>
          <w:p>
            <w:pPr>
              <w:spacing w:after="0"/>
              <w:rPr>
                <w:sz w:val="17"/>
                <w:szCs w:val="17"/>
                <w:color w:val="auto"/>
              </w:rPr>
            </w:pPr>
          </w:p>
        </w:tc>
        <w:tc>
          <w:tcPr>
            <w:tcW w:w="880" w:type="dxa"/>
            <w:vAlign w:val="bottom"/>
            <w:shd w:val="clear" w:color="auto" w:fill="E6E7E7"/>
          </w:tcPr>
          <w:p>
            <w:pPr>
              <w:jc w:val="right"/>
              <w:ind w:right="213"/>
              <w:spacing w:after="0" w:line="202" w:lineRule="exact"/>
              <w:rPr>
                <w:sz w:val="20"/>
                <w:szCs w:val="20"/>
                <w:color w:val="auto"/>
              </w:rPr>
            </w:pPr>
            <w:r>
              <w:rPr>
                <w:rFonts w:ascii="Arial" w:cs="Arial" w:eastAsia="Arial" w:hAnsi="Arial"/>
                <w:sz w:val="18"/>
                <w:szCs w:val="18"/>
                <w:color w:val="auto"/>
              </w:rPr>
              <w:t>1,471</w:t>
            </w:r>
          </w:p>
        </w:tc>
        <w:tc>
          <w:tcPr>
            <w:tcW w:w="260" w:type="dxa"/>
            <w:vAlign w:val="bottom"/>
            <w:shd w:val="clear" w:color="auto" w:fill="E6E7E7"/>
          </w:tcPr>
          <w:p>
            <w:pPr>
              <w:spacing w:after="0"/>
              <w:rPr>
                <w:sz w:val="17"/>
                <w:szCs w:val="17"/>
                <w:color w:val="auto"/>
              </w:rPr>
            </w:pPr>
          </w:p>
        </w:tc>
        <w:tc>
          <w:tcPr>
            <w:tcW w:w="5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1,351</w:t>
            </w:r>
          </w:p>
        </w:tc>
        <w:tc>
          <w:tcPr>
            <w:tcW w:w="160" w:type="dxa"/>
            <w:vAlign w:val="bottom"/>
            <w:shd w:val="clear" w:color="auto" w:fill="E6E7E7"/>
          </w:tcPr>
          <w:p>
            <w:pPr>
              <w:spacing w:after="0"/>
              <w:rPr>
                <w:sz w:val="17"/>
                <w:szCs w:val="17"/>
                <w:color w:val="auto"/>
              </w:rPr>
            </w:pPr>
          </w:p>
        </w:tc>
      </w:tr>
      <w:tr>
        <w:trPr>
          <w:trHeight w:val="210"/>
        </w:trPr>
        <w:tc>
          <w:tcPr>
            <w:tcW w:w="7300" w:type="dxa"/>
            <w:vAlign w:val="bottom"/>
          </w:tcPr>
          <w:p>
            <w:pPr>
              <w:ind w:left="200"/>
              <w:spacing w:after="0" w:line="202" w:lineRule="exact"/>
              <w:rPr>
                <w:sz w:val="20"/>
                <w:szCs w:val="20"/>
                <w:color w:val="auto"/>
              </w:rPr>
            </w:pPr>
            <w:r>
              <w:rPr>
                <w:rFonts w:ascii="Arial" w:cs="Arial" w:eastAsia="Arial" w:hAnsi="Arial"/>
                <w:sz w:val="18"/>
                <w:szCs w:val="18"/>
                <w:color w:val="auto"/>
              </w:rPr>
              <w:t>SG&amp;A % of revenue</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11.9%</w:t>
            </w:r>
          </w:p>
        </w:tc>
        <w:tc>
          <w:tcPr>
            <w:tcW w:w="260" w:type="dxa"/>
            <w:vAlign w:val="bottom"/>
          </w:tcPr>
          <w:p>
            <w:pPr>
              <w:spacing w:after="0"/>
              <w:rPr>
                <w:sz w:val="18"/>
                <w:szCs w:val="18"/>
                <w:color w:val="auto"/>
              </w:rPr>
            </w:pPr>
          </w:p>
        </w:tc>
        <w:tc>
          <w:tcPr>
            <w:tcW w:w="8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11.9%</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11.7%</w:t>
            </w:r>
          </w:p>
        </w:tc>
      </w:tr>
      <w:tr>
        <w:trPr>
          <w:trHeight w:val="203"/>
        </w:trPr>
        <w:tc>
          <w:tcPr>
            <w:tcW w:w="7300" w:type="dxa"/>
            <w:vAlign w:val="bottom"/>
            <w:shd w:val="clear" w:color="auto" w:fill="E6E7E7"/>
          </w:tcPr>
          <w:p>
            <w:pPr>
              <w:spacing w:after="0" w:line="202" w:lineRule="exact"/>
              <w:rPr>
                <w:sz w:val="20"/>
                <w:szCs w:val="20"/>
                <w:color w:val="auto"/>
              </w:rPr>
            </w:pPr>
            <w:r>
              <w:rPr>
                <w:rFonts w:ascii="Arial" w:cs="Arial" w:eastAsia="Arial" w:hAnsi="Arial"/>
                <w:sz w:val="18"/>
                <w:szCs w:val="18"/>
                <w:color w:val="auto"/>
              </w:rPr>
              <w:t>Profit from operations</w:t>
            </w:r>
          </w:p>
        </w:tc>
        <w:tc>
          <w:tcPr>
            <w:tcW w:w="28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120" w:type="dxa"/>
            <w:vAlign w:val="bottom"/>
            <w:tcBorders>
              <w:top w:val="single" w:sz="8" w:color="auto"/>
            </w:tcBorders>
            <w:shd w:val="clear" w:color="auto" w:fill="E6E7E7"/>
          </w:tcPr>
          <w:p>
            <w:pPr>
              <w:spacing w:after="0"/>
              <w:rPr>
                <w:sz w:val="17"/>
                <w:szCs w:val="17"/>
                <w:color w:val="auto"/>
              </w:rPr>
            </w:pPr>
          </w:p>
        </w:tc>
        <w:tc>
          <w:tcPr>
            <w:tcW w:w="860" w:type="dxa"/>
            <w:vAlign w:val="bottom"/>
            <w:tcBorders>
              <w:top w:val="single" w:sz="8" w:color="auto"/>
            </w:tcBorders>
            <w:shd w:val="clear" w:color="auto" w:fill="E6E7E7"/>
          </w:tcPr>
          <w:p>
            <w:pPr>
              <w:jc w:val="right"/>
              <w:ind w:right="213"/>
              <w:spacing w:after="0" w:line="202" w:lineRule="exact"/>
              <w:rPr>
                <w:sz w:val="20"/>
                <w:szCs w:val="20"/>
                <w:color w:val="auto"/>
              </w:rPr>
            </w:pPr>
            <w:r>
              <w:rPr>
                <w:rFonts w:ascii="Arial" w:cs="Arial" w:eastAsia="Arial" w:hAnsi="Arial"/>
                <w:sz w:val="18"/>
                <w:szCs w:val="18"/>
                <w:b w:val="1"/>
                <w:bCs w:val="1"/>
                <w:color w:val="auto"/>
              </w:rPr>
              <w:t>3,367</w:t>
            </w:r>
          </w:p>
        </w:tc>
        <w:tc>
          <w:tcPr>
            <w:tcW w:w="260" w:type="dxa"/>
            <w:vAlign w:val="bottom"/>
            <w:tcBorders>
              <w:top w:val="single" w:sz="8" w:color="auto"/>
            </w:tcBorders>
            <w:shd w:val="clear" w:color="auto" w:fill="E6E7E7"/>
          </w:tcPr>
          <w:p>
            <w:pPr>
              <w:spacing w:after="0"/>
              <w:rPr>
                <w:sz w:val="17"/>
                <w:szCs w:val="17"/>
                <w:color w:val="auto"/>
              </w:rPr>
            </w:pPr>
          </w:p>
        </w:tc>
        <w:tc>
          <w:tcPr>
            <w:tcW w:w="880" w:type="dxa"/>
            <w:vAlign w:val="bottom"/>
            <w:tcBorders>
              <w:top w:val="single" w:sz="8" w:color="auto"/>
            </w:tcBorders>
            <w:shd w:val="clear" w:color="auto" w:fill="E6E7E7"/>
          </w:tcPr>
          <w:p>
            <w:pPr>
              <w:jc w:val="right"/>
              <w:ind w:right="213"/>
              <w:spacing w:after="0" w:line="202" w:lineRule="exact"/>
              <w:rPr>
                <w:sz w:val="20"/>
                <w:szCs w:val="20"/>
                <w:color w:val="auto"/>
              </w:rPr>
            </w:pPr>
            <w:r>
              <w:rPr>
                <w:rFonts w:ascii="Arial" w:cs="Arial" w:eastAsia="Arial" w:hAnsi="Arial"/>
                <w:sz w:val="18"/>
                <w:szCs w:val="18"/>
                <w:color w:val="auto"/>
              </w:rPr>
              <w:t>2,559</w:t>
            </w:r>
          </w:p>
        </w:tc>
        <w:tc>
          <w:tcPr>
            <w:tcW w:w="260" w:type="dxa"/>
            <w:vAlign w:val="bottom"/>
            <w:tcBorders>
              <w:top w:val="single" w:sz="8" w:color="auto"/>
            </w:tcBorders>
            <w:shd w:val="clear" w:color="auto" w:fill="E6E7E7"/>
          </w:tcPr>
          <w:p>
            <w:pPr>
              <w:spacing w:after="0"/>
              <w:rPr>
                <w:sz w:val="17"/>
                <w:szCs w:val="17"/>
                <w:color w:val="auto"/>
              </w:rPr>
            </w:pPr>
          </w:p>
        </w:tc>
        <w:tc>
          <w:tcPr>
            <w:tcW w:w="580" w:type="dxa"/>
            <w:vAlign w:val="bottom"/>
            <w:tcBorders>
              <w:top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1,960</w:t>
            </w:r>
          </w:p>
        </w:tc>
        <w:tc>
          <w:tcPr>
            <w:tcW w:w="160" w:type="dxa"/>
            <w:vAlign w:val="bottom"/>
            <w:shd w:val="clear" w:color="auto" w:fill="E6E7E7"/>
          </w:tcPr>
          <w:p>
            <w:pPr>
              <w:spacing w:after="0"/>
              <w:rPr>
                <w:sz w:val="17"/>
                <w:szCs w:val="17"/>
                <w:color w:val="auto"/>
              </w:rPr>
            </w:pPr>
          </w:p>
        </w:tc>
      </w:tr>
      <w:tr>
        <w:trPr>
          <w:trHeight w:val="203"/>
        </w:trPr>
        <w:tc>
          <w:tcPr>
            <w:tcW w:w="7300" w:type="dxa"/>
            <w:vAlign w:val="bottom"/>
          </w:tcPr>
          <w:p>
            <w:pPr>
              <w:ind w:left="200"/>
              <w:spacing w:after="0" w:line="202" w:lineRule="exact"/>
              <w:rPr>
                <w:sz w:val="20"/>
                <w:szCs w:val="20"/>
                <w:color w:val="auto"/>
              </w:rPr>
            </w:pPr>
            <w:r>
              <w:rPr>
                <w:rFonts w:ascii="Arial" w:cs="Arial" w:eastAsia="Arial" w:hAnsi="Arial"/>
                <w:sz w:val="18"/>
                <w:szCs w:val="18"/>
                <w:color w:val="auto"/>
              </w:rPr>
              <w:t>Operating profit % of revenue</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23.6%</w:t>
            </w:r>
          </w:p>
        </w:tc>
        <w:tc>
          <w:tcPr>
            <w:tcW w:w="260" w:type="dxa"/>
            <w:vAlign w:val="bottom"/>
          </w:tcPr>
          <w:p>
            <w:pPr>
              <w:spacing w:after="0"/>
              <w:rPr>
                <w:sz w:val="17"/>
                <w:szCs w:val="17"/>
                <w:color w:val="auto"/>
              </w:rPr>
            </w:pPr>
          </w:p>
        </w:tc>
        <w:tc>
          <w:tcPr>
            <w:tcW w:w="8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20.7%</w:t>
            </w:r>
          </w:p>
        </w:tc>
        <w:tc>
          <w:tcPr>
            <w:tcW w:w="26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17.0%</w:t>
            </w:r>
          </w:p>
        </w:tc>
      </w:tr>
      <w:tr>
        <w:trPr>
          <w:trHeight w:val="203"/>
        </w:trPr>
        <w:tc>
          <w:tcPr>
            <w:tcW w:w="7300" w:type="dxa"/>
            <w:vAlign w:val="bottom"/>
            <w:shd w:val="clear" w:color="auto" w:fill="E6E7E7"/>
          </w:tcPr>
          <w:p>
            <w:pPr>
              <w:spacing w:after="0" w:line="202" w:lineRule="exact"/>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120" w:type="dxa"/>
            <w:vAlign w:val="bottom"/>
            <w:shd w:val="clear" w:color="auto" w:fill="E6E7E7"/>
          </w:tcPr>
          <w:p>
            <w:pPr>
              <w:spacing w:after="0"/>
              <w:rPr>
                <w:sz w:val="17"/>
                <w:szCs w:val="17"/>
                <w:color w:val="auto"/>
              </w:rPr>
            </w:pPr>
          </w:p>
        </w:tc>
        <w:tc>
          <w:tcPr>
            <w:tcW w:w="860" w:type="dxa"/>
            <w:vAlign w:val="bottom"/>
            <w:shd w:val="clear" w:color="auto" w:fill="E6E7E7"/>
          </w:tcPr>
          <w:p>
            <w:pPr>
              <w:jc w:val="right"/>
              <w:ind w:right="213"/>
              <w:spacing w:after="0" w:line="202" w:lineRule="exact"/>
              <w:rPr>
                <w:sz w:val="20"/>
                <w:szCs w:val="20"/>
                <w:color w:val="auto"/>
              </w:rPr>
            </w:pPr>
            <w:r>
              <w:rPr>
                <w:rFonts w:ascii="Arial" w:cs="Arial" w:eastAsia="Arial" w:hAnsi="Arial"/>
                <w:sz w:val="18"/>
                <w:szCs w:val="18"/>
                <w:b w:val="1"/>
                <w:bCs w:val="1"/>
                <w:color w:val="auto"/>
              </w:rPr>
              <w:t>265</w:t>
            </w:r>
          </w:p>
        </w:tc>
        <w:tc>
          <w:tcPr>
            <w:tcW w:w="260" w:type="dxa"/>
            <w:vAlign w:val="bottom"/>
            <w:shd w:val="clear" w:color="auto" w:fill="E6E7E7"/>
          </w:tcPr>
          <w:p>
            <w:pPr>
              <w:spacing w:after="0"/>
              <w:rPr>
                <w:sz w:val="17"/>
                <w:szCs w:val="17"/>
                <w:color w:val="auto"/>
              </w:rPr>
            </w:pPr>
          </w:p>
        </w:tc>
        <w:tc>
          <w:tcPr>
            <w:tcW w:w="880" w:type="dxa"/>
            <w:vAlign w:val="bottom"/>
            <w:shd w:val="clear" w:color="auto" w:fill="E6E7E7"/>
          </w:tcPr>
          <w:p>
            <w:pPr>
              <w:jc w:val="right"/>
              <w:ind w:right="213"/>
              <w:spacing w:after="0" w:line="202" w:lineRule="exact"/>
              <w:rPr>
                <w:sz w:val="20"/>
                <w:szCs w:val="20"/>
                <w:color w:val="auto"/>
              </w:rPr>
            </w:pPr>
            <w:r>
              <w:rPr>
                <w:rFonts w:ascii="Arial" w:cs="Arial" w:eastAsia="Arial" w:hAnsi="Arial"/>
                <w:sz w:val="18"/>
                <w:szCs w:val="18"/>
                <w:color w:val="auto"/>
              </w:rPr>
              <w:t>205</w:t>
            </w:r>
          </w:p>
        </w:tc>
        <w:tc>
          <w:tcPr>
            <w:tcW w:w="260" w:type="dxa"/>
            <w:vAlign w:val="bottom"/>
            <w:shd w:val="clear" w:color="auto" w:fill="E6E7E7"/>
          </w:tcPr>
          <w:p>
            <w:pPr>
              <w:spacing w:after="0"/>
              <w:rPr>
                <w:sz w:val="17"/>
                <w:szCs w:val="17"/>
                <w:color w:val="auto"/>
              </w:rPr>
            </w:pPr>
          </w:p>
        </w:tc>
        <w:tc>
          <w:tcPr>
            <w:tcW w:w="5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233</w:t>
            </w:r>
          </w:p>
        </w:tc>
        <w:tc>
          <w:tcPr>
            <w:tcW w:w="160" w:type="dxa"/>
            <w:vAlign w:val="bottom"/>
            <w:shd w:val="clear" w:color="auto" w:fill="E6E7E7"/>
          </w:tcPr>
          <w:p>
            <w:pPr>
              <w:spacing w:after="0"/>
              <w:rPr>
                <w:sz w:val="17"/>
                <w:szCs w:val="17"/>
                <w:color w:val="auto"/>
              </w:rPr>
            </w:pPr>
          </w:p>
        </w:tc>
      </w:tr>
      <w:tr>
        <w:trPr>
          <w:trHeight w:val="210"/>
        </w:trPr>
        <w:tc>
          <w:tcPr>
            <w:tcW w:w="7300" w:type="dxa"/>
            <w:vAlign w:val="bottom"/>
          </w:tcPr>
          <w:p>
            <w:pPr>
              <w:spacing w:after="0" w:line="202" w:lineRule="exact"/>
              <w:rPr>
                <w:sz w:val="20"/>
                <w:szCs w:val="20"/>
                <w:color w:val="auto"/>
              </w:rPr>
            </w:pPr>
            <w:r>
              <w:rPr>
                <w:rFonts w:ascii="Arial" w:cs="Arial" w:eastAsia="Arial" w:hAnsi="Arial"/>
                <w:sz w:val="18"/>
                <w:szCs w:val="18"/>
                <w:color w:val="auto"/>
              </w:rPr>
              <w:t>Interest expense on loans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3"/>
              <w:spacing w:after="0" w:line="202" w:lineRule="exact"/>
              <w:rPr>
                <w:sz w:val="20"/>
                <w:szCs w:val="20"/>
                <w:color w:val="auto"/>
              </w:rPr>
            </w:pPr>
            <w:r>
              <w:rPr>
                <w:rFonts w:ascii="Arial" w:cs="Arial" w:eastAsia="Arial" w:hAnsi="Arial"/>
                <w:sz w:val="18"/>
                <w:szCs w:val="18"/>
                <w:b w:val="1"/>
                <w:bCs w:val="1"/>
                <w:color w:val="auto"/>
              </w:rPr>
              <w:t>7</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3"/>
              <w:spacing w:after="0" w:line="202" w:lineRule="exact"/>
              <w:rPr>
                <w:sz w:val="20"/>
                <w:szCs w:val="20"/>
                <w:color w:val="auto"/>
              </w:rPr>
            </w:pPr>
            <w:r>
              <w:rPr>
                <w:rFonts w:ascii="Arial" w:cs="Arial" w:eastAsia="Arial" w:hAnsi="Arial"/>
                <w:sz w:val="18"/>
                <w:szCs w:val="18"/>
                <w:color w:val="auto"/>
              </w:rPr>
              <w:t>9</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r>
      <w:tr>
        <w:trPr>
          <w:trHeight w:val="203"/>
        </w:trPr>
        <w:tc>
          <w:tcPr>
            <w:tcW w:w="7300" w:type="dxa"/>
            <w:vAlign w:val="bottom"/>
            <w:shd w:val="clear" w:color="auto" w:fill="E6E7E7"/>
          </w:tcPr>
          <w:p>
            <w:pPr>
              <w:spacing w:after="0" w:line="202" w:lineRule="exact"/>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120" w:type="dxa"/>
            <w:vAlign w:val="bottom"/>
            <w:shd w:val="clear" w:color="auto" w:fill="E6E7E7"/>
          </w:tcPr>
          <w:p>
            <w:pPr>
              <w:spacing w:after="0"/>
              <w:rPr>
                <w:sz w:val="17"/>
                <w:szCs w:val="17"/>
                <w:color w:val="auto"/>
              </w:rPr>
            </w:pPr>
          </w:p>
        </w:tc>
        <w:tc>
          <w:tcPr>
            <w:tcW w:w="860" w:type="dxa"/>
            <w:vAlign w:val="bottom"/>
            <w:shd w:val="clear" w:color="auto" w:fill="E6E7E7"/>
          </w:tcPr>
          <w:p>
            <w:pPr>
              <w:jc w:val="right"/>
              <w:ind w:right="213"/>
              <w:spacing w:after="0" w:line="202" w:lineRule="exact"/>
              <w:rPr>
                <w:sz w:val="20"/>
                <w:szCs w:val="20"/>
                <w:color w:val="auto"/>
              </w:rPr>
            </w:pPr>
            <w:r>
              <w:rPr>
                <w:rFonts w:ascii="Arial" w:cs="Arial" w:eastAsia="Arial" w:hAnsi="Arial"/>
                <w:sz w:val="18"/>
                <w:szCs w:val="18"/>
                <w:b w:val="1"/>
                <w:bCs w:val="1"/>
                <w:color w:val="auto"/>
              </w:rPr>
              <w:t>3,625</w:t>
            </w:r>
          </w:p>
        </w:tc>
        <w:tc>
          <w:tcPr>
            <w:tcW w:w="260" w:type="dxa"/>
            <w:vAlign w:val="bottom"/>
            <w:shd w:val="clear" w:color="auto" w:fill="E6E7E7"/>
          </w:tcPr>
          <w:p>
            <w:pPr>
              <w:spacing w:after="0"/>
              <w:rPr>
                <w:sz w:val="17"/>
                <w:szCs w:val="17"/>
                <w:color w:val="auto"/>
              </w:rPr>
            </w:pPr>
          </w:p>
        </w:tc>
        <w:tc>
          <w:tcPr>
            <w:tcW w:w="880" w:type="dxa"/>
            <w:vAlign w:val="bottom"/>
            <w:shd w:val="clear" w:color="auto" w:fill="E6E7E7"/>
          </w:tcPr>
          <w:p>
            <w:pPr>
              <w:jc w:val="right"/>
              <w:ind w:right="213"/>
              <w:spacing w:after="0" w:line="202" w:lineRule="exact"/>
              <w:rPr>
                <w:sz w:val="20"/>
                <w:szCs w:val="20"/>
                <w:color w:val="auto"/>
              </w:rPr>
            </w:pPr>
            <w:r>
              <w:rPr>
                <w:rFonts w:ascii="Arial" w:cs="Arial" w:eastAsia="Arial" w:hAnsi="Arial"/>
                <w:sz w:val="18"/>
                <w:szCs w:val="18"/>
                <w:color w:val="auto"/>
              </w:rPr>
              <w:t>2,755</w:t>
            </w:r>
          </w:p>
        </w:tc>
        <w:tc>
          <w:tcPr>
            <w:tcW w:w="260" w:type="dxa"/>
            <w:vAlign w:val="bottom"/>
            <w:shd w:val="clear" w:color="auto" w:fill="E6E7E7"/>
          </w:tcPr>
          <w:p>
            <w:pPr>
              <w:spacing w:after="0"/>
              <w:rPr>
                <w:sz w:val="17"/>
                <w:szCs w:val="17"/>
                <w:color w:val="auto"/>
              </w:rPr>
            </w:pPr>
          </w:p>
        </w:tc>
        <w:tc>
          <w:tcPr>
            <w:tcW w:w="5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2,172</w:t>
            </w:r>
          </w:p>
        </w:tc>
        <w:tc>
          <w:tcPr>
            <w:tcW w:w="160" w:type="dxa"/>
            <w:vAlign w:val="bottom"/>
            <w:shd w:val="clear" w:color="auto" w:fill="E6E7E7"/>
          </w:tcPr>
          <w:p>
            <w:pPr>
              <w:spacing w:after="0"/>
              <w:rPr>
                <w:sz w:val="17"/>
                <w:szCs w:val="17"/>
                <w:color w:val="auto"/>
              </w:rPr>
            </w:pPr>
          </w:p>
        </w:tc>
      </w:tr>
      <w:tr>
        <w:trPr>
          <w:trHeight w:val="210"/>
        </w:trPr>
        <w:tc>
          <w:tcPr>
            <w:tcW w:w="730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3"/>
              <w:spacing w:after="0" w:line="202" w:lineRule="exact"/>
              <w:rPr>
                <w:sz w:val="20"/>
                <w:szCs w:val="20"/>
                <w:color w:val="auto"/>
              </w:rPr>
            </w:pPr>
            <w:r>
              <w:rPr>
                <w:rFonts w:ascii="Arial" w:cs="Arial" w:eastAsia="Arial" w:hAnsi="Arial"/>
                <w:sz w:val="18"/>
                <w:szCs w:val="18"/>
                <w:b w:val="1"/>
                <w:bCs w:val="1"/>
                <w:color w:val="auto"/>
              </w:rPr>
              <w:t>987</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3"/>
              <w:spacing w:after="0" w:line="202" w:lineRule="exact"/>
              <w:rPr>
                <w:sz w:val="20"/>
                <w:szCs w:val="20"/>
                <w:color w:val="auto"/>
              </w:rPr>
            </w:pPr>
            <w:r>
              <w:rPr>
                <w:rFonts w:ascii="Arial" w:cs="Arial" w:eastAsia="Arial" w:hAnsi="Arial"/>
                <w:sz w:val="18"/>
                <w:szCs w:val="18"/>
                <w:color w:val="auto"/>
              </w:rPr>
              <w:t>582</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481</w:t>
            </w:r>
          </w:p>
        </w:tc>
        <w:tc>
          <w:tcPr>
            <w:tcW w:w="160" w:type="dxa"/>
            <w:vAlign w:val="bottom"/>
          </w:tcPr>
          <w:p>
            <w:pPr>
              <w:spacing w:after="0"/>
              <w:rPr>
                <w:sz w:val="18"/>
                <w:szCs w:val="18"/>
                <w:color w:val="auto"/>
              </w:rPr>
            </w:pPr>
          </w:p>
        </w:tc>
      </w:tr>
      <w:tr>
        <w:trPr>
          <w:trHeight w:val="203"/>
        </w:trPr>
        <w:tc>
          <w:tcPr>
            <w:tcW w:w="7300" w:type="dxa"/>
            <w:vAlign w:val="bottom"/>
            <w:shd w:val="clear" w:color="auto" w:fill="E6E7E7"/>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280" w:type="dxa"/>
            <w:vAlign w:val="bottom"/>
            <w:shd w:val="clear" w:color="auto" w:fill="E6E7E7"/>
          </w:tcPr>
          <w:p>
            <w:pPr>
              <w:spacing w:after="0"/>
              <w:rPr>
                <w:sz w:val="17"/>
                <w:szCs w:val="17"/>
                <w:color w:val="auto"/>
              </w:rPr>
            </w:pPr>
          </w:p>
        </w:tc>
        <w:tc>
          <w:tcPr>
            <w:tcW w:w="20" w:type="dxa"/>
            <w:vAlign w:val="bottom"/>
            <w:shd w:val="clear" w:color="auto" w:fill="E6E7E7"/>
          </w:tcPr>
          <w:p>
            <w:pPr>
              <w:spacing w:after="0"/>
              <w:rPr>
                <w:sz w:val="17"/>
                <w:szCs w:val="17"/>
                <w:color w:val="auto"/>
              </w:rPr>
            </w:pPr>
          </w:p>
        </w:tc>
        <w:tc>
          <w:tcPr>
            <w:tcW w:w="120" w:type="dxa"/>
            <w:vAlign w:val="bottom"/>
            <w:tcBorders>
              <w:bottom w:val="single" w:sz="8" w:color="auto"/>
            </w:tcBorders>
            <w:shd w:val="clear" w:color="auto" w:fill="E6E7E7"/>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shd w:val="clear" w:color="auto" w:fill="E6E7E7"/>
          </w:tcPr>
          <w:p>
            <w:pPr>
              <w:jc w:val="right"/>
              <w:ind w:right="213"/>
              <w:spacing w:after="0" w:line="202" w:lineRule="exact"/>
              <w:rPr>
                <w:sz w:val="20"/>
                <w:szCs w:val="20"/>
                <w:color w:val="auto"/>
              </w:rPr>
            </w:pPr>
            <w:r>
              <w:rPr>
                <w:rFonts w:ascii="Arial" w:cs="Arial" w:eastAsia="Arial" w:hAnsi="Arial"/>
                <w:sz w:val="18"/>
                <w:szCs w:val="18"/>
                <w:b w:val="1"/>
                <w:bCs w:val="1"/>
                <w:color w:val="auto"/>
              </w:rPr>
              <w:t>2,638</w:t>
            </w:r>
          </w:p>
        </w:tc>
        <w:tc>
          <w:tcPr>
            <w:tcW w:w="26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E6E7E7"/>
          </w:tcPr>
          <w:p>
            <w:pPr>
              <w:jc w:val="right"/>
              <w:ind w:right="213"/>
              <w:spacing w:after="0" w:line="202" w:lineRule="exact"/>
              <w:rPr>
                <w:sz w:val="20"/>
                <w:szCs w:val="20"/>
                <w:color w:val="auto"/>
              </w:rPr>
            </w:pPr>
            <w:r>
              <w:rPr>
                <w:rFonts w:ascii="Arial" w:cs="Arial" w:eastAsia="Arial" w:hAnsi="Arial"/>
                <w:sz w:val="18"/>
                <w:szCs w:val="18"/>
                <w:color w:val="auto"/>
              </w:rPr>
              <w:t>2,173</w:t>
            </w:r>
          </w:p>
        </w:tc>
        <w:tc>
          <w:tcPr>
            <w:tcW w:w="26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E6E7E7"/>
          </w:tcPr>
          <w:p>
            <w:pPr>
              <w:jc w:val="right"/>
              <w:spacing w:after="0" w:line="202" w:lineRule="exact"/>
              <w:rPr>
                <w:sz w:val="20"/>
                <w:szCs w:val="20"/>
                <w:color w:val="auto"/>
              </w:rPr>
            </w:pPr>
            <w:r>
              <w:rPr>
                <w:rFonts w:ascii="Arial" w:cs="Arial" w:eastAsia="Arial" w:hAnsi="Arial"/>
                <w:sz w:val="18"/>
                <w:szCs w:val="18"/>
                <w:color w:val="auto"/>
              </w:rPr>
              <w:t>1,691</w:t>
            </w:r>
          </w:p>
        </w:tc>
        <w:tc>
          <w:tcPr>
            <w:tcW w:w="160" w:type="dxa"/>
            <w:vAlign w:val="bottom"/>
            <w:shd w:val="clear" w:color="auto" w:fill="E6E7E7"/>
          </w:tcPr>
          <w:p>
            <w:pPr>
              <w:spacing w:after="0"/>
              <w:rPr>
                <w:sz w:val="17"/>
                <w:szCs w:val="17"/>
                <w:color w:val="auto"/>
              </w:rPr>
            </w:pPr>
          </w:p>
        </w:tc>
      </w:tr>
      <w:tr>
        <w:trPr>
          <w:trHeight w:val="20"/>
        </w:trPr>
        <w:tc>
          <w:tcPr>
            <w:tcW w:w="7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7300" w:type="dxa"/>
            <w:vAlign w:val="bottom"/>
          </w:tcPr>
          <w:p>
            <w:pPr>
              <w:spacing w:after="0" w:line="196" w:lineRule="exact"/>
              <w:rPr>
                <w:sz w:val="20"/>
                <w:szCs w:val="20"/>
                <w:color w:val="auto"/>
              </w:rPr>
            </w:pPr>
            <w:r>
              <w:rPr>
                <w:rFonts w:ascii="Arial" w:cs="Arial" w:eastAsia="Arial" w:hAnsi="Arial"/>
                <w:sz w:val="18"/>
                <w:szCs w:val="18"/>
                <w:color w:val="auto"/>
              </w:rPr>
              <w:t>Diluted income from continuing operations per common share</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ind w:right="213"/>
              <w:spacing w:after="0" w:line="196" w:lineRule="exact"/>
              <w:rPr>
                <w:sz w:val="20"/>
                <w:szCs w:val="20"/>
                <w:color w:val="auto"/>
              </w:rPr>
            </w:pPr>
            <w:r>
              <w:rPr>
                <w:rFonts w:ascii="Arial" w:cs="Arial" w:eastAsia="Arial" w:hAnsi="Arial"/>
                <w:sz w:val="18"/>
                <w:szCs w:val="18"/>
                <w:b w:val="1"/>
                <w:bCs w:val="1"/>
                <w:color w:val="auto"/>
              </w:rPr>
              <w:t>1.69</w:t>
            </w:r>
          </w:p>
        </w:tc>
        <w:tc>
          <w:tcPr>
            <w:tcW w:w="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213"/>
              <w:spacing w:after="0" w:line="196" w:lineRule="exact"/>
              <w:rPr>
                <w:sz w:val="20"/>
                <w:szCs w:val="20"/>
                <w:color w:val="auto"/>
              </w:rPr>
            </w:pPr>
            <w:r>
              <w:rPr>
                <w:rFonts w:ascii="Arial" w:cs="Arial" w:eastAsia="Arial" w:hAnsi="Arial"/>
                <w:sz w:val="18"/>
                <w:szCs w:val="18"/>
                <w:color w:val="auto"/>
              </w:rPr>
              <w:t>1.30</w:t>
            </w:r>
          </w:p>
        </w:tc>
        <w:tc>
          <w:tcPr>
            <w:tcW w:w="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0.96</w:t>
            </w:r>
          </w:p>
        </w:tc>
        <w:tc>
          <w:tcPr>
            <w:tcW w:w="160" w:type="dxa"/>
            <w:vAlign w:val="bottom"/>
          </w:tcPr>
          <w:p>
            <w:pPr>
              <w:spacing w:after="0"/>
              <w:rPr>
                <w:sz w:val="17"/>
                <w:szCs w:val="17"/>
                <w:color w:val="auto"/>
              </w:rPr>
            </w:pPr>
          </w:p>
        </w:tc>
      </w:tr>
      <w:tr>
        <w:trPr>
          <w:trHeight w:val="20"/>
        </w:trPr>
        <w:tc>
          <w:tcPr>
            <w:tcW w:w="7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w:t>
      </w:r>
    </w:p>
    <w:p>
      <w:pPr>
        <w:spacing w:after="0" w:line="158"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For the year, our revenue grew 16 percent to a record $14.25 billion. Growth was driven primarily by strong demand for our analog products, especially high-performance analog, and DSP products.</w:t>
      </w:r>
    </w:p>
    <w:p>
      <w:pPr>
        <w:sectPr>
          <w:pgSz w:w="11900" w:h="16838" w:orient="portrait"/>
          <w:cols w:equalWidth="0" w:num="1">
            <w:col w:w="11420"/>
          </w:cols>
          <w:pgMar w:left="240" w:top="287" w:right="239" w:bottom="1440" w:gutter="0" w:footer="0" w:header="0"/>
        </w:sectPr>
      </w:pPr>
    </w:p>
    <w:bookmarkStart w:id="95" w:name="page96"/>
    <w:bookmarkEnd w:id="95"/>
    <w:p>
      <w:pPr>
        <w:spacing w:after="0"/>
        <w:tabs>
          <w:tab w:leader="none" w:pos="36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46</w:t>
        <w:tab/>
        <w:t>TEXAS INSTRUMENTS 2006 ANNUAL REPORT</w:t>
      </w:r>
    </w:p>
    <w:p>
      <w:pPr>
        <w:spacing w:after="0" w:line="140" w:lineRule="exact"/>
        <w:rPr>
          <w:sz w:val="20"/>
          <w:szCs w:val="20"/>
          <w:color w:val="auto"/>
        </w:rPr>
      </w:pPr>
    </w:p>
    <w:p>
      <w:pPr>
        <w:ind w:left="460"/>
        <w:spacing w:after="0" w:line="238" w:lineRule="auto"/>
        <w:rPr>
          <w:sz w:val="20"/>
          <w:szCs w:val="20"/>
          <w:color w:val="auto"/>
        </w:rPr>
      </w:pPr>
      <w:r>
        <w:rPr>
          <w:rFonts w:ascii="Arial" w:cs="Arial" w:eastAsia="Arial" w:hAnsi="Arial"/>
          <w:sz w:val="18"/>
          <w:szCs w:val="18"/>
          <w:color w:val="auto"/>
        </w:rPr>
        <w:t>Earnings per share (EPS) from continuing operations of $1.69 increased 30 percent from the prior year. EPS in 2006 included a full year of stock-option expense of $0.14 resulting in $0.07 of additional expense compared with the prior year when stock-option expense was included for only six months.</w:t>
      </w:r>
    </w:p>
    <w:p>
      <w:pPr>
        <w:spacing w:after="0" w:line="154" w:lineRule="exact"/>
        <w:rPr>
          <w:sz w:val="20"/>
          <w:szCs w:val="20"/>
          <w:color w:val="auto"/>
        </w:rPr>
      </w:pPr>
    </w:p>
    <w:p>
      <w:pPr>
        <w:ind w:left="460" w:right="360"/>
        <w:spacing w:after="0" w:line="238" w:lineRule="auto"/>
        <w:rPr>
          <w:sz w:val="20"/>
          <w:szCs w:val="20"/>
          <w:color w:val="auto"/>
        </w:rPr>
      </w:pPr>
      <w:r>
        <w:rPr>
          <w:rFonts w:ascii="Arial" w:cs="Arial" w:eastAsia="Arial" w:hAnsi="Arial"/>
          <w:sz w:val="18"/>
          <w:szCs w:val="18"/>
          <w:color w:val="auto"/>
        </w:rPr>
        <w:t>Gross profit for 2006 was $7.26 billion, or a record 50.9 percent of revenue. This was an increase of $1.24 billion, or 21 percent, from the prior year due primarily to higher revenue and, to a lesser extent, lower depreciation in the Semiconductor segment. Stock-based compensation expense in cost of revenue increased $32 million from the prior year.</w:t>
      </w:r>
    </w:p>
    <w:p>
      <w:pPr>
        <w:spacing w:after="0" w:line="154" w:lineRule="exact"/>
        <w:rPr>
          <w:sz w:val="20"/>
          <w:szCs w:val="20"/>
          <w:color w:val="auto"/>
        </w:rPr>
      </w:pPr>
    </w:p>
    <w:p>
      <w:pPr>
        <w:ind w:left="460" w:right="680"/>
        <w:spacing w:after="0" w:line="299" w:lineRule="auto"/>
        <w:rPr>
          <w:sz w:val="20"/>
          <w:szCs w:val="20"/>
          <w:color w:val="auto"/>
        </w:rPr>
      </w:pPr>
      <w:r>
        <w:rPr>
          <w:rFonts w:ascii="Arial" w:cs="Arial" w:eastAsia="Arial" w:hAnsi="Arial"/>
          <w:sz w:val="16"/>
          <w:szCs w:val="16"/>
          <w:color w:val="auto"/>
        </w:rPr>
        <w:t>R&amp;D expense of $2.20 billion, or 15.4 percent of revenue, increased $209 million from the prior year due to higher investment in new semiconductor technology, particularly for wireless applications, and $48 million of additional stock-based compensation expense.</w:t>
      </w:r>
    </w:p>
    <w:p>
      <w:pPr>
        <w:spacing w:after="0" w:line="109" w:lineRule="exact"/>
        <w:rPr>
          <w:sz w:val="20"/>
          <w:szCs w:val="20"/>
          <w:color w:val="auto"/>
        </w:rPr>
      </w:pPr>
    </w:p>
    <w:p>
      <w:pPr>
        <w:jc w:val="both"/>
        <w:ind w:left="460" w:right="180"/>
        <w:spacing w:after="0" w:line="221" w:lineRule="auto"/>
        <w:rPr>
          <w:sz w:val="20"/>
          <w:szCs w:val="20"/>
          <w:color w:val="auto"/>
        </w:rPr>
      </w:pPr>
      <w:r>
        <w:rPr>
          <w:rFonts w:ascii="Arial" w:cs="Arial" w:eastAsia="Arial" w:hAnsi="Arial"/>
          <w:sz w:val="18"/>
          <w:szCs w:val="18"/>
          <w:color w:val="auto"/>
        </w:rPr>
        <w:t>Selling, general and administrative (SG&amp;A) expense of $1.70 billion, or 11.9 percent of revenue, increased $226 million from the prior year primarily due to the combination of higher marketing expense in the Semiconductor segment, particularly for DLP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product advertising, and $77 million of higher stock-based compensation expense.</w:t>
      </w:r>
    </w:p>
    <w:p>
      <w:pPr>
        <w:spacing w:after="0" w:line="156" w:lineRule="exact"/>
        <w:rPr>
          <w:sz w:val="20"/>
          <w:szCs w:val="20"/>
          <w:color w:val="auto"/>
        </w:rPr>
      </w:pPr>
    </w:p>
    <w:p>
      <w:pPr>
        <w:ind w:left="460" w:right="160"/>
        <w:spacing w:after="0" w:line="239" w:lineRule="auto"/>
        <w:rPr>
          <w:sz w:val="20"/>
          <w:szCs w:val="20"/>
          <w:color w:val="auto"/>
        </w:rPr>
      </w:pPr>
      <w:r>
        <w:rPr>
          <w:rFonts w:ascii="Arial" w:cs="Arial" w:eastAsia="Arial" w:hAnsi="Arial"/>
          <w:sz w:val="18"/>
          <w:szCs w:val="18"/>
          <w:color w:val="auto"/>
        </w:rPr>
        <w:t>Operating profit for the year was $3.37 billion, or a record 23.6 percent of revenue. This was an increase of $808 million, or 32 percent, due to higher gross profit in the Semiconductor segment.</w:t>
      </w:r>
    </w:p>
    <w:p>
      <w:pPr>
        <w:spacing w:after="0" w:line="155" w:lineRule="exact"/>
        <w:rPr>
          <w:sz w:val="20"/>
          <w:szCs w:val="20"/>
          <w:color w:val="auto"/>
        </w:rPr>
      </w:pPr>
    </w:p>
    <w:p>
      <w:pPr>
        <w:ind w:left="460" w:right="400"/>
        <w:spacing w:after="0" w:line="236" w:lineRule="auto"/>
        <w:rPr>
          <w:sz w:val="20"/>
          <w:szCs w:val="20"/>
          <w:color w:val="auto"/>
        </w:rPr>
      </w:pPr>
      <w:r>
        <w:rPr>
          <w:rFonts w:ascii="Arial" w:cs="Arial" w:eastAsia="Arial" w:hAnsi="Arial"/>
          <w:sz w:val="18"/>
          <w:szCs w:val="18"/>
          <w:color w:val="auto"/>
        </w:rPr>
        <w:t>For the year, other income (expense) net (OI&amp;E) of $265 million increased $60 million from 2005 primarily due to higher interest income. Interest income was $196 million in 2006, an increase of $31 million from the prior year, due to higher average interest rates earned on investments. Also contributing to the higher OI&amp;E were $20 million of benefits in 2006 from a refund of state sales tax and $17 million of higher income in 2006 than in 2005 from final settlement of matters related to grants from the Italian government regarding our former memory operations.</w:t>
      </w:r>
    </w:p>
    <w:p>
      <w:pPr>
        <w:spacing w:after="0" w:line="157" w:lineRule="exact"/>
        <w:rPr>
          <w:sz w:val="20"/>
          <w:szCs w:val="20"/>
          <w:color w:val="auto"/>
        </w:rPr>
      </w:pPr>
    </w:p>
    <w:p>
      <w:pPr>
        <w:ind w:left="460" w:right="120"/>
        <w:spacing w:after="0" w:line="237" w:lineRule="auto"/>
        <w:rPr>
          <w:sz w:val="20"/>
          <w:szCs w:val="20"/>
          <w:color w:val="auto"/>
        </w:rPr>
      </w:pPr>
      <w:r>
        <w:rPr>
          <w:rFonts w:ascii="Arial" w:cs="Arial" w:eastAsia="Arial" w:hAnsi="Arial"/>
          <w:sz w:val="18"/>
          <w:szCs w:val="18"/>
          <w:color w:val="auto"/>
        </w:rPr>
        <w:t>The effective tax rate for continuing operations, which by definition does not include the effect of discrete tax items, was 27 percent for 2006 compared with 24 percent for 2005. The increase in the effective tax rate from the year-ago period is due to, in decreasing order, higher income from continuing operations before income taxes and the effect of non-U.S. tax rates (see Note 13 to the Financial Statements for a reconciliation of tax rates to the statutory federal tax rate).</w:t>
      </w:r>
    </w:p>
    <w:p>
      <w:pPr>
        <w:spacing w:after="0" w:line="155" w:lineRule="exact"/>
        <w:rPr>
          <w:sz w:val="20"/>
          <w:szCs w:val="20"/>
          <w:color w:val="auto"/>
        </w:rPr>
      </w:pPr>
    </w:p>
    <w:p>
      <w:pPr>
        <w:ind w:left="460" w:right="160"/>
        <w:spacing w:after="0" w:line="237" w:lineRule="auto"/>
        <w:rPr>
          <w:sz w:val="20"/>
          <w:szCs w:val="20"/>
          <w:color w:val="auto"/>
        </w:rPr>
      </w:pPr>
      <w:r>
        <w:rPr>
          <w:rFonts w:ascii="Arial" w:cs="Arial" w:eastAsia="Arial" w:hAnsi="Arial"/>
          <w:sz w:val="18"/>
          <w:szCs w:val="18"/>
          <w:color w:val="auto"/>
        </w:rPr>
        <w:t>The tax provision for continuing operations for 2006 contained net discrete tax expense items of $14 million. The provision for income taxes for 2005 contained net discrete tax benefit items of $92 million, primarily due to favorable developments on certain outstanding income tax matters. This was partially offset by an accrual for taxes on dividends from earnings that were repatriated from our non-U.S. subsidiaries under the American Jobs Creation Act of 2004 (AJCA).</w:t>
      </w:r>
    </w:p>
    <w:p>
      <w:pPr>
        <w:spacing w:after="0" w:line="155" w:lineRule="exact"/>
        <w:rPr>
          <w:sz w:val="20"/>
          <w:szCs w:val="20"/>
          <w:color w:val="auto"/>
        </w:rPr>
      </w:pPr>
    </w:p>
    <w:p>
      <w:pPr>
        <w:ind w:left="460" w:right="100"/>
        <w:spacing w:after="0" w:line="237" w:lineRule="auto"/>
        <w:rPr>
          <w:sz w:val="20"/>
          <w:szCs w:val="20"/>
          <w:color w:val="auto"/>
        </w:rPr>
      </w:pPr>
      <w:r>
        <w:rPr>
          <w:rFonts w:ascii="Arial" w:cs="Arial" w:eastAsia="Arial" w:hAnsi="Arial"/>
          <w:sz w:val="18"/>
          <w:szCs w:val="18"/>
          <w:color w:val="auto"/>
        </w:rPr>
        <w:t>For the year, income from continuing operations was $2.64 billion, or $1.69 per share, compared with $2.17 billion, or $1.30 per share in 2005. Net income was $4.34 billion, or $2.78 per share. This includes $1.09 per share from discontinued operations, almost all of which was from the gain on the sale of our former Sensors &amp; Controls business. Earnings per share for 2006 were based on 111 million, or 7 percent, fewer average shares outstanding, the result of our stock repurchase program.</w:t>
      </w:r>
    </w:p>
    <w:p>
      <w:pPr>
        <w:spacing w:after="0" w:line="155" w:lineRule="exact"/>
        <w:rPr>
          <w:sz w:val="20"/>
          <w:szCs w:val="20"/>
          <w:color w:val="auto"/>
        </w:rPr>
      </w:pPr>
    </w:p>
    <w:p>
      <w:pPr>
        <w:ind w:left="460" w:right="240"/>
        <w:spacing w:after="0" w:line="239" w:lineRule="auto"/>
        <w:rPr>
          <w:sz w:val="20"/>
          <w:szCs w:val="20"/>
          <w:color w:val="auto"/>
        </w:rPr>
      </w:pPr>
      <w:r>
        <w:rPr>
          <w:rFonts w:ascii="Arial" w:cs="Arial" w:eastAsia="Arial" w:hAnsi="Arial"/>
          <w:sz w:val="18"/>
          <w:szCs w:val="18"/>
          <w:color w:val="auto"/>
        </w:rPr>
        <w:t>For the year, our orders were $14.02 billion. This was an increase of $1.17 billion from 2005 primarily due to higher demand for our analog products.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Semiconductor Segment</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Statement of Operations – Semiconductor</w:t>
      </w:r>
    </w:p>
    <w:p>
      <w:pPr>
        <w:spacing w:after="0" w:line="200"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939598"/>
        </w:rPr>
        <w:t>FOR THE YEARS ENDED</w:t>
      </w:r>
    </w:p>
    <w:p>
      <w:pPr>
        <w:jc w:val="center"/>
        <w:ind w:left="8660"/>
        <w:spacing w:after="0" w:line="227" w:lineRule="auto"/>
        <w:rPr>
          <w:sz w:val="20"/>
          <w:szCs w:val="20"/>
          <w:color w:val="auto"/>
        </w:rPr>
      </w:pPr>
      <w:r>
        <w:rPr>
          <w:rFonts w:ascii="Arial" w:cs="Arial" w:eastAsia="Arial" w:hAnsi="Arial"/>
          <w:sz w:val="14"/>
          <w:szCs w:val="14"/>
          <w:b w:val="1"/>
          <w:bCs w:val="1"/>
          <w:color w:val="939598"/>
        </w:rPr>
        <w:t>DECEMBER 31,</w:t>
      </w:r>
    </w:p>
    <w:p>
      <w:pPr>
        <w:spacing w:after="0" w:line="21" w:lineRule="exact"/>
        <w:rPr>
          <w:sz w:val="20"/>
          <w:szCs w:val="20"/>
          <w:color w:val="auto"/>
        </w:rPr>
      </w:pPr>
    </w:p>
    <w:tbl>
      <w:tblPr>
        <w:tblLayout w:type="fixed"/>
        <w:tblInd w:w="360" w:type="dxa"/>
        <w:tblCellMar>
          <w:top w:w="0" w:type="dxa"/>
          <w:left w:w="0" w:type="dxa"/>
          <w:bottom w:w="0" w:type="dxa"/>
          <w:right w:w="0" w:type="dxa"/>
        </w:tblCellMar>
      </w:tblPr>
      <w:tr>
        <w:trPr>
          <w:trHeight w:val="196"/>
        </w:trPr>
        <w:tc>
          <w:tcPr>
            <w:tcW w:w="8620" w:type="dxa"/>
            <w:vAlign w:val="bottom"/>
            <w:shd w:val="clear" w:color="auto" w:fill="939598"/>
          </w:tcPr>
          <w:p>
            <w:pPr>
              <w:spacing w:after="0"/>
              <w:rPr>
                <w:sz w:val="17"/>
                <w:szCs w:val="17"/>
                <w:color w:val="auto"/>
              </w:rPr>
            </w:pPr>
          </w:p>
        </w:tc>
        <w:tc>
          <w:tcPr>
            <w:tcW w:w="1120" w:type="dxa"/>
            <w:vAlign w:val="bottom"/>
            <w:gridSpan w:val="2"/>
            <w:shd w:val="clear" w:color="auto" w:fill="939598"/>
          </w:tcPr>
          <w:p>
            <w:pPr>
              <w:jc w:val="right"/>
              <w:ind w:right="352"/>
              <w:spacing w:after="0"/>
              <w:rPr>
                <w:sz w:val="20"/>
                <w:szCs w:val="20"/>
                <w:color w:val="auto"/>
              </w:rPr>
            </w:pPr>
            <w:r>
              <w:rPr>
                <w:rFonts w:ascii="Arial" w:cs="Arial" w:eastAsia="Arial" w:hAnsi="Arial"/>
                <w:sz w:val="14"/>
                <w:szCs w:val="14"/>
                <w:b w:val="1"/>
                <w:bCs w:val="1"/>
                <w:color w:val="FFFFFF"/>
              </w:rPr>
              <w:t>2006</w:t>
            </w:r>
          </w:p>
        </w:tc>
        <w:tc>
          <w:tcPr>
            <w:tcW w:w="820" w:type="dxa"/>
            <w:vAlign w:val="bottom"/>
            <w:shd w:val="clear" w:color="auto" w:fill="939598"/>
          </w:tcPr>
          <w:p>
            <w:pPr>
              <w:jc w:val="right"/>
              <w:ind w:right="135"/>
              <w:spacing w:after="0"/>
              <w:rPr>
                <w:sz w:val="20"/>
                <w:szCs w:val="20"/>
                <w:color w:val="auto"/>
              </w:rPr>
            </w:pPr>
            <w:r>
              <w:rPr>
                <w:rFonts w:ascii="Arial" w:cs="Arial" w:eastAsia="Arial" w:hAnsi="Arial"/>
                <w:sz w:val="14"/>
                <w:szCs w:val="14"/>
                <w:b w:val="1"/>
                <w:bCs w:val="1"/>
                <w:color w:val="FFFFFF"/>
              </w:rPr>
              <w:t>2005</w:t>
            </w:r>
          </w:p>
        </w:tc>
        <w:tc>
          <w:tcPr>
            <w:tcW w:w="160" w:type="dxa"/>
            <w:vAlign w:val="bottom"/>
            <w:shd w:val="clear" w:color="auto" w:fill="939598"/>
          </w:tcPr>
          <w:p>
            <w:pPr>
              <w:spacing w:after="0"/>
              <w:rPr>
                <w:sz w:val="17"/>
                <w:szCs w:val="17"/>
                <w:color w:val="auto"/>
              </w:rPr>
            </w:pPr>
          </w:p>
        </w:tc>
      </w:tr>
      <w:tr>
        <w:trPr>
          <w:trHeight w:val="270"/>
        </w:trPr>
        <w:tc>
          <w:tcPr>
            <w:tcW w:w="8620" w:type="dxa"/>
            <w:vAlign w:val="bottom"/>
          </w:tcPr>
          <w:p>
            <w:pPr>
              <w:ind w:left="200"/>
              <w:spacing w:after="0"/>
              <w:rPr>
                <w:sz w:val="20"/>
                <w:szCs w:val="20"/>
                <w:color w:val="auto"/>
              </w:rPr>
            </w:pPr>
            <w:r>
              <w:rPr>
                <w:rFonts w:ascii="Arial" w:cs="Arial" w:eastAsia="Arial" w:hAnsi="Arial"/>
                <w:sz w:val="18"/>
                <w:szCs w:val="18"/>
                <w:color w:val="auto"/>
              </w:rPr>
              <w:t>Net revenue</w:t>
            </w:r>
          </w:p>
        </w:tc>
        <w:tc>
          <w:tcPr>
            <w:tcW w:w="112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$ 13,730</w:t>
            </w:r>
          </w:p>
        </w:tc>
        <w:tc>
          <w:tcPr>
            <w:tcW w:w="820" w:type="dxa"/>
            <w:vAlign w:val="bottom"/>
          </w:tcPr>
          <w:p>
            <w:pPr>
              <w:jc w:val="right"/>
              <w:spacing w:after="0"/>
              <w:rPr>
                <w:sz w:val="20"/>
                <w:szCs w:val="20"/>
                <w:color w:val="auto"/>
              </w:rPr>
            </w:pPr>
            <w:r>
              <w:rPr>
                <w:rFonts w:ascii="Arial" w:cs="Arial" w:eastAsia="Arial" w:hAnsi="Arial"/>
                <w:sz w:val="18"/>
                <w:szCs w:val="18"/>
                <w:color w:val="auto"/>
              </w:rPr>
              <w:t>$ 11,829</w:t>
            </w:r>
          </w:p>
        </w:tc>
        <w:tc>
          <w:tcPr>
            <w:tcW w:w="160" w:type="dxa"/>
            <w:vAlign w:val="bottom"/>
          </w:tcPr>
          <w:p>
            <w:pPr>
              <w:spacing w:after="0"/>
              <w:rPr>
                <w:sz w:val="23"/>
                <w:szCs w:val="23"/>
                <w:color w:val="auto"/>
              </w:rPr>
            </w:pPr>
          </w:p>
        </w:tc>
      </w:tr>
      <w:tr>
        <w:trPr>
          <w:trHeight w:val="203"/>
        </w:trPr>
        <w:tc>
          <w:tcPr>
            <w:tcW w:w="862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Cost of revenue</w:t>
            </w:r>
          </w:p>
        </w:tc>
        <w:tc>
          <w:tcPr>
            <w:tcW w:w="1120" w:type="dxa"/>
            <w:vAlign w:val="bottom"/>
            <w:gridSpan w:val="2"/>
            <w:shd w:val="clear" w:color="auto" w:fill="E6E7E7"/>
          </w:tcPr>
          <w:p>
            <w:pPr>
              <w:jc w:val="right"/>
              <w:ind w:right="172"/>
              <w:spacing w:after="0" w:line="202" w:lineRule="exact"/>
              <w:rPr>
                <w:sz w:val="20"/>
                <w:szCs w:val="20"/>
                <w:color w:val="auto"/>
              </w:rPr>
            </w:pPr>
            <w:r>
              <w:rPr>
                <w:rFonts w:ascii="Arial" w:cs="Arial" w:eastAsia="Arial" w:hAnsi="Arial"/>
                <w:sz w:val="18"/>
                <w:szCs w:val="18"/>
                <w:b w:val="1"/>
                <w:bCs w:val="1"/>
                <w:color w:val="auto"/>
              </w:rPr>
              <w:t>6,681</w:t>
            </w:r>
          </w:p>
        </w:tc>
        <w:tc>
          <w:tcPr>
            <w:tcW w:w="8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6,056</w:t>
            </w:r>
          </w:p>
        </w:tc>
        <w:tc>
          <w:tcPr>
            <w:tcW w:w="160" w:type="dxa"/>
            <w:vAlign w:val="bottom"/>
            <w:shd w:val="clear" w:color="auto" w:fill="E6E7E7"/>
          </w:tcPr>
          <w:p>
            <w:pPr>
              <w:spacing w:after="0"/>
              <w:rPr>
                <w:sz w:val="17"/>
                <w:szCs w:val="17"/>
                <w:color w:val="auto"/>
              </w:rPr>
            </w:pPr>
          </w:p>
        </w:tc>
      </w:tr>
      <w:tr>
        <w:trPr>
          <w:trHeight w:val="210"/>
        </w:trPr>
        <w:tc>
          <w:tcPr>
            <w:tcW w:w="862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94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7,049</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5,773</w:t>
            </w:r>
          </w:p>
        </w:tc>
        <w:tc>
          <w:tcPr>
            <w:tcW w:w="160" w:type="dxa"/>
            <w:vAlign w:val="bottom"/>
          </w:tcPr>
          <w:p>
            <w:pPr>
              <w:spacing w:after="0"/>
              <w:rPr>
                <w:sz w:val="18"/>
                <w:szCs w:val="18"/>
                <w:color w:val="auto"/>
              </w:rPr>
            </w:pPr>
          </w:p>
        </w:tc>
      </w:tr>
      <w:tr>
        <w:trPr>
          <w:trHeight w:val="203"/>
        </w:trPr>
        <w:tc>
          <w:tcPr>
            <w:tcW w:w="862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Gross profit % of revenue</w:t>
            </w:r>
          </w:p>
        </w:tc>
        <w:tc>
          <w:tcPr>
            <w:tcW w:w="1120" w:type="dxa"/>
            <w:vAlign w:val="bottom"/>
            <w:gridSpan w:val="2"/>
            <w:shd w:val="clear" w:color="auto" w:fill="E6E7E7"/>
          </w:tcPr>
          <w:p>
            <w:pPr>
              <w:jc w:val="right"/>
              <w:ind w:right="12"/>
              <w:spacing w:after="0" w:line="202" w:lineRule="exact"/>
              <w:rPr>
                <w:sz w:val="20"/>
                <w:szCs w:val="20"/>
                <w:color w:val="auto"/>
              </w:rPr>
            </w:pPr>
            <w:r>
              <w:rPr>
                <w:rFonts w:ascii="Arial" w:cs="Arial" w:eastAsia="Arial" w:hAnsi="Arial"/>
                <w:sz w:val="18"/>
                <w:szCs w:val="18"/>
                <w:b w:val="1"/>
                <w:bCs w:val="1"/>
                <w:color w:val="auto"/>
              </w:rPr>
              <w:t>51.3%</w:t>
            </w:r>
          </w:p>
        </w:tc>
        <w:tc>
          <w:tcPr>
            <w:tcW w:w="980" w:type="dxa"/>
            <w:vAlign w:val="bottom"/>
            <w:gridSpan w:val="2"/>
            <w:shd w:val="clear" w:color="auto" w:fill="E6E7E7"/>
          </w:tcPr>
          <w:p>
            <w:pPr>
              <w:jc w:val="right"/>
              <w:ind w:right="20"/>
              <w:spacing w:after="0" w:line="202" w:lineRule="exact"/>
              <w:rPr>
                <w:sz w:val="20"/>
                <w:szCs w:val="20"/>
                <w:color w:val="auto"/>
              </w:rPr>
            </w:pPr>
            <w:r>
              <w:rPr>
                <w:rFonts w:ascii="Arial" w:cs="Arial" w:eastAsia="Arial" w:hAnsi="Arial"/>
                <w:sz w:val="18"/>
                <w:szCs w:val="18"/>
                <w:color w:val="auto"/>
              </w:rPr>
              <w:t>48.8%</w:t>
            </w:r>
          </w:p>
        </w:tc>
      </w:tr>
      <w:tr>
        <w:trPr>
          <w:trHeight w:val="203"/>
        </w:trPr>
        <w:tc>
          <w:tcPr>
            <w:tcW w:w="8620" w:type="dxa"/>
            <w:vAlign w:val="bottom"/>
          </w:tcPr>
          <w:p>
            <w:pPr>
              <w:ind w:left="140"/>
              <w:spacing w:after="0" w:line="202" w:lineRule="exact"/>
              <w:rPr>
                <w:sz w:val="20"/>
                <w:szCs w:val="20"/>
                <w:color w:val="auto"/>
              </w:rPr>
            </w:pPr>
            <w:r>
              <w:rPr>
                <w:rFonts w:ascii="Arial" w:cs="Arial" w:eastAsia="Arial" w:hAnsi="Arial"/>
                <w:sz w:val="18"/>
                <w:szCs w:val="18"/>
                <w:color w:val="auto"/>
              </w:rPr>
              <w:t>Profit from operations</w:t>
            </w:r>
          </w:p>
        </w:tc>
        <w:tc>
          <w:tcPr>
            <w:tcW w:w="1120" w:type="dxa"/>
            <w:vAlign w:val="bottom"/>
            <w:gridSpan w:val="2"/>
          </w:tcPr>
          <w:p>
            <w:pPr>
              <w:jc w:val="right"/>
              <w:ind w:right="172"/>
              <w:spacing w:after="0" w:line="202" w:lineRule="exact"/>
              <w:rPr>
                <w:sz w:val="20"/>
                <w:szCs w:val="20"/>
                <w:color w:val="auto"/>
              </w:rPr>
            </w:pPr>
            <w:r>
              <w:rPr>
                <w:rFonts w:ascii="Arial" w:cs="Arial" w:eastAsia="Arial" w:hAnsi="Arial"/>
                <w:sz w:val="18"/>
                <w:szCs w:val="18"/>
                <w:b w:val="1"/>
                <w:bCs w:val="1"/>
                <w:color w:val="auto"/>
              </w:rPr>
              <w:t>3,831</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2,808</w:t>
            </w:r>
          </w:p>
        </w:tc>
        <w:tc>
          <w:tcPr>
            <w:tcW w:w="160" w:type="dxa"/>
            <w:vAlign w:val="bottom"/>
          </w:tcPr>
          <w:p>
            <w:pPr>
              <w:spacing w:after="0"/>
              <w:rPr>
                <w:sz w:val="17"/>
                <w:szCs w:val="17"/>
                <w:color w:val="auto"/>
              </w:rPr>
            </w:pPr>
          </w:p>
        </w:tc>
      </w:tr>
      <w:tr>
        <w:trPr>
          <w:trHeight w:val="203"/>
        </w:trPr>
        <w:tc>
          <w:tcPr>
            <w:tcW w:w="862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Operating profit % of revenue</w:t>
            </w:r>
          </w:p>
        </w:tc>
        <w:tc>
          <w:tcPr>
            <w:tcW w:w="1120" w:type="dxa"/>
            <w:vAlign w:val="bottom"/>
            <w:gridSpan w:val="2"/>
            <w:shd w:val="clear" w:color="auto" w:fill="E6E7E7"/>
          </w:tcPr>
          <w:p>
            <w:pPr>
              <w:jc w:val="right"/>
              <w:ind w:right="12"/>
              <w:spacing w:after="0" w:line="202" w:lineRule="exact"/>
              <w:rPr>
                <w:sz w:val="20"/>
                <w:szCs w:val="20"/>
                <w:color w:val="auto"/>
              </w:rPr>
            </w:pPr>
            <w:r>
              <w:rPr>
                <w:rFonts w:ascii="Arial" w:cs="Arial" w:eastAsia="Arial" w:hAnsi="Arial"/>
                <w:sz w:val="18"/>
                <w:szCs w:val="18"/>
                <w:b w:val="1"/>
                <w:bCs w:val="1"/>
                <w:color w:val="auto"/>
              </w:rPr>
              <w:t>27.9%</w:t>
            </w:r>
          </w:p>
        </w:tc>
        <w:tc>
          <w:tcPr>
            <w:tcW w:w="980" w:type="dxa"/>
            <w:vAlign w:val="bottom"/>
            <w:gridSpan w:val="2"/>
            <w:shd w:val="clear" w:color="auto" w:fill="E6E7E7"/>
          </w:tcPr>
          <w:p>
            <w:pPr>
              <w:jc w:val="right"/>
              <w:ind w:right="20"/>
              <w:spacing w:after="0" w:line="202" w:lineRule="exact"/>
              <w:rPr>
                <w:sz w:val="20"/>
                <w:szCs w:val="20"/>
                <w:color w:val="auto"/>
              </w:rPr>
            </w:pPr>
            <w:r>
              <w:rPr>
                <w:rFonts w:ascii="Arial" w:cs="Arial" w:eastAsia="Arial" w:hAnsi="Arial"/>
                <w:sz w:val="18"/>
                <w:szCs w:val="18"/>
                <w:color w:val="auto"/>
              </w:rPr>
              <w:t>23.7%</w:t>
            </w:r>
          </w:p>
        </w:tc>
      </w:tr>
    </w:tbl>
    <w:p>
      <w:pPr>
        <w:sectPr>
          <w:pgSz w:w="11900" w:h="16838" w:orient="portrait"/>
          <w:cols w:equalWidth="0" w:num="1">
            <w:col w:w="11420"/>
          </w:cols>
          <w:pgMar w:left="240" w:top="287" w:right="239" w:bottom="1440" w:gutter="0" w:footer="0" w:header="0"/>
        </w:sectPr>
      </w:pPr>
    </w:p>
    <w:bookmarkStart w:id="96" w:name="page97"/>
    <w:bookmarkEnd w:id="96"/>
    <w:p>
      <w:pPr>
        <w:ind w:left="7700"/>
        <w:spacing w:after="0"/>
        <w:tabs>
          <w:tab w:leader="none" w:pos="1090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2006 ANNUAL REPORT</w:t>
      </w:r>
      <w:r>
        <w:rPr>
          <w:sz w:val="20"/>
          <w:szCs w:val="20"/>
          <w:color w:val="auto"/>
        </w:rPr>
        <w:tab/>
      </w:r>
      <w:r>
        <w:rPr>
          <w:rFonts w:ascii="Arial" w:cs="Arial" w:eastAsia="Arial" w:hAnsi="Arial"/>
          <w:sz w:val="12"/>
          <w:szCs w:val="12"/>
          <w:color w:val="939598"/>
        </w:rPr>
        <w:t>47</w:t>
      </w:r>
    </w:p>
    <w:p>
      <w:pPr>
        <w:spacing w:after="0" w:line="140" w:lineRule="exact"/>
        <w:rPr>
          <w:sz w:val="20"/>
          <w:szCs w:val="20"/>
          <w:color w:val="auto"/>
        </w:rPr>
      </w:pPr>
    </w:p>
    <w:p>
      <w:pPr>
        <w:jc w:val="both"/>
        <w:ind w:left="100" w:right="20"/>
        <w:spacing w:after="0" w:line="239" w:lineRule="auto"/>
        <w:rPr>
          <w:sz w:val="20"/>
          <w:szCs w:val="20"/>
          <w:color w:val="auto"/>
        </w:rPr>
      </w:pPr>
      <w:r>
        <w:rPr>
          <w:rFonts w:ascii="Arial" w:cs="Arial" w:eastAsia="Arial" w:hAnsi="Arial"/>
          <w:sz w:val="18"/>
          <w:szCs w:val="18"/>
          <w:color w:val="auto"/>
        </w:rPr>
        <w:t>Semiconductor revenue in 2006 of $13.73 billion increased 16 percent from 2005 primarily due to increased product shipments resulting from higher demand for both analog, especially high-performance analog, and, to a lesser extent, DSP.</w:t>
      </w:r>
    </w:p>
    <w:p>
      <w:pPr>
        <w:spacing w:after="0" w:line="155" w:lineRule="exact"/>
        <w:rPr>
          <w:sz w:val="20"/>
          <w:szCs w:val="20"/>
          <w:color w:val="auto"/>
        </w:rPr>
      </w:pPr>
    </w:p>
    <w:p>
      <w:pPr>
        <w:jc w:val="both"/>
        <w:ind w:left="100" w:right="80"/>
        <w:spacing w:after="0" w:line="238" w:lineRule="auto"/>
        <w:rPr>
          <w:sz w:val="20"/>
          <w:szCs w:val="20"/>
          <w:color w:val="auto"/>
        </w:rPr>
      </w:pPr>
      <w:r>
        <w:rPr>
          <w:rFonts w:ascii="Arial" w:cs="Arial" w:eastAsia="Arial" w:hAnsi="Arial"/>
          <w:sz w:val="18"/>
          <w:szCs w:val="18"/>
          <w:color w:val="auto"/>
        </w:rPr>
        <w:t>For the year, analog revenue increased 18 percent primarily due to increased shipments resulting from higher demand for high-performance analog products. Revenue from high-performance analog products increased 33 percent primarily due to market-share gains. In 2006, about 40 percent of total Semiconductor revenue came from analog.</w:t>
      </w:r>
    </w:p>
    <w:p>
      <w:pPr>
        <w:spacing w:after="0" w:line="154" w:lineRule="exact"/>
        <w:rPr>
          <w:sz w:val="20"/>
          <w:szCs w:val="20"/>
          <w:color w:val="auto"/>
        </w:rPr>
      </w:pPr>
    </w:p>
    <w:p>
      <w:pPr>
        <w:ind w:left="100" w:right="560"/>
        <w:spacing w:after="0" w:line="239" w:lineRule="auto"/>
        <w:rPr>
          <w:sz w:val="20"/>
          <w:szCs w:val="20"/>
          <w:color w:val="auto"/>
        </w:rPr>
      </w:pPr>
      <w:r>
        <w:rPr>
          <w:rFonts w:ascii="Arial" w:cs="Arial" w:eastAsia="Arial" w:hAnsi="Arial"/>
          <w:sz w:val="18"/>
          <w:szCs w:val="18"/>
          <w:color w:val="auto"/>
        </w:rPr>
        <w:t>In 2006, DSP revenue increased 16 percent due to increased shipments resulting from higher demand for wireless products. About 40 percent of total Semiconductor revenue in 2006 came from DSP.</w:t>
      </w:r>
    </w:p>
    <w:p>
      <w:pPr>
        <w:spacing w:after="0" w:line="155" w:lineRule="exact"/>
        <w:rPr>
          <w:sz w:val="20"/>
          <w:szCs w:val="20"/>
          <w:color w:val="auto"/>
        </w:rPr>
      </w:pPr>
    </w:p>
    <w:p>
      <w:pPr>
        <w:ind w:left="100" w:right="140"/>
        <w:spacing w:after="0" w:line="237" w:lineRule="auto"/>
        <w:rPr>
          <w:sz w:val="20"/>
          <w:szCs w:val="20"/>
          <w:color w:val="auto"/>
        </w:rPr>
      </w:pPr>
      <w:r>
        <w:rPr>
          <w:rFonts w:ascii="Arial" w:cs="Arial" w:eastAsia="Arial" w:hAnsi="Arial"/>
          <w:sz w:val="18"/>
          <w:szCs w:val="18"/>
          <w:color w:val="auto"/>
        </w:rPr>
        <w:t>Our 2006 remaining Semiconductor revenue increased 14 percent as increased shipments resulting from growth in demand for standard logic products, DLP products, reduced instruction set computing (RISC) microprocessors (designed to provide very fast computing, typically for a specialized application such as servers) and microcontrollers (a microprocessor designed to control a very specific task for electronic equipment) more than offset a decline in royalties.</w:t>
      </w:r>
    </w:p>
    <w:p>
      <w:pPr>
        <w:spacing w:after="0" w:line="155" w:lineRule="exact"/>
        <w:rPr>
          <w:sz w:val="20"/>
          <w:szCs w:val="20"/>
          <w:color w:val="auto"/>
        </w:rPr>
      </w:pPr>
    </w:p>
    <w:p>
      <w:pPr>
        <w:ind w:left="100" w:right="160"/>
        <w:spacing w:after="0" w:line="238" w:lineRule="auto"/>
        <w:rPr>
          <w:sz w:val="20"/>
          <w:szCs w:val="20"/>
          <w:color w:val="auto"/>
        </w:rPr>
      </w:pPr>
      <w:r>
        <w:rPr>
          <w:rFonts w:ascii="Arial" w:cs="Arial" w:eastAsia="Arial" w:hAnsi="Arial"/>
          <w:sz w:val="18"/>
          <w:szCs w:val="18"/>
          <w:color w:val="auto"/>
        </w:rPr>
        <w:t>During 2006, we signed new patent license agreements to replace agreements that had previously expired. In total, royalties in 2006 decreased by $87 million from 2005 due to the expiration of older agreements. With the signing of the new agreements, we expect royalties to range from about $80-90 million per quarter in 2007.</w:t>
      </w:r>
    </w:p>
    <w:p>
      <w:pPr>
        <w:spacing w:after="0" w:line="154" w:lineRule="exact"/>
        <w:rPr>
          <w:sz w:val="20"/>
          <w:szCs w:val="20"/>
          <w:color w:val="auto"/>
        </w:rPr>
      </w:pPr>
    </w:p>
    <w:p>
      <w:pPr>
        <w:ind w:left="100" w:right="280"/>
        <w:spacing w:after="0" w:line="239" w:lineRule="auto"/>
        <w:rPr>
          <w:sz w:val="20"/>
          <w:szCs w:val="20"/>
          <w:color w:val="auto"/>
        </w:rPr>
      </w:pPr>
      <w:r>
        <w:rPr>
          <w:rFonts w:ascii="Arial" w:cs="Arial" w:eastAsia="Arial" w:hAnsi="Arial"/>
          <w:sz w:val="18"/>
          <w:szCs w:val="18"/>
          <w:color w:val="auto"/>
        </w:rPr>
        <w:t>On an end-equipment basis, revenue from wireless products in 2006 was up 16 percent from 2005 as 3G handset revenue grew about 50 percent from 2005 and sales to the low-priced handset market increased.</w:t>
      </w:r>
    </w:p>
    <w:p>
      <w:pPr>
        <w:spacing w:after="0" w:line="155" w:lineRule="exact"/>
        <w:rPr>
          <w:sz w:val="20"/>
          <w:szCs w:val="20"/>
          <w:color w:val="auto"/>
        </w:rPr>
      </w:pPr>
    </w:p>
    <w:p>
      <w:pPr>
        <w:ind w:left="100" w:right="240"/>
        <w:spacing w:after="0" w:line="239" w:lineRule="auto"/>
        <w:rPr>
          <w:sz w:val="20"/>
          <w:szCs w:val="20"/>
          <w:color w:val="auto"/>
        </w:rPr>
      </w:pPr>
      <w:r>
        <w:rPr>
          <w:rFonts w:ascii="Arial" w:cs="Arial" w:eastAsia="Arial" w:hAnsi="Arial"/>
          <w:sz w:val="18"/>
          <w:szCs w:val="18"/>
          <w:color w:val="auto"/>
        </w:rPr>
        <w:t>In DLP products, revenue increased 15 percent from 2005 primarily due to higher demand resulting in increased shipments of products for front projectors and, to a lesser extent, products for cinema projectors and HDTVs.</w:t>
      </w:r>
    </w:p>
    <w:p>
      <w:pPr>
        <w:spacing w:after="0" w:line="155" w:lineRule="exact"/>
        <w:rPr>
          <w:sz w:val="20"/>
          <w:szCs w:val="20"/>
          <w:color w:val="auto"/>
        </w:rPr>
      </w:pPr>
    </w:p>
    <w:p>
      <w:pPr>
        <w:ind w:left="100" w:right="320"/>
        <w:spacing w:after="0" w:line="281" w:lineRule="auto"/>
        <w:rPr>
          <w:sz w:val="20"/>
          <w:szCs w:val="20"/>
          <w:color w:val="auto"/>
        </w:rPr>
      </w:pPr>
      <w:r>
        <w:rPr>
          <w:rFonts w:ascii="Arial" w:cs="Arial" w:eastAsia="Arial" w:hAnsi="Arial"/>
          <w:sz w:val="16"/>
          <w:szCs w:val="16"/>
          <w:color w:val="auto"/>
        </w:rPr>
        <w:t>In total, we estimate that our 2006 Semiconductor product revenue came from the following broad markets: communications (including wireless and broadband communications) was about 50 percent; computing (including peripherals and computers) was about 25 percent; consumer electronics was about 10 percent; industrial was less than 10 percent; and automotive was about 5 percent.</w:t>
      </w:r>
    </w:p>
    <w:p>
      <w:pPr>
        <w:spacing w:after="0" w:line="124" w:lineRule="exact"/>
        <w:rPr>
          <w:sz w:val="20"/>
          <w:szCs w:val="20"/>
          <w:color w:val="auto"/>
        </w:rPr>
      </w:pPr>
    </w:p>
    <w:p>
      <w:pPr>
        <w:ind w:left="100" w:right="260"/>
        <w:spacing w:after="0" w:line="239" w:lineRule="auto"/>
        <w:rPr>
          <w:sz w:val="20"/>
          <w:szCs w:val="20"/>
          <w:color w:val="auto"/>
        </w:rPr>
      </w:pPr>
      <w:r>
        <w:rPr>
          <w:rFonts w:ascii="Arial" w:cs="Arial" w:eastAsia="Arial" w:hAnsi="Arial"/>
          <w:sz w:val="18"/>
          <w:szCs w:val="18"/>
          <w:color w:val="auto"/>
        </w:rPr>
        <w:t>Gross profit in 2006 was $7.05 billion, or 51.3 percent of revenue. This was an increase of $1.28 billion, or 22 percent, from 2005 primarily due to higher revenue and, to a lesser extent, lower depreciation.</w:t>
      </w:r>
    </w:p>
    <w:p>
      <w:pPr>
        <w:spacing w:after="0" w:line="155" w:lineRule="exact"/>
        <w:rPr>
          <w:sz w:val="20"/>
          <w:szCs w:val="20"/>
          <w:color w:val="auto"/>
        </w:rPr>
      </w:pPr>
    </w:p>
    <w:p>
      <w:pPr>
        <w:ind w:left="100" w:right="80"/>
        <w:spacing w:after="0" w:line="239" w:lineRule="auto"/>
        <w:rPr>
          <w:sz w:val="20"/>
          <w:szCs w:val="20"/>
          <w:color w:val="auto"/>
        </w:rPr>
      </w:pPr>
      <w:r>
        <w:rPr>
          <w:rFonts w:ascii="Arial" w:cs="Arial" w:eastAsia="Arial" w:hAnsi="Arial"/>
          <w:sz w:val="18"/>
          <w:szCs w:val="18"/>
          <w:color w:val="auto"/>
        </w:rPr>
        <w:t>Operating profit in 2006 was $3.83 billion, or a record 27.9 percent of revenue. This was an increase of $1.02 billion from 2005 due to higher gross profit.</w:t>
      </w:r>
    </w:p>
    <w:p>
      <w:pPr>
        <w:spacing w:after="0" w:line="155" w:lineRule="exact"/>
        <w:rPr>
          <w:sz w:val="20"/>
          <w:szCs w:val="20"/>
          <w:color w:val="auto"/>
        </w:rPr>
      </w:pPr>
    </w:p>
    <w:p>
      <w:pPr>
        <w:ind w:left="100" w:right="620"/>
        <w:spacing w:after="0" w:line="427" w:lineRule="auto"/>
        <w:rPr>
          <w:sz w:val="20"/>
          <w:szCs w:val="20"/>
          <w:color w:val="auto"/>
        </w:rPr>
      </w:pPr>
      <w:r>
        <w:rPr>
          <w:rFonts w:ascii="Arial" w:cs="Arial" w:eastAsia="Arial" w:hAnsi="Arial"/>
          <w:sz w:val="18"/>
          <w:szCs w:val="18"/>
          <w:color w:val="auto"/>
        </w:rPr>
        <w:t xml:space="preserve">For the year, Semiconductor orders were $13.49 billion. This was an increase of 9 percent due to higher demand for analog products. </w:t>
      </w:r>
      <w:r>
        <w:rPr>
          <w:rFonts w:ascii="Arial" w:cs="Arial" w:eastAsia="Arial" w:hAnsi="Arial"/>
          <w:sz w:val="18"/>
          <w:szCs w:val="18"/>
          <w:i w:val="1"/>
          <w:iCs w:val="1"/>
          <w:color w:val="auto"/>
        </w:rPr>
        <w:t>Education Technology Segment</w:t>
      </w:r>
    </w:p>
    <w:p>
      <w:pPr>
        <w:spacing w:after="0" w:line="5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Statement of Operations – Education Technology</w:t>
      </w:r>
    </w:p>
    <w:p>
      <w:pPr>
        <w:spacing w:after="0" w:line="200"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939598"/>
        </w:rPr>
        <w:t>FOR THE YEARS ENDED</w:t>
      </w:r>
    </w:p>
    <w:p>
      <w:pPr>
        <w:spacing w:after="0" w:line="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939598"/>
        </w:rPr>
        <w:t>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shd w:val="clear" w:color="auto" w:fill="939598"/>
          </w:tcPr>
          <w:p>
            <w:pPr>
              <w:spacing w:after="0"/>
              <w:rPr>
                <w:sz w:val="14"/>
                <w:szCs w:val="14"/>
                <w:color w:val="auto"/>
              </w:rPr>
            </w:pPr>
          </w:p>
        </w:tc>
        <w:tc>
          <w:tcPr>
            <w:tcW w:w="4100" w:type="dxa"/>
            <w:vAlign w:val="bottom"/>
            <w:gridSpan w:val="2"/>
            <w:shd w:val="clear" w:color="auto" w:fill="939598"/>
          </w:tcPr>
          <w:p>
            <w:pPr>
              <w:jc w:val="right"/>
              <w:ind w:right="412"/>
              <w:spacing w:after="0"/>
              <w:rPr>
                <w:sz w:val="20"/>
                <w:szCs w:val="20"/>
                <w:color w:val="auto"/>
              </w:rPr>
            </w:pPr>
            <w:r>
              <w:rPr>
                <w:rFonts w:ascii="Arial" w:cs="Arial" w:eastAsia="Arial" w:hAnsi="Arial"/>
                <w:sz w:val="14"/>
                <w:szCs w:val="14"/>
                <w:b w:val="1"/>
                <w:bCs w:val="1"/>
                <w:color w:val="FFFFFF"/>
              </w:rPr>
              <w:t>2006</w:t>
            </w:r>
          </w:p>
        </w:tc>
        <w:tc>
          <w:tcPr>
            <w:tcW w:w="860" w:type="dxa"/>
            <w:vAlign w:val="bottom"/>
            <w:shd w:val="clear" w:color="auto" w:fill="939598"/>
          </w:tcPr>
          <w:p>
            <w:pPr>
              <w:jc w:val="right"/>
              <w:ind w:right="115"/>
              <w:spacing w:after="0"/>
              <w:rPr>
                <w:sz w:val="20"/>
                <w:szCs w:val="20"/>
                <w:color w:val="auto"/>
              </w:rPr>
            </w:pPr>
            <w:r>
              <w:rPr>
                <w:rFonts w:ascii="Arial" w:cs="Arial" w:eastAsia="Arial" w:hAnsi="Arial"/>
                <w:sz w:val="14"/>
                <w:szCs w:val="14"/>
                <w:b w:val="1"/>
                <w:bCs w:val="1"/>
                <w:color w:val="FFFFFF"/>
              </w:rPr>
              <w:t>2005</w:t>
            </w:r>
          </w:p>
        </w:tc>
        <w:tc>
          <w:tcPr>
            <w:tcW w:w="160" w:type="dxa"/>
            <w:vAlign w:val="bottom"/>
            <w:shd w:val="clear" w:color="auto" w:fill="939598"/>
          </w:tcPr>
          <w:p>
            <w:pPr>
              <w:spacing w:after="0"/>
              <w:rPr>
                <w:sz w:val="14"/>
                <w:szCs w:val="14"/>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Net revenue</w:t>
            </w:r>
          </w:p>
        </w:tc>
        <w:tc>
          <w:tcPr>
            <w:tcW w:w="4100" w:type="dxa"/>
            <w:vAlign w:val="bottom"/>
            <w:gridSpan w:val="2"/>
          </w:tcPr>
          <w:p>
            <w:pPr>
              <w:jc w:val="right"/>
              <w:ind w:right="252"/>
              <w:spacing w:after="0"/>
              <w:rPr>
                <w:sz w:val="20"/>
                <w:szCs w:val="20"/>
                <w:color w:val="auto"/>
              </w:rPr>
            </w:pPr>
            <w:r>
              <w:rPr>
                <w:rFonts w:ascii="Arial" w:cs="Arial" w:eastAsia="Arial" w:hAnsi="Arial"/>
                <w:sz w:val="18"/>
                <w:szCs w:val="18"/>
                <w:b w:val="1"/>
                <w:bCs w:val="1"/>
                <w:color w:val="auto"/>
              </w:rPr>
              <w:t>$   525</w:t>
            </w:r>
          </w:p>
        </w:tc>
        <w:tc>
          <w:tcPr>
            <w:tcW w:w="860" w:type="dxa"/>
            <w:vAlign w:val="bottom"/>
          </w:tcPr>
          <w:p>
            <w:pPr>
              <w:jc w:val="right"/>
              <w:spacing w:after="0"/>
              <w:rPr>
                <w:sz w:val="20"/>
                <w:szCs w:val="20"/>
                <w:color w:val="auto"/>
              </w:rPr>
            </w:pPr>
            <w:r>
              <w:rPr>
                <w:rFonts w:ascii="Arial" w:cs="Arial" w:eastAsia="Arial" w:hAnsi="Arial"/>
                <w:sz w:val="18"/>
                <w:szCs w:val="18"/>
                <w:color w:val="auto"/>
              </w:rPr>
              <w:t>$   506</w:t>
            </w:r>
          </w:p>
        </w:tc>
        <w:tc>
          <w:tcPr>
            <w:tcW w:w="160" w:type="dxa"/>
            <w:vAlign w:val="bottom"/>
          </w:tcPr>
          <w:p>
            <w:pPr>
              <w:spacing w:after="0"/>
              <w:rPr>
                <w:sz w:val="23"/>
                <w:szCs w:val="23"/>
                <w:color w:val="auto"/>
              </w:rPr>
            </w:pPr>
          </w:p>
        </w:tc>
      </w:tr>
      <w:tr>
        <w:trPr>
          <w:trHeight w:val="203"/>
        </w:trPr>
        <w:tc>
          <w:tcPr>
            <w:tcW w:w="5600" w:type="dxa"/>
            <w:vAlign w:val="bottom"/>
            <w:shd w:val="clear" w:color="auto" w:fill="E6E7E7"/>
          </w:tcPr>
          <w:p>
            <w:pPr>
              <w:spacing w:after="0" w:line="202" w:lineRule="exact"/>
              <w:rPr>
                <w:sz w:val="20"/>
                <w:szCs w:val="20"/>
                <w:color w:val="auto"/>
              </w:rPr>
            </w:pPr>
            <w:r>
              <w:rPr>
                <w:rFonts w:ascii="Arial" w:cs="Arial" w:eastAsia="Arial" w:hAnsi="Arial"/>
                <w:sz w:val="18"/>
                <w:szCs w:val="18"/>
                <w:color w:val="auto"/>
              </w:rPr>
              <w:t>Cost of revenue</w:t>
            </w:r>
          </w:p>
        </w:tc>
        <w:tc>
          <w:tcPr>
            <w:tcW w:w="4100" w:type="dxa"/>
            <w:vAlign w:val="bottom"/>
            <w:gridSpan w:val="2"/>
            <w:shd w:val="clear" w:color="auto" w:fill="E6E7E7"/>
          </w:tcPr>
          <w:p>
            <w:pPr>
              <w:jc w:val="right"/>
              <w:ind w:right="252"/>
              <w:spacing w:after="0" w:line="202" w:lineRule="exact"/>
              <w:rPr>
                <w:sz w:val="20"/>
                <w:szCs w:val="20"/>
                <w:color w:val="auto"/>
              </w:rPr>
            </w:pPr>
            <w:r>
              <w:rPr>
                <w:rFonts w:ascii="Arial" w:cs="Arial" w:eastAsia="Arial" w:hAnsi="Arial"/>
                <w:sz w:val="18"/>
                <w:szCs w:val="18"/>
                <w:b w:val="1"/>
                <w:bCs w:val="1"/>
                <w:color w:val="auto"/>
              </w:rPr>
              <w:t>204</w:t>
            </w:r>
          </w:p>
        </w:tc>
        <w:tc>
          <w:tcPr>
            <w:tcW w:w="8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206</w:t>
            </w:r>
          </w:p>
        </w:tc>
        <w:tc>
          <w:tcPr>
            <w:tcW w:w="160" w:type="dxa"/>
            <w:vAlign w:val="bottom"/>
            <w:shd w:val="clear" w:color="auto" w:fill="E6E7E7"/>
          </w:tcPr>
          <w:p>
            <w:pPr>
              <w:spacing w:after="0"/>
              <w:rPr>
                <w:sz w:val="17"/>
                <w:szCs w:val="17"/>
                <w:color w:val="auto"/>
              </w:rPr>
            </w:pP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Gross profit</w:t>
            </w:r>
          </w:p>
        </w:tc>
        <w:tc>
          <w:tcPr>
            <w:tcW w:w="3120" w:type="dxa"/>
            <w:vAlign w:val="bottom"/>
          </w:tcPr>
          <w:p>
            <w:pPr>
              <w:spacing w:after="0"/>
              <w:rPr>
                <w:sz w:val="18"/>
                <w:szCs w:val="18"/>
                <w:color w:val="auto"/>
              </w:rPr>
            </w:pPr>
          </w:p>
        </w:tc>
        <w:tc>
          <w:tcPr>
            <w:tcW w:w="98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321</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r>
      <w:tr>
        <w:trPr>
          <w:trHeight w:val="203"/>
        </w:trPr>
        <w:tc>
          <w:tcPr>
            <w:tcW w:w="560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Gross profit % of revenue</w:t>
            </w:r>
          </w:p>
        </w:tc>
        <w:tc>
          <w:tcPr>
            <w:tcW w:w="4100" w:type="dxa"/>
            <w:vAlign w:val="bottom"/>
            <w:gridSpan w:val="2"/>
            <w:shd w:val="clear" w:color="auto" w:fill="E6E7E7"/>
          </w:tcPr>
          <w:p>
            <w:pPr>
              <w:jc w:val="right"/>
              <w:ind w:right="92"/>
              <w:spacing w:after="0" w:line="202" w:lineRule="exact"/>
              <w:rPr>
                <w:sz w:val="20"/>
                <w:szCs w:val="20"/>
                <w:color w:val="auto"/>
              </w:rPr>
            </w:pPr>
            <w:r>
              <w:rPr>
                <w:rFonts w:ascii="Arial" w:cs="Arial" w:eastAsia="Arial" w:hAnsi="Arial"/>
                <w:sz w:val="18"/>
                <w:szCs w:val="18"/>
                <w:b w:val="1"/>
                <w:bCs w:val="1"/>
                <w:color w:val="auto"/>
              </w:rPr>
              <w:t>61.1%</w:t>
            </w:r>
          </w:p>
        </w:tc>
        <w:tc>
          <w:tcPr>
            <w:tcW w:w="1020" w:type="dxa"/>
            <w:vAlign w:val="bottom"/>
            <w:gridSpan w:val="2"/>
            <w:shd w:val="clear" w:color="auto" w:fill="E6E7E7"/>
          </w:tcPr>
          <w:p>
            <w:pPr>
              <w:jc w:val="right"/>
              <w:ind w:right="20"/>
              <w:spacing w:after="0" w:line="202" w:lineRule="exact"/>
              <w:rPr>
                <w:sz w:val="20"/>
                <w:szCs w:val="20"/>
                <w:color w:val="auto"/>
              </w:rPr>
            </w:pPr>
            <w:r>
              <w:rPr>
                <w:rFonts w:ascii="Arial" w:cs="Arial" w:eastAsia="Arial" w:hAnsi="Arial"/>
                <w:sz w:val="18"/>
                <w:szCs w:val="18"/>
                <w:color w:val="auto"/>
              </w:rPr>
              <w:t>59.2%</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Profit from operations</w:t>
            </w:r>
          </w:p>
        </w:tc>
        <w:tc>
          <w:tcPr>
            <w:tcW w:w="4100" w:type="dxa"/>
            <w:vAlign w:val="bottom"/>
            <w:gridSpan w:val="2"/>
          </w:tcPr>
          <w:p>
            <w:pPr>
              <w:jc w:val="right"/>
              <w:ind w:right="252"/>
              <w:spacing w:after="0" w:line="202" w:lineRule="exact"/>
              <w:rPr>
                <w:sz w:val="20"/>
                <w:szCs w:val="20"/>
                <w:color w:val="auto"/>
              </w:rPr>
            </w:pPr>
            <w:r>
              <w:rPr>
                <w:rFonts w:ascii="Arial" w:cs="Arial" w:eastAsia="Arial" w:hAnsi="Arial"/>
                <w:sz w:val="18"/>
                <w:szCs w:val="18"/>
                <w:b w:val="1"/>
                <w:bCs w:val="1"/>
                <w:color w:val="auto"/>
              </w:rPr>
              <w:t>200</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188</w:t>
            </w:r>
          </w:p>
        </w:tc>
        <w:tc>
          <w:tcPr>
            <w:tcW w:w="160" w:type="dxa"/>
            <w:vAlign w:val="bottom"/>
          </w:tcPr>
          <w:p>
            <w:pPr>
              <w:spacing w:after="0"/>
              <w:rPr>
                <w:sz w:val="17"/>
                <w:szCs w:val="17"/>
                <w:color w:val="auto"/>
              </w:rPr>
            </w:pPr>
          </w:p>
        </w:tc>
      </w:tr>
      <w:tr>
        <w:trPr>
          <w:trHeight w:val="203"/>
        </w:trPr>
        <w:tc>
          <w:tcPr>
            <w:tcW w:w="5600" w:type="dxa"/>
            <w:vAlign w:val="bottom"/>
            <w:shd w:val="clear" w:color="auto" w:fill="E6E7E7"/>
          </w:tcPr>
          <w:p>
            <w:pPr>
              <w:ind w:left="200"/>
              <w:spacing w:after="0" w:line="202" w:lineRule="exact"/>
              <w:rPr>
                <w:sz w:val="20"/>
                <w:szCs w:val="20"/>
                <w:color w:val="auto"/>
              </w:rPr>
            </w:pPr>
            <w:r>
              <w:rPr>
                <w:rFonts w:ascii="Arial" w:cs="Arial" w:eastAsia="Arial" w:hAnsi="Arial"/>
                <w:sz w:val="18"/>
                <w:szCs w:val="18"/>
                <w:color w:val="auto"/>
              </w:rPr>
              <w:t>Operating profit % of revenue</w:t>
            </w:r>
          </w:p>
        </w:tc>
        <w:tc>
          <w:tcPr>
            <w:tcW w:w="4100" w:type="dxa"/>
            <w:vAlign w:val="bottom"/>
            <w:gridSpan w:val="2"/>
            <w:shd w:val="clear" w:color="auto" w:fill="E6E7E7"/>
          </w:tcPr>
          <w:p>
            <w:pPr>
              <w:jc w:val="right"/>
              <w:ind w:right="92"/>
              <w:spacing w:after="0" w:line="202" w:lineRule="exact"/>
              <w:rPr>
                <w:sz w:val="20"/>
                <w:szCs w:val="20"/>
                <w:color w:val="auto"/>
              </w:rPr>
            </w:pPr>
            <w:r>
              <w:rPr>
                <w:rFonts w:ascii="Arial" w:cs="Arial" w:eastAsia="Arial" w:hAnsi="Arial"/>
                <w:sz w:val="18"/>
                <w:szCs w:val="18"/>
                <w:b w:val="1"/>
                <w:bCs w:val="1"/>
                <w:color w:val="auto"/>
              </w:rPr>
              <w:t>38.0%</w:t>
            </w:r>
          </w:p>
        </w:tc>
        <w:tc>
          <w:tcPr>
            <w:tcW w:w="1020" w:type="dxa"/>
            <w:vAlign w:val="bottom"/>
            <w:gridSpan w:val="2"/>
            <w:shd w:val="clear" w:color="auto" w:fill="E6E7E7"/>
          </w:tcPr>
          <w:p>
            <w:pPr>
              <w:jc w:val="right"/>
              <w:ind w:right="20"/>
              <w:spacing w:after="0" w:line="202" w:lineRule="exact"/>
              <w:rPr>
                <w:sz w:val="20"/>
                <w:szCs w:val="20"/>
                <w:color w:val="auto"/>
              </w:rPr>
            </w:pPr>
            <w:r>
              <w:rPr>
                <w:rFonts w:ascii="Arial" w:cs="Arial" w:eastAsia="Arial" w:hAnsi="Arial"/>
                <w:sz w:val="18"/>
                <w:szCs w:val="18"/>
                <w:color w:val="auto"/>
              </w:rPr>
              <w:t>37.2%</w:t>
            </w:r>
          </w:p>
        </w:tc>
      </w:tr>
    </w:tbl>
    <w:p>
      <w:pPr>
        <w:spacing w:after="0" w:line="165" w:lineRule="exact"/>
        <w:rPr>
          <w:sz w:val="20"/>
          <w:szCs w:val="20"/>
          <w:color w:val="auto"/>
        </w:rPr>
      </w:pPr>
    </w:p>
    <w:p>
      <w:pPr>
        <w:ind w:left="100" w:right="700"/>
        <w:spacing w:after="0" w:line="239" w:lineRule="auto"/>
        <w:rPr>
          <w:sz w:val="20"/>
          <w:szCs w:val="20"/>
          <w:color w:val="auto"/>
        </w:rPr>
      </w:pPr>
      <w:r>
        <w:rPr>
          <w:rFonts w:ascii="Arial" w:cs="Arial" w:eastAsia="Arial" w:hAnsi="Arial"/>
          <w:sz w:val="18"/>
          <w:szCs w:val="18"/>
          <w:color w:val="auto"/>
        </w:rPr>
        <w:t>For the year, Education Technology revenue was $525 million. This was a 4 percent increase from 2005 due to increased shipments resulting from higher demand for graphing calculators.</w:t>
      </w:r>
    </w:p>
    <w:p>
      <w:pPr>
        <w:spacing w:after="0" w:line="155" w:lineRule="exact"/>
        <w:rPr>
          <w:sz w:val="20"/>
          <w:szCs w:val="20"/>
          <w:color w:val="auto"/>
        </w:rPr>
      </w:pPr>
    </w:p>
    <w:p>
      <w:pPr>
        <w:ind w:left="100" w:right="260"/>
        <w:spacing w:after="0" w:line="239" w:lineRule="auto"/>
        <w:rPr>
          <w:sz w:val="20"/>
          <w:szCs w:val="20"/>
          <w:color w:val="auto"/>
        </w:rPr>
      </w:pPr>
      <w:r>
        <w:rPr>
          <w:rFonts w:ascii="Arial" w:cs="Arial" w:eastAsia="Arial" w:hAnsi="Arial"/>
          <w:sz w:val="18"/>
          <w:szCs w:val="18"/>
          <w:color w:val="auto"/>
        </w:rPr>
        <w:t>Gross profit in 2006 of $321 million, or a record 61.1 percent of revenue, increased $21 million from 2005 due to higher revenue, and, to a lesser extent, product cost reductions.</w:t>
      </w:r>
    </w:p>
    <w:p>
      <w:pPr>
        <w:spacing w:after="0" w:line="155" w:lineRule="exact"/>
        <w:rPr>
          <w:sz w:val="20"/>
          <w:szCs w:val="20"/>
          <w:color w:val="auto"/>
        </w:rPr>
      </w:pPr>
    </w:p>
    <w:p>
      <w:pPr>
        <w:ind w:left="100" w:right="180"/>
        <w:spacing w:after="0" w:line="239" w:lineRule="auto"/>
        <w:rPr>
          <w:sz w:val="20"/>
          <w:szCs w:val="20"/>
          <w:color w:val="auto"/>
        </w:rPr>
      </w:pPr>
      <w:r>
        <w:rPr>
          <w:rFonts w:ascii="Arial" w:cs="Arial" w:eastAsia="Arial" w:hAnsi="Arial"/>
          <w:sz w:val="18"/>
          <w:szCs w:val="18"/>
          <w:color w:val="auto"/>
        </w:rPr>
        <w:t>Operating profit in 2006 was $200 million, or a record 38.0 percent of revenue. This was an increase of $12 million from 2005 due to higher gross profit.</w:t>
      </w:r>
    </w:p>
    <w:p>
      <w:pPr>
        <w:sectPr>
          <w:pgSz w:w="11900" w:h="16838" w:orient="portrait"/>
          <w:cols w:equalWidth="0" w:num="1">
            <w:col w:w="11060"/>
          </w:cols>
          <w:pgMar w:left="600" w:top="287" w:right="239" w:bottom="1440" w:gutter="0" w:footer="0" w:header="0"/>
        </w:sectPr>
      </w:pPr>
    </w:p>
    <w:bookmarkStart w:id="97" w:name="page98"/>
    <w:bookmarkEnd w:id="97"/>
    <w:p>
      <w:pPr>
        <w:spacing w:after="0"/>
        <w:tabs>
          <w:tab w:leader="none" w:pos="36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48</w:t>
        <w:tab/>
        <w:t>TEXAS INSTRUMENTS 2006 ANNUAL REPORT</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Discontinued Operations</w:t>
      </w:r>
    </w:p>
    <w:p>
      <w:pPr>
        <w:spacing w:after="0" w:line="176" w:lineRule="exact"/>
        <w:rPr>
          <w:sz w:val="20"/>
          <w:szCs w:val="20"/>
          <w:color w:val="auto"/>
        </w:rPr>
      </w:pPr>
    </w:p>
    <w:p>
      <w:pPr>
        <w:ind w:left="460" w:right="60"/>
        <w:spacing w:after="0" w:line="237" w:lineRule="auto"/>
        <w:rPr>
          <w:sz w:val="20"/>
          <w:szCs w:val="20"/>
          <w:color w:val="auto"/>
        </w:rPr>
      </w:pPr>
      <w:r>
        <w:rPr>
          <w:rFonts w:ascii="Arial" w:cs="Arial" w:eastAsia="Arial" w:hAnsi="Arial"/>
          <w:sz w:val="18"/>
          <w:szCs w:val="18"/>
          <w:color w:val="auto"/>
        </w:rPr>
        <w:t>Revenue from the former Sensors &amp; Controls business was $375 million in 2006 compared with $1.06 billion in 2005. Results for 2006 cover the period up to the date of the sale (April 27, 2006). Income from discontinued operations for 2006, which includes the $1.67 billion gain from the sale of the former Sensors &amp; Controls business, was $1.70 billion, compared with $151 million in 2005 (see Note 2 to the Financial Statements for further discussion).</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Prior Results of Operations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2005 Compared with 2004</w:t>
      </w:r>
    </w:p>
    <w:p>
      <w:pPr>
        <w:spacing w:after="0" w:line="158" w:lineRule="exact"/>
        <w:rPr>
          <w:sz w:val="20"/>
          <w:szCs w:val="20"/>
          <w:color w:val="auto"/>
        </w:rPr>
      </w:pPr>
    </w:p>
    <w:p>
      <w:pPr>
        <w:ind w:left="460" w:right="180"/>
        <w:spacing w:after="0" w:line="238" w:lineRule="auto"/>
        <w:rPr>
          <w:sz w:val="20"/>
          <w:szCs w:val="20"/>
          <w:color w:val="auto"/>
        </w:rPr>
      </w:pPr>
      <w:r>
        <w:rPr>
          <w:rFonts w:ascii="Arial" w:cs="Arial" w:eastAsia="Arial" w:hAnsi="Arial"/>
          <w:sz w:val="18"/>
          <w:szCs w:val="18"/>
          <w:color w:val="auto"/>
        </w:rPr>
        <w:t>2005 was our 75th year in operation, and as we crossed that milestone we delivered record annual results for revenue, operating profit, operating margin and operating cash flow. We also gained market share in our core semiconductor technologies of DSP and analog for the fourth consecutive year.</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Details of Financial Results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our revenue reached $12.33 billion, an increase of 7 percent. We also set a new high for operating margin of 20.7 percent.</w:t>
      </w:r>
    </w:p>
    <w:p>
      <w:pPr>
        <w:spacing w:after="0" w:line="158" w:lineRule="exact"/>
        <w:rPr>
          <w:sz w:val="20"/>
          <w:szCs w:val="20"/>
          <w:color w:val="auto"/>
        </w:rPr>
      </w:pPr>
    </w:p>
    <w:p>
      <w:pPr>
        <w:ind w:left="460" w:right="260"/>
        <w:spacing w:after="0" w:line="239" w:lineRule="auto"/>
        <w:rPr>
          <w:sz w:val="20"/>
          <w:szCs w:val="20"/>
          <w:color w:val="auto"/>
        </w:rPr>
      </w:pPr>
      <w:r>
        <w:rPr>
          <w:rFonts w:ascii="Arial" w:cs="Arial" w:eastAsia="Arial" w:hAnsi="Arial"/>
          <w:sz w:val="18"/>
          <w:szCs w:val="18"/>
          <w:color w:val="auto"/>
        </w:rPr>
        <w:t>Diluted income from continuing operations per share was $1.30 for the year and includes stock-based compensation expense of $0.07 for the year.</w:t>
      </w:r>
    </w:p>
    <w:p>
      <w:pPr>
        <w:spacing w:after="0" w:line="155" w:lineRule="exact"/>
        <w:rPr>
          <w:sz w:val="20"/>
          <w:szCs w:val="20"/>
          <w:color w:val="auto"/>
        </w:rPr>
      </w:pPr>
    </w:p>
    <w:p>
      <w:pPr>
        <w:ind w:left="460" w:right="180"/>
        <w:spacing w:after="0" w:line="238" w:lineRule="auto"/>
        <w:rPr>
          <w:sz w:val="20"/>
          <w:szCs w:val="20"/>
          <w:color w:val="auto"/>
        </w:rPr>
      </w:pPr>
      <w:r>
        <w:rPr>
          <w:rFonts w:ascii="Arial" w:cs="Arial" w:eastAsia="Arial" w:hAnsi="Arial"/>
          <w:sz w:val="18"/>
          <w:szCs w:val="18"/>
          <w:color w:val="auto"/>
        </w:rPr>
        <w:t>Gross profit of $6.02 billion, or 48.8 percent of revenue, increased 14 percent from 2004 primarily due to higher gross margin in our Semiconductor business segment. Stock-based compensation expense included in cost of revenue was $32 million in 2005 compared with zero in 2004.</w:t>
      </w:r>
    </w:p>
    <w:p>
      <w:pPr>
        <w:spacing w:after="0" w:line="154" w:lineRule="exact"/>
        <w:rPr>
          <w:sz w:val="20"/>
          <w:szCs w:val="20"/>
          <w:color w:val="auto"/>
        </w:rPr>
      </w:pPr>
    </w:p>
    <w:p>
      <w:pPr>
        <w:ind w:left="460" w:right="600"/>
        <w:spacing w:after="0" w:line="239" w:lineRule="auto"/>
        <w:rPr>
          <w:sz w:val="20"/>
          <w:szCs w:val="20"/>
          <w:color w:val="auto"/>
        </w:rPr>
      </w:pPr>
      <w:r>
        <w:rPr>
          <w:rFonts w:ascii="Arial" w:cs="Arial" w:eastAsia="Arial" w:hAnsi="Arial"/>
          <w:sz w:val="18"/>
          <w:szCs w:val="18"/>
          <w:color w:val="auto"/>
        </w:rPr>
        <w:t>R&amp;D expense of $1.99 billion, or 16.1 percent of revenue, increased $40 million, or 2 percent from 2004, primarily due to stock-based compensation expense, which was $53 million in 2005 compared with zero in 2004.</w:t>
      </w:r>
    </w:p>
    <w:p>
      <w:pPr>
        <w:spacing w:after="0" w:line="155" w:lineRule="exact"/>
        <w:rPr>
          <w:sz w:val="20"/>
          <w:szCs w:val="20"/>
          <w:color w:val="auto"/>
        </w:rPr>
      </w:pPr>
    </w:p>
    <w:p>
      <w:pPr>
        <w:ind w:left="460" w:right="100"/>
        <w:spacing w:after="0" w:line="238" w:lineRule="auto"/>
        <w:rPr>
          <w:sz w:val="20"/>
          <w:szCs w:val="20"/>
          <w:color w:val="auto"/>
        </w:rPr>
      </w:pPr>
      <w:r>
        <w:rPr>
          <w:rFonts w:ascii="Arial" w:cs="Arial" w:eastAsia="Arial" w:hAnsi="Arial"/>
          <w:sz w:val="18"/>
          <w:szCs w:val="18"/>
          <w:color w:val="auto"/>
        </w:rPr>
        <w:t>SG&amp;A expense of $1.47 billion, or 11.9 percent of revenue, increased 9 percent primarily due to higher stock-based compensation and, to a lesser extent, expenses for DLP product advertising. Stock-based compensation expense included in SG&amp;A was $90 million in 2005 compared with $18 million in 2004.</w:t>
      </w:r>
    </w:p>
    <w:p>
      <w:pPr>
        <w:spacing w:after="0" w:line="154" w:lineRule="exact"/>
        <w:rPr>
          <w:sz w:val="20"/>
          <w:szCs w:val="20"/>
          <w:color w:val="auto"/>
        </w:rPr>
      </w:pPr>
    </w:p>
    <w:p>
      <w:pPr>
        <w:ind w:left="460"/>
        <w:spacing w:after="0" w:line="238" w:lineRule="auto"/>
        <w:rPr>
          <w:sz w:val="20"/>
          <w:szCs w:val="20"/>
          <w:color w:val="auto"/>
        </w:rPr>
      </w:pPr>
      <w:r>
        <w:rPr>
          <w:rFonts w:ascii="Arial" w:cs="Arial" w:eastAsia="Arial" w:hAnsi="Arial"/>
          <w:sz w:val="18"/>
          <w:szCs w:val="18"/>
          <w:color w:val="auto"/>
        </w:rPr>
        <w:t>Operating profit for the year was a record $2.56 billion. Operating margin was also a record at 20.7 percent of revenue, increasing 31 percent from 2004 due to higher operating margin in Semiconductor. Total stock-based compensation expense for 2005 was $175 million, or 1.4 percent of revenue, compared with $18 million in 2004.</w:t>
      </w:r>
    </w:p>
    <w:p>
      <w:pPr>
        <w:spacing w:after="0" w:line="154" w:lineRule="exact"/>
        <w:rPr>
          <w:sz w:val="20"/>
          <w:szCs w:val="20"/>
          <w:color w:val="auto"/>
        </w:rPr>
      </w:pPr>
    </w:p>
    <w:p>
      <w:pPr>
        <w:ind w:left="460" w:right="140"/>
        <w:spacing w:after="0" w:line="236" w:lineRule="auto"/>
        <w:rPr>
          <w:sz w:val="20"/>
          <w:szCs w:val="20"/>
          <w:color w:val="auto"/>
        </w:rPr>
      </w:pPr>
      <w:r>
        <w:rPr>
          <w:rFonts w:ascii="Arial" w:cs="Arial" w:eastAsia="Arial" w:hAnsi="Arial"/>
          <w:sz w:val="18"/>
          <w:szCs w:val="18"/>
          <w:color w:val="auto"/>
        </w:rPr>
        <w:t>Profit sharing expense in 2005 was $115 million compared with $243 million in 2004. Beginning in 2005, expenses under the TI employee profit sharing plan were determined using a different formula than was used in 2004 (see Note 11 to the Financial Statements for a description of the new calculation). We accrue profit sharing based on how we expect to perform for the year in total. The accrual in a given quarter is based on our expectations at that time as to annual performance. The profit sharing accrual is included in cost of revenue, R&amp;D expense, and SG&amp;A expense. As a result of the change in our profit sharing formula we expect profit sharing expenses to be more stable over time.</w:t>
      </w:r>
    </w:p>
    <w:p>
      <w:pPr>
        <w:spacing w:after="0" w:line="156" w:lineRule="exact"/>
        <w:rPr>
          <w:sz w:val="20"/>
          <w:szCs w:val="20"/>
          <w:color w:val="auto"/>
        </w:rPr>
      </w:pPr>
    </w:p>
    <w:p>
      <w:pPr>
        <w:jc w:val="both"/>
        <w:ind w:left="460" w:right="280"/>
        <w:spacing w:after="0" w:line="237" w:lineRule="auto"/>
        <w:rPr>
          <w:sz w:val="20"/>
          <w:szCs w:val="20"/>
          <w:color w:val="auto"/>
        </w:rPr>
      </w:pPr>
      <w:r>
        <w:rPr>
          <w:rFonts w:ascii="Arial" w:cs="Arial" w:eastAsia="Arial" w:hAnsi="Arial"/>
          <w:sz w:val="18"/>
          <w:szCs w:val="18"/>
          <w:color w:val="auto"/>
        </w:rPr>
        <w:t>OI&amp;E decreased $28 million in 2005 to $205 million. Interest income was $165 million, an increase of $29 million, due to higher average interest rates earned on short-term investments. This was offset by lower income in 2005 than in 2004 from settlements related to grants from the Italian government regarding our former memory business operations, and the 2004 favorable settlement with the State of Texas over claims for refund of state sales taxes relating to our former defense electronics business.</w:t>
      </w:r>
    </w:p>
    <w:p>
      <w:pPr>
        <w:spacing w:after="0" w:line="155" w:lineRule="exact"/>
        <w:rPr>
          <w:sz w:val="20"/>
          <w:szCs w:val="20"/>
          <w:color w:val="auto"/>
        </w:rPr>
      </w:pPr>
    </w:p>
    <w:p>
      <w:pPr>
        <w:ind w:left="460"/>
        <w:spacing w:after="0" w:line="271" w:lineRule="auto"/>
        <w:rPr>
          <w:sz w:val="20"/>
          <w:szCs w:val="20"/>
          <w:color w:val="auto"/>
        </w:rPr>
      </w:pPr>
      <w:r>
        <w:rPr>
          <w:rFonts w:ascii="Arial" w:cs="Arial" w:eastAsia="Arial" w:hAnsi="Arial"/>
          <w:sz w:val="16"/>
          <w:szCs w:val="16"/>
          <w:color w:val="auto"/>
        </w:rPr>
        <w:t>In 2005, we recognized net discrete tax items of $92 million, consisting of $147 million primarily associated with favorable developments on certain outstanding income tax matters, partially offset by a $55 million accrual for taxes on dividends from earnings repatriated from our non-U.S. subsidiaries under the AJCA. The effective tax rate for 2005, which, by definition, does not include discrete tax items, was 24 percent. This compares with the effective tax rate in 2004 of 22 percent. This difference was primarily due to an increase in income from continuing operations before income taxes in 2005. The effective tax rate for 2005 of 24 percent differs from the 35 percent corporate statutory rate due to the effect of non-U.S. tax rates and, to a lesser extent, various tax benefits such as for export sales and research activities.</w:t>
      </w:r>
    </w:p>
    <w:p>
      <w:pPr>
        <w:sectPr>
          <w:pgSz w:w="11900" w:h="16838" w:orient="portrait"/>
          <w:cols w:equalWidth="0" w:num="1">
            <w:col w:w="11400"/>
          </w:cols>
          <w:pgMar w:left="240" w:top="287" w:right="259" w:bottom="1440" w:gutter="0" w:footer="0" w:header="0"/>
        </w:sectPr>
      </w:pPr>
    </w:p>
    <w:bookmarkStart w:id="98" w:name="page99"/>
    <w:bookmarkEnd w:id="98"/>
    <w:p>
      <w:pPr>
        <w:ind w:left="7700"/>
        <w:spacing w:after="0"/>
        <w:tabs>
          <w:tab w:leader="none" w:pos="1090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2006 ANNUAL REPORT</w:t>
      </w:r>
      <w:r>
        <w:rPr>
          <w:sz w:val="20"/>
          <w:szCs w:val="20"/>
          <w:color w:val="auto"/>
        </w:rPr>
        <w:tab/>
      </w:r>
      <w:r>
        <w:rPr>
          <w:rFonts w:ascii="Arial" w:cs="Arial" w:eastAsia="Arial" w:hAnsi="Arial"/>
          <w:sz w:val="12"/>
          <w:szCs w:val="12"/>
          <w:color w:val="939598"/>
        </w:rPr>
        <w:t>49</w:t>
      </w:r>
    </w:p>
    <w:p>
      <w:pPr>
        <w:spacing w:after="0" w:line="140" w:lineRule="exact"/>
        <w:rPr>
          <w:sz w:val="20"/>
          <w:szCs w:val="20"/>
          <w:color w:val="auto"/>
        </w:rPr>
      </w:pPr>
    </w:p>
    <w:p>
      <w:pPr>
        <w:jc w:val="both"/>
        <w:ind w:left="100" w:right="120"/>
        <w:spacing w:after="0" w:line="238" w:lineRule="auto"/>
        <w:rPr>
          <w:sz w:val="20"/>
          <w:szCs w:val="20"/>
          <w:color w:val="auto"/>
        </w:rPr>
      </w:pPr>
      <w:r>
        <w:rPr>
          <w:rFonts w:ascii="Arial" w:cs="Arial" w:eastAsia="Arial" w:hAnsi="Arial"/>
          <w:sz w:val="18"/>
          <w:szCs w:val="18"/>
          <w:color w:val="auto"/>
        </w:rPr>
        <w:t>Including the effect of the discrete tax items recognized during 2005, the overall tax rate was 21 percent compared with 22 percent in 2004. The lower tax rate in 2005 was the result of the discrete tax items recognized during the year, partially offset by the impact of the increase in income before income taxes.</w:t>
      </w:r>
    </w:p>
    <w:p>
      <w:pPr>
        <w:spacing w:after="0" w:line="154" w:lineRule="exact"/>
        <w:rPr>
          <w:sz w:val="20"/>
          <w:szCs w:val="20"/>
          <w:color w:val="auto"/>
        </w:rPr>
      </w:pPr>
    </w:p>
    <w:p>
      <w:pPr>
        <w:ind w:left="100" w:right="40"/>
        <w:spacing w:after="0" w:line="239" w:lineRule="auto"/>
        <w:rPr>
          <w:sz w:val="20"/>
          <w:szCs w:val="20"/>
          <w:color w:val="auto"/>
        </w:rPr>
      </w:pPr>
      <w:r>
        <w:rPr>
          <w:rFonts w:ascii="Arial" w:cs="Arial" w:eastAsia="Arial" w:hAnsi="Arial"/>
          <w:sz w:val="18"/>
          <w:szCs w:val="18"/>
          <w:color w:val="auto"/>
        </w:rPr>
        <w:t>For the year, income from continuing operations was $2.17 billion, or $1.30 per share, an increase of 29 percent compared with 2004 income from continuing operations of $1.69 billion, or $0.96 per share.</w:t>
      </w:r>
    </w:p>
    <w:p>
      <w:pPr>
        <w:spacing w:after="0" w:line="155" w:lineRule="exact"/>
        <w:rPr>
          <w:sz w:val="20"/>
          <w:szCs w:val="20"/>
          <w:color w:val="auto"/>
        </w:rPr>
      </w:pPr>
    </w:p>
    <w:p>
      <w:pPr>
        <w:ind w:left="100" w:right="200"/>
        <w:spacing w:after="0" w:line="237" w:lineRule="auto"/>
        <w:rPr>
          <w:sz w:val="20"/>
          <w:szCs w:val="20"/>
          <w:color w:val="auto"/>
        </w:rPr>
      </w:pPr>
      <w:r>
        <w:rPr>
          <w:rFonts w:ascii="Arial" w:cs="Arial" w:eastAsia="Arial" w:hAnsi="Arial"/>
          <w:sz w:val="18"/>
          <w:szCs w:val="18"/>
          <w:color w:val="auto"/>
        </w:rPr>
        <w:t>For the year, net income, which includes income from continuing operations and discontinued operations, was $2.32 billion, or $1.39 per share, an increase of 25 percent compared with 2004 net income of $1.86 billion, or $1.05 per share. Earnings per share growth of 32 percent in 2005 exceeded net income growth, reflecting a net decline of about 100 million shares in the average diluted shares outstanding primarily resulting from our stock repurchase program.</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 the year, our orders of $12.84 billion increased 13 percent as demand grew for our Semiconductor products.</w:t>
      </w:r>
    </w:p>
    <w:p>
      <w:pPr>
        <w:ind w:left="100"/>
        <w:spacing w:after="0"/>
        <w:rPr>
          <w:sz w:val="20"/>
          <w:szCs w:val="20"/>
          <w:color w:val="auto"/>
        </w:rPr>
      </w:pPr>
      <w:r>
        <w:rPr>
          <w:rFonts w:ascii="Arial" w:cs="Arial" w:eastAsia="Arial" w:hAnsi="Arial"/>
          <w:sz w:val="18"/>
          <w:szCs w:val="18"/>
          <w:color w:val="auto"/>
        </w:rPr>
        <w:t>Semiconductor orders increased 13 percent to $12.34 billion due to broad-based demand for our DSP and analog products.</w:t>
      </w:r>
    </w:p>
    <w:p>
      <w:pPr>
        <w:spacing w:after="0" w:line="221"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Semiconductor Segment</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Statement of Operations – Semiconductor</w:t>
      </w:r>
    </w:p>
    <w:p>
      <w:pPr>
        <w:spacing w:after="0" w:line="200"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939598"/>
        </w:rPr>
        <w:t>FOR THE YEARS ENDED</w:t>
      </w:r>
    </w:p>
    <w:p>
      <w:pPr>
        <w:spacing w:after="0" w:line="4"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939598"/>
        </w:rPr>
        <w:t>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shd w:val="clear" w:color="auto" w:fill="939598"/>
          </w:tcPr>
          <w:p>
            <w:pPr>
              <w:spacing w:after="0"/>
              <w:rPr>
                <w:sz w:val="18"/>
                <w:szCs w:val="18"/>
                <w:color w:val="auto"/>
              </w:rPr>
            </w:pPr>
          </w:p>
        </w:tc>
        <w:tc>
          <w:tcPr>
            <w:tcW w:w="1120" w:type="dxa"/>
            <w:vAlign w:val="bottom"/>
            <w:gridSpan w:val="2"/>
            <w:shd w:val="clear" w:color="auto" w:fill="939598"/>
          </w:tcPr>
          <w:p>
            <w:pPr>
              <w:jc w:val="right"/>
              <w:ind w:right="352"/>
              <w:spacing w:after="0"/>
              <w:rPr>
                <w:sz w:val="20"/>
                <w:szCs w:val="20"/>
                <w:color w:val="auto"/>
              </w:rPr>
            </w:pPr>
            <w:r>
              <w:rPr>
                <w:rFonts w:ascii="Arial" w:cs="Arial" w:eastAsia="Arial" w:hAnsi="Arial"/>
                <w:sz w:val="14"/>
                <w:szCs w:val="14"/>
                <w:b w:val="1"/>
                <w:bCs w:val="1"/>
                <w:color w:val="FFFFFF"/>
              </w:rPr>
              <w:t>2005</w:t>
            </w:r>
          </w:p>
        </w:tc>
        <w:tc>
          <w:tcPr>
            <w:tcW w:w="820" w:type="dxa"/>
            <w:vAlign w:val="bottom"/>
            <w:shd w:val="clear" w:color="auto" w:fill="939598"/>
          </w:tcPr>
          <w:p>
            <w:pPr>
              <w:jc w:val="right"/>
              <w:ind w:right="135"/>
              <w:spacing w:after="0"/>
              <w:rPr>
                <w:sz w:val="20"/>
                <w:szCs w:val="20"/>
                <w:color w:val="auto"/>
              </w:rPr>
            </w:pPr>
            <w:r>
              <w:rPr>
                <w:rFonts w:ascii="Arial" w:cs="Arial" w:eastAsia="Arial" w:hAnsi="Arial"/>
                <w:sz w:val="14"/>
                <w:szCs w:val="14"/>
                <w:b w:val="1"/>
                <w:bCs w:val="1"/>
                <w:color w:val="FFFFFF"/>
              </w:rPr>
              <w:t>2004</w:t>
            </w:r>
          </w:p>
        </w:tc>
        <w:tc>
          <w:tcPr>
            <w:tcW w:w="160" w:type="dxa"/>
            <w:vAlign w:val="bottom"/>
            <w:shd w:val="clear" w:color="auto" w:fill="939598"/>
          </w:tcPr>
          <w:p>
            <w:pPr>
              <w:spacing w:after="0"/>
              <w:rPr>
                <w:sz w:val="18"/>
                <w:szCs w:val="18"/>
                <w:color w:val="auto"/>
              </w:rPr>
            </w:pPr>
          </w:p>
        </w:tc>
      </w:tr>
      <w:tr>
        <w:trPr>
          <w:trHeight w:val="270"/>
        </w:trPr>
        <w:tc>
          <w:tcPr>
            <w:tcW w:w="8620" w:type="dxa"/>
            <w:vAlign w:val="bottom"/>
          </w:tcPr>
          <w:p>
            <w:pPr>
              <w:ind w:left="140"/>
              <w:spacing w:after="0"/>
              <w:rPr>
                <w:sz w:val="20"/>
                <w:szCs w:val="20"/>
                <w:color w:val="auto"/>
              </w:rPr>
            </w:pPr>
            <w:r>
              <w:rPr>
                <w:rFonts w:ascii="Arial" w:cs="Arial" w:eastAsia="Arial" w:hAnsi="Arial"/>
                <w:sz w:val="18"/>
                <w:szCs w:val="18"/>
                <w:color w:val="auto"/>
              </w:rPr>
              <w:t>Net revenue</w:t>
            </w:r>
          </w:p>
        </w:tc>
        <w:tc>
          <w:tcPr>
            <w:tcW w:w="112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$ 11,829</w:t>
            </w:r>
          </w:p>
        </w:tc>
        <w:tc>
          <w:tcPr>
            <w:tcW w:w="820" w:type="dxa"/>
            <w:vAlign w:val="bottom"/>
          </w:tcPr>
          <w:p>
            <w:pPr>
              <w:jc w:val="right"/>
              <w:spacing w:after="0"/>
              <w:rPr>
                <w:sz w:val="20"/>
                <w:szCs w:val="20"/>
                <w:color w:val="auto"/>
              </w:rPr>
            </w:pPr>
            <w:r>
              <w:rPr>
                <w:rFonts w:ascii="Arial" w:cs="Arial" w:eastAsia="Arial" w:hAnsi="Arial"/>
                <w:sz w:val="18"/>
                <w:szCs w:val="18"/>
                <w:color w:val="auto"/>
              </w:rPr>
              <w:t>$ 11,034</w:t>
            </w:r>
          </w:p>
        </w:tc>
        <w:tc>
          <w:tcPr>
            <w:tcW w:w="160" w:type="dxa"/>
            <w:vAlign w:val="bottom"/>
          </w:tcPr>
          <w:p>
            <w:pPr>
              <w:spacing w:after="0"/>
              <w:rPr>
                <w:sz w:val="23"/>
                <w:szCs w:val="23"/>
                <w:color w:val="auto"/>
              </w:rPr>
            </w:pPr>
          </w:p>
        </w:tc>
      </w:tr>
      <w:tr>
        <w:trPr>
          <w:trHeight w:val="203"/>
        </w:trPr>
        <w:tc>
          <w:tcPr>
            <w:tcW w:w="8620" w:type="dxa"/>
            <w:vAlign w:val="bottom"/>
            <w:shd w:val="clear" w:color="auto" w:fill="E6E7E7"/>
          </w:tcPr>
          <w:p>
            <w:pPr>
              <w:ind w:left="140"/>
              <w:spacing w:after="0" w:line="202" w:lineRule="exact"/>
              <w:rPr>
                <w:sz w:val="20"/>
                <w:szCs w:val="20"/>
                <w:color w:val="auto"/>
              </w:rPr>
            </w:pPr>
            <w:r>
              <w:rPr>
                <w:rFonts w:ascii="Arial" w:cs="Arial" w:eastAsia="Arial" w:hAnsi="Arial"/>
                <w:sz w:val="18"/>
                <w:szCs w:val="18"/>
                <w:color w:val="auto"/>
              </w:rPr>
              <w:t>Cost of revenue</w:t>
            </w:r>
          </w:p>
        </w:tc>
        <w:tc>
          <w:tcPr>
            <w:tcW w:w="1120" w:type="dxa"/>
            <w:vAlign w:val="bottom"/>
            <w:gridSpan w:val="2"/>
            <w:shd w:val="clear" w:color="auto" w:fill="E6E7E7"/>
          </w:tcPr>
          <w:p>
            <w:pPr>
              <w:jc w:val="right"/>
              <w:ind w:right="172"/>
              <w:spacing w:after="0" w:line="202" w:lineRule="exact"/>
              <w:rPr>
                <w:sz w:val="20"/>
                <w:szCs w:val="20"/>
                <w:color w:val="auto"/>
              </w:rPr>
            </w:pPr>
            <w:r>
              <w:rPr>
                <w:rFonts w:ascii="Arial" w:cs="Arial" w:eastAsia="Arial" w:hAnsi="Arial"/>
                <w:sz w:val="18"/>
                <w:szCs w:val="18"/>
                <w:b w:val="1"/>
                <w:bCs w:val="1"/>
                <w:color w:val="auto"/>
              </w:rPr>
              <w:t>6,056</w:t>
            </w:r>
          </w:p>
        </w:tc>
        <w:tc>
          <w:tcPr>
            <w:tcW w:w="8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6,026</w:t>
            </w:r>
          </w:p>
        </w:tc>
        <w:tc>
          <w:tcPr>
            <w:tcW w:w="160" w:type="dxa"/>
            <w:vAlign w:val="bottom"/>
            <w:shd w:val="clear" w:color="auto" w:fill="E6E7E7"/>
          </w:tcPr>
          <w:p>
            <w:pPr>
              <w:spacing w:after="0"/>
              <w:rPr>
                <w:sz w:val="17"/>
                <w:szCs w:val="17"/>
                <w:color w:val="auto"/>
              </w:rPr>
            </w:pPr>
          </w:p>
        </w:tc>
      </w:tr>
      <w:tr>
        <w:trPr>
          <w:trHeight w:val="210"/>
        </w:trPr>
        <w:tc>
          <w:tcPr>
            <w:tcW w:w="862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94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5,773</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5,008</w:t>
            </w:r>
          </w:p>
        </w:tc>
        <w:tc>
          <w:tcPr>
            <w:tcW w:w="160" w:type="dxa"/>
            <w:vAlign w:val="bottom"/>
          </w:tcPr>
          <w:p>
            <w:pPr>
              <w:spacing w:after="0"/>
              <w:rPr>
                <w:sz w:val="18"/>
                <w:szCs w:val="18"/>
                <w:color w:val="auto"/>
              </w:rPr>
            </w:pPr>
          </w:p>
        </w:tc>
      </w:tr>
      <w:tr>
        <w:trPr>
          <w:trHeight w:val="203"/>
        </w:trPr>
        <w:tc>
          <w:tcPr>
            <w:tcW w:w="862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Gross profit % of revenue</w:t>
            </w:r>
          </w:p>
        </w:tc>
        <w:tc>
          <w:tcPr>
            <w:tcW w:w="1120" w:type="dxa"/>
            <w:vAlign w:val="bottom"/>
            <w:gridSpan w:val="2"/>
            <w:shd w:val="clear" w:color="auto" w:fill="E6E7E7"/>
          </w:tcPr>
          <w:p>
            <w:pPr>
              <w:jc w:val="right"/>
              <w:ind w:right="12"/>
              <w:spacing w:after="0" w:line="202" w:lineRule="exact"/>
              <w:rPr>
                <w:sz w:val="20"/>
                <w:szCs w:val="20"/>
                <w:color w:val="auto"/>
              </w:rPr>
            </w:pPr>
            <w:r>
              <w:rPr>
                <w:rFonts w:ascii="Arial" w:cs="Arial" w:eastAsia="Arial" w:hAnsi="Arial"/>
                <w:sz w:val="18"/>
                <w:szCs w:val="18"/>
                <w:b w:val="1"/>
                <w:bCs w:val="1"/>
                <w:color w:val="auto"/>
              </w:rPr>
              <w:t>48.8%</w:t>
            </w:r>
          </w:p>
        </w:tc>
        <w:tc>
          <w:tcPr>
            <w:tcW w:w="980" w:type="dxa"/>
            <w:vAlign w:val="bottom"/>
            <w:gridSpan w:val="2"/>
            <w:shd w:val="clear" w:color="auto" w:fill="E6E7E7"/>
          </w:tcPr>
          <w:p>
            <w:pPr>
              <w:jc w:val="right"/>
              <w:ind w:right="20"/>
              <w:spacing w:after="0" w:line="202" w:lineRule="exact"/>
              <w:rPr>
                <w:sz w:val="20"/>
                <w:szCs w:val="20"/>
                <w:color w:val="auto"/>
              </w:rPr>
            </w:pPr>
            <w:r>
              <w:rPr>
                <w:rFonts w:ascii="Arial" w:cs="Arial" w:eastAsia="Arial" w:hAnsi="Arial"/>
                <w:sz w:val="18"/>
                <w:szCs w:val="18"/>
                <w:color w:val="auto"/>
              </w:rPr>
              <w:t>45.4%</w:t>
            </w:r>
          </w:p>
        </w:tc>
      </w:tr>
      <w:tr>
        <w:trPr>
          <w:trHeight w:val="203"/>
        </w:trPr>
        <w:tc>
          <w:tcPr>
            <w:tcW w:w="8620" w:type="dxa"/>
            <w:vAlign w:val="bottom"/>
          </w:tcPr>
          <w:p>
            <w:pPr>
              <w:ind w:left="140"/>
              <w:spacing w:after="0" w:line="202" w:lineRule="exact"/>
              <w:rPr>
                <w:sz w:val="20"/>
                <w:szCs w:val="20"/>
                <w:color w:val="auto"/>
              </w:rPr>
            </w:pPr>
            <w:r>
              <w:rPr>
                <w:rFonts w:ascii="Arial" w:cs="Arial" w:eastAsia="Arial" w:hAnsi="Arial"/>
                <w:sz w:val="18"/>
                <w:szCs w:val="18"/>
                <w:color w:val="auto"/>
              </w:rPr>
              <w:t>Profit from operations</w:t>
            </w:r>
          </w:p>
        </w:tc>
        <w:tc>
          <w:tcPr>
            <w:tcW w:w="1120" w:type="dxa"/>
            <w:vAlign w:val="bottom"/>
            <w:gridSpan w:val="2"/>
          </w:tcPr>
          <w:p>
            <w:pPr>
              <w:jc w:val="right"/>
              <w:ind w:right="172"/>
              <w:spacing w:after="0" w:line="202" w:lineRule="exact"/>
              <w:rPr>
                <w:sz w:val="20"/>
                <w:szCs w:val="20"/>
                <w:color w:val="auto"/>
              </w:rPr>
            </w:pPr>
            <w:r>
              <w:rPr>
                <w:rFonts w:ascii="Arial" w:cs="Arial" w:eastAsia="Arial" w:hAnsi="Arial"/>
                <w:sz w:val="18"/>
                <w:szCs w:val="18"/>
                <w:b w:val="1"/>
                <w:bCs w:val="1"/>
                <w:color w:val="auto"/>
              </w:rPr>
              <w:t>2,808</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2,068</w:t>
            </w:r>
          </w:p>
        </w:tc>
        <w:tc>
          <w:tcPr>
            <w:tcW w:w="160" w:type="dxa"/>
            <w:vAlign w:val="bottom"/>
          </w:tcPr>
          <w:p>
            <w:pPr>
              <w:spacing w:after="0"/>
              <w:rPr>
                <w:sz w:val="17"/>
                <w:szCs w:val="17"/>
                <w:color w:val="auto"/>
              </w:rPr>
            </w:pPr>
          </w:p>
        </w:tc>
      </w:tr>
      <w:tr>
        <w:trPr>
          <w:trHeight w:val="203"/>
        </w:trPr>
        <w:tc>
          <w:tcPr>
            <w:tcW w:w="862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Operating profit % of revenue</w:t>
            </w:r>
          </w:p>
        </w:tc>
        <w:tc>
          <w:tcPr>
            <w:tcW w:w="1120" w:type="dxa"/>
            <w:vAlign w:val="bottom"/>
            <w:gridSpan w:val="2"/>
            <w:shd w:val="clear" w:color="auto" w:fill="E6E7E7"/>
          </w:tcPr>
          <w:p>
            <w:pPr>
              <w:jc w:val="right"/>
              <w:ind w:right="12"/>
              <w:spacing w:after="0" w:line="202" w:lineRule="exact"/>
              <w:rPr>
                <w:sz w:val="20"/>
                <w:szCs w:val="20"/>
                <w:color w:val="auto"/>
              </w:rPr>
            </w:pPr>
            <w:r>
              <w:rPr>
                <w:rFonts w:ascii="Arial" w:cs="Arial" w:eastAsia="Arial" w:hAnsi="Arial"/>
                <w:sz w:val="18"/>
                <w:szCs w:val="18"/>
                <w:b w:val="1"/>
                <w:bCs w:val="1"/>
                <w:color w:val="auto"/>
              </w:rPr>
              <w:t>23.7%</w:t>
            </w:r>
          </w:p>
        </w:tc>
        <w:tc>
          <w:tcPr>
            <w:tcW w:w="980" w:type="dxa"/>
            <w:vAlign w:val="bottom"/>
            <w:gridSpan w:val="2"/>
            <w:shd w:val="clear" w:color="auto" w:fill="E6E7E7"/>
          </w:tcPr>
          <w:p>
            <w:pPr>
              <w:jc w:val="right"/>
              <w:ind w:right="20"/>
              <w:spacing w:after="0" w:line="202" w:lineRule="exact"/>
              <w:rPr>
                <w:sz w:val="20"/>
                <w:szCs w:val="20"/>
                <w:color w:val="auto"/>
              </w:rPr>
            </w:pPr>
            <w:r>
              <w:rPr>
                <w:rFonts w:ascii="Arial" w:cs="Arial" w:eastAsia="Arial" w:hAnsi="Arial"/>
                <w:sz w:val="18"/>
                <w:szCs w:val="18"/>
                <w:color w:val="auto"/>
              </w:rPr>
              <w:t>18.7%</w:t>
            </w:r>
          </w:p>
        </w:tc>
      </w:tr>
    </w:tbl>
    <w:p>
      <w:pPr>
        <w:spacing w:after="0" w:line="165" w:lineRule="exact"/>
        <w:rPr>
          <w:sz w:val="20"/>
          <w:szCs w:val="20"/>
          <w:color w:val="auto"/>
        </w:rPr>
      </w:pPr>
    </w:p>
    <w:p>
      <w:pPr>
        <w:ind w:left="100" w:right="220"/>
        <w:spacing w:after="0" w:line="299" w:lineRule="auto"/>
        <w:rPr>
          <w:sz w:val="20"/>
          <w:szCs w:val="20"/>
          <w:color w:val="auto"/>
        </w:rPr>
      </w:pPr>
      <w:r>
        <w:rPr>
          <w:rFonts w:ascii="Arial" w:cs="Arial" w:eastAsia="Arial" w:hAnsi="Arial"/>
          <w:sz w:val="16"/>
          <w:szCs w:val="16"/>
          <w:color w:val="auto"/>
        </w:rPr>
        <w:t>Semiconductor revenue in 2005 of $11.83 billion increased 7 percent from 2004 primarily due to increased shipments resulting from higher demand for wireless products and, to a lesser extent, increased shipments from higher demand for high-performance analog products.</w:t>
      </w:r>
    </w:p>
    <w:p>
      <w:pPr>
        <w:spacing w:after="0" w:line="109" w:lineRule="exact"/>
        <w:rPr>
          <w:sz w:val="20"/>
          <w:szCs w:val="20"/>
          <w:color w:val="auto"/>
        </w:rPr>
      </w:pPr>
    </w:p>
    <w:p>
      <w:pPr>
        <w:ind w:left="100" w:right="80"/>
        <w:spacing w:after="0" w:line="236" w:lineRule="auto"/>
        <w:rPr>
          <w:sz w:val="20"/>
          <w:szCs w:val="20"/>
          <w:color w:val="auto"/>
        </w:rPr>
      </w:pPr>
      <w:r>
        <w:rPr>
          <w:rFonts w:ascii="Arial" w:cs="Arial" w:eastAsia="Arial" w:hAnsi="Arial"/>
          <w:sz w:val="18"/>
          <w:szCs w:val="18"/>
          <w:color w:val="auto"/>
        </w:rPr>
        <w:t>For the year, wireless revenue grew 14 percent, with success in both the fast-growing 3G WCDMA (Wideband Code-Division Multiple Access) market, and in supplying chips to the rapidly growing emerging market for low-price cell phones. Industry shipments of WCDMA cell phones doubled in 2005. In 2005, about 55 percent of our 3G revenue came from sales of OMAP™ application processors and about 45 percent from sales of digital baseband modems. (OMAP processors are high-performance processors that enable multimedia applications in cell phones and other electronic devices.)</w:t>
      </w:r>
    </w:p>
    <w:p>
      <w:pPr>
        <w:spacing w:after="0" w:line="157" w:lineRule="exact"/>
        <w:rPr>
          <w:sz w:val="20"/>
          <w:szCs w:val="20"/>
          <w:color w:val="auto"/>
        </w:rPr>
      </w:pPr>
    </w:p>
    <w:p>
      <w:pPr>
        <w:ind w:left="100" w:right="140"/>
        <w:spacing w:after="0" w:line="238" w:lineRule="auto"/>
        <w:rPr>
          <w:sz w:val="20"/>
          <w:szCs w:val="20"/>
          <w:color w:val="auto"/>
        </w:rPr>
      </w:pPr>
      <w:r>
        <w:rPr>
          <w:rFonts w:ascii="Arial" w:cs="Arial" w:eastAsia="Arial" w:hAnsi="Arial"/>
          <w:sz w:val="18"/>
          <w:szCs w:val="18"/>
          <w:color w:val="auto"/>
        </w:rPr>
        <w:t>For the year, high-performance analog revenue grew 13 percent, reflecting the combination of four consecutive quarters of solid growth and the inventory correction that was underway at our distributors at the end of 2004. We exited 2005 with distribution inventory levels of our high-performance analog products lower than they were at the end of 2004, despite resales that were significantly higher.</w:t>
      </w:r>
    </w:p>
    <w:p>
      <w:pPr>
        <w:spacing w:after="0" w:line="154" w:lineRule="exact"/>
        <w:rPr>
          <w:sz w:val="20"/>
          <w:szCs w:val="20"/>
          <w:color w:val="auto"/>
        </w:rPr>
      </w:pPr>
    </w:p>
    <w:p>
      <w:pPr>
        <w:ind w:left="100" w:right="160"/>
        <w:spacing w:after="0" w:line="238" w:lineRule="auto"/>
        <w:rPr>
          <w:sz w:val="20"/>
          <w:szCs w:val="20"/>
          <w:color w:val="auto"/>
        </w:rPr>
      </w:pPr>
      <w:r>
        <w:rPr>
          <w:rFonts w:ascii="Arial" w:cs="Arial" w:eastAsia="Arial" w:hAnsi="Arial"/>
          <w:sz w:val="18"/>
          <w:szCs w:val="18"/>
          <w:color w:val="auto"/>
        </w:rPr>
        <w:t>Analog revenue increased 4 percent from 2004 primarily due to increased shipments resulting from growth in demand for high-performance analog products, which more than offset the loss of revenue from our commodity liquid crystal display (LCD) driver product line, which we divested in the first quarter of 2005. In 2005, about 40 percent of total Semiconductor revenue came from analog.</w:t>
      </w:r>
    </w:p>
    <w:p>
      <w:pPr>
        <w:spacing w:after="0" w:line="154" w:lineRule="exact"/>
        <w:rPr>
          <w:sz w:val="20"/>
          <w:szCs w:val="20"/>
          <w:color w:val="auto"/>
        </w:rPr>
      </w:pPr>
    </w:p>
    <w:p>
      <w:pPr>
        <w:ind w:left="100" w:right="20"/>
        <w:spacing w:after="0" w:line="239" w:lineRule="auto"/>
        <w:rPr>
          <w:sz w:val="20"/>
          <w:szCs w:val="20"/>
          <w:color w:val="auto"/>
        </w:rPr>
      </w:pPr>
      <w:r>
        <w:rPr>
          <w:rFonts w:ascii="Arial" w:cs="Arial" w:eastAsia="Arial" w:hAnsi="Arial"/>
          <w:sz w:val="18"/>
          <w:szCs w:val="18"/>
          <w:color w:val="auto"/>
        </w:rPr>
        <w:t>DSP revenue increased 15 percent from 2004 primarily due to increased shipments resulting from growth in demand for wireless products. In 2005, about 40 percent of total Semiconductor revenue came from DSP.</w:t>
      </w:r>
    </w:p>
    <w:p>
      <w:pPr>
        <w:spacing w:after="0" w:line="155" w:lineRule="exact"/>
        <w:rPr>
          <w:sz w:val="20"/>
          <w:szCs w:val="20"/>
          <w:color w:val="auto"/>
        </w:rPr>
      </w:pPr>
    </w:p>
    <w:p>
      <w:pPr>
        <w:ind w:left="100" w:right="260"/>
        <w:spacing w:after="0" w:line="239" w:lineRule="auto"/>
        <w:rPr>
          <w:sz w:val="20"/>
          <w:szCs w:val="20"/>
          <w:color w:val="auto"/>
        </w:rPr>
      </w:pPr>
      <w:r>
        <w:rPr>
          <w:rFonts w:ascii="Arial" w:cs="Arial" w:eastAsia="Arial" w:hAnsi="Arial"/>
          <w:sz w:val="18"/>
          <w:szCs w:val="18"/>
          <w:color w:val="auto"/>
        </w:rPr>
        <w:t>For the year, remaining Semiconductor revenue increased 2 percent from 2004 primarily due to higher shipments resulting from increased demand for RISC microprocessors and microcontrollers that offset a decline in revenue from DLP products.</w:t>
      </w:r>
    </w:p>
    <w:p>
      <w:pPr>
        <w:spacing w:after="0" w:line="155" w:lineRule="exact"/>
        <w:rPr>
          <w:sz w:val="20"/>
          <w:szCs w:val="20"/>
          <w:color w:val="auto"/>
        </w:rPr>
      </w:pPr>
    </w:p>
    <w:p>
      <w:pPr>
        <w:ind w:left="100" w:right="120"/>
        <w:spacing w:after="0" w:line="237" w:lineRule="auto"/>
        <w:rPr>
          <w:sz w:val="20"/>
          <w:szCs w:val="20"/>
          <w:color w:val="auto"/>
        </w:rPr>
      </w:pPr>
      <w:r>
        <w:rPr>
          <w:rFonts w:ascii="Arial" w:cs="Arial" w:eastAsia="Arial" w:hAnsi="Arial"/>
          <w:sz w:val="18"/>
          <w:szCs w:val="18"/>
          <w:color w:val="auto"/>
        </w:rPr>
        <w:t>We began 2005 with excess inventories of DLP products at both our customers and their channels. Overall DLP revenue declined 8 percent in 2005. We left the year in a much better position, with revenue in the fourth quarter up 10 percent from the year-ago quarter. In 2005, DLP was about 5 percent of Semiconductor revenue, while RISC microprocessors, standard logic, microcontrollers and royalties were under 5 percent each.</w:t>
      </w:r>
    </w:p>
    <w:p>
      <w:pPr>
        <w:sectPr>
          <w:pgSz w:w="11900" w:h="16838" w:orient="portrait"/>
          <w:cols w:equalWidth="0" w:num="1">
            <w:col w:w="11060"/>
          </w:cols>
          <w:pgMar w:left="600" w:top="287" w:right="239" w:bottom="1440" w:gutter="0" w:footer="0" w:header="0"/>
        </w:sectPr>
      </w:pPr>
    </w:p>
    <w:bookmarkStart w:id="99" w:name="page100"/>
    <w:bookmarkEnd w:id="99"/>
    <w:p>
      <w:pPr>
        <w:spacing w:after="0"/>
        <w:tabs>
          <w:tab w:leader="none" w:pos="36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50</w:t>
        <w:tab/>
        <w:t>TEXAS INSTRUMENTS 2006 ANNUAL REPORT</w:t>
      </w:r>
    </w:p>
    <w:p>
      <w:pPr>
        <w:spacing w:after="0" w:line="140" w:lineRule="exact"/>
        <w:rPr>
          <w:sz w:val="20"/>
          <w:szCs w:val="20"/>
          <w:color w:val="auto"/>
        </w:rPr>
      </w:pPr>
    </w:p>
    <w:p>
      <w:pPr>
        <w:ind w:left="460" w:right="260"/>
        <w:spacing w:after="0" w:line="238" w:lineRule="auto"/>
        <w:rPr>
          <w:sz w:val="20"/>
          <w:szCs w:val="20"/>
          <w:color w:val="auto"/>
        </w:rPr>
      </w:pPr>
      <w:r>
        <w:rPr>
          <w:rFonts w:ascii="Arial" w:cs="Arial" w:eastAsia="Arial" w:hAnsi="Arial"/>
          <w:sz w:val="18"/>
          <w:szCs w:val="18"/>
          <w:color w:val="auto"/>
        </w:rPr>
        <w:t>In total, we estimate that our 2005 Semiconductor product revenue came from the following broad markets: communications (including wireless and broadband communications) was about 50 percent; computing (including peripherals and computers) was about 30 percent; consumer electronics was about 10 percent; industrial was about 5 percent; and automotive was about 5 percent.</w:t>
      </w:r>
    </w:p>
    <w:p>
      <w:pPr>
        <w:spacing w:after="0" w:line="154" w:lineRule="exact"/>
        <w:rPr>
          <w:sz w:val="20"/>
          <w:szCs w:val="20"/>
          <w:color w:val="auto"/>
        </w:rPr>
      </w:pPr>
    </w:p>
    <w:p>
      <w:pPr>
        <w:ind w:left="460" w:right="280"/>
        <w:spacing w:after="0" w:line="239" w:lineRule="auto"/>
        <w:rPr>
          <w:sz w:val="20"/>
          <w:szCs w:val="20"/>
          <w:color w:val="auto"/>
        </w:rPr>
      </w:pPr>
      <w:r>
        <w:rPr>
          <w:rFonts w:ascii="Arial" w:cs="Arial" w:eastAsia="Arial" w:hAnsi="Arial"/>
          <w:sz w:val="18"/>
          <w:szCs w:val="18"/>
          <w:color w:val="auto"/>
        </w:rPr>
        <w:t>Gross profit of $5.77 billion, or 48.8 percent of revenue, increased $765 million from 2004, primarily due to manufacturing cost reductions and, to a lesser extent, higher revenue.</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profit was $2.81 billion, or 23.7 percent of revenue, up $740 million from 2004 due to higher gross profit.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Semiconductor orders increased 13 percent to $12.34 billion due to broad-based demand for our DSP and analog products.</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Education Technology Segment</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Statement of Operations – Education Technology</w:t>
      </w:r>
    </w:p>
    <w:p>
      <w:pPr>
        <w:spacing w:after="0" w:line="200"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939598"/>
        </w:rPr>
        <w:t>FOR THE YEARS ENDED</w:t>
      </w:r>
    </w:p>
    <w:p>
      <w:pPr>
        <w:spacing w:after="0" w:line="4"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939598"/>
        </w:rPr>
        <w:t>DECEMBER 31,</w:t>
      </w:r>
    </w:p>
    <w:p>
      <w:pPr>
        <w:spacing w:after="0" w:line="2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8440" w:type="dxa"/>
            <w:vAlign w:val="bottom"/>
            <w:shd w:val="clear" w:color="auto" w:fill="939598"/>
          </w:tcPr>
          <w:p>
            <w:pPr>
              <w:spacing w:after="0"/>
              <w:rPr>
                <w:sz w:val="18"/>
                <w:szCs w:val="18"/>
                <w:color w:val="auto"/>
              </w:rPr>
            </w:pPr>
          </w:p>
        </w:tc>
        <w:tc>
          <w:tcPr>
            <w:tcW w:w="1260" w:type="dxa"/>
            <w:vAlign w:val="bottom"/>
            <w:gridSpan w:val="2"/>
            <w:shd w:val="clear" w:color="auto" w:fill="939598"/>
          </w:tcPr>
          <w:p>
            <w:pPr>
              <w:jc w:val="right"/>
              <w:ind w:right="412"/>
              <w:spacing w:after="0"/>
              <w:rPr>
                <w:sz w:val="20"/>
                <w:szCs w:val="20"/>
                <w:color w:val="auto"/>
              </w:rPr>
            </w:pPr>
            <w:r>
              <w:rPr>
                <w:rFonts w:ascii="Arial" w:cs="Arial" w:eastAsia="Arial" w:hAnsi="Arial"/>
                <w:sz w:val="14"/>
                <w:szCs w:val="14"/>
                <w:b w:val="1"/>
                <w:bCs w:val="1"/>
                <w:color w:val="FFFFFF"/>
              </w:rPr>
              <w:t>2005</w:t>
            </w:r>
          </w:p>
        </w:tc>
        <w:tc>
          <w:tcPr>
            <w:tcW w:w="860" w:type="dxa"/>
            <w:vAlign w:val="bottom"/>
            <w:shd w:val="clear" w:color="auto" w:fill="939598"/>
          </w:tcPr>
          <w:p>
            <w:pPr>
              <w:jc w:val="right"/>
              <w:ind w:right="115"/>
              <w:spacing w:after="0"/>
              <w:rPr>
                <w:sz w:val="20"/>
                <w:szCs w:val="20"/>
                <w:color w:val="auto"/>
              </w:rPr>
            </w:pPr>
            <w:r>
              <w:rPr>
                <w:rFonts w:ascii="Arial" w:cs="Arial" w:eastAsia="Arial" w:hAnsi="Arial"/>
                <w:sz w:val="14"/>
                <w:szCs w:val="14"/>
                <w:b w:val="1"/>
                <w:bCs w:val="1"/>
                <w:color w:val="FFFFFF"/>
              </w:rPr>
              <w:t>2004</w:t>
            </w:r>
          </w:p>
        </w:tc>
        <w:tc>
          <w:tcPr>
            <w:tcW w:w="160" w:type="dxa"/>
            <w:vAlign w:val="bottom"/>
            <w:shd w:val="clear" w:color="auto" w:fill="939598"/>
          </w:tcPr>
          <w:p>
            <w:pPr>
              <w:spacing w:after="0"/>
              <w:rPr>
                <w:sz w:val="18"/>
                <w:szCs w:val="18"/>
                <w:color w:val="auto"/>
              </w:rPr>
            </w:pPr>
          </w:p>
        </w:tc>
      </w:tr>
      <w:tr>
        <w:trPr>
          <w:trHeight w:val="270"/>
        </w:trPr>
        <w:tc>
          <w:tcPr>
            <w:tcW w:w="8440" w:type="dxa"/>
            <w:vAlign w:val="bottom"/>
          </w:tcPr>
          <w:p>
            <w:pPr>
              <w:ind w:left="140"/>
              <w:spacing w:after="0"/>
              <w:rPr>
                <w:sz w:val="20"/>
                <w:szCs w:val="20"/>
                <w:color w:val="auto"/>
              </w:rPr>
            </w:pPr>
            <w:r>
              <w:rPr>
                <w:rFonts w:ascii="Arial" w:cs="Arial" w:eastAsia="Arial" w:hAnsi="Arial"/>
                <w:sz w:val="18"/>
                <w:szCs w:val="18"/>
                <w:color w:val="auto"/>
              </w:rPr>
              <w:t>Net revenue</w:t>
            </w:r>
          </w:p>
        </w:tc>
        <w:tc>
          <w:tcPr>
            <w:tcW w:w="1260" w:type="dxa"/>
            <w:vAlign w:val="bottom"/>
            <w:gridSpan w:val="2"/>
          </w:tcPr>
          <w:p>
            <w:pPr>
              <w:jc w:val="right"/>
              <w:ind w:right="252"/>
              <w:spacing w:after="0"/>
              <w:rPr>
                <w:sz w:val="20"/>
                <w:szCs w:val="20"/>
                <w:color w:val="auto"/>
              </w:rPr>
            </w:pPr>
            <w:r>
              <w:rPr>
                <w:rFonts w:ascii="Arial" w:cs="Arial" w:eastAsia="Arial" w:hAnsi="Arial"/>
                <w:sz w:val="18"/>
                <w:szCs w:val="18"/>
                <w:b w:val="1"/>
                <w:bCs w:val="1"/>
                <w:color w:val="auto"/>
              </w:rPr>
              <w:t>$   506</w:t>
            </w:r>
          </w:p>
        </w:tc>
        <w:tc>
          <w:tcPr>
            <w:tcW w:w="860" w:type="dxa"/>
            <w:vAlign w:val="bottom"/>
          </w:tcPr>
          <w:p>
            <w:pPr>
              <w:jc w:val="right"/>
              <w:spacing w:after="0"/>
              <w:rPr>
                <w:sz w:val="20"/>
                <w:szCs w:val="20"/>
                <w:color w:val="auto"/>
              </w:rPr>
            </w:pPr>
            <w:r>
              <w:rPr>
                <w:rFonts w:ascii="Arial" w:cs="Arial" w:eastAsia="Arial" w:hAnsi="Arial"/>
                <w:sz w:val="18"/>
                <w:szCs w:val="18"/>
                <w:color w:val="auto"/>
              </w:rPr>
              <w:t>$   518</w:t>
            </w:r>
          </w:p>
        </w:tc>
        <w:tc>
          <w:tcPr>
            <w:tcW w:w="160" w:type="dxa"/>
            <w:vAlign w:val="bottom"/>
          </w:tcPr>
          <w:p>
            <w:pPr>
              <w:spacing w:after="0"/>
              <w:rPr>
                <w:sz w:val="23"/>
                <w:szCs w:val="23"/>
                <w:color w:val="auto"/>
              </w:rPr>
            </w:pPr>
          </w:p>
        </w:tc>
      </w:tr>
      <w:tr>
        <w:trPr>
          <w:trHeight w:val="203"/>
        </w:trPr>
        <w:tc>
          <w:tcPr>
            <w:tcW w:w="8440" w:type="dxa"/>
            <w:vAlign w:val="bottom"/>
            <w:shd w:val="clear" w:color="auto" w:fill="E6E7E7"/>
          </w:tcPr>
          <w:p>
            <w:pPr>
              <w:ind w:left="140"/>
              <w:spacing w:after="0" w:line="202" w:lineRule="exact"/>
              <w:rPr>
                <w:sz w:val="20"/>
                <w:szCs w:val="20"/>
                <w:color w:val="auto"/>
              </w:rPr>
            </w:pPr>
            <w:r>
              <w:rPr>
                <w:rFonts w:ascii="Arial" w:cs="Arial" w:eastAsia="Arial" w:hAnsi="Arial"/>
                <w:sz w:val="18"/>
                <w:szCs w:val="18"/>
                <w:color w:val="auto"/>
              </w:rPr>
              <w:t>Cost of revenue</w:t>
            </w:r>
          </w:p>
        </w:tc>
        <w:tc>
          <w:tcPr>
            <w:tcW w:w="1260" w:type="dxa"/>
            <w:vAlign w:val="bottom"/>
            <w:gridSpan w:val="2"/>
            <w:shd w:val="clear" w:color="auto" w:fill="E6E7E7"/>
          </w:tcPr>
          <w:p>
            <w:pPr>
              <w:jc w:val="right"/>
              <w:ind w:right="252"/>
              <w:spacing w:after="0" w:line="202" w:lineRule="exact"/>
              <w:rPr>
                <w:sz w:val="20"/>
                <w:szCs w:val="20"/>
                <w:color w:val="auto"/>
              </w:rPr>
            </w:pPr>
            <w:r>
              <w:rPr>
                <w:rFonts w:ascii="Arial" w:cs="Arial" w:eastAsia="Arial" w:hAnsi="Arial"/>
                <w:sz w:val="18"/>
                <w:szCs w:val="18"/>
                <w:b w:val="1"/>
                <w:bCs w:val="1"/>
                <w:color w:val="auto"/>
              </w:rPr>
              <w:t>206</w:t>
            </w:r>
          </w:p>
        </w:tc>
        <w:tc>
          <w:tcPr>
            <w:tcW w:w="8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226</w:t>
            </w:r>
          </w:p>
        </w:tc>
        <w:tc>
          <w:tcPr>
            <w:tcW w:w="160" w:type="dxa"/>
            <w:vAlign w:val="bottom"/>
            <w:shd w:val="clear" w:color="auto" w:fill="E6E7E7"/>
          </w:tcPr>
          <w:p>
            <w:pPr>
              <w:spacing w:after="0"/>
              <w:rPr>
                <w:sz w:val="17"/>
                <w:szCs w:val="17"/>
                <w:color w:val="auto"/>
              </w:rPr>
            </w:pPr>
          </w:p>
        </w:tc>
      </w:tr>
      <w:tr>
        <w:trPr>
          <w:trHeight w:val="210"/>
        </w:trPr>
        <w:tc>
          <w:tcPr>
            <w:tcW w:w="844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8"/>
                <w:szCs w:val="18"/>
                <w:color w:val="auto"/>
              </w:rPr>
            </w:pPr>
          </w:p>
        </w:tc>
        <w:tc>
          <w:tcPr>
            <w:tcW w:w="98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300</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60" w:type="dxa"/>
            <w:vAlign w:val="bottom"/>
          </w:tcPr>
          <w:p>
            <w:pPr>
              <w:spacing w:after="0"/>
              <w:rPr>
                <w:sz w:val="18"/>
                <w:szCs w:val="18"/>
                <w:color w:val="auto"/>
              </w:rPr>
            </w:pPr>
          </w:p>
        </w:tc>
      </w:tr>
      <w:tr>
        <w:trPr>
          <w:trHeight w:val="203"/>
        </w:trPr>
        <w:tc>
          <w:tcPr>
            <w:tcW w:w="844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Gross profit % of revenue</w:t>
            </w:r>
          </w:p>
        </w:tc>
        <w:tc>
          <w:tcPr>
            <w:tcW w:w="1260" w:type="dxa"/>
            <w:vAlign w:val="bottom"/>
            <w:gridSpan w:val="2"/>
            <w:shd w:val="clear" w:color="auto" w:fill="E6E7E7"/>
          </w:tcPr>
          <w:p>
            <w:pPr>
              <w:jc w:val="right"/>
              <w:ind w:right="92"/>
              <w:spacing w:after="0" w:line="202" w:lineRule="exact"/>
              <w:rPr>
                <w:sz w:val="20"/>
                <w:szCs w:val="20"/>
                <w:color w:val="auto"/>
              </w:rPr>
            </w:pPr>
            <w:r>
              <w:rPr>
                <w:rFonts w:ascii="Arial" w:cs="Arial" w:eastAsia="Arial" w:hAnsi="Arial"/>
                <w:sz w:val="18"/>
                <w:szCs w:val="18"/>
                <w:b w:val="1"/>
                <w:bCs w:val="1"/>
                <w:color w:val="auto"/>
              </w:rPr>
              <w:t>59.2%</w:t>
            </w:r>
          </w:p>
        </w:tc>
        <w:tc>
          <w:tcPr>
            <w:tcW w:w="1020" w:type="dxa"/>
            <w:vAlign w:val="bottom"/>
            <w:gridSpan w:val="2"/>
            <w:shd w:val="clear" w:color="auto" w:fill="E6E7E7"/>
          </w:tcPr>
          <w:p>
            <w:pPr>
              <w:jc w:val="right"/>
              <w:ind w:right="20"/>
              <w:spacing w:after="0" w:line="202" w:lineRule="exact"/>
              <w:rPr>
                <w:sz w:val="20"/>
                <w:szCs w:val="20"/>
                <w:color w:val="auto"/>
              </w:rPr>
            </w:pPr>
            <w:r>
              <w:rPr>
                <w:rFonts w:ascii="Arial" w:cs="Arial" w:eastAsia="Arial" w:hAnsi="Arial"/>
                <w:sz w:val="18"/>
                <w:szCs w:val="18"/>
                <w:color w:val="auto"/>
              </w:rPr>
              <w:t>56.4%</w:t>
            </w:r>
          </w:p>
        </w:tc>
      </w:tr>
      <w:tr>
        <w:trPr>
          <w:trHeight w:val="203"/>
        </w:trPr>
        <w:tc>
          <w:tcPr>
            <w:tcW w:w="8440" w:type="dxa"/>
            <w:vAlign w:val="bottom"/>
          </w:tcPr>
          <w:p>
            <w:pPr>
              <w:ind w:left="140"/>
              <w:spacing w:after="0" w:line="202" w:lineRule="exact"/>
              <w:rPr>
                <w:sz w:val="20"/>
                <w:szCs w:val="20"/>
                <w:color w:val="auto"/>
              </w:rPr>
            </w:pPr>
            <w:r>
              <w:rPr>
                <w:rFonts w:ascii="Arial" w:cs="Arial" w:eastAsia="Arial" w:hAnsi="Arial"/>
                <w:sz w:val="18"/>
                <w:szCs w:val="18"/>
                <w:color w:val="auto"/>
              </w:rPr>
              <w:t>Profit from operations.</w:t>
            </w:r>
          </w:p>
        </w:tc>
        <w:tc>
          <w:tcPr>
            <w:tcW w:w="1260" w:type="dxa"/>
            <w:vAlign w:val="bottom"/>
            <w:gridSpan w:val="2"/>
          </w:tcPr>
          <w:p>
            <w:pPr>
              <w:jc w:val="right"/>
              <w:ind w:right="252"/>
              <w:spacing w:after="0" w:line="202" w:lineRule="exact"/>
              <w:rPr>
                <w:sz w:val="20"/>
                <w:szCs w:val="20"/>
                <w:color w:val="auto"/>
              </w:rPr>
            </w:pPr>
            <w:r>
              <w:rPr>
                <w:rFonts w:ascii="Arial" w:cs="Arial" w:eastAsia="Arial" w:hAnsi="Arial"/>
                <w:sz w:val="18"/>
                <w:szCs w:val="18"/>
                <w:b w:val="1"/>
                <w:bCs w:val="1"/>
                <w:color w:val="auto"/>
              </w:rPr>
              <w:t>188</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176</w:t>
            </w:r>
          </w:p>
        </w:tc>
        <w:tc>
          <w:tcPr>
            <w:tcW w:w="160" w:type="dxa"/>
            <w:vAlign w:val="bottom"/>
          </w:tcPr>
          <w:p>
            <w:pPr>
              <w:spacing w:after="0"/>
              <w:rPr>
                <w:sz w:val="17"/>
                <w:szCs w:val="17"/>
                <w:color w:val="auto"/>
              </w:rPr>
            </w:pPr>
          </w:p>
        </w:tc>
      </w:tr>
      <w:tr>
        <w:trPr>
          <w:trHeight w:val="203"/>
        </w:trPr>
        <w:tc>
          <w:tcPr>
            <w:tcW w:w="8440" w:type="dxa"/>
            <w:vAlign w:val="bottom"/>
            <w:shd w:val="clear" w:color="auto" w:fill="E6E7E7"/>
          </w:tcPr>
          <w:p>
            <w:pPr>
              <w:ind w:left="420"/>
              <w:spacing w:after="0" w:line="202" w:lineRule="exact"/>
              <w:rPr>
                <w:sz w:val="20"/>
                <w:szCs w:val="20"/>
                <w:color w:val="auto"/>
              </w:rPr>
            </w:pPr>
            <w:r>
              <w:rPr>
                <w:rFonts w:ascii="Arial" w:cs="Arial" w:eastAsia="Arial" w:hAnsi="Arial"/>
                <w:sz w:val="18"/>
                <w:szCs w:val="18"/>
                <w:color w:val="auto"/>
              </w:rPr>
              <w:t>Operating profit % of revenue</w:t>
            </w:r>
          </w:p>
        </w:tc>
        <w:tc>
          <w:tcPr>
            <w:tcW w:w="1260" w:type="dxa"/>
            <w:vAlign w:val="bottom"/>
            <w:gridSpan w:val="2"/>
            <w:shd w:val="clear" w:color="auto" w:fill="E6E7E7"/>
          </w:tcPr>
          <w:p>
            <w:pPr>
              <w:jc w:val="right"/>
              <w:ind w:right="92"/>
              <w:spacing w:after="0" w:line="202" w:lineRule="exact"/>
              <w:rPr>
                <w:sz w:val="20"/>
                <w:szCs w:val="20"/>
                <w:color w:val="auto"/>
              </w:rPr>
            </w:pPr>
            <w:r>
              <w:rPr>
                <w:rFonts w:ascii="Arial" w:cs="Arial" w:eastAsia="Arial" w:hAnsi="Arial"/>
                <w:sz w:val="18"/>
                <w:szCs w:val="18"/>
                <w:b w:val="1"/>
                <w:bCs w:val="1"/>
                <w:color w:val="auto"/>
              </w:rPr>
              <w:t>37.2%</w:t>
            </w:r>
          </w:p>
        </w:tc>
        <w:tc>
          <w:tcPr>
            <w:tcW w:w="1020" w:type="dxa"/>
            <w:vAlign w:val="bottom"/>
            <w:gridSpan w:val="2"/>
            <w:shd w:val="clear" w:color="auto" w:fill="E6E7E7"/>
          </w:tcPr>
          <w:p>
            <w:pPr>
              <w:jc w:val="right"/>
              <w:ind w:right="20"/>
              <w:spacing w:after="0" w:line="202" w:lineRule="exact"/>
              <w:rPr>
                <w:sz w:val="20"/>
                <w:szCs w:val="20"/>
                <w:color w:val="auto"/>
              </w:rPr>
            </w:pPr>
            <w:r>
              <w:rPr>
                <w:rFonts w:ascii="Arial" w:cs="Arial" w:eastAsia="Arial" w:hAnsi="Arial"/>
                <w:sz w:val="18"/>
                <w:szCs w:val="18"/>
                <w:color w:val="auto"/>
              </w:rPr>
              <w:t>34.0%</w:t>
            </w:r>
          </w:p>
        </w:tc>
      </w:tr>
    </w:tbl>
    <w:p>
      <w:pPr>
        <w:spacing w:after="0" w:line="165" w:lineRule="exact"/>
        <w:rPr>
          <w:sz w:val="20"/>
          <w:szCs w:val="20"/>
          <w:color w:val="auto"/>
        </w:rPr>
      </w:pPr>
    </w:p>
    <w:p>
      <w:pPr>
        <w:ind w:left="460" w:right="80"/>
        <w:spacing w:after="0" w:line="239" w:lineRule="auto"/>
        <w:rPr>
          <w:sz w:val="20"/>
          <w:szCs w:val="20"/>
          <w:color w:val="auto"/>
        </w:rPr>
      </w:pPr>
      <w:r>
        <w:rPr>
          <w:rFonts w:ascii="Arial" w:cs="Arial" w:eastAsia="Arial" w:hAnsi="Arial"/>
          <w:sz w:val="18"/>
          <w:szCs w:val="18"/>
          <w:color w:val="auto"/>
        </w:rPr>
        <w:t>Education Technology revenue for 2005 was $506 million, down 2 percent from 2004 primarily due to tighter inventory management at retail customers.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Gross profit of $300 million, or a record 59.2 percent of revenue, increased $8 million from 2004 primarily due to lower manufacturing costs.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profit was a record $188 million, or 37.2 percent of revenue, an increase of $12 million from 2004 due to higher gross profit.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Discontinued Operations</w:t>
      </w:r>
    </w:p>
    <w:p>
      <w:pPr>
        <w:spacing w:after="0" w:line="176" w:lineRule="exact"/>
        <w:rPr>
          <w:sz w:val="20"/>
          <w:szCs w:val="20"/>
          <w:color w:val="auto"/>
        </w:rPr>
      </w:pPr>
    </w:p>
    <w:p>
      <w:pPr>
        <w:ind w:left="460" w:right="500"/>
        <w:spacing w:after="0" w:line="239" w:lineRule="auto"/>
        <w:rPr>
          <w:sz w:val="20"/>
          <w:szCs w:val="20"/>
          <w:color w:val="auto"/>
        </w:rPr>
      </w:pPr>
      <w:r>
        <w:rPr>
          <w:rFonts w:ascii="Arial" w:cs="Arial" w:eastAsia="Arial" w:hAnsi="Arial"/>
          <w:sz w:val="18"/>
          <w:szCs w:val="18"/>
          <w:color w:val="auto"/>
        </w:rPr>
        <w:t>Revenue for 2005 from the former Sensors &amp; Controls business was $1.06 billion, up 3 percent from 2004 due to increased shipments resulting from growth in demand for sensor products.</w:t>
      </w:r>
    </w:p>
    <w:p>
      <w:pPr>
        <w:spacing w:after="0" w:line="155" w:lineRule="exact"/>
        <w:rPr>
          <w:sz w:val="20"/>
          <w:szCs w:val="20"/>
          <w:color w:val="auto"/>
        </w:rPr>
      </w:pPr>
    </w:p>
    <w:p>
      <w:pPr>
        <w:ind w:left="460" w:right="140"/>
        <w:spacing w:after="0" w:line="239" w:lineRule="auto"/>
        <w:rPr>
          <w:sz w:val="20"/>
          <w:szCs w:val="20"/>
          <w:color w:val="auto"/>
        </w:rPr>
      </w:pPr>
      <w:r>
        <w:rPr>
          <w:rFonts w:ascii="Arial" w:cs="Arial" w:eastAsia="Arial" w:hAnsi="Arial"/>
          <w:sz w:val="18"/>
          <w:szCs w:val="18"/>
          <w:color w:val="auto"/>
        </w:rPr>
        <w:t>Income from discontinued operations before income taxes was $232 million, or 21.9 percent of revenue, a decrease of $17 million from the prior year primarily due to costs associated with new products.</w:t>
      </w:r>
    </w:p>
    <w:p>
      <w:pPr>
        <w:spacing w:after="0" w:line="155" w:lineRule="exact"/>
        <w:rPr>
          <w:sz w:val="20"/>
          <w:szCs w:val="20"/>
          <w:color w:val="auto"/>
        </w:rPr>
      </w:pPr>
    </w:p>
    <w:p>
      <w:pPr>
        <w:ind w:left="460" w:right="340"/>
        <w:spacing w:after="0" w:line="239" w:lineRule="auto"/>
        <w:rPr>
          <w:sz w:val="20"/>
          <w:szCs w:val="20"/>
          <w:color w:val="auto"/>
        </w:rPr>
      </w:pPr>
      <w:r>
        <w:rPr>
          <w:rFonts w:ascii="Arial" w:cs="Arial" w:eastAsia="Arial" w:hAnsi="Arial"/>
          <w:sz w:val="18"/>
          <w:szCs w:val="18"/>
          <w:color w:val="auto"/>
        </w:rPr>
        <w:t>Income from discontinued operations net of income taxes was $151 million, or $0.09 per share, a decrease of 11 percent compared with 2004 income from discontinued operations net of tax of $170 million, or $0.10 per share, primarily due to lower operating profit.</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Condition</w:t>
      </w:r>
    </w:p>
    <w:p>
      <w:pPr>
        <w:spacing w:after="0" w:line="180" w:lineRule="exact"/>
        <w:rPr>
          <w:sz w:val="20"/>
          <w:szCs w:val="20"/>
          <w:color w:val="auto"/>
        </w:rPr>
      </w:pPr>
    </w:p>
    <w:p>
      <w:pPr>
        <w:ind w:left="460" w:right="100"/>
        <w:spacing w:after="0" w:line="239" w:lineRule="auto"/>
        <w:rPr>
          <w:sz w:val="20"/>
          <w:szCs w:val="20"/>
          <w:color w:val="auto"/>
        </w:rPr>
      </w:pPr>
      <w:r>
        <w:rPr>
          <w:rFonts w:ascii="Arial" w:cs="Arial" w:eastAsia="Arial" w:hAnsi="Arial"/>
          <w:sz w:val="18"/>
          <w:szCs w:val="18"/>
          <w:color w:val="auto"/>
        </w:rPr>
        <w:t>At the end of 2006, total cash (cash and cash equivalents plus short-term investments) was $3.72 billion, down $1.61 billion from the end of 2005.</w:t>
      </w:r>
    </w:p>
    <w:p>
      <w:pPr>
        <w:spacing w:after="0" w:line="155" w:lineRule="exact"/>
        <w:rPr>
          <w:sz w:val="20"/>
          <w:szCs w:val="20"/>
          <w:color w:val="auto"/>
        </w:rPr>
      </w:pPr>
    </w:p>
    <w:p>
      <w:pPr>
        <w:ind w:left="460"/>
        <w:spacing w:after="0" w:line="239" w:lineRule="auto"/>
        <w:rPr>
          <w:sz w:val="20"/>
          <w:szCs w:val="20"/>
          <w:color w:val="auto"/>
        </w:rPr>
      </w:pPr>
      <w:r>
        <w:rPr>
          <w:rFonts w:ascii="Arial" w:cs="Arial" w:eastAsia="Arial" w:hAnsi="Arial"/>
          <w:sz w:val="18"/>
          <w:szCs w:val="18"/>
          <w:color w:val="auto"/>
        </w:rPr>
        <w:t>Accounts receivable were $1.77 billion at the end of 2006, an increase of $126 million from 2005 primarily due to higher revenue. Days sales outstanding were 46 at the end of 2006, compared with 45 at the end of 2005.</w:t>
      </w:r>
    </w:p>
    <w:p>
      <w:pPr>
        <w:spacing w:after="0" w:line="155" w:lineRule="exact"/>
        <w:rPr>
          <w:sz w:val="20"/>
          <w:szCs w:val="20"/>
          <w:color w:val="auto"/>
        </w:rPr>
      </w:pPr>
    </w:p>
    <w:p>
      <w:pPr>
        <w:ind w:left="460" w:right="320"/>
        <w:spacing w:after="0" w:line="239" w:lineRule="auto"/>
        <w:rPr>
          <w:sz w:val="20"/>
          <w:szCs w:val="20"/>
          <w:color w:val="auto"/>
        </w:rPr>
      </w:pPr>
      <w:r>
        <w:rPr>
          <w:rFonts w:ascii="Arial" w:cs="Arial" w:eastAsia="Arial" w:hAnsi="Arial"/>
          <w:sz w:val="18"/>
          <w:szCs w:val="18"/>
          <w:color w:val="auto"/>
        </w:rPr>
        <w:t>Inventory was $1.44 billion at the end of 2006. Compared with a year ago, when inventory was below desired levels, inventory increased $252 million. Days of inventory at the end of 2006 were 75 compared with 64 at the end of 2005.</w:t>
      </w:r>
    </w:p>
    <w:p>
      <w:pPr>
        <w:sectPr>
          <w:pgSz w:w="11900" w:h="16838" w:orient="portrait"/>
          <w:cols w:equalWidth="0" w:num="1">
            <w:col w:w="11360"/>
          </w:cols>
          <w:pgMar w:left="240" w:top="287" w:right="299" w:bottom="1440" w:gutter="0" w:footer="0" w:header="0"/>
        </w:sectPr>
      </w:pPr>
    </w:p>
    <w:bookmarkStart w:id="100" w:name="page101"/>
    <w:bookmarkEnd w:id="100"/>
    <w:p>
      <w:pPr>
        <w:ind w:left="7600"/>
        <w:spacing w:after="0"/>
        <w:tabs>
          <w:tab w:leader="none" w:pos="1080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2006 ANNUAL REPORT</w:t>
      </w:r>
      <w:r>
        <w:rPr>
          <w:sz w:val="20"/>
          <w:szCs w:val="20"/>
          <w:color w:val="auto"/>
        </w:rPr>
        <w:tab/>
      </w:r>
      <w:r>
        <w:rPr>
          <w:rFonts w:ascii="Arial" w:cs="Arial" w:eastAsia="Arial" w:hAnsi="Arial"/>
          <w:sz w:val="12"/>
          <w:szCs w:val="12"/>
          <w:color w:val="939598"/>
        </w:rPr>
        <w:t>51</w:t>
      </w:r>
    </w:p>
    <w:p>
      <w:pPr>
        <w:spacing w:after="0" w:line="140"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For the year, depreciation was $1.05 billion. This was a decrease of $294 million compared with 2005, $156 million of which was due to our change at the beginning of 2006 from an accelerated to a straight-line method of depreciation.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0"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Our primary source of liquidity is our cash flow from operations. In addition, we have $1.18 billion of cash and cash equivalents and $2.53 billion of short-term investments, totaling $3.72 billion as of December 31, 2006. Other sources of liquidity include a new five-year $1 billion revolving credit facility and a non-U.S. revolving credit facility of $175 million (see Note 6 to the Financial Statements for additional information). As of December 31, 2006, these facilities were not being utilized.</w:t>
      </w:r>
    </w:p>
    <w:p>
      <w:pPr>
        <w:spacing w:after="0" w:line="155"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For the year, cash flow from operations decreased $1.15 billion to $2.45 billion, primarily due to increased working capital requirements that more than offset higher income from continuing operations. The increased working capital requirements reflect the payment of income taxes related to the gain on the sale of our former Sensors &amp; Controls business; the reduction in accounts payable primarily relating to payments for manufacturing equipment and to foundry suppliers; and increased inventory from the less-than-desirable levels at year-end 2005.</w:t>
      </w:r>
    </w:p>
    <w:p>
      <w:pPr>
        <w:spacing w:after="0" w:line="12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2006, investing activities provided $3.09 billion in cash, compared with 2005, when investing activities used cash of $1.63 billion. We received cash proceeds from the sale of the former Sensors &amp; Controls business of $3.00 billion in 2006. Sales and maturities of cash investments, net of purchases, were $1.60 billion in 2006 compared with a negative $0.42 billion in 2005 as we increased the cash available for repurchasing shares of our common stock as discussed below.</w:t>
      </w:r>
    </w:p>
    <w:p>
      <w:pPr>
        <w:spacing w:after="0" w:line="155"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For 2006, capital expenditures were $1.27 billion, about even with 2005. Our capital expenditures in 2006 were primarily for assembly and test equipment and advanced wafer fabrication equipment.</w:t>
      </w:r>
    </w:p>
    <w:p>
      <w:pPr>
        <w:spacing w:after="0" w:line="15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For 2006, net cash used in financing activities was $5.57 billion compared with $3.54 billion in 2005, primarily reflecting increased repurchases of our common stock and the repayment of $586 million of debt. We used $5.30 billion of cash to repurchase 172 million shares of our common stock in 2006 compared with $4.15 billion used to repurchase 153 million shares of our common stock in 2005. Repurchases in 2006 reduced our shares outstanding by 9 percent. Dividends paid in 2006 of $199 million, compared with $173 million in 2005, reflect the effect of increases in the quarterly dividend rate in the fourth quarters of 2005 and 2006. The quarterly cash dividend rate was increased to $0.03 per share beginning with the dividend declared on October 20, 2005. The quarterly cash dividend rate was increased to $0.04 per share beginning with the dividend declared on October 19, 2006. The effect of the dividend rate increases on total dividends paid in 2006 was partially offset by the lower number of shares outstanding.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Cash proceeds received from the exercise of employee stock options in 2006 were $419 million compared with $461 million in 2005.</w:t>
      </w:r>
    </w:p>
    <w:p>
      <w:pPr>
        <w:spacing w:after="0" w:line="158"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In 2005, to avail ourselves of tax savings provided for under the AJCA, we repatriated $1.29 billion of previously undistributed earnings of non-U.S. subsidiaries. During the fourth quarter of 2005, our Japan subsidiary borrowed $275 million of variable-rate bank notes in order to facilitate this process. This debt was prepaid in the second quarter of 2006. A portion of this debt had been due in 2008 and the remainder had been due in 2010. During 2006, we also retired $300 million of maturing debt and redeemed $11 million of debt that was to mature in 2020.</w:t>
      </w:r>
    </w:p>
    <w:p>
      <w:pPr>
        <w:spacing w:after="0" w:line="157" w:lineRule="exact"/>
        <w:rPr>
          <w:sz w:val="20"/>
          <w:szCs w:val="20"/>
          <w:color w:val="auto"/>
        </w:rPr>
      </w:pPr>
    </w:p>
    <w:p>
      <w:pPr>
        <w:ind w:right="300"/>
        <w:spacing w:after="0" w:line="299" w:lineRule="auto"/>
        <w:rPr>
          <w:sz w:val="20"/>
          <w:szCs w:val="20"/>
          <w:color w:val="auto"/>
        </w:rPr>
      </w:pPr>
      <w:r>
        <w:rPr>
          <w:rFonts w:ascii="Arial" w:cs="Arial" w:eastAsia="Arial" w:hAnsi="Arial"/>
          <w:sz w:val="16"/>
          <w:szCs w:val="16"/>
          <w:color w:val="auto"/>
        </w:rPr>
        <w:t>In 2006, the board of directors authorized the repurchase of an additional $10 billion of our common stock. Cumulatively, our board of directors has authorized $15 billion in stock repurchases since September 2004. At year end, $5.49 billion of these authorizations remain.</w:t>
      </w:r>
    </w:p>
    <w:p>
      <w:pPr>
        <w:sectPr>
          <w:pgSz w:w="11900" w:h="16838" w:orient="portrait"/>
          <w:cols w:equalWidth="0" w:num="1">
            <w:col w:w="10960"/>
          </w:cols>
          <w:pgMar w:left="700" w:top="287" w:right="239" w:bottom="1440" w:gutter="0" w:footer="0" w:header="0"/>
        </w:sectPr>
      </w:pPr>
    </w:p>
    <w:bookmarkStart w:id="101" w:name="page102"/>
    <w:bookmarkEnd w:id="101"/>
    <w:p>
      <w:pPr>
        <w:spacing w:after="0"/>
        <w:tabs>
          <w:tab w:leader="none" w:pos="36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52</w:t>
        <w:tab/>
        <w:t>TEXAS INSTRUMENTS 2006 ANNUAL REPORT</w:t>
      </w:r>
    </w:p>
    <w:p>
      <w:pPr>
        <w:spacing w:after="0" w:line="3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Long-term Contractual Obligations</w:t>
      </w:r>
    </w:p>
    <w:p>
      <w:pPr>
        <w:spacing w:after="0" w:line="200" w:lineRule="exact"/>
        <w:rPr>
          <w:sz w:val="20"/>
          <w:szCs w:val="20"/>
          <w:color w:val="auto"/>
        </w:rPr>
      </w:pPr>
    </w:p>
    <w:tbl>
      <w:tblPr>
        <w:tblLayout w:type="fixed"/>
        <w:tblInd w:w="3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20" w:type="dxa"/>
            <w:vAlign w:val="bottom"/>
            <w:gridSpan w:val="5"/>
          </w:tcPr>
          <w:p>
            <w:pPr>
              <w:jc w:val="right"/>
              <w:ind w:right="192"/>
              <w:spacing w:after="0"/>
              <w:rPr>
                <w:sz w:val="20"/>
                <w:szCs w:val="20"/>
                <w:color w:val="auto"/>
              </w:rPr>
            </w:pPr>
            <w:r>
              <w:rPr>
                <w:rFonts w:ascii="Arial" w:cs="Arial" w:eastAsia="Arial" w:hAnsi="Arial"/>
                <w:sz w:val="14"/>
                <w:szCs w:val="14"/>
                <w:b w:val="1"/>
                <w:bCs w:val="1"/>
                <w:color w:val="939598"/>
                <w:w w:val="99"/>
              </w:rPr>
              <w:t>PAYMENTS DUE BY PERIOD</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00" w:type="dxa"/>
            <w:vAlign w:val="bottom"/>
            <w:shd w:val="clear" w:color="auto" w:fill="939598"/>
          </w:tcPr>
          <w:p>
            <w:pPr>
              <w:spacing w:after="0" w:line="149" w:lineRule="exact"/>
              <w:rPr>
                <w:sz w:val="20"/>
                <w:szCs w:val="20"/>
                <w:color w:val="auto"/>
              </w:rPr>
            </w:pPr>
            <w:r>
              <w:rPr>
                <w:rFonts w:ascii="Arial" w:cs="Arial" w:eastAsia="Arial" w:hAnsi="Arial"/>
                <w:sz w:val="14"/>
                <w:szCs w:val="14"/>
                <w:b w:val="1"/>
                <w:bCs w:val="1"/>
                <w:color w:val="FFFFFF"/>
              </w:rPr>
              <w:t>Contractual Obligations</w:t>
            </w:r>
          </w:p>
        </w:tc>
        <w:tc>
          <w:tcPr>
            <w:tcW w:w="1980" w:type="dxa"/>
            <w:vAlign w:val="bottom"/>
            <w:shd w:val="clear" w:color="auto" w:fill="939598"/>
          </w:tcPr>
          <w:p>
            <w:pPr>
              <w:spacing w:after="0"/>
              <w:rPr>
                <w:sz w:val="12"/>
                <w:szCs w:val="12"/>
                <w:color w:val="auto"/>
              </w:rPr>
            </w:pPr>
          </w:p>
        </w:tc>
        <w:tc>
          <w:tcPr>
            <w:tcW w:w="120" w:type="dxa"/>
            <w:vAlign w:val="bottom"/>
            <w:shd w:val="clear" w:color="auto" w:fill="939598"/>
          </w:tcPr>
          <w:p>
            <w:pPr>
              <w:spacing w:after="0"/>
              <w:rPr>
                <w:sz w:val="12"/>
                <w:szCs w:val="12"/>
                <w:color w:val="auto"/>
              </w:rPr>
            </w:pPr>
          </w:p>
        </w:tc>
        <w:tc>
          <w:tcPr>
            <w:tcW w:w="580" w:type="dxa"/>
            <w:vAlign w:val="bottom"/>
            <w:shd w:val="clear" w:color="auto" w:fill="939598"/>
          </w:tcPr>
          <w:p>
            <w:pPr>
              <w:jc w:val="right"/>
              <w:ind w:right="154"/>
              <w:spacing w:after="0" w:line="149" w:lineRule="exact"/>
              <w:rPr>
                <w:sz w:val="20"/>
                <w:szCs w:val="20"/>
                <w:color w:val="auto"/>
              </w:rPr>
            </w:pPr>
            <w:r>
              <w:rPr>
                <w:rFonts w:ascii="Arial" w:cs="Arial" w:eastAsia="Arial" w:hAnsi="Arial"/>
                <w:sz w:val="14"/>
                <w:szCs w:val="14"/>
                <w:b w:val="1"/>
                <w:bCs w:val="1"/>
                <w:color w:val="FFFFFF"/>
              </w:rPr>
              <w:t>2007</w:t>
            </w:r>
          </w:p>
        </w:tc>
        <w:tc>
          <w:tcPr>
            <w:tcW w:w="840" w:type="dxa"/>
            <w:vAlign w:val="bottom"/>
            <w:gridSpan w:val="2"/>
            <w:shd w:val="clear" w:color="auto" w:fill="939598"/>
          </w:tcPr>
          <w:p>
            <w:pPr>
              <w:jc w:val="right"/>
              <w:ind w:right="14"/>
              <w:spacing w:after="0" w:line="149" w:lineRule="exact"/>
              <w:rPr>
                <w:sz w:val="20"/>
                <w:szCs w:val="20"/>
                <w:color w:val="auto"/>
              </w:rPr>
            </w:pPr>
            <w:r>
              <w:rPr>
                <w:rFonts w:ascii="Arial" w:cs="Arial" w:eastAsia="Arial" w:hAnsi="Arial"/>
                <w:sz w:val="14"/>
                <w:szCs w:val="14"/>
                <w:b w:val="1"/>
                <w:bCs w:val="1"/>
                <w:color w:val="FFFFFF"/>
              </w:rPr>
              <w:t>2008/2009</w:t>
            </w:r>
          </w:p>
        </w:tc>
        <w:tc>
          <w:tcPr>
            <w:tcW w:w="840" w:type="dxa"/>
            <w:vAlign w:val="bottom"/>
            <w:gridSpan w:val="2"/>
            <w:shd w:val="clear" w:color="auto" w:fill="939598"/>
          </w:tcPr>
          <w:p>
            <w:pPr>
              <w:jc w:val="right"/>
              <w:ind w:right="12"/>
              <w:spacing w:after="0" w:line="149" w:lineRule="exact"/>
              <w:rPr>
                <w:sz w:val="20"/>
                <w:szCs w:val="20"/>
                <w:color w:val="auto"/>
              </w:rPr>
            </w:pPr>
            <w:r>
              <w:rPr>
                <w:rFonts w:ascii="Arial" w:cs="Arial" w:eastAsia="Arial" w:hAnsi="Arial"/>
                <w:sz w:val="14"/>
                <w:szCs w:val="14"/>
                <w:b w:val="1"/>
                <w:bCs w:val="1"/>
                <w:color w:val="FFFFFF"/>
              </w:rPr>
              <w:t>2010/2011</w:t>
            </w:r>
          </w:p>
        </w:tc>
        <w:tc>
          <w:tcPr>
            <w:tcW w:w="840" w:type="dxa"/>
            <w:vAlign w:val="bottom"/>
            <w:gridSpan w:val="2"/>
            <w:shd w:val="clear" w:color="auto" w:fill="939598"/>
          </w:tcPr>
          <w:p>
            <w:pPr>
              <w:ind w:left="80"/>
              <w:spacing w:after="0" w:line="149" w:lineRule="exact"/>
              <w:rPr>
                <w:sz w:val="20"/>
                <w:szCs w:val="20"/>
                <w:color w:val="auto"/>
              </w:rPr>
            </w:pPr>
            <w:r>
              <w:rPr>
                <w:rFonts w:ascii="Arial" w:cs="Arial" w:eastAsia="Arial" w:hAnsi="Arial"/>
                <w:sz w:val="14"/>
                <w:szCs w:val="14"/>
                <w:b w:val="1"/>
                <w:bCs w:val="1"/>
                <w:color w:val="FFFFFF"/>
              </w:rPr>
              <w:t>Thereafter</w:t>
            </w:r>
          </w:p>
        </w:tc>
        <w:tc>
          <w:tcPr>
            <w:tcW w:w="260" w:type="dxa"/>
            <w:vAlign w:val="bottom"/>
            <w:shd w:val="clear" w:color="auto" w:fill="939598"/>
          </w:tcPr>
          <w:p>
            <w:pPr>
              <w:spacing w:after="0"/>
              <w:rPr>
                <w:sz w:val="12"/>
                <w:szCs w:val="12"/>
                <w:color w:val="auto"/>
              </w:rPr>
            </w:pPr>
          </w:p>
        </w:tc>
        <w:tc>
          <w:tcPr>
            <w:tcW w:w="640" w:type="dxa"/>
            <w:vAlign w:val="bottom"/>
            <w:gridSpan w:val="2"/>
            <w:shd w:val="clear" w:color="auto" w:fill="939598"/>
          </w:tcPr>
          <w:p>
            <w:pPr>
              <w:ind w:left="60"/>
              <w:spacing w:after="0" w:line="149" w:lineRule="exact"/>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Long-term debt obligations (a)</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3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E6E7E7"/>
          </w:tcPr>
          <w:p>
            <w:pPr>
              <w:ind w:left="120"/>
              <w:spacing w:after="0" w:line="202" w:lineRule="exact"/>
              <w:rPr>
                <w:sz w:val="20"/>
                <w:szCs w:val="20"/>
                <w:color w:val="auto"/>
              </w:rPr>
            </w:pPr>
            <w:r>
              <w:rPr>
                <w:rFonts w:ascii="Arial" w:cs="Arial" w:eastAsia="Arial" w:hAnsi="Arial"/>
                <w:sz w:val="18"/>
                <w:szCs w:val="18"/>
                <w:color w:val="auto"/>
              </w:rPr>
              <w:t>Operating lease obligations (b)</w:t>
            </w:r>
          </w:p>
        </w:tc>
        <w:tc>
          <w:tcPr>
            <w:tcW w:w="1980" w:type="dxa"/>
            <w:vAlign w:val="bottom"/>
            <w:shd w:val="clear" w:color="auto" w:fill="E6E7E7"/>
          </w:tcPr>
          <w:p>
            <w:pPr>
              <w:spacing w:after="0"/>
              <w:rPr>
                <w:sz w:val="17"/>
                <w:szCs w:val="17"/>
                <w:color w:val="auto"/>
              </w:rPr>
            </w:pPr>
          </w:p>
        </w:tc>
        <w:tc>
          <w:tcPr>
            <w:tcW w:w="120" w:type="dxa"/>
            <w:vAlign w:val="bottom"/>
            <w:shd w:val="clear" w:color="auto" w:fill="E6E7E7"/>
          </w:tcPr>
          <w:p>
            <w:pPr>
              <w:spacing w:after="0"/>
              <w:rPr>
                <w:sz w:val="17"/>
                <w:szCs w:val="17"/>
                <w:color w:val="auto"/>
              </w:rPr>
            </w:pPr>
          </w:p>
        </w:tc>
        <w:tc>
          <w:tcPr>
            <w:tcW w:w="580" w:type="dxa"/>
            <w:vAlign w:val="bottom"/>
            <w:shd w:val="clear" w:color="auto" w:fill="E6E7E7"/>
          </w:tcPr>
          <w:p>
            <w:pPr>
              <w:jc w:val="right"/>
              <w:ind w:right="14"/>
              <w:spacing w:after="0" w:line="202" w:lineRule="exact"/>
              <w:rPr>
                <w:sz w:val="20"/>
                <w:szCs w:val="20"/>
                <w:color w:val="auto"/>
              </w:rPr>
            </w:pPr>
            <w:r>
              <w:rPr>
                <w:rFonts w:ascii="Arial" w:cs="Arial" w:eastAsia="Arial" w:hAnsi="Arial"/>
                <w:sz w:val="18"/>
                <w:szCs w:val="18"/>
                <w:color w:val="auto"/>
              </w:rPr>
              <w:t>85</w:t>
            </w:r>
          </w:p>
        </w:tc>
        <w:tc>
          <w:tcPr>
            <w:tcW w:w="300" w:type="dxa"/>
            <w:vAlign w:val="bottom"/>
            <w:shd w:val="clear" w:color="auto" w:fill="E6E7E7"/>
          </w:tcPr>
          <w:p>
            <w:pPr>
              <w:spacing w:after="0"/>
              <w:rPr>
                <w:sz w:val="17"/>
                <w:szCs w:val="17"/>
                <w:color w:val="auto"/>
              </w:rPr>
            </w:pPr>
          </w:p>
        </w:tc>
        <w:tc>
          <w:tcPr>
            <w:tcW w:w="540" w:type="dxa"/>
            <w:vAlign w:val="bottom"/>
            <w:shd w:val="clear" w:color="auto" w:fill="E6E7E7"/>
          </w:tcPr>
          <w:p>
            <w:pPr>
              <w:jc w:val="right"/>
              <w:ind w:right="14"/>
              <w:spacing w:after="0" w:line="202" w:lineRule="exact"/>
              <w:rPr>
                <w:sz w:val="20"/>
                <w:szCs w:val="20"/>
                <w:color w:val="auto"/>
              </w:rPr>
            </w:pPr>
            <w:r>
              <w:rPr>
                <w:rFonts w:ascii="Arial" w:cs="Arial" w:eastAsia="Arial" w:hAnsi="Arial"/>
                <w:sz w:val="18"/>
                <w:szCs w:val="18"/>
                <w:color w:val="auto"/>
              </w:rPr>
              <w:t>101</w:t>
            </w:r>
          </w:p>
        </w:tc>
        <w:tc>
          <w:tcPr>
            <w:tcW w:w="320" w:type="dxa"/>
            <w:vAlign w:val="bottom"/>
            <w:shd w:val="clear" w:color="auto" w:fill="E6E7E7"/>
          </w:tcPr>
          <w:p>
            <w:pPr>
              <w:spacing w:after="0"/>
              <w:rPr>
                <w:sz w:val="17"/>
                <w:szCs w:val="17"/>
                <w:color w:val="auto"/>
              </w:rPr>
            </w:pPr>
          </w:p>
        </w:tc>
        <w:tc>
          <w:tcPr>
            <w:tcW w:w="520" w:type="dxa"/>
            <w:vAlign w:val="bottom"/>
            <w:shd w:val="clear" w:color="auto" w:fill="E6E7E7"/>
          </w:tcPr>
          <w:p>
            <w:pPr>
              <w:jc w:val="right"/>
              <w:ind w:right="12"/>
              <w:spacing w:after="0" w:line="202" w:lineRule="exact"/>
              <w:rPr>
                <w:sz w:val="20"/>
                <w:szCs w:val="20"/>
                <w:color w:val="auto"/>
              </w:rPr>
            </w:pPr>
            <w:r>
              <w:rPr>
                <w:rFonts w:ascii="Arial" w:cs="Arial" w:eastAsia="Arial" w:hAnsi="Arial"/>
                <w:sz w:val="18"/>
                <w:szCs w:val="18"/>
                <w:color w:val="auto"/>
              </w:rPr>
              <w:t>71</w:t>
            </w:r>
          </w:p>
        </w:tc>
        <w:tc>
          <w:tcPr>
            <w:tcW w:w="320" w:type="dxa"/>
            <w:vAlign w:val="bottom"/>
            <w:shd w:val="clear" w:color="auto" w:fill="E6E7E7"/>
          </w:tcPr>
          <w:p>
            <w:pPr>
              <w:spacing w:after="0"/>
              <w:rPr>
                <w:sz w:val="17"/>
                <w:szCs w:val="17"/>
                <w:color w:val="auto"/>
              </w:rPr>
            </w:pPr>
          </w:p>
        </w:tc>
        <w:tc>
          <w:tcPr>
            <w:tcW w:w="520" w:type="dxa"/>
            <w:vAlign w:val="bottom"/>
            <w:shd w:val="clear" w:color="auto" w:fill="E6E7E7"/>
          </w:tcPr>
          <w:p>
            <w:pPr>
              <w:jc w:val="right"/>
              <w:ind w:right="12"/>
              <w:spacing w:after="0" w:line="202" w:lineRule="exact"/>
              <w:rPr>
                <w:sz w:val="20"/>
                <w:szCs w:val="20"/>
                <w:color w:val="auto"/>
              </w:rPr>
            </w:pPr>
            <w:r>
              <w:rPr>
                <w:rFonts w:ascii="Arial" w:cs="Arial" w:eastAsia="Arial" w:hAnsi="Arial"/>
                <w:sz w:val="18"/>
                <w:szCs w:val="18"/>
                <w:color w:val="auto"/>
              </w:rPr>
              <w:t>162</w:t>
            </w:r>
          </w:p>
        </w:tc>
        <w:tc>
          <w:tcPr>
            <w:tcW w:w="260" w:type="dxa"/>
            <w:vAlign w:val="bottom"/>
            <w:shd w:val="clear" w:color="auto" w:fill="E6E7E7"/>
          </w:tcPr>
          <w:p>
            <w:pPr>
              <w:spacing w:after="0"/>
              <w:rPr>
                <w:sz w:val="17"/>
                <w:szCs w:val="17"/>
                <w:color w:val="auto"/>
              </w:rPr>
            </w:pPr>
          </w:p>
        </w:tc>
        <w:tc>
          <w:tcPr>
            <w:tcW w:w="5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419</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120"/>
              <w:spacing w:after="0" w:line="202" w:lineRule="exact"/>
              <w:rPr>
                <w:sz w:val="20"/>
                <w:szCs w:val="20"/>
                <w:color w:val="auto"/>
              </w:rPr>
            </w:pPr>
            <w:r>
              <w:rPr>
                <w:rFonts w:ascii="Arial" w:cs="Arial" w:eastAsia="Arial" w:hAnsi="Arial"/>
                <w:sz w:val="18"/>
                <w:szCs w:val="18"/>
                <w:color w:val="auto"/>
              </w:rPr>
              <w:t>Software license obligations (c)</w:t>
            </w: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33</w:t>
            </w:r>
          </w:p>
        </w:tc>
        <w:tc>
          <w:tcPr>
            <w:tcW w:w="300" w:type="dxa"/>
            <w:vAlign w:val="bottom"/>
          </w:tcPr>
          <w:p>
            <w:pPr>
              <w:spacing w:after="0"/>
              <w:rPr>
                <w:sz w:val="17"/>
                <w:szCs w:val="17"/>
                <w:color w:val="auto"/>
              </w:rPr>
            </w:pPr>
          </w:p>
        </w:tc>
        <w:tc>
          <w:tcPr>
            <w:tcW w:w="5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36</w:t>
            </w:r>
          </w:p>
        </w:tc>
        <w:tc>
          <w:tcPr>
            <w:tcW w:w="320" w:type="dxa"/>
            <w:vAlign w:val="bottom"/>
          </w:tcPr>
          <w:p>
            <w:pPr>
              <w:spacing w:after="0"/>
              <w:rPr>
                <w:sz w:val="17"/>
                <w:szCs w:val="17"/>
                <w:color w:val="auto"/>
              </w:rPr>
            </w:pPr>
          </w:p>
        </w:tc>
        <w:tc>
          <w:tcPr>
            <w:tcW w:w="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w:t>
            </w:r>
          </w:p>
        </w:tc>
        <w:tc>
          <w:tcPr>
            <w:tcW w:w="320" w:type="dxa"/>
            <w:vAlign w:val="bottom"/>
          </w:tcPr>
          <w:p>
            <w:pPr>
              <w:spacing w:after="0"/>
              <w:rPr>
                <w:sz w:val="17"/>
                <w:szCs w:val="17"/>
                <w:color w:val="auto"/>
              </w:rPr>
            </w:pPr>
          </w:p>
        </w:tc>
        <w:tc>
          <w:tcPr>
            <w:tcW w:w="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E6E7E7"/>
          </w:tcPr>
          <w:p>
            <w:pPr>
              <w:ind w:left="120"/>
              <w:spacing w:after="0" w:line="202" w:lineRule="exact"/>
              <w:rPr>
                <w:sz w:val="20"/>
                <w:szCs w:val="20"/>
                <w:color w:val="auto"/>
              </w:rPr>
            </w:pPr>
            <w:r>
              <w:rPr>
                <w:rFonts w:ascii="Arial" w:cs="Arial" w:eastAsia="Arial" w:hAnsi="Arial"/>
                <w:sz w:val="18"/>
                <w:szCs w:val="18"/>
                <w:color w:val="auto"/>
              </w:rPr>
              <w:t>Purchase obligations (d)</w:t>
            </w:r>
          </w:p>
        </w:tc>
        <w:tc>
          <w:tcPr>
            <w:tcW w:w="1980" w:type="dxa"/>
            <w:vAlign w:val="bottom"/>
            <w:shd w:val="clear" w:color="auto" w:fill="E6E7E7"/>
          </w:tcPr>
          <w:p>
            <w:pPr>
              <w:spacing w:after="0"/>
              <w:rPr>
                <w:sz w:val="17"/>
                <w:szCs w:val="17"/>
                <w:color w:val="auto"/>
              </w:rPr>
            </w:pPr>
          </w:p>
        </w:tc>
        <w:tc>
          <w:tcPr>
            <w:tcW w:w="120" w:type="dxa"/>
            <w:vAlign w:val="bottom"/>
            <w:shd w:val="clear" w:color="auto" w:fill="E6E7E7"/>
          </w:tcPr>
          <w:p>
            <w:pPr>
              <w:spacing w:after="0"/>
              <w:rPr>
                <w:sz w:val="17"/>
                <w:szCs w:val="17"/>
                <w:color w:val="auto"/>
              </w:rPr>
            </w:pPr>
          </w:p>
        </w:tc>
        <w:tc>
          <w:tcPr>
            <w:tcW w:w="580" w:type="dxa"/>
            <w:vAlign w:val="bottom"/>
            <w:shd w:val="clear" w:color="auto" w:fill="E6E7E7"/>
          </w:tcPr>
          <w:p>
            <w:pPr>
              <w:jc w:val="right"/>
              <w:ind w:right="14"/>
              <w:spacing w:after="0" w:line="202" w:lineRule="exact"/>
              <w:rPr>
                <w:sz w:val="20"/>
                <w:szCs w:val="20"/>
                <w:color w:val="auto"/>
              </w:rPr>
            </w:pPr>
            <w:r>
              <w:rPr>
                <w:rFonts w:ascii="Arial" w:cs="Arial" w:eastAsia="Arial" w:hAnsi="Arial"/>
                <w:sz w:val="18"/>
                <w:szCs w:val="18"/>
                <w:color w:val="auto"/>
              </w:rPr>
              <w:t>117</w:t>
            </w:r>
          </w:p>
        </w:tc>
        <w:tc>
          <w:tcPr>
            <w:tcW w:w="300" w:type="dxa"/>
            <w:vAlign w:val="bottom"/>
            <w:shd w:val="clear" w:color="auto" w:fill="E6E7E7"/>
          </w:tcPr>
          <w:p>
            <w:pPr>
              <w:spacing w:after="0"/>
              <w:rPr>
                <w:sz w:val="17"/>
                <w:szCs w:val="17"/>
                <w:color w:val="auto"/>
              </w:rPr>
            </w:pPr>
          </w:p>
        </w:tc>
        <w:tc>
          <w:tcPr>
            <w:tcW w:w="540" w:type="dxa"/>
            <w:vAlign w:val="bottom"/>
            <w:shd w:val="clear" w:color="auto" w:fill="E6E7E7"/>
          </w:tcPr>
          <w:p>
            <w:pPr>
              <w:jc w:val="right"/>
              <w:ind w:right="14"/>
              <w:spacing w:after="0" w:line="202" w:lineRule="exact"/>
              <w:rPr>
                <w:sz w:val="20"/>
                <w:szCs w:val="20"/>
                <w:color w:val="auto"/>
              </w:rPr>
            </w:pPr>
            <w:r>
              <w:rPr>
                <w:rFonts w:ascii="Arial" w:cs="Arial" w:eastAsia="Arial" w:hAnsi="Arial"/>
                <w:sz w:val="18"/>
                <w:szCs w:val="18"/>
                <w:color w:val="auto"/>
              </w:rPr>
              <w:t>130</w:t>
            </w:r>
          </w:p>
        </w:tc>
        <w:tc>
          <w:tcPr>
            <w:tcW w:w="320" w:type="dxa"/>
            <w:vAlign w:val="bottom"/>
            <w:shd w:val="clear" w:color="auto" w:fill="E6E7E7"/>
          </w:tcPr>
          <w:p>
            <w:pPr>
              <w:spacing w:after="0"/>
              <w:rPr>
                <w:sz w:val="17"/>
                <w:szCs w:val="17"/>
                <w:color w:val="auto"/>
              </w:rPr>
            </w:pPr>
          </w:p>
        </w:tc>
        <w:tc>
          <w:tcPr>
            <w:tcW w:w="520" w:type="dxa"/>
            <w:vAlign w:val="bottom"/>
            <w:shd w:val="clear" w:color="auto" w:fill="E6E7E7"/>
          </w:tcPr>
          <w:p>
            <w:pPr>
              <w:jc w:val="right"/>
              <w:ind w:right="12"/>
              <w:spacing w:after="0" w:line="202" w:lineRule="exact"/>
              <w:rPr>
                <w:sz w:val="20"/>
                <w:szCs w:val="20"/>
                <w:color w:val="auto"/>
              </w:rPr>
            </w:pPr>
            <w:r>
              <w:rPr>
                <w:rFonts w:ascii="Arial" w:cs="Arial" w:eastAsia="Arial" w:hAnsi="Arial"/>
                <w:sz w:val="18"/>
                <w:szCs w:val="18"/>
                <w:color w:val="auto"/>
              </w:rPr>
              <w:t>10</w:t>
            </w:r>
          </w:p>
        </w:tc>
        <w:tc>
          <w:tcPr>
            <w:tcW w:w="320" w:type="dxa"/>
            <w:vAlign w:val="bottom"/>
            <w:shd w:val="clear" w:color="auto" w:fill="E6E7E7"/>
          </w:tcPr>
          <w:p>
            <w:pPr>
              <w:spacing w:after="0"/>
              <w:rPr>
                <w:sz w:val="17"/>
                <w:szCs w:val="17"/>
                <w:color w:val="auto"/>
              </w:rPr>
            </w:pPr>
          </w:p>
        </w:tc>
        <w:tc>
          <w:tcPr>
            <w:tcW w:w="520" w:type="dxa"/>
            <w:vAlign w:val="bottom"/>
            <w:shd w:val="clear" w:color="auto" w:fill="E6E7E7"/>
          </w:tcPr>
          <w:p>
            <w:pPr>
              <w:jc w:val="right"/>
              <w:ind w:right="12"/>
              <w:spacing w:after="0" w:line="202" w:lineRule="exact"/>
              <w:rPr>
                <w:sz w:val="20"/>
                <w:szCs w:val="20"/>
                <w:color w:val="auto"/>
              </w:rPr>
            </w:pPr>
            <w:r>
              <w:rPr>
                <w:rFonts w:ascii="Arial" w:cs="Arial" w:eastAsia="Arial" w:hAnsi="Arial"/>
                <w:sz w:val="18"/>
                <w:szCs w:val="18"/>
                <w:color w:val="auto"/>
              </w:rPr>
              <w:t>61</w:t>
            </w:r>
          </w:p>
        </w:tc>
        <w:tc>
          <w:tcPr>
            <w:tcW w:w="260" w:type="dxa"/>
            <w:vAlign w:val="bottom"/>
            <w:shd w:val="clear" w:color="auto" w:fill="E6E7E7"/>
          </w:tcPr>
          <w:p>
            <w:pPr>
              <w:spacing w:after="0"/>
              <w:rPr>
                <w:sz w:val="17"/>
                <w:szCs w:val="17"/>
                <w:color w:val="auto"/>
              </w:rPr>
            </w:pPr>
          </w:p>
        </w:tc>
        <w:tc>
          <w:tcPr>
            <w:tcW w:w="5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318</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120"/>
              <w:spacing w:after="0" w:line="202" w:lineRule="exact"/>
              <w:rPr>
                <w:sz w:val="20"/>
                <w:szCs w:val="20"/>
                <w:color w:val="auto"/>
              </w:rPr>
            </w:pPr>
            <w:r>
              <w:rPr>
                <w:rFonts w:ascii="Arial" w:cs="Arial" w:eastAsia="Arial" w:hAnsi="Arial"/>
                <w:sz w:val="18"/>
                <w:szCs w:val="18"/>
                <w:color w:val="auto"/>
              </w:rPr>
              <w:t>Retirement plans funding (e)</w:t>
            </w: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110</w:t>
            </w:r>
          </w:p>
        </w:tc>
        <w:tc>
          <w:tcPr>
            <w:tcW w:w="300" w:type="dxa"/>
            <w:vAlign w:val="bottom"/>
          </w:tcPr>
          <w:p>
            <w:pPr>
              <w:spacing w:after="0"/>
              <w:rPr>
                <w:sz w:val="17"/>
                <w:szCs w:val="17"/>
                <w:color w:val="auto"/>
              </w:rPr>
            </w:pPr>
          </w:p>
        </w:tc>
        <w:tc>
          <w:tcPr>
            <w:tcW w:w="5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E6E7E7"/>
          </w:tcPr>
          <w:p>
            <w:pPr>
              <w:ind w:left="120"/>
              <w:spacing w:after="0" w:line="202" w:lineRule="exact"/>
              <w:rPr>
                <w:sz w:val="20"/>
                <w:szCs w:val="20"/>
                <w:color w:val="auto"/>
              </w:rPr>
            </w:pPr>
            <w:r>
              <w:rPr>
                <w:rFonts w:ascii="Arial" w:cs="Arial" w:eastAsia="Arial" w:hAnsi="Arial"/>
                <w:sz w:val="18"/>
                <w:szCs w:val="18"/>
                <w:color w:val="auto"/>
              </w:rPr>
              <w:t>Deferred compensation plan (f)</w:t>
            </w:r>
          </w:p>
        </w:tc>
        <w:tc>
          <w:tcPr>
            <w:tcW w:w="1980" w:type="dxa"/>
            <w:vAlign w:val="bottom"/>
            <w:shd w:val="clear" w:color="auto" w:fill="E6E7E7"/>
          </w:tcPr>
          <w:p>
            <w:pPr>
              <w:spacing w:after="0"/>
              <w:rPr>
                <w:sz w:val="17"/>
                <w:szCs w:val="17"/>
                <w:color w:val="auto"/>
              </w:rPr>
            </w:pPr>
          </w:p>
        </w:tc>
        <w:tc>
          <w:tcPr>
            <w:tcW w:w="120" w:type="dxa"/>
            <w:vAlign w:val="bottom"/>
            <w:shd w:val="clear" w:color="auto" w:fill="E6E7E7"/>
          </w:tcPr>
          <w:p>
            <w:pPr>
              <w:spacing w:after="0"/>
              <w:rPr>
                <w:sz w:val="17"/>
                <w:szCs w:val="17"/>
                <w:color w:val="auto"/>
              </w:rPr>
            </w:pPr>
          </w:p>
        </w:tc>
        <w:tc>
          <w:tcPr>
            <w:tcW w:w="580" w:type="dxa"/>
            <w:vAlign w:val="bottom"/>
            <w:shd w:val="clear" w:color="auto" w:fill="E6E7E7"/>
          </w:tcPr>
          <w:p>
            <w:pPr>
              <w:jc w:val="right"/>
              <w:ind w:right="14"/>
              <w:spacing w:after="0" w:line="202" w:lineRule="exact"/>
              <w:rPr>
                <w:sz w:val="20"/>
                <w:szCs w:val="20"/>
                <w:color w:val="auto"/>
              </w:rPr>
            </w:pPr>
            <w:r>
              <w:rPr>
                <w:rFonts w:ascii="Arial" w:cs="Arial" w:eastAsia="Arial" w:hAnsi="Arial"/>
                <w:sz w:val="18"/>
                <w:szCs w:val="18"/>
                <w:color w:val="auto"/>
              </w:rPr>
              <w:t>22</w:t>
            </w:r>
          </w:p>
        </w:tc>
        <w:tc>
          <w:tcPr>
            <w:tcW w:w="300" w:type="dxa"/>
            <w:vAlign w:val="bottom"/>
            <w:shd w:val="clear" w:color="auto" w:fill="E6E7E7"/>
          </w:tcPr>
          <w:p>
            <w:pPr>
              <w:spacing w:after="0"/>
              <w:rPr>
                <w:sz w:val="17"/>
                <w:szCs w:val="17"/>
                <w:color w:val="auto"/>
              </w:rPr>
            </w:pPr>
          </w:p>
        </w:tc>
        <w:tc>
          <w:tcPr>
            <w:tcW w:w="540" w:type="dxa"/>
            <w:vAlign w:val="bottom"/>
            <w:shd w:val="clear" w:color="auto" w:fill="E6E7E7"/>
          </w:tcPr>
          <w:p>
            <w:pPr>
              <w:jc w:val="right"/>
              <w:ind w:right="14"/>
              <w:spacing w:after="0" w:line="202" w:lineRule="exact"/>
              <w:rPr>
                <w:sz w:val="20"/>
                <w:szCs w:val="20"/>
                <w:color w:val="auto"/>
              </w:rPr>
            </w:pPr>
            <w:r>
              <w:rPr>
                <w:rFonts w:ascii="Arial" w:cs="Arial" w:eastAsia="Arial" w:hAnsi="Arial"/>
                <w:sz w:val="18"/>
                <w:szCs w:val="18"/>
                <w:color w:val="auto"/>
              </w:rPr>
              <w:t>38</w:t>
            </w:r>
          </w:p>
        </w:tc>
        <w:tc>
          <w:tcPr>
            <w:tcW w:w="320" w:type="dxa"/>
            <w:vAlign w:val="bottom"/>
            <w:shd w:val="clear" w:color="auto" w:fill="E6E7E7"/>
          </w:tcPr>
          <w:p>
            <w:pPr>
              <w:spacing w:after="0"/>
              <w:rPr>
                <w:sz w:val="17"/>
                <w:szCs w:val="17"/>
                <w:color w:val="auto"/>
              </w:rPr>
            </w:pPr>
          </w:p>
        </w:tc>
        <w:tc>
          <w:tcPr>
            <w:tcW w:w="520" w:type="dxa"/>
            <w:vAlign w:val="bottom"/>
            <w:shd w:val="clear" w:color="auto" w:fill="E6E7E7"/>
          </w:tcPr>
          <w:p>
            <w:pPr>
              <w:jc w:val="right"/>
              <w:ind w:right="12"/>
              <w:spacing w:after="0" w:line="202" w:lineRule="exact"/>
              <w:rPr>
                <w:sz w:val="20"/>
                <w:szCs w:val="20"/>
                <w:color w:val="auto"/>
              </w:rPr>
            </w:pPr>
            <w:r>
              <w:rPr>
                <w:rFonts w:ascii="Arial" w:cs="Arial" w:eastAsia="Arial" w:hAnsi="Arial"/>
                <w:sz w:val="18"/>
                <w:szCs w:val="18"/>
                <w:color w:val="auto"/>
              </w:rPr>
              <w:t>30</w:t>
            </w:r>
          </w:p>
        </w:tc>
        <w:tc>
          <w:tcPr>
            <w:tcW w:w="320" w:type="dxa"/>
            <w:vAlign w:val="bottom"/>
            <w:shd w:val="clear" w:color="auto" w:fill="E6E7E7"/>
          </w:tcPr>
          <w:p>
            <w:pPr>
              <w:spacing w:after="0"/>
              <w:rPr>
                <w:sz w:val="17"/>
                <w:szCs w:val="17"/>
                <w:color w:val="auto"/>
              </w:rPr>
            </w:pPr>
          </w:p>
        </w:tc>
        <w:tc>
          <w:tcPr>
            <w:tcW w:w="520" w:type="dxa"/>
            <w:vAlign w:val="bottom"/>
            <w:shd w:val="clear" w:color="auto" w:fill="E6E7E7"/>
          </w:tcPr>
          <w:p>
            <w:pPr>
              <w:jc w:val="right"/>
              <w:ind w:right="12"/>
              <w:spacing w:after="0" w:line="202" w:lineRule="exact"/>
              <w:rPr>
                <w:sz w:val="20"/>
                <w:szCs w:val="20"/>
                <w:color w:val="auto"/>
              </w:rPr>
            </w:pPr>
            <w:r>
              <w:rPr>
                <w:rFonts w:ascii="Arial" w:cs="Arial" w:eastAsia="Arial" w:hAnsi="Arial"/>
                <w:sz w:val="18"/>
                <w:szCs w:val="18"/>
                <w:color w:val="auto"/>
              </w:rPr>
              <w:t>105</w:t>
            </w:r>
          </w:p>
        </w:tc>
        <w:tc>
          <w:tcPr>
            <w:tcW w:w="260" w:type="dxa"/>
            <w:vAlign w:val="bottom"/>
            <w:shd w:val="clear" w:color="auto" w:fill="E6E7E7"/>
          </w:tcPr>
          <w:p>
            <w:pPr>
              <w:spacing w:after="0"/>
              <w:rPr>
                <w:sz w:val="17"/>
                <w:szCs w:val="17"/>
                <w:color w:val="auto"/>
              </w:rPr>
            </w:pPr>
          </w:p>
        </w:tc>
        <w:tc>
          <w:tcPr>
            <w:tcW w:w="5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195</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ind w:left="120"/>
              <w:spacing w:after="0" w:line="202" w:lineRule="exact"/>
              <w:rPr>
                <w:sz w:val="20"/>
                <w:szCs w:val="20"/>
                <w:color w:val="auto"/>
              </w:rPr>
            </w:pPr>
            <w:r>
              <w:rPr>
                <w:rFonts w:ascii="Arial" w:cs="Arial" w:eastAsia="Arial" w:hAnsi="Arial"/>
                <w:sz w:val="18"/>
                <w:szCs w:val="18"/>
                <w:color w:val="auto"/>
              </w:rPr>
              <w:t>Venture capital commitments (g)</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32</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E6E7E7"/>
          </w:tcPr>
          <w:p>
            <w:pPr>
              <w:ind w:left="120"/>
              <w:spacing w:after="0" w:line="202" w:lineRule="exact"/>
              <w:rPr>
                <w:sz w:val="20"/>
                <w:szCs w:val="20"/>
                <w:color w:val="auto"/>
              </w:rPr>
            </w:pPr>
            <w:r>
              <w:rPr>
                <w:rFonts w:ascii="Arial" w:cs="Arial" w:eastAsia="Arial" w:hAnsi="Arial"/>
                <w:sz w:val="18"/>
                <w:szCs w:val="18"/>
                <w:color w:val="auto"/>
              </w:rPr>
              <w:t>Total</w:t>
            </w:r>
          </w:p>
        </w:tc>
        <w:tc>
          <w:tcPr>
            <w:tcW w:w="2100" w:type="dxa"/>
            <w:vAlign w:val="bottom"/>
            <w:gridSpan w:val="2"/>
            <w:shd w:val="clear" w:color="auto" w:fill="E6E7E7"/>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E6E7E7"/>
          </w:tcPr>
          <w:p>
            <w:pPr>
              <w:jc w:val="right"/>
              <w:ind w:right="14"/>
              <w:spacing w:after="0" w:line="202" w:lineRule="exact"/>
              <w:rPr>
                <w:sz w:val="20"/>
                <w:szCs w:val="20"/>
                <w:color w:val="auto"/>
              </w:rPr>
            </w:pPr>
            <w:r>
              <w:rPr>
                <w:rFonts w:ascii="Arial" w:cs="Arial" w:eastAsia="Arial" w:hAnsi="Arial"/>
                <w:sz w:val="18"/>
                <w:szCs w:val="18"/>
                <w:color w:val="auto"/>
              </w:rPr>
              <w:t>442</w:t>
            </w:r>
          </w:p>
        </w:tc>
        <w:tc>
          <w:tcPr>
            <w:tcW w:w="300" w:type="dxa"/>
            <w:vAlign w:val="bottom"/>
            <w:shd w:val="clear" w:color="auto" w:fill="E6E7E7"/>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6E7E7"/>
          </w:tcPr>
          <w:p>
            <w:pPr>
              <w:jc w:val="right"/>
              <w:ind w:right="14"/>
              <w:spacing w:after="0" w:line="202" w:lineRule="exact"/>
              <w:rPr>
                <w:sz w:val="20"/>
                <w:szCs w:val="20"/>
                <w:color w:val="auto"/>
              </w:rPr>
            </w:pPr>
            <w:r>
              <w:rPr>
                <w:rFonts w:ascii="Arial" w:cs="Arial" w:eastAsia="Arial" w:hAnsi="Arial"/>
                <w:sz w:val="18"/>
                <w:szCs w:val="18"/>
                <w:color w:val="auto"/>
              </w:rPr>
              <w:t>305</w:t>
            </w:r>
          </w:p>
        </w:tc>
        <w:tc>
          <w:tcPr>
            <w:tcW w:w="320" w:type="dxa"/>
            <w:vAlign w:val="bottom"/>
            <w:shd w:val="clear" w:color="auto" w:fill="E6E7E7"/>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E6E7E7"/>
          </w:tcPr>
          <w:p>
            <w:pPr>
              <w:jc w:val="right"/>
              <w:ind w:right="12"/>
              <w:spacing w:after="0" w:line="202" w:lineRule="exact"/>
              <w:rPr>
                <w:sz w:val="20"/>
                <w:szCs w:val="20"/>
                <w:color w:val="auto"/>
              </w:rPr>
            </w:pPr>
            <w:r>
              <w:rPr>
                <w:rFonts w:ascii="Arial" w:cs="Arial" w:eastAsia="Arial" w:hAnsi="Arial"/>
                <w:sz w:val="18"/>
                <w:szCs w:val="18"/>
                <w:color w:val="auto"/>
              </w:rPr>
              <w:t>119</w:t>
            </w:r>
          </w:p>
        </w:tc>
        <w:tc>
          <w:tcPr>
            <w:tcW w:w="320" w:type="dxa"/>
            <w:vAlign w:val="bottom"/>
            <w:shd w:val="clear" w:color="auto" w:fill="E6E7E7"/>
          </w:tcPr>
          <w:p>
            <w:pPr>
              <w:ind w:left="8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E6E7E7"/>
          </w:tcPr>
          <w:p>
            <w:pPr>
              <w:jc w:val="right"/>
              <w:ind w:right="12"/>
              <w:spacing w:after="0" w:line="202" w:lineRule="exact"/>
              <w:rPr>
                <w:sz w:val="20"/>
                <w:szCs w:val="20"/>
                <w:color w:val="auto"/>
              </w:rPr>
            </w:pPr>
            <w:r>
              <w:rPr>
                <w:rFonts w:ascii="Arial" w:cs="Arial" w:eastAsia="Arial" w:hAnsi="Arial"/>
                <w:sz w:val="18"/>
                <w:szCs w:val="18"/>
                <w:color w:val="auto"/>
              </w:rPr>
              <w:t>328</w:t>
            </w:r>
          </w:p>
        </w:tc>
        <w:tc>
          <w:tcPr>
            <w:tcW w:w="26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1,194</w:t>
            </w:r>
          </w:p>
        </w:tc>
        <w:tc>
          <w:tcPr>
            <w:tcW w:w="60" w:type="dxa"/>
            <w:vAlign w:val="bottom"/>
            <w:shd w:val="clear" w:color="auto" w:fill="E6E7E7"/>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800" w:hanging="346"/>
        <w:spacing w:after="0"/>
        <w:tabs>
          <w:tab w:leader="none" w:pos="80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Includes amounts classified as current portion of long-term debt, i.e., obligations that will be retired within 12 months.</w:t>
      </w:r>
    </w:p>
    <w:p>
      <w:pPr>
        <w:ind w:left="800" w:hanging="346"/>
        <w:spacing w:after="0" w:line="221" w:lineRule="auto"/>
        <w:tabs>
          <w:tab w:leader="none" w:pos="80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Includes minimum lease payments for leased facilities and equipment, as well as purchases of industrial gases under contracts accounted for as operating leases.</w:t>
      </w:r>
    </w:p>
    <w:p>
      <w:pPr>
        <w:ind w:left="800" w:hanging="346"/>
        <w:spacing w:after="0"/>
        <w:tabs>
          <w:tab w:leader="none" w:pos="800" w:val="left"/>
        </w:tabs>
        <w:numPr>
          <w:ilvl w:val="0"/>
          <w:numId w:val="96"/>
        </w:numPr>
        <w:rPr>
          <w:rFonts w:ascii="Arial" w:cs="Arial" w:eastAsia="Arial" w:hAnsi="Arial"/>
          <w:sz w:val="12"/>
          <w:szCs w:val="12"/>
          <w:color w:val="auto"/>
        </w:rPr>
      </w:pPr>
      <w:r>
        <w:rPr>
          <w:rFonts w:ascii="Arial" w:cs="Arial" w:eastAsia="Arial" w:hAnsi="Arial"/>
          <w:sz w:val="12"/>
          <w:szCs w:val="12"/>
          <w:color w:val="auto"/>
        </w:rPr>
        <w:t>Includes agreements to license electronic design automation software; these are classified as operating leases or capital leases in accordance with Statement of Position 98-1.</w:t>
      </w:r>
    </w:p>
    <w:p>
      <w:pPr>
        <w:spacing w:after="0" w:line="10" w:lineRule="exact"/>
        <w:rPr>
          <w:rFonts w:ascii="Arial" w:cs="Arial" w:eastAsia="Arial" w:hAnsi="Arial"/>
          <w:sz w:val="12"/>
          <w:szCs w:val="12"/>
          <w:color w:val="auto"/>
        </w:rPr>
      </w:pPr>
    </w:p>
    <w:p>
      <w:pPr>
        <w:ind w:left="800" w:hanging="346"/>
        <w:spacing w:after="0" w:line="221" w:lineRule="auto"/>
        <w:tabs>
          <w:tab w:leader="none" w:pos="80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Includes contractual arrangements with suppliers where there is a fixed non-cancellable payment schedule or minimum payments due with a reduced delivery schedule. Excluded from the table are cancellable arrangements. However, depending on the timing of cancelling certain purchase arrangements, an additional $57 million of cancellation penalties may be required to be paid, which are not reflected in the table.</w:t>
      </w:r>
    </w:p>
    <w:p>
      <w:pPr>
        <w:ind w:left="800" w:right="140" w:hanging="346"/>
        <w:spacing w:after="0" w:line="258" w:lineRule="auto"/>
        <w:tabs>
          <w:tab w:leader="none" w:pos="800" w:val="left"/>
        </w:tabs>
        <w:numPr>
          <w:ilvl w:val="0"/>
          <w:numId w:val="96"/>
        </w:numPr>
        <w:rPr>
          <w:rFonts w:ascii="Arial" w:cs="Arial" w:eastAsia="Arial" w:hAnsi="Arial"/>
          <w:sz w:val="12"/>
          <w:szCs w:val="12"/>
          <w:color w:val="auto"/>
        </w:rPr>
      </w:pPr>
      <w:r>
        <w:rPr>
          <w:rFonts w:ascii="Arial" w:cs="Arial" w:eastAsia="Arial" w:hAnsi="Arial"/>
          <w:sz w:val="12"/>
          <w:szCs w:val="12"/>
          <w:color w:val="auto"/>
        </w:rPr>
        <w:t>Includes the expected contribution planned during 2007. Funding projections beyond the current year are not practical to estimate due to the rules affecting tax-deductible contributions and the impact from the plan asset performance, interest rates and potential U.S. and international legislation. (f) Includes an estimate of payments under this plan for the liability that existed at December 31, 2006. Certain employees are eligible to defer a portion of their salary, bonus and profit sharing into a nonqualified deferred compensation plan. Employees who participate in the plan can select one of eight distribution options offered by the plan. Payments are made after the employee terminates, in</w:t>
      </w:r>
    </w:p>
    <w:p>
      <w:pPr>
        <w:ind w:left="800"/>
        <w:spacing w:after="0" w:line="222" w:lineRule="auto"/>
        <w:rPr>
          <w:sz w:val="20"/>
          <w:szCs w:val="20"/>
          <w:color w:val="auto"/>
        </w:rPr>
      </w:pPr>
      <w:r>
        <w:rPr>
          <w:rFonts w:ascii="Arial" w:cs="Arial" w:eastAsia="Arial" w:hAnsi="Arial"/>
          <w:sz w:val="14"/>
          <w:szCs w:val="14"/>
          <w:color w:val="auto"/>
        </w:rPr>
        <w:t>accordance with the employee’s distribution election and plan balance.</w:t>
      </w:r>
    </w:p>
    <w:p>
      <w:pPr>
        <w:spacing w:after="0" w:line="1" w:lineRule="exact"/>
        <w:rPr>
          <w:sz w:val="20"/>
          <w:szCs w:val="20"/>
          <w:color w:val="auto"/>
        </w:rPr>
      </w:pPr>
    </w:p>
    <w:p>
      <w:pPr>
        <w:jc w:val="both"/>
        <w:ind w:left="800" w:right="340" w:hanging="346"/>
        <w:spacing w:after="0" w:line="228" w:lineRule="auto"/>
        <w:tabs>
          <w:tab w:leader="none" w:pos="800" w:val="left"/>
        </w:tabs>
        <w:numPr>
          <w:ilvl w:val="0"/>
          <w:numId w:val="97"/>
        </w:numPr>
        <w:rPr>
          <w:rFonts w:ascii="Arial" w:cs="Arial" w:eastAsia="Arial" w:hAnsi="Arial"/>
          <w:sz w:val="14"/>
          <w:szCs w:val="14"/>
          <w:color w:val="auto"/>
        </w:rPr>
      </w:pPr>
      <w:r>
        <w:rPr>
          <w:rFonts w:ascii="Arial" w:cs="Arial" w:eastAsia="Arial" w:hAnsi="Arial"/>
          <w:sz w:val="14"/>
          <w:szCs w:val="14"/>
          <w:color w:val="auto"/>
        </w:rPr>
        <w:t>Includes investments in certain venture capital funds where we have committed to provide additional capital to those funds. As appropriate investments are entered into, the venture capital general partners may draw upon those committed additional funds. Because the timing of these commitments is unknown, the table reflects the commitments assuming that they are immediately called by the venture capital funds’ general partners in the maximum amount committed.</w:t>
      </w:r>
    </w:p>
    <w:p>
      <w:pPr>
        <w:spacing w:after="0" w:line="153" w:lineRule="exact"/>
        <w:rPr>
          <w:sz w:val="20"/>
          <w:szCs w:val="20"/>
          <w:color w:val="auto"/>
        </w:rPr>
      </w:pPr>
    </w:p>
    <w:p>
      <w:pPr>
        <w:ind w:left="460" w:right="100"/>
        <w:spacing w:after="0" w:line="239" w:lineRule="auto"/>
        <w:rPr>
          <w:sz w:val="20"/>
          <w:szCs w:val="20"/>
          <w:color w:val="auto"/>
        </w:rPr>
      </w:pPr>
      <w:r>
        <w:rPr>
          <w:rFonts w:ascii="Arial" w:cs="Arial" w:eastAsia="Arial" w:hAnsi="Arial"/>
          <w:sz w:val="18"/>
          <w:szCs w:val="18"/>
          <w:color w:val="auto"/>
        </w:rPr>
        <w:t>We believe we have the necessary financial resources to fund our working capital needs, capital expenditures, dividend payments and other business requirements for at least the next 12 months.</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Critical Accounting Policies</w:t>
      </w:r>
    </w:p>
    <w:p>
      <w:pPr>
        <w:spacing w:after="0" w:line="180" w:lineRule="exact"/>
        <w:rPr>
          <w:sz w:val="20"/>
          <w:szCs w:val="20"/>
          <w:color w:val="auto"/>
        </w:rPr>
      </w:pPr>
    </w:p>
    <w:p>
      <w:pPr>
        <w:ind w:left="460" w:right="80"/>
        <w:spacing w:after="0" w:line="236" w:lineRule="auto"/>
        <w:rPr>
          <w:sz w:val="20"/>
          <w:szCs w:val="20"/>
          <w:color w:val="auto"/>
        </w:rPr>
      </w:pPr>
      <w:r>
        <w:rPr>
          <w:rFonts w:ascii="Arial" w:cs="Arial" w:eastAsia="Arial" w:hAnsi="Arial"/>
          <w:sz w:val="18"/>
          <w:szCs w:val="18"/>
          <w:color w:val="auto"/>
        </w:rPr>
        <w:t>In preparing our consolidated financial statements in conformity with accounting principles generally accepted in the United States, we use statistical analyses, estimates and projections that affect the reported amounts and related disclosures and may vary from actual results. We consider the following accounting policies to be both those that are most important to the portrayal of our financial condition and that require the most subjective judgment. If actual results differ significantly from management’s estimates and projections, there could be a significant effect on our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Revenue Recognition</w:t>
      </w:r>
    </w:p>
    <w:p>
      <w:pPr>
        <w:spacing w:after="0" w:line="158" w:lineRule="exact"/>
        <w:rPr>
          <w:sz w:val="20"/>
          <w:szCs w:val="20"/>
          <w:color w:val="auto"/>
        </w:rPr>
      </w:pPr>
    </w:p>
    <w:p>
      <w:pPr>
        <w:ind w:left="460" w:right="140"/>
        <w:spacing w:after="0" w:line="237" w:lineRule="auto"/>
        <w:rPr>
          <w:sz w:val="20"/>
          <w:szCs w:val="20"/>
          <w:color w:val="auto"/>
        </w:rPr>
      </w:pPr>
      <w:r>
        <w:rPr>
          <w:rFonts w:ascii="Arial" w:cs="Arial" w:eastAsia="Arial" w:hAnsi="Arial"/>
          <w:sz w:val="18"/>
          <w:szCs w:val="18"/>
          <w:color w:val="auto"/>
        </w:rPr>
        <w:t>Revenue from sales of our products is recognized upon shipment or delivery, depending upon the terms of the sales order, provided that persuasive evidence of a sales arrangement exists, title and risk of loss have transferred to the customer, the sales amount is fixed or determinable and collection of the revenue is reasonably assured. A portion of our sales is to distributors. We recognize revenue from sales of our products to distributors upon delivery of product to the distributors consistent with the above principles.</w:t>
      </w:r>
    </w:p>
    <w:p>
      <w:pPr>
        <w:spacing w:after="0" w:line="155" w:lineRule="exact"/>
        <w:rPr>
          <w:sz w:val="20"/>
          <w:szCs w:val="20"/>
          <w:color w:val="auto"/>
        </w:rPr>
      </w:pPr>
    </w:p>
    <w:p>
      <w:pPr>
        <w:ind w:left="460" w:right="80"/>
        <w:spacing w:after="0" w:line="281" w:lineRule="auto"/>
        <w:rPr>
          <w:sz w:val="20"/>
          <w:szCs w:val="20"/>
          <w:color w:val="auto"/>
        </w:rPr>
      </w:pPr>
      <w:r>
        <w:rPr>
          <w:rFonts w:ascii="Arial" w:cs="Arial" w:eastAsia="Arial" w:hAnsi="Arial"/>
          <w:sz w:val="16"/>
          <w:szCs w:val="16"/>
          <w:color w:val="auto"/>
        </w:rPr>
        <w:t>We reduce revenue based on estimates of future credits to be granted to customers. Credits are granted for reasons such as prompt payment discounts, volume-based incentives, other special pricing arrangements and product returns due to quality issues. Our estimates of future credits are based on historical experience, analysis of product shipments and contractual arrangements with customers.</w:t>
      </w:r>
    </w:p>
    <w:p>
      <w:pPr>
        <w:spacing w:after="0" w:line="124" w:lineRule="exact"/>
        <w:rPr>
          <w:sz w:val="20"/>
          <w:szCs w:val="20"/>
          <w:color w:val="auto"/>
        </w:rPr>
      </w:pPr>
    </w:p>
    <w:p>
      <w:pPr>
        <w:ind w:left="460" w:right="60"/>
        <w:spacing w:after="0" w:line="236" w:lineRule="auto"/>
        <w:rPr>
          <w:sz w:val="20"/>
          <w:szCs w:val="20"/>
          <w:color w:val="auto"/>
        </w:rPr>
      </w:pPr>
      <w:r>
        <w:rPr>
          <w:rFonts w:ascii="Arial" w:cs="Arial" w:eastAsia="Arial" w:hAnsi="Arial"/>
          <w:sz w:val="18"/>
          <w:szCs w:val="18"/>
          <w:color w:val="auto"/>
        </w:rPr>
        <w:t>Distributor revenue is recognized net of allowances, which are management’s estimates based on analysis of historical data, current economic conditions and contractual terms. These allowances recognize the impact of credits granted to distributors under certain programs common in the semiconductor industry whereby distributors receive certain price adjustments to meet individual competitive opportunities, or are allowed to return or scrap a limited amount of product in accordance with contractual terms agreed upon with the distributor or receive price protection credits when our standard published prices are lowered from the price the distributor paid for product still in their inventory. Historical claims data are maintained for each</w:t>
      </w:r>
    </w:p>
    <w:p>
      <w:pPr>
        <w:sectPr>
          <w:pgSz w:w="11900" w:h="16838" w:orient="portrait"/>
          <w:cols w:equalWidth="0" w:num="1">
            <w:col w:w="11420"/>
          </w:cols>
          <w:pgMar w:left="240" w:top="287" w:right="239" w:bottom="1440" w:gutter="0" w:footer="0" w:header="0"/>
        </w:sectPr>
      </w:pPr>
    </w:p>
    <w:bookmarkStart w:id="102" w:name="page103"/>
    <w:bookmarkEnd w:id="102"/>
    <w:p>
      <w:pPr>
        <w:ind w:left="7600"/>
        <w:spacing w:after="0"/>
        <w:tabs>
          <w:tab w:leader="none" w:pos="1080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2006 ANNUAL REPORT</w:t>
      </w:r>
      <w:r>
        <w:rPr>
          <w:sz w:val="20"/>
          <w:szCs w:val="20"/>
          <w:color w:val="auto"/>
        </w:rPr>
        <w:tab/>
      </w:r>
      <w:r>
        <w:rPr>
          <w:rFonts w:ascii="Arial" w:cs="Arial" w:eastAsia="Arial" w:hAnsi="Arial"/>
          <w:sz w:val="12"/>
          <w:szCs w:val="12"/>
          <w:color w:val="939598"/>
        </w:rPr>
        <w:t>53</w:t>
      </w:r>
    </w:p>
    <w:p>
      <w:pPr>
        <w:spacing w:after="0" w:line="14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of the programs, with differences among geographic regions taken into consideration. We continually monitor the actual claimed allowances against our estimates, and we adjust our estimates as appropriate to reflect trends in distributor revenue and inventory levels. Allowances are also adjusted when recent historical data do not represent anticipated future activity.</w:t>
      </w:r>
    </w:p>
    <w:p>
      <w:pPr>
        <w:spacing w:after="0" w:line="15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Our contractual agreements with our intellectual property licensees determine the amount and timing of royalty revenue. Royalty revenue is recognized when earned according to the terms of the agreement and when realization of payment is considered probable by management. Where royalties are based upon licensee sales, we recognize royalty revenue upon the sale by the licensee of royalty-bearing products, as estimated by us, based on historical experience and analysis of annual sales results of licensees. Estimates are periodically adjusted as a result of reviews of reported results of licensees, which may take the form of independent audits. Where warranted, revenue from licensees may be recognized on a cash basis.</w:t>
      </w:r>
    </w:p>
    <w:p>
      <w:pPr>
        <w:spacing w:after="0" w:line="15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addition, we monitor collectibility of accounts receivable primarily through review of the accounts receivable aging. When facts and circumstances indicate the collection of specific amounts or from specific customers is at risk, we assess the impact on amounts recorded for bad debts and, if necessary, will record a charge in the period such determination is made.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15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With the implementation of SFAS 123(R), effective July 1, 2005, stock-based compensation changed our financial statements as detailed in Notes 1 and 9 to the Financial Statements. Determining the amount and distribution of expense for stock-based compensation, as well as the associated impact to the balance sheets and statements of cash flows, requires us to develop estimates of the fair value of stock-based compensation expense. The most significant factors of that expense that require estimates or projections include the expected volatility, expected lives and estimated forfeiture rates of employee stock options.</w:t>
      </w:r>
    </w:p>
    <w:p>
      <w:pPr>
        <w:spacing w:after="0" w:line="157"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For grants made prior to July 1, 2005, an analysis of historical volatility was used to develop the estimate of expected volatility. Effective July 1, 2005, we changed our method of determining expected volatility on all options granted after that date to rely solely on available implied volatility rates. We believe that market-based measures of implied volatility are currently the best available indicators of expected volatility. The effect of this change in assumption was not material in 2005 or in 2006.</w:t>
      </w:r>
    </w:p>
    <w:p>
      <w:pPr>
        <w:spacing w:after="0" w:line="15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expected lives of options are determined based on our historical share option exercise experience, using a rolling 10-year average. We believe the historical experience method is the best estimate of future exercise patterns currently available.</w:t>
      </w:r>
    </w:p>
    <w:p>
      <w:pPr>
        <w:spacing w:after="0" w:line="155"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Estimated forfeiture rates are derived from historical forfeiture patterns. We believe the historical experience method is the best estimate of forfeitures currently available.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 Allowances</w:t>
      </w:r>
    </w:p>
    <w:p>
      <w:pPr>
        <w:spacing w:after="0" w:line="15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Inventory is valued net of allowances for unsalable or obsolete raw materials, work-in-process and finished goods. Allowances are determined quarterly by comparing inventory levels of individual materials and parts to historical usage rates, current backlog and estimated future sales and by analyzing the age of inventory, in order to identify specific components of inventory that are judged unlikely to be sold. Allowances are also calculated quarterly for instances where inventoried costs for individual products are in excess of market prices for those products. In addition to this specific identification process, statistical allowances are calculated for remaining inventory based on historical write-offs of inventory for salability and obsolescence reasons. Inventory is written off in the period in which disposal occurs. Actual future write-offs of inventory for salability and obsolescence reasons may differ from estimates and calculations used to determine valuation allowances due to changes in customer demand, customer negotiations, technology shifts and other factors.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158"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In determining income for financial statement purposes, we must make certain estimates and judgments in the calculation of tax provisions and the resultant tax liabilities and in the recoverability of deferred tax assets that arise from temporary differences between the tax and financial statement recognition of revenue and expense.</w:t>
      </w:r>
    </w:p>
    <w:p>
      <w:pPr>
        <w:spacing w:after="0" w:line="15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the ordinary course of global business, there may be many transactions and calculations where the ultimate tax outcome is uncertain. The calculation of tax liabilities involves dealing with uncertainties in the application of complex tax laws. We recognize potential liabilities for anticipated tax audit issues in the U.S. and other tax jurisdictions based on an estimate of the ultimate resolution of whether, and the extent to which, additional taxes will be due. Although we believe the estimates are reasonable, no assurance can be given that the final outcome of these matters will not be different than what is reflected in the historical income tax provisions and accruals.</w:t>
      </w:r>
    </w:p>
    <w:p>
      <w:pPr>
        <w:sectPr>
          <w:pgSz w:w="11900" w:h="16838" w:orient="portrait"/>
          <w:cols w:equalWidth="0" w:num="1">
            <w:col w:w="10960"/>
          </w:cols>
          <w:pgMar w:left="700" w:top="287" w:right="239" w:bottom="1440" w:gutter="0" w:footer="0" w:header="0"/>
        </w:sectPr>
      </w:pPr>
    </w:p>
    <w:bookmarkStart w:id="103" w:name="page104"/>
    <w:bookmarkEnd w:id="103"/>
    <w:p>
      <w:pPr>
        <w:spacing w:after="0"/>
        <w:tabs>
          <w:tab w:leader="none" w:pos="36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54</w:t>
        <w:tab/>
        <w:t>TEXAS INSTRUMENTS 2006 ANNUAL REPORT</w:t>
      </w:r>
    </w:p>
    <w:p>
      <w:pPr>
        <w:spacing w:after="0" w:line="140" w:lineRule="exact"/>
        <w:rPr>
          <w:sz w:val="20"/>
          <w:szCs w:val="20"/>
          <w:color w:val="auto"/>
        </w:rPr>
      </w:pPr>
    </w:p>
    <w:p>
      <w:pPr>
        <w:ind w:left="460" w:right="140"/>
        <w:spacing w:after="0" w:line="236" w:lineRule="auto"/>
        <w:rPr>
          <w:sz w:val="20"/>
          <w:szCs w:val="20"/>
          <w:color w:val="auto"/>
        </w:rPr>
      </w:pPr>
      <w:r>
        <w:rPr>
          <w:rFonts w:ascii="Arial" w:cs="Arial" w:eastAsia="Arial" w:hAnsi="Arial"/>
          <w:sz w:val="18"/>
          <w:szCs w:val="18"/>
          <w:color w:val="auto"/>
        </w:rPr>
        <w:t>As part of our financial process, we must assess the likelihood that our deferred tax assets can be recovered. If recovery is not likely, the provision for taxes must be increased by recording a reserve in the form of a valuation allowance for the deferred tax assets that are estimated not to be ultimately recoverable. In this process, certain relevant criteria are evaluated including the existence of deferred tax liabilities that can be used to absorb deferred tax assets, the taxable income in prior carryback years that can be used to absorb net operating losses and credit carrybacks, and taxable income in future years. Our judgment regarding future taxable income may change due to future market conditions, changes in U.S. or international tax laws and other factors. These changes, if any, may require material adjustments to these deferred tax assets and an accompanying reduction or increase in net income in the period when such determinations are made.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factors described above, the effective tax rate reflected in forward-looking statements is based on then current tax law.</w:t>
      </w:r>
    </w:p>
    <w:p>
      <w:pPr>
        <w:ind w:left="460"/>
        <w:spacing w:after="0"/>
        <w:rPr>
          <w:sz w:val="20"/>
          <w:szCs w:val="20"/>
          <w:color w:val="auto"/>
        </w:rPr>
      </w:pPr>
      <w:r>
        <w:rPr>
          <w:rFonts w:ascii="Arial" w:cs="Arial" w:eastAsia="Arial" w:hAnsi="Arial"/>
          <w:sz w:val="18"/>
          <w:szCs w:val="18"/>
          <w:color w:val="auto"/>
        </w:rPr>
        <w:t>Significant changes during the year in enacted tax law could affect these estimates.</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Impairment of Long-lived Assets</w:t>
      </w:r>
    </w:p>
    <w:p>
      <w:pPr>
        <w:spacing w:after="0" w:line="158" w:lineRule="exact"/>
        <w:rPr>
          <w:sz w:val="20"/>
          <w:szCs w:val="20"/>
          <w:color w:val="auto"/>
        </w:rPr>
      </w:pPr>
    </w:p>
    <w:p>
      <w:pPr>
        <w:ind w:left="460"/>
        <w:spacing w:after="0" w:line="268" w:lineRule="auto"/>
        <w:rPr>
          <w:sz w:val="20"/>
          <w:szCs w:val="20"/>
          <w:color w:val="auto"/>
        </w:rPr>
      </w:pPr>
      <w:r>
        <w:rPr>
          <w:rFonts w:ascii="Arial" w:cs="Arial" w:eastAsia="Arial" w:hAnsi="Arial"/>
          <w:sz w:val="16"/>
          <w:szCs w:val="16"/>
          <w:color w:val="auto"/>
        </w:rPr>
        <w:t>We review long-lived assets for impairment when certain indicators are present that suggest the carrying amount may not be recoverable. This review process primarily focuses on intangible assets from business acquisitions; property, plant and equipment; and software for internal use or embedded in products sold to customers. Factors considered include the under-performance of an asset compared to expectations and shortened useful lives due to planned changes in the use of the assets. Recoverability is determined by comparing the carrying amount of long-lived assets to estimated future undiscounted cash flows. If future undiscounted cash flows are less than the carrying amount of the long-lived assets, an impairment charge would be recognized for the excess of the carrying amount over fair value determined by either a quoted market price, if any, or a value determined by utilizing a discounted cash-flow technique. Additionally, in the case of assets that will continue to be used in future periods, a shortened depreciable life may be utilized if appropriate, resulting in accelerated amortization based upon the expected net realizable value of the asset at the date the asset will no longer be utilized. Actual results may vary from estimates due to, among other things, differences in operating results, shorter asset useful lives and lower market values for excess assets.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Changes in Accounting Standards</w:t>
      </w:r>
    </w:p>
    <w:p>
      <w:pPr>
        <w:spacing w:after="0" w:line="162" w:lineRule="exact"/>
        <w:rPr>
          <w:sz w:val="20"/>
          <w:szCs w:val="20"/>
          <w:color w:val="auto"/>
        </w:rPr>
      </w:pPr>
    </w:p>
    <w:p>
      <w:pPr>
        <w:ind w:left="460" w:right="80"/>
        <w:spacing w:after="0" w:line="247" w:lineRule="auto"/>
        <w:rPr>
          <w:sz w:val="20"/>
          <w:szCs w:val="20"/>
          <w:color w:val="auto"/>
        </w:rPr>
      </w:pPr>
      <w:r>
        <w:rPr>
          <w:rFonts w:ascii="Arial" w:cs="Arial" w:eastAsia="Arial" w:hAnsi="Arial"/>
          <w:sz w:val="18"/>
          <w:szCs w:val="18"/>
          <w:color w:val="auto"/>
        </w:rPr>
        <w:t xml:space="preserve">See Note 10 for a discussion of the impact of adopting SFAS 158, </w:t>
      </w:r>
      <w:r>
        <w:rPr>
          <w:rFonts w:ascii="Arial" w:cs="Arial" w:eastAsia="Arial" w:hAnsi="Arial"/>
          <w:sz w:val="18"/>
          <w:szCs w:val="18"/>
          <w:i w:val="1"/>
          <w:iCs w:val="1"/>
          <w:color w:val="auto"/>
        </w:rPr>
        <w:t>“Employers’ Accounting for Defined Benefit Pension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Postretirement Plans, an amendment of FASB Statements No. 87, 88, 106, and 132(R).” </w:t>
      </w:r>
      <w:r>
        <w:rPr>
          <w:rFonts w:ascii="Arial" w:cs="Arial" w:eastAsia="Arial" w:hAnsi="Arial"/>
          <w:sz w:val="18"/>
          <w:szCs w:val="18"/>
          <w:color w:val="auto"/>
        </w:rPr>
        <w:t>See Changes in Accounting Standards in Note 1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Financial Statements for a discussion of other changes in accounting standards.</w:t>
      </w:r>
    </w:p>
    <w:p>
      <w:pPr>
        <w:spacing w:after="0" w:line="131" w:lineRule="exact"/>
        <w:rPr>
          <w:sz w:val="20"/>
          <w:szCs w:val="20"/>
          <w:color w:val="auto"/>
        </w:rPr>
      </w:pPr>
    </w:p>
    <w:p>
      <w:pPr>
        <w:ind w:left="460" w:right="100"/>
        <w:spacing w:after="0" w:line="238" w:lineRule="auto"/>
        <w:rPr>
          <w:sz w:val="20"/>
          <w:szCs w:val="20"/>
          <w:color w:val="auto"/>
        </w:rPr>
      </w:pPr>
      <w:r>
        <w:rPr>
          <w:rFonts w:ascii="Arial" w:cs="Arial" w:eastAsia="Arial" w:hAnsi="Arial"/>
          <w:sz w:val="18"/>
          <w:szCs w:val="18"/>
          <w:color w:val="auto"/>
        </w:rPr>
        <w:t xml:space="preserve">In July 2006, the FASB issued FASB Interpretation (FIN) No. 48, </w:t>
      </w:r>
      <w:r>
        <w:rPr>
          <w:rFonts w:ascii="Arial" w:cs="Arial" w:eastAsia="Arial" w:hAnsi="Arial"/>
          <w:sz w:val="18"/>
          <w:szCs w:val="18"/>
          <w:i w:val="1"/>
          <w:iCs w:val="1"/>
          <w:color w:val="auto"/>
        </w:rPr>
        <w:t>“Accounting for Uncertainty in Income Taxes—An Interpretation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 No. 109.” </w:t>
      </w:r>
      <w:r>
        <w:rPr>
          <w:rFonts w:ascii="Arial" w:cs="Arial" w:eastAsia="Arial" w:hAnsi="Arial"/>
          <w:sz w:val="18"/>
          <w:szCs w:val="18"/>
          <w:color w:val="auto"/>
        </w:rPr>
        <w:t>This Interpretation clarifies the accounting for uncertainty in income taxes recognized in a company’s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FIN 48 requires companies to determine that it is “more likely than not” that a tax position will be sustained upon examination by the appropriate taxing authorities before any part of the benefit can be recorded in the financial statements. It also provides guidance on the recognition, measurement and classification of income tax uncertainties, along with any related interest and penalties. FIN 48 will also require significant additional disclosures. This Interpretation will be effective for fiscal years beginning after December 15, 2006. We will implement this Interpretation in the first quarter of 2007 on a prospective basis. We are currently evaluating the potential impact this Interpretation will have on our financial position and results of operations.</w:t>
      </w:r>
    </w:p>
    <w:p>
      <w:pPr>
        <w:spacing w:after="0" w:line="141" w:lineRule="exact"/>
        <w:rPr>
          <w:sz w:val="20"/>
          <w:szCs w:val="20"/>
          <w:color w:val="auto"/>
        </w:rPr>
      </w:pPr>
    </w:p>
    <w:p>
      <w:pPr>
        <w:ind w:left="460" w:right="140"/>
        <w:spacing w:after="0" w:line="239"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which provides guidance on how to measure assets and liabilities that use fair value. SFAS 157 will apply whenever another U.S. generally accepted accounting principles standard requires or permits assets or liabilities to be measured at fair value. SFAS 157 does not expand the use of fair value to any new circumstances. This standard will also require additional disclosures in both annual and quarterly reports. SFAS 157 will be effective for financial statements issued for fiscal years beginning after November 15, 2007, and will be adopted by us beginning in the first quarter of 2008. We are currently evaluating the potential impact this standard will have on our financial position and results of operations.</w:t>
      </w:r>
    </w:p>
    <w:p>
      <w:pPr>
        <w:spacing w:after="0" w:line="141" w:lineRule="exact"/>
        <w:rPr>
          <w:sz w:val="20"/>
          <w:szCs w:val="20"/>
          <w:color w:val="auto"/>
        </w:rPr>
      </w:pPr>
    </w:p>
    <w:p>
      <w:pPr>
        <w:ind w:left="460" w:right="80"/>
        <w:spacing w:after="0" w:line="241" w:lineRule="auto"/>
        <w:rPr>
          <w:sz w:val="20"/>
          <w:szCs w:val="20"/>
          <w:color w:val="auto"/>
        </w:rPr>
      </w:pPr>
      <w:r>
        <w:rPr>
          <w:rFonts w:ascii="Arial" w:cs="Arial" w:eastAsia="Arial" w:hAnsi="Arial"/>
          <w:sz w:val="18"/>
          <w:szCs w:val="18"/>
          <w:color w:val="auto"/>
        </w:rPr>
        <w:t xml:space="preserve">In September 2006, the SEC Staff issued Staff Accounting Bulletin (SAB) No. 108, </w:t>
      </w:r>
      <w:r>
        <w:rPr>
          <w:rFonts w:ascii="Arial" w:cs="Arial" w:eastAsia="Arial" w:hAnsi="Arial"/>
          <w:sz w:val="18"/>
          <w:szCs w:val="18"/>
          <w:i w:val="1"/>
          <w:iCs w:val="1"/>
          <w:color w:val="auto"/>
        </w:rPr>
        <w:t>“Considering the Effects of Prior Year Misstatements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when Quantifying Misstatements in Current Year Financial Statements.” </w:t>
      </w:r>
      <w:r>
        <w:rPr>
          <w:rFonts w:ascii="Arial" w:cs="Arial" w:eastAsia="Arial" w:hAnsi="Arial"/>
          <w:sz w:val="18"/>
          <w:szCs w:val="18"/>
          <w:color w:val="auto"/>
        </w:rPr>
        <w:t>SAB 108 was issued in order to eliminate the diversity of practice in</w:t>
      </w:r>
      <w:r>
        <w:rPr>
          <w:rFonts w:ascii="Arial" w:cs="Arial" w:eastAsia="Arial" w:hAnsi="Arial"/>
          <w:sz w:val="18"/>
          <w:szCs w:val="18"/>
          <w:i w:val="1"/>
          <w:iCs w:val="1"/>
          <w:color w:val="auto"/>
        </w:rPr>
        <w:t xml:space="preserve"> </w:t>
      </w:r>
      <w:r>
        <w:rPr>
          <w:rFonts w:ascii="Arial" w:cs="Arial" w:eastAsia="Arial" w:hAnsi="Arial"/>
          <w:sz w:val="18"/>
          <w:szCs w:val="18"/>
          <w:color w:val="auto"/>
        </w:rPr>
        <w:t>how public companies quantify misstatements of financial statements, including misstatements that were not material to prior years’ financial statements. We have adopted the provisions of SAB 108 for the year ending December 31, 2006, and have determined it does not have an impact on our financial position and results of operations for the period then ended.</w:t>
      </w:r>
    </w:p>
    <w:p>
      <w:pPr>
        <w:sectPr>
          <w:pgSz w:w="11900" w:h="16838" w:orient="portrait"/>
          <w:cols w:equalWidth="0" w:num="1">
            <w:col w:w="11420"/>
          </w:cols>
          <w:pgMar w:left="240" w:top="287" w:right="239" w:bottom="1440" w:gutter="0" w:footer="0" w:header="0"/>
        </w:sectPr>
      </w:pPr>
    </w:p>
    <w:bookmarkStart w:id="104" w:name="page105"/>
    <w:bookmarkEnd w:id="104"/>
    <w:p>
      <w:pPr>
        <w:ind w:left="7600"/>
        <w:spacing w:after="0"/>
        <w:tabs>
          <w:tab w:leader="none" w:pos="1080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2006 ANNUAL REPORT</w:t>
      </w:r>
      <w:r>
        <w:rPr>
          <w:sz w:val="20"/>
          <w:szCs w:val="20"/>
          <w:color w:val="auto"/>
        </w:rPr>
        <w:tab/>
      </w:r>
      <w:r>
        <w:rPr>
          <w:rFonts w:ascii="Arial" w:cs="Arial" w:eastAsia="Arial" w:hAnsi="Arial"/>
          <w:sz w:val="12"/>
          <w:szCs w:val="12"/>
          <w:color w:val="939598"/>
        </w:rPr>
        <w:t>55</w:t>
      </w:r>
    </w:p>
    <w:p>
      <w:pPr>
        <w:spacing w:after="0" w:line="12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June 2006, the FASB ratified Emerging Issues Task Force (EITF) Issue No. 06-3, “</w:t>
      </w:r>
      <w:r>
        <w:rPr>
          <w:rFonts w:ascii="Arial" w:cs="Arial" w:eastAsia="Arial" w:hAnsi="Arial"/>
          <w:sz w:val="18"/>
          <w:szCs w:val="18"/>
          <w:i w:val="1"/>
          <w:iCs w:val="1"/>
          <w:color w:val="auto"/>
        </w:rPr>
        <w:t>How Taxes Collected from Customers and Remitted to</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Governmental Authorities Should Be Presented in the Income Statement (That Is, Gross Versus Net Presentation</w:t>
      </w:r>
      <w:r>
        <w:rPr>
          <w:rFonts w:ascii="Arial" w:cs="Arial" w:eastAsia="Arial" w:hAnsi="Arial"/>
          <w:sz w:val="18"/>
          <w:szCs w:val="18"/>
          <w:color w:val="auto"/>
        </w:rPr>
        <w:t>).” This standard allows</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to present in their statements of income any taxes assessed by a governmental authority that are directly imposed on revenue-producing transactions between a seller and a customer, such as sales, use, value-added and some excise taxes, on either a gross (included in revenue and costs) or a net (excluded from revenue) basis. This standard will be effective for us in interim periods and fiscal years beginning after December 15, 2006. We present these transactions on a net basis and, therefore, the adoption of this standard will have no impact on our financial position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2006, we had no significant off-balance sheet arrangements, as defined in Item 303(a)(4)(ii) of SEC Regulation S-K.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See Note 14 to the Financial Statements for a discussion of our commitments and contingencies.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U.S. dollar is the functional currency for financial reporting. In this regard, we use forward currency exchange contracts to minimize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adverse earnings impact from the effect of exchange rate fluctuations on our non-U.S. dollar net balance sheet exposures. For example, at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year-end 2006, we had forward currency exchange contracts outstanding of $268 million to hedge net balance sheet exposures (including</w:t>
      </w:r>
    </w:p>
    <w:p>
      <w:pPr>
        <w:spacing w:after="0"/>
        <w:rPr>
          <w:sz w:val="20"/>
          <w:szCs w:val="20"/>
          <w:color w:val="auto"/>
        </w:rPr>
      </w:pPr>
      <w:r>
        <w:rPr>
          <w:rFonts w:ascii="Arial" w:cs="Arial" w:eastAsia="Arial" w:hAnsi="Arial"/>
          <w:sz w:val="16"/>
          <w:szCs w:val="16"/>
          <w:color w:val="auto"/>
        </w:rPr>
        <w:t>$85 million to sell euros, $82 million to sell British pounds and $48 million to sell Japanese yen). Similar hedging activities existed at year-end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2005. Because most of the aggregate non-U.S. dollar balance sheet exposure is hedged by these exchange contracts, based on year-end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2006 balances and rates, a hypothetical 10 percent plus or minus fluctuation in non-U.S. currency exchange rates would result in a pre-tax</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currency exchange gain or loss of less than $1 million.</w:t>
      </w:r>
    </w:p>
    <w:p>
      <w:pPr>
        <w:spacing w:after="0" w:line="158"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Our total long-term debt, at historical cost, was $43 million at year-end 2006 and $630 million at year-end 2005. This long-term debt had a fair value, based on current interest rates, of approximately $44 million at year-end 2006 and $634 million at year-end 2005. Fair value will vary as interest rates change.</w:t>
      </w:r>
    </w:p>
    <w:p>
      <w:pPr>
        <w:spacing w:after="0" w:line="15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order to achieve a mix of interest rates on our long-term debt, we used interest rate swaps that changed the characteristics of the interest payments on certain underlying debt from fixed-rate payments to short-term LIBOR-based variable rate payments. Although these interest rate swaps had no impact in 2006, the swaps decreased interest expense by $11 million in 2005 and $19 million in 2004. The year-end 2006 effective interest rate for the $43 million of 8.75% notes due 2007, including the effect of the swaps, was approximately 9.10%. Measured from its inception through year-end 2006, the effect of this swap has been to reduce the average annual interest rate on these notes from 8.75% to 6.54%.</w:t>
      </w:r>
    </w:p>
    <w:p>
      <w:pPr>
        <w:spacing w:after="0" w:line="156"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Our cash equivalents are debt securities with original maturities equal to or less than three months. Short-term investments are debt securities, including auction-rate securities, with original maturities greater than three months (see Note 3 to the Financial Statements for additional information). Their aggregate fair value and carrying amount were $3.51 billion at year-end 2006 (fair value and carrying amount were $5.10 billion at year-end 2005). Fair value will vary as interest rates change.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Equity and other long-term investments at year-end 2006 consisted of the following:</w:t>
      </w:r>
    </w:p>
    <w:p>
      <w:pPr>
        <w:spacing w:after="0" w:line="198" w:lineRule="exact"/>
        <w:rPr>
          <w:sz w:val="20"/>
          <w:szCs w:val="20"/>
          <w:color w:val="auto"/>
        </w:rPr>
      </w:pPr>
    </w:p>
    <w:p>
      <w:pPr>
        <w:ind w:left="440" w:right="280" w:hanging="217"/>
        <w:spacing w:after="0" w:line="234" w:lineRule="auto"/>
        <w:tabs>
          <w:tab w:leader="none" w:pos="4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Equity investments – include marketable (publicly traded) and non-marketable (private investments, including various venture funds) equity investments.</w:t>
      </w:r>
    </w:p>
    <w:p>
      <w:pPr>
        <w:spacing w:after="0" w:line="1" w:lineRule="exact"/>
        <w:rPr>
          <w:rFonts w:ascii="Arial" w:cs="Arial" w:eastAsia="Arial" w:hAnsi="Arial"/>
          <w:sz w:val="18"/>
          <w:szCs w:val="18"/>
          <w:color w:val="auto"/>
        </w:rPr>
      </w:pPr>
    </w:p>
    <w:p>
      <w:pPr>
        <w:ind w:left="440" w:right="340" w:hanging="217"/>
        <w:spacing w:after="0" w:line="239" w:lineRule="auto"/>
        <w:tabs>
          <w:tab w:leader="none" w:pos="4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Investments in mutual funds – consist of mutual funds that were selected to generate returns that offset changes in certain liabilities related to deferred compensation arrangements. The mutual funds hold a variety of debt and equity investments.</w:t>
      </w:r>
    </w:p>
    <w:p>
      <w:pPr>
        <w:spacing w:after="0" w:line="15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Marketable equity investments are stated at fair value and marked-to-market through stockholders’ equity, net of tax. Impairments deemed to be other than temporary are expensed in the Statement of Income. Changes in prices of the mutual fund investments are expected to offset related changes in deferred compensation liabilities such that a 10 percent increase or decrease in investment prices would not affect operating results.</w:t>
      </w:r>
    </w:p>
    <w:p>
      <w:pPr>
        <w:sectPr>
          <w:pgSz w:w="11900" w:h="16838" w:orient="portrait"/>
          <w:cols w:equalWidth="0" w:num="1">
            <w:col w:w="10960"/>
          </w:cols>
          <w:pgMar w:left="700" w:top="287" w:right="239" w:bottom="1440" w:gutter="0" w:footer="0" w:header="0"/>
        </w:sectPr>
      </w:pPr>
    </w:p>
    <w:bookmarkStart w:id="105" w:name="page106"/>
    <w:bookmarkEnd w:id="105"/>
    <w:p>
      <w:pPr>
        <w:spacing w:after="0"/>
        <w:tabs>
          <w:tab w:leader="none" w:pos="36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56</w:t>
        <w:tab/>
        <w:t>TEXAS INSTRUMENTS 2006 ANNUAL REPORT</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QUARTERLY FINANCIAL DATA</w:t>
      </w:r>
    </w:p>
    <w:p>
      <w:pPr>
        <w:spacing w:after="0" w:line="38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FFFFFF"/>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-90805</wp:posOffset>
            </wp:positionV>
            <wp:extent cx="6809105" cy="946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09105" cy="94615"/>
                    </a:xfrm>
                    <a:prstGeom prst="rect">
                      <a:avLst/>
                    </a:prstGeom>
                    <a:noFill/>
                  </pic:spPr>
                </pic:pic>
              </a:graphicData>
            </a:graphic>
          </wp:anchor>
        </w:drawing>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8890</wp:posOffset>
            </wp:positionV>
            <wp:extent cx="68091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b w:val="1"/>
          <w:bCs w:val="1"/>
          <w:color w:val="auto"/>
        </w:rPr>
        <w:t>Gross profit</w:t>
      </w:r>
    </w:p>
    <w:p>
      <w:pPr>
        <w:ind w:left="500"/>
        <w:spacing w:after="0" w:line="234" w:lineRule="auto"/>
        <w:rPr>
          <w:sz w:val="20"/>
          <w:szCs w:val="20"/>
          <w:color w:val="auto"/>
        </w:rPr>
      </w:pPr>
      <w:r>
        <w:rPr>
          <w:rFonts w:ascii="Arial" w:cs="Arial" w:eastAsia="Arial" w:hAnsi="Arial"/>
          <w:sz w:val="18"/>
          <w:szCs w:val="18"/>
          <w:b w:val="1"/>
          <w:bCs w:val="1"/>
          <w:color w:val="auto"/>
        </w:rPr>
        <w:t>Profit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-635</wp:posOffset>
            </wp:positionV>
            <wp:extent cx="680910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b w:val="1"/>
          <w:bCs w:val="1"/>
          <w:color w:val="auto"/>
        </w:rPr>
        <w:t>Income from continuing operations</w:t>
      </w:r>
    </w:p>
    <w:p>
      <w:pPr>
        <w:spacing w:after="0" w:line="2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income</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-118745</wp:posOffset>
            </wp:positionV>
            <wp:extent cx="680910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ind w:left="780"/>
        <w:spacing w:after="0"/>
        <w:rPr>
          <w:sz w:val="20"/>
          <w:szCs w:val="20"/>
          <w:color w:val="auto"/>
        </w:rPr>
      </w:pPr>
      <w:r>
        <w:rPr>
          <w:rFonts w:ascii="Arial" w:cs="Arial" w:eastAsia="Arial" w:hAnsi="Arial"/>
          <w:sz w:val="18"/>
          <w:szCs w:val="18"/>
          <w:b w:val="1"/>
          <w:bCs w:val="1"/>
          <w:color w:val="auto"/>
        </w:rPr>
        <w:t>Income from continuing operations</w:t>
      </w:r>
    </w:p>
    <w:p>
      <w:pPr>
        <w:spacing w:after="0" w:line="28"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-118745</wp:posOffset>
            </wp:positionV>
            <wp:extent cx="68091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FFFFFF"/>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-90805</wp:posOffset>
            </wp:positionV>
            <wp:extent cx="6809105" cy="946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09105" cy="94615"/>
                    </a:xfrm>
                    <a:prstGeom prst="rect">
                      <a:avLst/>
                    </a:prstGeom>
                    <a:noFill/>
                  </pic:spPr>
                </pic:pic>
              </a:graphicData>
            </a:graphic>
          </wp:anchor>
        </w:drawing>
      </w:r>
    </w:p>
    <w:p>
      <w:pPr>
        <w:spacing w:after="0" w:line="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-1270</wp:posOffset>
            </wp:positionV>
            <wp:extent cx="6809105"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ind w:left="500"/>
        <w:spacing w:after="0" w:line="234" w:lineRule="auto"/>
        <w:rPr>
          <w:sz w:val="20"/>
          <w:szCs w:val="20"/>
          <w:color w:val="auto"/>
        </w:rPr>
      </w:pPr>
      <w:r>
        <w:rPr>
          <w:rFonts w:ascii="Arial" w:cs="Arial" w:eastAsia="Arial" w:hAnsi="Arial"/>
          <w:sz w:val="18"/>
          <w:szCs w:val="18"/>
          <w:color w:val="auto"/>
        </w:rPr>
        <w:t>Gross profit</w:t>
      </w:r>
    </w:p>
    <w:p>
      <w:pPr>
        <w:ind w:left="500"/>
        <w:spacing w:after="0" w:line="235" w:lineRule="auto"/>
        <w:rPr>
          <w:sz w:val="20"/>
          <w:szCs w:val="20"/>
          <w:color w:val="auto"/>
        </w:rPr>
      </w:pPr>
      <w:r>
        <w:rPr>
          <w:rFonts w:ascii="Arial" w:cs="Arial" w:eastAsia="Arial" w:hAnsi="Arial"/>
          <w:sz w:val="18"/>
          <w:szCs w:val="18"/>
          <w:color w:val="auto"/>
        </w:rPr>
        <w:t>Profit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-635</wp:posOffset>
            </wp:positionV>
            <wp:extent cx="6809105"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Income from continuing operations</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29210</wp:posOffset>
            </wp:positionV>
            <wp:extent cx="6809105"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spacing w:after="0" w:line="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Diluted earnings per share:</w:t>
      </w:r>
    </w:p>
    <w:p>
      <w:pPr>
        <w:ind w:left="780"/>
        <w:spacing w:after="0"/>
        <w:rPr>
          <w:sz w:val="20"/>
          <w:szCs w:val="20"/>
          <w:color w:val="auto"/>
        </w:rPr>
      </w:pPr>
      <w:r>
        <w:rPr>
          <w:rFonts w:ascii="Arial" w:cs="Arial" w:eastAsia="Arial" w:hAnsi="Arial"/>
          <w:sz w:val="18"/>
          <w:szCs w:val="18"/>
          <w:color w:val="auto"/>
        </w:rPr>
        <w:t>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29210</wp:posOffset>
            </wp:positionV>
            <wp:extent cx="6809105"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spacing w:after="0" w:line="3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Net income.</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Included in the results above were the following items:</w:t>
      </w:r>
    </w:p>
    <w:p>
      <w:pPr>
        <w:spacing w:after="0" w:line="39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FFFFFF"/>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-90805</wp:posOffset>
            </wp:positionV>
            <wp:extent cx="6809105" cy="946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09105" cy="94615"/>
                    </a:xfrm>
                    <a:prstGeom prst="rect">
                      <a:avLst/>
                    </a:prstGeom>
                    <a:noFill/>
                  </pic:spPr>
                </pic:pic>
              </a:graphicData>
            </a:graphic>
          </wp:anchor>
        </w:drawing>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Stock-based compensation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8890</wp:posOffset>
            </wp:positionV>
            <wp:extent cx="6809105"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b w:val="1"/>
          <w:bCs w:val="1"/>
          <w:color w:val="auto"/>
        </w:rPr>
        <w:t>Royalty settlement benefit (b)</w:t>
      </w:r>
    </w:p>
    <w:p>
      <w:pPr>
        <w:ind w:left="500"/>
        <w:spacing w:after="0" w:line="234" w:lineRule="auto"/>
        <w:rPr>
          <w:sz w:val="20"/>
          <w:szCs w:val="20"/>
          <w:color w:val="auto"/>
        </w:rPr>
      </w:pPr>
      <w:r>
        <w:rPr>
          <w:rFonts w:ascii="Arial" w:cs="Arial" w:eastAsia="Arial" w:hAnsi="Arial"/>
          <w:sz w:val="18"/>
          <w:szCs w:val="18"/>
          <w:b w:val="1"/>
          <w:bCs w:val="1"/>
          <w:color w:val="auto"/>
        </w:rPr>
        <w:t>Sales tax refund benefit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-635</wp:posOffset>
            </wp:positionV>
            <wp:extent cx="6809105"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b w:val="1"/>
          <w:bCs w:val="1"/>
          <w:color w:val="auto"/>
        </w:rPr>
        <w:t>Research tax credit (d)</w:t>
      </w:r>
    </w:p>
    <w:p>
      <w:pPr>
        <w:spacing w:after="0" w:line="38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FFFFFF"/>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-90805</wp:posOffset>
            </wp:positionV>
            <wp:extent cx="6809105" cy="946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09105" cy="94615"/>
                    </a:xfrm>
                    <a:prstGeom prst="rect">
                      <a:avLst/>
                    </a:prstGeom>
                    <a:noFill/>
                  </pic:spPr>
                </pic:pic>
              </a:graphicData>
            </a:graphic>
          </wp:anchor>
        </w:drawing>
      </w:r>
    </w:p>
    <w:p>
      <w:pPr>
        <w:spacing w:after="0" w:line="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Stock-based compensation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-1270</wp:posOffset>
            </wp:positionV>
            <wp:extent cx="6809105"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ind w:left="500"/>
        <w:spacing w:after="0" w:line="234" w:lineRule="auto"/>
        <w:rPr>
          <w:sz w:val="20"/>
          <w:szCs w:val="20"/>
          <w:color w:val="auto"/>
        </w:rPr>
      </w:pPr>
      <w:r>
        <w:rPr>
          <w:rFonts w:ascii="Arial" w:cs="Arial" w:eastAsia="Arial" w:hAnsi="Arial"/>
          <w:sz w:val="18"/>
          <w:szCs w:val="18"/>
          <w:color w:val="auto"/>
        </w:rPr>
        <w:t>Favorable tax adjustments and discrete items (e)</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Gains on sales of assets (f)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3"/>
          </w:tcPr>
          <w:p>
            <w:pPr>
              <w:jc w:val="right"/>
              <w:ind w:right="375"/>
              <w:spacing w:after="0"/>
              <w:rPr>
                <w:sz w:val="20"/>
                <w:szCs w:val="20"/>
                <w:color w:val="auto"/>
              </w:rPr>
            </w:pPr>
            <w:r>
              <w:rPr>
                <w:rFonts w:ascii="Arial" w:cs="Arial" w:eastAsia="Arial" w:hAnsi="Arial"/>
                <w:sz w:val="14"/>
                <w:szCs w:val="14"/>
                <w:b w:val="1"/>
                <w:bCs w:val="1"/>
                <w:color w:val="939598"/>
              </w:rPr>
              <w:t>QUARTER</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215"/>
              <w:spacing w:after="0"/>
              <w:rPr>
                <w:sz w:val="20"/>
                <w:szCs w:val="20"/>
                <w:color w:val="auto"/>
              </w:rPr>
            </w:pPr>
            <w:r>
              <w:rPr>
                <w:rFonts w:ascii="Arial" w:cs="Arial" w:eastAsia="Arial" w:hAnsi="Arial"/>
                <w:sz w:val="14"/>
                <w:szCs w:val="14"/>
                <w:b w:val="1"/>
                <w:bCs w:val="1"/>
                <w:color w:val="FFFFFF"/>
              </w:rPr>
              <w:t>1st</w:t>
            </w:r>
          </w:p>
        </w:tc>
        <w:tc>
          <w:tcPr>
            <w:tcW w:w="220" w:type="dxa"/>
            <w:vAlign w:val="bottom"/>
          </w:tcPr>
          <w:p>
            <w:pPr>
              <w:spacing w:after="0"/>
              <w:rPr>
                <w:sz w:val="16"/>
                <w:szCs w:val="16"/>
                <w:color w:val="auto"/>
              </w:rPr>
            </w:pPr>
          </w:p>
        </w:tc>
        <w:tc>
          <w:tcPr>
            <w:tcW w:w="580" w:type="dxa"/>
            <w:vAlign w:val="bottom"/>
          </w:tcPr>
          <w:p>
            <w:pPr>
              <w:jc w:val="right"/>
              <w:ind w:right="197"/>
              <w:spacing w:after="0"/>
              <w:rPr>
                <w:sz w:val="20"/>
                <w:szCs w:val="20"/>
                <w:color w:val="auto"/>
              </w:rPr>
            </w:pPr>
            <w:r>
              <w:rPr>
                <w:rFonts w:ascii="Arial" w:cs="Arial" w:eastAsia="Arial" w:hAnsi="Arial"/>
                <w:sz w:val="14"/>
                <w:szCs w:val="14"/>
                <w:b w:val="1"/>
                <w:bCs w:val="1"/>
                <w:color w:val="FFFFFF"/>
              </w:rPr>
              <w:t>2nd</w:t>
            </w:r>
          </w:p>
        </w:tc>
        <w:tc>
          <w:tcPr>
            <w:tcW w:w="220" w:type="dxa"/>
            <w:vAlign w:val="bottom"/>
          </w:tcPr>
          <w:p>
            <w:pPr>
              <w:spacing w:after="0"/>
              <w:rPr>
                <w:sz w:val="16"/>
                <w:szCs w:val="16"/>
                <w:color w:val="auto"/>
              </w:rPr>
            </w:pPr>
          </w:p>
        </w:tc>
        <w:tc>
          <w:tcPr>
            <w:tcW w:w="580" w:type="dxa"/>
            <w:vAlign w:val="bottom"/>
          </w:tcPr>
          <w:p>
            <w:pPr>
              <w:jc w:val="right"/>
              <w:ind w:right="215"/>
              <w:spacing w:after="0"/>
              <w:rPr>
                <w:sz w:val="20"/>
                <w:szCs w:val="20"/>
                <w:color w:val="auto"/>
              </w:rPr>
            </w:pPr>
            <w:r>
              <w:rPr>
                <w:rFonts w:ascii="Arial" w:cs="Arial" w:eastAsia="Arial" w:hAnsi="Arial"/>
                <w:sz w:val="14"/>
                <w:szCs w:val="14"/>
                <w:b w:val="1"/>
                <w:bCs w:val="1"/>
                <w:color w:val="FFFFFF"/>
              </w:rPr>
              <w:t>3rd</w:t>
            </w:r>
          </w:p>
        </w:tc>
        <w:tc>
          <w:tcPr>
            <w:tcW w:w="220" w:type="dxa"/>
            <w:vAlign w:val="bottom"/>
          </w:tcPr>
          <w:p>
            <w:pPr>
              <w:spacing w:after="0"/>
              <w:rPr>
                <w:sz w:val="16"/>
                <w:szCs w:val="16"/>
                <w:color w:val="auto"/>
              </w:rPr>
            </w:pPr>
          </w:p>
        </w:tc>
        <w:tc>
          <w:tcPr>
            <w:tcW w:w="480" w:type="dxa"/>
            <w:vAlign w:val="bottom"/>
          </w:tcPr>
          <w:p>
            <w:pPr>
              <w:jc w:val="right"/>
              <w:ind w:right="115"/>
              <w:spacing w:after="0"/>
              <w:rPr>
                <w:sz w:val="20"/>
                <w:szCs w:val="20"/>
                <w:color w:val="auto"/>
              </w:rPr>
            </w:pPr>
            <w:r>
              <w:rPr>
                <w:rFonts w:ascii="Arial" w:cs="Arial" w:eastAsia="Arial" w:hAnsi="Arial"/>
                <w:sz w:val="14"/>
                <w:szCs w:val="14"/>
                <w:b w:val="1"/>
                <w:bCs w:val="1"/>
                <w:color w:val="FFFFFF"/>
              </w:rPr>
              <w:t>4th</w:t>
            </w:r>
          </w:p>
        </w:tc>
      </w:tr>
      <w:tr>
        <w:trPr>
          <w:trHeight w:val="260"/>
        </w:trPr>
        <w:tc>
          <w:tcPr>
            <w:tcW w:w="140" w:type="dxa"/>
            <w:vAlign w:val="bottom"/>
            <w:gridSpan w:val="3"/>
          </w:tcPr>
          <w:p>
            <w:pPr>
              <w:ind w:left="2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3,334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3,697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3,761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3,463</w:t>
            </w: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1,672</w:t>
            </w:r>
          </w:p>
        </w:tc>
        <w:tc>
          <w:tcPr>
            <w:tcW w:w="220" w:type="dxa"/>
            <w:vAlign w:val="bottom"/>
          </w:tcPr>
          <w:p>
            <w:pPr>
              <w:spacing w:after="0"/>
              <w:rPr>
                <w:sz w:val="17"/>
                <w:szCs w:val="17"/>
                <w:color w:val="auto"/>
              </w:rPr>
            </w:pPr>
          </w:p>
        </w:tc>
        <w:tc>
          <w:tcPr>
            <w:tcW w:w="5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1,907</w:t>
            </w:r>
          </w:p>
        </w:tc>
        <w:tc>
          <w:tcPr>
            <w:tcW w:w="22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1,932</w:t>
            </w:r>
          </w:p>
        </w:tc>
        <w:tc>
          <w:tcPr>
            <w:tcW w:w="2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1,748</w:t>
            </w: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718</w:t>
            </w:r>
          </w:p>
        </w:tc>
        <w:tc>
          <w:tcPr>
            <w:tcW w:w="220" w:type="dxa"/>
            <w:vAlign w:val="bottom"/>
          </w:tcPr>
          <w:p>
            <w:pPr>
              <w:spacing w:after="0"/>
              <w:rPr>
                <w:sz w:val="17"/>
                <w:szCs w:val="17"/>
                <w:color w:val="auto"/>
              </w:rPr>
            </w:pPr>
          </w:p>
        </w:tc>
        <w:tc>
          <w:tcPr>
            <w:tcW w:w="5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953</w:t>
            </w:r>
          </w:p>
        </w:tc>
        <w:tc>
          <w:tcPr>
            <w:tcW w:w="22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930</w:t>
            </w:r>
          </w:p>
        </w:tc>
        <w:tc>
          <w:tcPr>
            <w:tcW w:w="2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767</w:t>
            </w:r>
          </w:p>
        </w:tc>
      </w:tr>
      <w:tr>
        <w:trPr>
          <w:trHeight w:val="199"/>
        </w:trPr>
        <w:tc>
          <w:tcPr>
            <w:tcW w:w="140" w:type="dxa"/>
            <w:vAlign w:val="bottom"/>
            <w:gridSpan w:val="3"/>
          </w:tcPr>
          <w:p>
            <w:pPr>
              <w:ind w:left="20"/>
              <w:spacing w:after="0" w:line="200"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line="200" w:lineRule="exact"/>
              <w:rPr>
                <w:sz w:val="20"/>
                <w:szCs w:val="20"/>
                <w:color w:val="auto"/>
              </w:rPr>
            </w:pPr>
            <w:r>
              <w:rPr>
                <w:rFonts w:ascii="Arial" w:cs="Arial" w:eastAsia="Arial" w:hAnsi="Arial"/>
                <w:sz w:val="18"/>
                <w:szCs w:val="18"/>
                <w:color w:val="auto"/>
              </w:rPr>
              <w:t>542</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7"/>
              <w:spacing w:after="0" w:line="200" w:lineRule="exact"/>
              <w:rPr>
                <w:sz w:val="20"/>
                <w:szCs w:val="20"/>
                <w:color w:val="auto"/>
              </w:rPr>
            </w:pPr>
            <w:r>
              <w:rPr>
                <w:rFonts w:ascii="Arial" w:cs="Arial" w:eastAsia="Arial" w:hAnsi="Arial"/>
                <w:sz w:val="18"/>
                <w:szCs w:val="18"/>
                <w:color w:val="auto"/>
              </w:rPr>
              <w:t>739</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line="200" w:lineRule="exact"/>
              <w:rPr>
                <w:sz w:val="20"/>
                <w:szCs w:val="20"/>
                <w:color w:val="auto"/>
              </w:rPr>
            </w:pPr>
            <w:r>
              <w:rPr>
                <w:rFonts w:ascii="Arial" w:cs="Arial" w:eastAsia="Arial" w:hAnsi="Arial"/>
                <w:sz w:val="18"/>
                <w:szCs w:val="18"/>
                <w:color w:val="auto"/>
              </w:rPr>
              <w:t>686</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0" w:lineRule="exact"/>
              <w:rPr>
                <w:sz w:val="20"/>
                <w:szCs w:val="20"/>
                <w:color w:val="auto"/>
              </w:rPr>
            </w:pPr>
            <w:r>
              <w:rPr>
                <w:rFonts w:ascii="Arial" w:cs="Arial" w:eastAsia="Arial" w:hAnsi="Arial"/>
                <w:sz w:val="18"/>
                <w:szCs w:val="18"/>
                <w:color w:val="auto"/>
              </w:rPr>
              <w:t>671</w:t>
            </w: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140" w:type="dxa"/>
            <w:vAlign w:val="bottom"/>
            <w:gridSpan w:val="3"/>
          </w:tcPr>
          <w:p>
            <w:pPr>
              <w:ind w:left="20"/>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585</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7"/>
              <w:spacing w:after="0" w:line="196" w:lineRule="exact"/>
              <w:rPr>
                <w:sz w:val="20"/>
                <w:szCs w:val="20"/>
                <w:color w:val="auto"/>
              </w:rPr>
            </w:pPr>
            <w:r>
              <w:rPr>
                <w:rFonts w:ascii="Arial" w:cs="Arial" w:eastAsia="Arial" w:hAnsi="Arial"/>
                <w:sz w:val="18"/>
                <w:szCs w:val="18"/>
                <w:color w:val="auto"/>
              </w:rPr>
              <w:t>2,387</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line="196" w:lineRule="exact"/>
              <w:rPr>
                <w:sz w:val="20"/>
                <w:szCs w:val="20"/>
                <w:color w:val="auto"/>
              </w:rPr>
            </w:pPr>
            <w:r>
              <w:rPr>
                <w:rFonts w:ascii="Arial" w:cs="Arial" w:eastAsia="Arial" w:hAnsi="Arial"/>
                <w:sz w:val="18"/>
                <w:szCs w:val="18"/>
                <w:color w:val="auto"/>
              </w:rPr>
              <w:t>702</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668</w:t>
            </w: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r>
        <w:trPr>
          <w:trHeight w:val="399"/>
        </w:trPr>
        <w:tc>
          <w:tcPr>
            <w:tcW w:w="140" w:type="dxa"/>
            <w:vAlign w:val="bottom"/>
            <w:gridSpan w:val="3"/>
          </w:tcPr>
          <w:p>
            <w:pPr>
              <w:ind w:left="2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0.47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0.45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0.45</w:t>
            </w: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140" w:type="dxa"/>
            <w:vAlign w:val="bottom"/>
            <w:gridSpan w:val="3"/>
          </w:tcPr>
          <w:p>
            <w:pPr>
              <w:ind w:left="20"/>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0.36</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7"/>
              <w:spacing w:after="0" w:line="196" w:lineRule="exact"/>
              <w:rPr>
                <w:sz w:val="20"/>
                <w:szCs w:val="20"/>
                <w:color w:val="auto"/>
              </w:rPr>
            </w:pPr>
            <w:r>
              <w:rPr>
                <w:rFonts w:ascii="Arial" w:cs="Arial" w:eastAsia="Arial" w:hAnsi="Arial"/>
                <w:sz w:val="18"/>
                <w:szCs w:val="18"/>
                <w:color w:val="auto"/>
              </w:rPr>
              <w:t>1.50</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line="196" w:lineRule="exact"/>
              <w:rPr>
                <w:sz w:val="20"/>
                <w:szCs w:val="20"/>
                <w:color w:val="auto"/>
              </w:rPr>
            </w:pPr>
            <w:r>
              <w:rPr>
                <w:rFonts w:ascii="Arial" w:cs="Arial" w:eastAsia="Arial" w:hAnsi="Arial"/>
                <w:sz w:val="18"/>
                <w:szCs w:val="18"/>
                <w:color w:val="auto"/>
              </w:rPr>
              <w:t>0.46</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0.45</w:t>
            </w: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right"/>
              <w:ind w:right="395"/>
              <w:spacing w:after="0"/>
              <w:rPr>
                <w:sz w:val="20"/>
                <w:szCs w:val="20"/>
                <w:color w:val="auto"/>
              </w:rPr>
            </w:pPr>
            <w:r>
              <w:rPr>
                <w:rFonts w:ascii="Arial" w:cs="Arial" w:eastAsia="Arial" w:hAnsi="Arial"/>
                <w:sz w:val="14"/>
                <w:szCs w:val="14"/>
                <w:b w:val="1"/>
                <w:bCs w:val="1"/>
                <w:color w:val="939598"/>
              </w:rPr>
              <w:t>QUARTER</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215"/>
              <w:spacing w:after="0"/>
              <w:rPr>
                <w:sz w:val="20"/>
                <w:szCs w:val="20"/>
                <w:color w:val="auto"/>
              </w:rPr>
            </w:pPr>
            <w:r>
              <w:rPr>
                <w:rFonts w:ascii="Arial" w:cs="Arial" w:eastAsia="Arial" w:hAnsi="Arial"/>
                <w:sz w:val="14"/>
                <w:szCs w:val="14"/>
                <w:b w:val="1"/>
                <w:bCs w:val="1"/>
                <w:color w:val="FFFFFF"/>
              </w:rPr>
              <w:t>1st</w:t>
            </w:r>
          </w:p>
        </w:tc>
        <w:tc>
          <w:tcPr>
            <w:tcW w:w="220" w:type="dxa"/>
            <w:vAlign w:val="bottom"/>
          </w:tcPr>
          <w:p>
            <w:pPr>
              <w:spacing w:after="0"/>
              <w:rPr>
                <w:sz w:val="16"/>
                <w:szCs w:val="16"/>
                <w:color w:val="auto"/>
              </w:rPr>
            </w:pPr>
          </w:p>
        </w:tc>
        <w:tc>
          <w:tcPr>
            <w:tcW w:w="580" w:type="dxa"/>
            <w:vAlign w:val="bottom"/>
          </w:tcPr>
          <w:p>
            <w:pPr>
              <w:jc w:val="right"/>
              <w:ind w:right="197"/>
              <w:spacing w:after="0"/>
              <w:rPr>
                <w:sz w:val="20"/>
                <w:szCs w:val="20"/>
                <w:color w:val="auto"/>
              </w:rPr>
            </w:pPr>
            <w:r>
              <w:rPr>
                <w:rFonts w:ascii="Arial" w:cs="Arial" w:eastAsia="Arial" w:hAnsi="Arial"/>
                <w:sz w:val="14"/>
                <w:szCs w:val="14"/>
                <w:b w:val="1"/>
                <w:bCs w:val="1"/>
                <w:color w:val="FFFFFF"/>
              </w:rPr>
              <w:t>2nd</w:t>
            </w:r>
          </w:p>
        </w:tc>
        <w:tc>
          <w:tcPr>
            <w:tcW w:w="220" w:type="dxa"/>
            <w:vAlign w:val="bottom"/>
          </w:tcPr>
          <w:p>
            <w:pPr>
              <w:spacing w:after="0"/>
              <w:rPr>
                <w:sz w:val="16"/>
                <w:szCs w:val="16"/>
                <w:color w:val="auto"/>
              </w:rPr>
            </w:pPr>
          </w:p>
        </w:tc>
        <w:tc>
          <w:tcPr>
            <w:tcW w:w="580" w:type="dxa"/>
            <w:vAlign w:val="bottom"/>
          </w:tcPr>
          <w:p>
            <w:pPr>
              <w:jc w:val="right"/>
              <w:ind w:right="215"/>
              <w:spacing w:after="0"/>
              <w:rPr>
                <w:sz w:val="20"/>
                <w:szCs w:val="20"/>
                <w:color w:val="auto"/>
              </w:rPr>
            </w:pPr>
            <w:r>
              <w:rPr>
                <w:rFonts w:ascii="Arial" w:cs="Arial" w:eastAsia="Arial" w:hAnsi="Arial"/>
                <w:sz w:val="14"/>
                <w:szCs w:val="14"/>
                <w:b w:val="1"/>
                <w:bCs w:val="1"/>
                <w:color w:val="FFFFFF"/>
              </w:rPr>
              <w:t>3rd</w:t>
            </w:r>
          </w:p>
        </w:tc>
        <w:tc>
          <w:tcPr>
            <w:tcW w:w="220" w:type="dxa"/>
            <w:vAlign w:val="bottom"/>
          </w:tcPr>
          <w:p>
            <w:pPr>
              <w:spacing w:after="0"/>
              <w:rPr>
                <w:sz w:val="16"/>
                <w:szCs w:val="16"/>
                <w:color w:val="auto"/>
              </w:rPr>
            </w:pPr>
          </w:p>
        </w:tc>
        <w:tc>
          <w:tcPr>
            <w:tcW w:w="480" w:type="dxa"/>
            <w:vAlign w:val="bottom"/>
          </w:tcPr>
          <w:p>
            <w:pPr>
              <w:jc w:val="right"/>
              <w:ind w:right="115"/>
              <w:spacing w:after="0"/>
              <w:rPr>
                <w:sz w:val="20"/>
                <w:szCs w:val="20"/>
                <w:color w:val="auto"/>
              </w:rPr>
            </w:pPr>
            <w:r>
              <w:rPr>
                <w:rFonts w:ascii="Arial" w:cs="Arial" w:eastAsia="Arial" w:hAnsi="Arial"/>
                <w:sz w:val="14"/>
                <w:szCs w:val="14"/>
                <w:b w:val="1"/>
                <w:bCs w:val="1"/>
                <w:color w:val="FFFFFF"/>
              </w:rPr>
              <w:t>4th</w:t>
            </w:r>
          </w:p>
        </w:tc>
      </w:tr>
      <w:tr>
        <w:trPr>
          <w:trHeight w:val="260"/>
        </w:trPr>
        <w:tc>
          <w:tcPr>
            <w:tcW w:w="140" w:type="dxa"/>
            <w:vAlign w:val="bottom"/>
            <w:gridSpan w:val="3"/>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2,702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2,971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3,339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3,324</w:t>
            </w: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1,244</w:t>
            </w:r>
          </w:p>
        </w:tc>
        <w:tc>
          <w:tcPr>
            <w:tcW w:w="220" w:type="dxa"/>
            <w:vAlign w:val="bottom"/>
          </w:tcPr>
          <w:p>
            <w:pPr>
              <w:spacing w:after="0"/>
              <w:rPr>
                <w:sz w:val="17"/>
                <w:szCs w:val="17"/>
                <w:color w:val="auto"/>
              </w:rPr>
            </w:pPr>
          </w:p>
        </w:tc>
        <w:tc>
          <w:tcPr>
            <w:tcW w:w="5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1,426</w:t>
            </w:r>
          </w:p>
        </w:tc>
        <w:tc>
          <w:tcPr>
            <w:tcW w:w="22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1,690</w:t>
            </w:r>
          </w:p>
        </w:tc>
        <w:tc>
          <w:tcPr>
            <w:tcW w:w="2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1,657</w:t>
            </w: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436</w:t>
            </w:r>
          </w:p>
        </w:tc>
        <w:tc>
          <w:tcPr>
            <w:tcW w:w="220" w:type="dxa"/>
            <w:vAlign w:val="bottom"/>
          </w:tcPr>
          <w:p>
            <w:pPr>
              <w:spacing w:after="0"/>
              <w:rPr>
                <w:sz w:val="17"/>
                <w:szCs w:val="17"/>
                <w:color w:val="auto"/>
              </w:rPr>
            </w:pPr>
          </w:p>
        </w:tc>
        <w:tc>
          <w:tcPr>
            <w:tcW w:w="5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602</w:t>
            </w:r>
          </w:p>
        </w:tc>
        <w:tc>
          <w:tcPr>
            <w:tcW w:w="22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761</w:t>
            </w:r>
          </w:p>
        </w:tc>
        <w:tc>
          <w:tcPr>
            <w:tcW w:w="2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760</w:t>
            </w:r>
          </w:p>
        </w:tc>
      </w:tr>
      <w:tr>
        <w:trPr>
          <w:trHeight w:val="199"/>
        </w:trPr>
        <w:tc>
          <w:tcPr>
            <w:tcW w:w="140" w:type="dxa"/>
            <w:vAlign w:val="bottom"/>
            <w:tcBorders>
              <w:bottom w:val="single" w:sz="8" w:color="auto"/>
            </w:tcBorders>
            <w:gridSpan w:val="3"/>
          </w:tcPr>
          <w:p>
            <w:pPr>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371</w:t>
            </w:r>
          </w:p>
        </w:tc>
        <w:tc>
          <w:tcPr>
            <w:tcW w:w="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584</w:t>
            </w:r>
          </w:p>
        </w:tc>
        <w:tc>
          <w:tcPr>
            <w:tcW w:w="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596</w:t>
            </w:r>
          </w:p>
        </w:tc>
        <w:tc>
          <w:tcPr>
            <w:tcW w:w="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622</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97"/>
        </w:trPr>
        <w:tc>
          <w:tcPr>
            <w:tcW w:w="14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411</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7"/>
              <w:spacing w:after="0" w:line="196" w:lineRule="exact"/>
              <w:rPr>
                <w:sz w:val="20"/>
                <w:szCs w:val="20"/>
                <w:color w:val="auto"/>
              </w:rPr>
            </w:pPr>
            <w:r>
              <w:rPr>
                <w:rFonts w:ascii="Arial" w:cs="Arial" w:eastAsia="Arial" w:hAnsi="Arial"/>
                <w:sz w:val="18"/>
                <w:szCs w:val="18"/>
                <w:color w:val="auto"/>
              </w:rPr>
              <w:t>628</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631</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655</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399"/>
        </w:trPr>
        <w:tc>
          <w:tcPr>
            <w:tcW w:w="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0.21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0.35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0.36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97"/>
        </w:trPr>
        <w:tc>
          <w:tcPr>
            <w:tcW w:w="14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0.24</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7"/>
              <w:spacing w:after="0" w:line="196" w:lineRule="exact"/>
              <w:rPr>
                <w:sz w:val="20"/>
                <w:szCs w:val="20"/>
                <w:color w:val="auto"/>
              </w:rPr>
            </w:pPr>
            <w:r>
              <w:rPr>
                <w:rFonts w:ascii="Arial" w:cs="Arial" w:eastAsia="Arial" w:hAnsi="Arial"/>
                <w:sz w:val="18"/>
                <w:szCs w:val="18"/>
                <w:color w:val="auto"/>
              </w:rPr>
              <w:t>0.38</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0.38</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0.40</w:t>
            </w:r>
          </w:p>
        </w:tc>
      </w:tr>
      <w:tr>
        <w:trPr>
          <w:trHeight w:val="20"/>
        </w:trPr>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left="-119"/>
        <w:spacing w:after="0"/>
        <w:rPr>
          <w:sz w:val="20"/>
          <w:szCs w:val="20"/>
          <w:color w:val="auto"/>
        </w:rPr>
      </w:pPr>
      <w:r>
        <w:rPr>
          <w:rFonts w:ascii="Arial" w:cs="Arial" w:eastAsia="Arial" w:hAnsi="Arial"/>
          <w:sz w:val="14"/>
          <w:szCs w:val="14"/>
          <w:b w:val="1"/>
          <w:bCs w:val="1"/>
          <w:color w:val="939598"/>
        </w:rPr>
        <w:t>QUARTER</w:t>
      </w:r>
    </w:p>
    <w:p>
      <w:pPr>
        <w:spacing w:after="0" w:line="28" w:lineRule="exact"/>
        <w:rPr>
          <w:sz w:val="20"/>
          <w:szCs w:val="20"/>
          <w:color w:val="auto"/>
        </w:rPr>
      </w:pPr>
    </w:p>
    <w:p>
      <w:pPr>
        <w:ind w:left="860"/>
        <w:spacing w:after="0"/>
        <w:tabs>
          <w:tab w:leader="none" w:pos="1440" w:val="left"/>
          <w:tab w:leader="none" w:pos="2080" w:val="left"/>
          <w:tab w:leader="none" w:pos="2700" w:val="left"/>
        </w:tabs>
        <w:rPr>
          <w:sz w:val="20"/>
          <w:szCs w:val="20"/>
          <w:color w:val="auto"/>
        </w:rPr>
      </w:pPr>
      <w:r>
        <w:rPr>
          <w:rFonts w:ascii="Arial" w:cs="Arial" w:eastAsia="Arial" w:hAnsi="Arial"/>
          <w:sz w:val="14"/>
          <w:szCs w:val="14"/>
          <w:b w:val="1"/>
          <w:bCs w:val="1"/>
          <w:color w:val="FFFFFF"/>
        </w:rPr>
        <w:t>1st</w:t>
      </w:r>
      <w:r>
        <w:rPr>
          <w:sz w:val="20"/>
          <w:szCs w:val="20"/>
          <w:color w:val="auto"/>
        </w:rPr>
        <w:tab/>
      </w:r>
      <w:r>
        <w:rPr>
          <w:rFonts w:ascii="Arial" w:cs="Arial" w:eastAsia="Arial" w:hAnsi="Arial"/>
          <w:sz w:val="14"/>
          <w:szCs w:val="14"/>
          <w:b w:val="1"/>
          <w:bCs w:val="1"/>
          <w:color w:val="FFFFFF"/>
        </w:rPr>
        <w:t>2nd</w:t>
      </w:r>
      <w:r>
        <w:rPr>
          <w:sz w:val="20"/>
          <w:szCs w:val="20"/>
          <w:color w:val="auto"/>
        </w:rPr>
        <w:tab/>
      </w:r>
      <w:r>
        <w:rPr>
          <w:rFonts w:ascii="Arial" w:cs="Arial" w:eastAsia="Arial" w:hAnsi="Arial"/>
          <w:sz w:val="14"/>
          <w:szCs w:val="14"/>
          <w:b w:val="1"/>
          <w:bCs w:val="1"/>
          <w:color w:val="FFFFFF"/>
        </w:rPr>
        <w:t>3rd</w:t>
      </w:r>
      <w:r>
        <w:rPr>
          <w:sz w:val="20"/>
          <w:szCs w:val="20"/>
          <w:color w:val="auto"/>
        </w:rPr>
        <w:tab/>
      </w:r>
      <w:r>
        <w:rPr>
          <w:rFonts w:ascii="Arial" w:cs="Arial" w:eastAsia="Arial" w:hAnsi="Arial"/>
          <w:sz w:val="12"/>
          <w:szCs w:val="12"/>
          <w:b w:val="1"/>
          <w:bCs w:val="1"/>
          <w:color w:val="FFFFFF"/>
        </w:rPr>
        <w:t>4th</w:t>
      </w:r>
    </w:p>
    <w:p>
      <w:pPr>
        <w:spacing w:after="0" w:line="49"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520" w:type="dxa"/>
            <w:vAlign w:val="bottom"/>
          </w:tcPr>
          <w:p>
            <w:pPr>
              <w:jc w:val="right"/>
              <w:ind w:right="75"/>
              <w:spacing w:after="0"/>
              <w:rPr>
                <w:sz w:val="20"/>
                <w:szCs w:val="20"/>
                <w:color w:val="auto"/>
              </w:rPr>
            </w:pPr>
            <w:r>
              <w:rPr>
                <w:rFonts w:ascii="Arial" w:cs="Arial" w:eastAsia="Arial" w:hAnsi="Arial"/>
                <w:sz w:val="18"/>
                <w:szCs w:val="18"/>
                <w:b w:val="1"/>
                <w:bCs w:val="1"/>
                <w:color w:val="auto"/>
                <w:w w:val="96"/>
              </w:rPr>
              <w:t>$ 91</w:t>
            </w:r>
          </w:p>
        </w:tc>
        <w:tc>
          <w:tcPr>
            <w:tcW w:w="620" w:type="dxa"/>
            <w:vAlign w:val="bottom"/>
          </w:tcPr>
          <w:p>
            <w:pPr>
              <w:jc w:val="right"/>
              <w:ind w:right="77"/>
              <w:spacing w:after="0"/>
              <w:rPr>
                <w:sz w:val="20"/>
                <w:szCs w:val="20"/>
                <w:color w:val="auto"/>
              </w:rPr>
            </w:pPr>
            <w:r>
              <w:rPr>
                <w:rFonts w:ascii="Arial" w:cs="Arial" w:eastAsia="Arial" w:hAnsi="Arial"/>
                <w:sz w:val="18"/>
                <w:szCs w:val="18"/>
                <w:b w:val="1"/>
                <w:bCs w:val="1"/>
                <w:color w:val="auto"/>
              </w:rPr>
              <w:t>$ 84</w:t>
            </w:r>
          </w:p>
        </w:tc>
        <w:tc>
          <w:tcPr>
            <w:tcW w:w="620" w:type="dxa"/>
            <w:vAlign w:val="bottom"/>
          </w:tcPr>
          <w:p>
            <w:pPr>
              <w:jc w:val="right"/>
              <w:ind w:right="75"/>
              <w:spacing w:after="0"/>
              <w:rPr>
                <w:sz w:val="20"/>
                <w:szCs w:val="20"/>
                <w:color w:val="auto"/>
              </w:rPr>
            </w:pPr>
            <w:r>
              <w:rPr>
                <w:rFonts w:ascii="Arial" w:cs="Arial" w:eastAsia="Arial" w:hAnsi="Arial"/>
                <w:sz w:val="18"/>
                <w:szCs w:val="18"/>
                <w:b w:val="1"/>
                <w:bCs w:val="1"/>
                <w:color w:val="auto"/>
              </w:rPr>
              <w:t>$ 79</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$ 78</w:t>
            </w:r>
          </w:p>
        </w:tc>
      </w:tr>
      <w:tr>
        <w:trPr>
          <w:trHeight w:val="203"/>
        </w:trPr>
        <w:tc>
          <w:tcPr>
            <w:tcW w:w="520" w:type="dxa"/>
            <w:vAlign w:val="bottom"/>
          </w:tcPr>
          <w:p>
            <w:pPr>
              <w:jc w:val="right"/>
              <w:ind w:right="75"/>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7"/>
              <w:spacing w:after="0" w:line="202" w:lineRule="exact"/>
              <w:rPr>
                <w:sz w:val="20"/>
                <w:szCs w:val="20"/>
                <w:color w:val="auto"/>
              </w:rPr>
            </w:pPr>
            <w:r>
              <w:rPr>
                <w:rFonts w:ascii="Arial" w:cs="Arial" w:eastAsia="Arial" w:hAnsi="Arial"/>
                <w:sz w:val="18"/>
                <w:szCs w:val="18"/>
                <w:b w:val="1"/>
                <w:bCs w:val="1"/>
                <w:color w:val="auto"/>
              </w:rPr>
              <w:t>(60)</w:t>
            </w:r>
          </w:p>
        </w:tc>
        <w:tc>
          <w:tcPr>
            <w:tcW w:w="620" w:type="dxa"/>
            <w:vAlign w:val="bottom"/>
          </w:tcPr>
          <w:p>
            <w:pPr>
              <w:jc w:val="right"/>
              <w:ind w:right="75"/>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520" w:type="dxa"/>
            <w:vAlign w:val="bottom"/>
          </w:tcPr>
          <w:p>
            <w:pPr>
              <w:jc w:val="right"/>
              <w:ind w:right="75"/>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7"/>
              <w:spacing w:after="0" w:line="202" w:lineRule="exact"/>
              <w:rPr>
                <w:sz w:val="20"/>
                <w:szCs w:val="20"/>
                <w:color w:val="auto"/>
              </w:rPr>
            </w:pPr>
            <w:r>
              <w:rPr>
                <w:rFonts w:ascii="Arial" w:cs="Arial" w:eastAsia="Arial" w:hAnsi="Arial"/>
                <w:sz w:val="18"/>
                <w:szCs w:val="18"/>
                <w:b w:val="1"/>
                <w:bCs w:val="1"/>
                <w:color w:val="auto"/>
              </w:rPr>
              <w:t>(77)</w:t>
            </w:r>
          </w:p>
        </w:tc>
        <w:tc>
          <w:tcPr>
            <w:tcW w:w="620" w:type="dxa"/>
            <w:vAlign w:val="bottom"/>
          </w:tcPr>
          <w:p>
            <w:pPr>
              <w:jc w:val="right"/>
              <w:ind w:right="75"/>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r>
      <w:tr>
        <w:trPr>
          <w:trHeight w:val="233"/>
        </w:trPr>
        <w:tc>
          <w:tcPr>
            <w:tcW w:w="520" w:type="dxa"/>
            <w:vAlign w:val="bottom"/>
          </w:tcPr>
          <w:p>
            <w:pPr>
              <w:jc w:val="right"/>
              <w:ind w:right="75"/>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77"/>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75"/>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(72)</w:t>
            </w:r>
          </w:p>
        </w:tc>
      </w:tr>
      <w:tr>
        <w:trPr>
          <w:trHeight w:val="366"/>
        </w:trPr>
        <w:tc>
          <w:tcPr>
            <w:tcW w:w="520" w:type="dxa"/>
            <w:vAlign w:val="bottom"/>
          </w:tcPr>
          <w:p>
            <w:pPr>
              <w:spacing w:after="0"/>
              <w:rPr>
                <w:sz w:val="24"/>
                <w:szCs w:val="24"/>
                <w:color w:val="auto"/>
              </w:rPr>
            </w:pPr>
          </w:p>
        </w:tc>
        <w:tc>
          <w:tcPr>
            <w:tcW w:w="1240" w:type="dxa"/>
            <w:vAlign w:val="bottom"/>
            <w:gridSpan w:val="2"/>
          </w:tcPr>
          <w:p>
            <w:pPr>
              <w:jc w:val="right"/>
              <w:ind w:right="235"/>
              <w:spacing w:after="0"/>
              <w:rPr>
                <w:sz w:val="20"/>
                <w:szCs w:val="20"/>
                <w:color w:val="auto"/>
              </w:rPr>
            </w:pPr>
            <w:r>
              <w:rPr>
                <w:rFonts w:ascii="Arial" w:cs="Arial" w:eastAsia="Arial" w:hAnsi="Arial"/>
                <w:sz w:val="14"/>
                <w:szCs w:val="14"/>
                <w:b w:val="1"/>
                <w:bCs w:val="1"/>
                <w:color w:val="939598"/>
              </w:rPr>
              <w:t>QUARTER</w:t>
            </w:r>
          </w:p>
        </w:tc>
        <w:tc>
          <w:tcPr>
            <w:tcW w:w="520" w:type="dxa"/>
            <w:vAlign w:val="bottom"/>
          </w:tcPr>
          <w:p>
            <w:pPr>
              <w:spacing w:after="0"/>
              <w:rPr>
                <w:sz w:val="24"/>
                <w:szCs w:val="24"/>
                <w:color w:val="auto"/>
              </w:rPr>
            </w:pPr>
          </w:p>
        </w:tc>
      </w:tr>
      <w:tr>
        <w:trPr>
          <w:trHeight w:val="189"/>
        </w:trPr>
        <w:tc>
          <w:tcPr>
            <w:tcW w:w="520" w:type="dxa"/>
            <w:vAlign w:val="bottom"/>
          </w:tcPr>
          <w:p>
            <w:pPr>
              <w:jc w:val="right"/>
              <w:ind w:right="155"/>
              <w:spacing w:after="0"/>
              <w:rPr>
                <w:sz w:val="20"/>
                <w:szCs w:val="20"/>
                <w:color w:val="auto"/>
              </w:rPr>
            </w:pPr>
            <w:r>
              <w:rPr>
                <w:rFonts w:ascii="Arial" w:cs="Arial" w:eastAsia="Arial" w:hAnsi="Arial"/>
                <w:sz w:val="14"/>
                <w:szCs w:val="14"/>
                <w:b w:val="1"/>
                <w:bCs w:val="1"/>
                <w:color w:val="FFFFFF"/>
              </w:rPr>
              <w:t>1st</w:t>
            </w:r>
          </w:p>
        </w:tc>
        <w:tc>
          <w:tcPr>
            <w:tcW w:w="620" w:type="dxa"/>
            <w:vAlign w:val="bottom"/>
          </w:tcPr>
          <w:p>
            <w:pPr>
              <w:jc w:val="right"/>
              <w:ind w:right="137"/>
              <w:spacing w:after="0"/>
              <w:rPr>
                <w:sz w:val="20"/>
                <w:szCs w:val="20"/>
                <w:color w:val="auto"/>
              </w:rPr>
            </w:pPr>
            <w:r>
              <w:rPr>
                <w:rFonts w:ascii="Arial" w:cs="Arial" w:eastAsia="Arial" w:hAnsi="Arial"/>
                <w:sz w:val="14"/>
                <w:szCs w:val="14"/>
                <w:b w:val="1"/>
                <w:bCs w:val="1"/>
                <w:color w:val="FFFFFF"/>
              </w:rPr>
              <w:t>2nd</w:t>
            </w:r>
          </w:p>
        </w:tc>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FFFFFF"/>
              </w:rPr>
              <w:t>3rd</w:t>
            </w:r>
          </w:p>
        </w:tc>
        <w:tc>
          <w:tcPr>
            <w:tcW w:w="520" w:type="dxa"/>
            <w:vAlign w:val="bottom"/>
          </w:tcPr>
          <w:p>
            <w:pPr>
              <w:jc w:val="right"/>
              <w:ind w:right="55"/>
              <w:spacing w:after="0"/>
              <w:rPr>
                <w:sz w:val="20"/>
                <w:szCs w:val="20"/>
                <w:color w:val="auto"/>
              </w:rPr>
            </w:pPr>
            <w:r>
              <w:rPr>
                <w:rFonts w:ascii="Arial" w:cs="Arial" w:eastAsia="Arial" w:hAnsi="Arial"/>
                <w:sz w:val="14"/>
                <w:szCs w:val="14"/>
                <w:b w:val="1"/>
                <w:bCs w:val="1"/>
                <w:color w:val="FFFFFF"/>
              </w:rPr>
              <w:t>4th</w:t>
            </w:r>
          </w:p>
        </w:tc>
      </w:tr>
      <w:tr>
        <w:trPr>
          <w:trHeight w:val="260"/>
        </w:trPr>
        <w:tc>
          <w:tcPr>
            <w:tcW w:w="520" w:type="dxa"/>
            <w:vAlign w:val="bottom"/>
          </w:tcPr>
          <w:p>
            <w:pPr>
              <w:jc w:val="right"/>
              <w:ind w:right="75"/>
              <w:spacing w:after="0"/>
              <w:rPr>
                <w:sz w:val="20"/>
                <w:szCs w:val="20"/>
                <w:color w:val="auto"/>
              </w:rPr>
            </w:pPr>
            <w:r>
              <w:rPr>
                <w:rFonts w:ascii="Arial" w:cs="Arial" w:eastAsia="Arial" w:hAnsi="Arial"/>
                <w:sz w:val="18"/>
                <w:szCs w:val="18"/>
                <w:color w:val="auto"/>
              </w:rPr>
              <w:t>$  5</w:t>
            </w:r>
          </w:p>
        </w:tc>
        <w:tc>
          <w:tcPr>
            <w:tcW w:w="620" w:type="dxa"/>
            <w:vAlign w:val="bottom"/>
          </w:tcPr>
          <w:p>
            <w:pPr>
              <w:jc w:val="right"/>
              <w:ind w:right="77"/>
              <w:spacing w:after="0"/>
              <w:rPr>
                <w:sz w:val="20"/>
                <w:szCs w:val="20"/>
                <w:color w:val="auto"/>
              </w:rPr>
            </w:pPr>
            <w:r>
              <w:rPr>
                <w:rFonts w:ascii="Arial" w:cs="Arial" w:eastAsia="Arial" w:hAnsi="Arial"/>
                <w:sz w:val="18"/>
                <w:szCs w:val="18"/>
                <w:color w:val="auto"/>
              </w:rPr>
              <w:t>$  5</w:t>
            </w:r>
          </w:p>
        </w:tc>
        <w:tc>
          <w:tcPr>
            <w:tcW w:w="620" w:type="dxa"/>
            <w:vAlign w:val="bottom"/>
          </w:tcPr>
          <w:p>
            <w:pPr>
              <w:jc w:val="right"/>
              <w:ind w:right="75"/>
              <w:spacing w:after="0"/>
              <w:rPr>
                <w:sz w:val="20"/>
                <w:szCs w:val="20"/>
                <w:color w:val="auto"/>
              </w:rPr>
            </w:pPr>
            <w:r>
              <w:rPr>
                <w:rFonts w:ascii="Arial" w:cs="Arial" w:eastAsia="Arial" w:hAnsi="Arial"/>
                <w:sz w:val="18"/>
                <w:szCs w:val="18"/>
                <w:color w:val="auto"/>
              </w:rPr>
              <w:t>$ 80</w:t>
            </w:r>
          </w:p>
        </w:tc>
        <w:tc>
          <w:tcPr>
            <w:tcW w:w="520" w:type="dxa"/>
            <w:vAlign w:val="bottom"/>
          </w:tcPr>
          <w:p>
            <w:pPr>
              <w:jc w:val="right"/>
              <w:spacing w:after="0"/>
              <w:rPr>
                <w:sz w:val="20"/>
                <w:szCs w:val="20"/>
                <w:color w:val="auto"/>
              </w:rPr>
            </w:pPr>
            <w:r>
              <w:rPr>
                <w:rFonts w:ascii="Arial" w:cs="Arial" w:eastAsia="Arial" w:hAnsi="Arial"/>
                <w:sz w:val="18"/>
                <w:szCs w:val="18"/>
                <w:color w:val="auto"/>
              </w:rPr>
              <w:t>$ 85</w:t>
            </w:r>
          </w:p>
        </w:tc>
      </w:tr>
      <w:tr>
        <w:trPr>
          <w:trHeight w:val="203"/>
        </w:trPr>
        <w:tc>
          <w:tcPr>
            <w:tcW w:w="5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7"/>
              <w:spacing w:after="0" w:line="202" w:lineRule="exact"/>
              <w:rPr>
                <w:sz w:val="20"/>
                <w:szCs w:val="20"/>
                <w:color w:val="auto"/>
              </w:rPr>
            </w:pPr>
            <w:r>
              <w:rPr>
                <w:rFonts w:ascii="Arial" w:cs="Arial" w:eastAsia="Arial" w:hAnsi="Arial"/>
                <w:sz w:val="18"/>
                <w:szCs w:val="18"/>
                <w:color w:val="auto"/>
              </w:rPr>
              <w:t>(78)</w:t>
            </w:r>
          </w:p>
        </w:tc>
        <w:tc>
          <w:tcPr>
            <w:tcW w:w="6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r>
      <w:tr>
        <w:trPr>
          <w:trHeight w:val="211"/>
        </w:trPr>
        <w:tc>
          <w:tcPr>
            <w:tcW w:w="520" w:type="dxa"/>
            <w:vAlign w:val="bottom"/>
          </w:tcPr>
          <w:p>
            <w:pPr>
              <w:jc w:val="right"/>
              <w:ind w:right="15"/>
              <w:spacing w:after="0"/>
              <w:rPr>
                <w:sz w:val="20"/>
                <w:szCs w:val="20"/>
                <w:color w:val="auto"/>
              </w:rPr>
            </w:pPr>
            <w:r>
              <w:rPr>
                <w:rFonts w:ascii="Arial" w:cs="Arial" w:eastAsia="Arial" w:hAnsi="Arial"/>
                <w:sz w:val="18"/>
                <w:szCs w:val="18"/>
                <w:color w:val="auto"/>
              </w:rPr>
              <w:t>(24)</w:t>
            </w:r>
          </w:p>
        </w:tc>
        <w:tc>
          <w:tcPr>
            <w:tcW w:w="62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6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2">
            <w:col w:w="7280" w:space="720"/>
            <w:col w:w="3060"/>
          </w:cols>
          <w:pgMar w:left="240" w:top="287" w:right="599" w:bottom="1440" w:gutter="0" w:footer="0" w:header="0"/>
        </w:sectPr>
      </w:pPr>
    </w:p>
    <w:p>
      <w:pPr>
        <w:spacing w:after="0" w:line="140" w:lineRule="exact"/>
        <w:rPr>
          <w:sz w:val="20"/>
          <w:szCs w:val="20"/>
          <w:color w:val="auto"/>
        </w:rPr>
      </w:pPr>
    </w:p>
    <w:p>
      <w:pPr>
        <w:ind w:left="680" w:hanging="334"/>
        <w:spacing w:after="0"/>
        <w:tabs>
          <w:tab w:leader="none" w:pos="6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Reflects our adoption of SFAS 123(R) as of July 1, 2005 (see Note 1 to the Financial Statements, Effects of Stock-based Compensation, for details).</w:t>
      </w:r>
    </w:p>
    <w:p>
      <w:pPr>
        <w:ind w:left="680" w:hanging="334"/>
        <w:spacing w:after="0" w:line="221" w:lineRule="auto"/>
        <w:tabs>
          <w:tab w:leader="none" w:pos="6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Reflects settlement of patent-related litigation with Conexant Systems, Inc.</w:t>
      </w:r>
    </w:p>
    <w:p>
      <w:pPr>
        <w:ind w:left="680" w:hanging="334"/>
        <w:spacing w:after="0" w:line="221" w:lineRule="auto"/>
        <w:tabs>
          <w:tab w:leader="none" w:pos="6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Reflects settlement of an audit of Texas state sales and use taxes paid on various purchases over a nine-year period.</w:t>
      </w:r>
    </w:p>
    <w:p>
      <w:pPr>
        <w:ind w:left="680" w:hanging="334"/>
        <w:spacing w:after="0" w:line="221" w:lineRule="auto"/>
        <w:tabs>
          <w:tab w:leader="none" w:pos="6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2006 U.S. federal research tax credit was reinstated in December 2006.</w:t>
      </w:r>
    </w:p>
    <w:p>
      <w:pPr>
        <w:ind w:left="680" w:right="140" w:hanging="334"/>
        <w:spacing w:after="0" w:line="221" w:lineRule="auto"/>
        <w:tabs>
          <w:tab w:leader="none" w:pos="6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Includes favorable adjustments primarily associated with notification of proposed audit adjustments communicated by tax authorities and partially offset by tax related to the American Jobs Creation Act of 2004.</w:t>
      </w:r>
    </w:p>
    <w:p>
      <w:pPr>
        <w:ind w:left="680" w:hanging="334"/>
        <w:spacing w:after="0"/>
        <w:tabs>
          <w:tab w:leader="none" w:pos="6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Includes the disposition of a sales facility and the sale of our liquid crystal display driver product line.</w:t>
      </w:r>
    </w:p>
    <w:p>
      <w:pPr>
        <w:sectPr>
          <w:pgSz w:w="11900" w:h="16838" w:orient="portrait"/>
          <w:cols w:equalWidth="0" w:num="1">
            <w:col w:w="11060"/>
          </w:cols>
          <w:pgMar w:left="240" w:top="287" w:right="599" w:bottom="1440" w:gutter="0" w:footer="0" w:header="0"/>
          <w:type w:val="continuous"/>
        </w:sectPr>
      </w:pPr>
    </w:p>
    <w:bookmarkStart w:id="106" w:name="page107"/>
    <w:bookmarkEnd w:id="106"/>
    <w:p>
      <w:pPr>
        <w:jc w:val="right"/>
        <w:spacing w:after="0"/>
        <w:tabs>
          <w:tab w:leader="none" w:pos="12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2006 ANNUAL REPORT</w:t>
      </w:r>
      <w:r>
        <w:rPr>
          <w:sz w:val="20"/>
          <w:szCs w:val="20"/>
          <w:color w:val="auto"/>
        </w:rPr>
        <w:tab/>
      </w:r>
      <w:r>
        <w:rPr>
          <w:rFonts w:ascii="Arial" w:cs="Arial" w:eastAsia="Arial" w:hAnsi="Arial"/>
          <w:sz w:val="12"/>
          <w:szCs w:val="12"/>
          <w:color w:val="939598"/>
        </w:rPr>
        <w:t>57</w:t>
      </w:r>
    </w:p>
    <w:p>
      <w:pPr>
        <w:spacing w:after="0" w:line="11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COMMON STOCK PRICES AND DIVIDENDS</w:t>
      </w:r>
    </w:p>
    <w:p>
      <w:pPr>
        <w:spacing w:after="0" w:line="261" w:lineRule="exact"/>
        <w:rPr>
          <w:sz w:val="20"/>
          <w:szCs w:val="20"/>
          <w:color w:val="auto"/>
        </w:rPr>
      </w:pPr>
    </w:p>
    <w:p>
      <w:pPr>
        <w:ind w:left="100" w:right="80"/>
        <w:spacing w:after="0" w:line="238" w:lineRule="auto"/>
        <w:rPr>
          <w:sz w:val="20"/>
          <w:szCs w:val="20"/>
          <w:color w:val="auto"/>
        </w:rPr>
      </w:pPr>
      <w:r>
        <w:rPr>
          <w:rFonts w:ascii="Arial" w:cs="Arial" w:eastAsia="Arial" w:hAnsi="Arial"/>
          <w:sz w:val="18"/>
          <w:szCs w:val="18"/>
          <w:color w:val="auto"/>
        </w:rPr>
        <w:t>TI common stock is listed on the New York Stock Exchange and traded principally in that market. The table below shows the high and low closing prices of TI common stock as reported by Bloomberg L.P. and the dividends paid per common share for each quarter during the past two years.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20" w:type="dxa"/>
            <w:vAlign w:val="bottom"/>
            <w:gridSpan w:val="2"/>
          </w:tcPr>
          <w:p>
            <w:pPr>
              <w:jc w:val="right"/>
              <w:ind w:right="375"/>
              <w:spacing w:after="0"/>
              <w:rPr>
                <w:sz w:val="20"/>
                <w:szCs w:val="20"/>
                <w:color w:val="auto"/>
              </w:rPr>
            </w:pPr>
            <w:r>
              <w:rPr>
                <w:rFonts w:ascii="Arial" w:cs="Arial" w:eastAsia="Arial" w:hAnsi="Arial"/>
                <w:sz w:val="14"/>
                <w:szCs w:val="14"/>
                <w:b w:val="1"/>
                <w:bCs w:val="1"/>
                <w:color w:val="939598"/>
              </w:rPr>
              <w:t>QUARTER</w:t>
            </w:r>
          </w:p>
        </w:tc>
        <w:tc>
          <w:tcPr>
            <w:tcW w:w="720" w:type="dxa"/>
            <w:vAlign w:val="bottom"/>
          </w:tcPr>
          <w:p>
            <w:pPr>
              <w:spacing w:after="0"/>
              <w:rPr>
                <w:sz w:val="15"/>
                <w:szCs w:val="15"/>
                <w:color w:val="auto"/>
              </w:rPr>
            </w:pPr>
          </w:p>
        </w:tc>
      </w:tr>
      <w:tr>
        <w:trPr>
          <w:trHeight w:val="28"/>
        </w:trPr>
        <w:tc>
          <w:tcPr>
            <w:tcW w:w="8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49"/>
        </w:trPr>
        <w:tc>
          <w:tcPr>
            <w:tcW w:w="840" w:type="dxa"/>
            <w:vAlign w:val="bottom"/>
            <w:shd w:val="clear" w:color="auto" w:fill="939598"/>
          </w:tcPr>
          <w:p>
            <w:pPr>
              <w:spacing w:after="0"/>
              <w:rPr>
                <w:sz w:val="12"/>
                <w:szCs w:val="12"/>
                <w:color w:val="auto"/>
              </w:rPr>
            </w:pPr>
          </w:p>
        </w:tc>
        <w:tc>
          <w:tcPr>
            <w:tcW w:w="6640" w:type="dxa"/>
            <w:vAlign w:val="bottom"/>
            <w:shd w:val="clear" w:color="auto" w:fill="939598"/>
          </w:tcPr>
          <w:p>
            <w:pPr>
              <w:spacing w:after="0"/>
              <w:rPr>
                <w:sz w:val="12"/>
                <w:szCs w:val="12"/>
                <w:color w:val="auto"/>
              </w:rPr>
            </w:pPr>
          </w:p>
        </w:tc>
        <w:tc>
          <w:tcPr>
            <w:tcW w:w="900" w:type="dxa"/>
            <w:vAlign w:val="bottom"/>
            <w:shd w:val="clear" w:color="auto" w:fill="939598"/>
          </w:tcPr>
          <w:p>
            <w:pPr>
              <w:jc w:val="right"/>
              <w:ind w:right="215"/>
              <w:spacing w:after="0" w:line="149" w:lineRule="exact"/>
              <w:rPr>
                <w:sz w:val="20"/>
                <w:szCs w:val="20"/>
                <w:color w:val="auto"/>
              </w:rPr>
            </w:pPr>
            <w:r>
              <w:rPr>
                <w:rFonts w:ascii="Arial" w:cs="Arial" w:eastAsia="Arial" w:hAnsi="Arial"/>
                <w:sz w:val="14"/>
                <w:szCs w:val="14"/>
                <w:b w:val="1"/>
                <w:bCs w:val="1"/>
                <w:color w:val="FFFFFF"/>
              </w:rPr>
              <w:t>1st</w:t>
            </w:r>
          </w:p>
        </w:tc>
        <w:tc>
          <w:tcPr>
            <w:tcW w:w="820" w:type="dxa"/>
            <w:vAlign w:val="bottom"/>
            <w:shd w:val="clear" w:color="auto" w:fill="939598"/>
          </w:tcPr>
          <w:p>
            <w:pPr>
              <w:jc w:val="right"/>
              <w:ind w:right="197"/>
              <w:spacing w:after="0" w:line="149" w:lineRule="exact"/>
              <w:rPr>
                <w:sz w:val="20"/>
                <w:szCs w:val="20"/>
                <w:color w:val="auto"/>
              </w:rPr>
            </w:pPr>
            <w:r>
              <w:rPr>
                <w:rFonts w:ascii="Arial" w:cs="Arial" w:eastAsia="Arial" w:hAnsi="Arial"/>
                <w:sz w:val="14"/>
                <w:szCs w:val="14"/>
                <w:b w:val="1"/>
                <w:bCs w:val="1"/>
                <w:color w:val="FFFFFF"/>
              </w:rPr>
              <w:t>2nd</w:t>
            </w:r>
          </w:p>
        </w:tc>
        <w:tc>
          <w:tcPr>
            <w:tcW w:w="800" w:type="dxa"/>
            <w:vAlign w:val="bottom"/>
            <w:shd w:val="clear" w:color="auto" w:fill="939598"/>
          </w:tcPr>
          <w:p>
            <w:pPr>
              <w:jc w:val="right"/>
              <w:ind w:right="215"/>
              <w:spacing w:after="0" w:line="149" w:lineRule="exact"/>
              <w:rPr>
                <w:sz w:val="20"/>
                <w:szCs w:val="20"/>
                <w:color w:val="auto"/>
              </w:rPr>
            </w:pPr>
            <w:r>
              <w:rPr>
                <w:rFonts w:ascii="Arial" w:cs="Arial" w:eastAsia="Arial" w:hAnsi="Arial"/>
                <w:sz w:val="14"/>
                <w:szCs w:val="14"/>
                <w:b w:val="1"/>
                <w:bCs w:val="1"/>
                <w:color w:val="FFFFFF"/>
              </w:rPr>
              <w:t>3rd</w:t>
            </w:r>
          </w:p>
        </w:tc>
        <w:tc>
          <w:tcPr>
            <w:tcW w:w="720" w:type="dxa"/>
            <w:vAlign w:val="bottom"/>
            <w:shd w:val="clear" w:color="auto" w:fill="939598"/>
          </w:tcPr>
          <w:p>
            <w:pPr>
              <w:jc w:val="right"/>
              <w:ind w:right="115"/>
              <w:spacing w:after="0" w:line="149" w:lineRule="exact"/>
              <w:rPr>
                <w:sz w:val="20"/>
                <w:szCs w:val="20"/>
                <w:color w:val="auto"/>
              </w:rPr>
            </w:pPr>
            <w:r>
              <w:rPr>
                <w:rFonts w:ascii="Arial" w:cs="Arial" w:eastAsia="Arial" w:hAnsi="Arial"/>
                <w:sz w:val="14"/>
                <w:szCs w:val="14"/>
                <w:b w:val="1"/>
                <w:bCs w:val="1"/>
                <w:color w:val="FFFFFF"/>
              </w:rPr>
              <w:t>4th</w:t>
            </w:r>
          </w:p>
        </w:tc>
      </w:tr>
      <w:tr>
        <w:trPr>
          <w:trHeight w:val="270"/>
        </w:trPr>
        <w:tc>
          <w:tcPr>
            <w:tcW w:w="7480" w:type="dxa"/>
            <w:vAlign w:val="bottom"/>
            <w:gridSpan w:val="2"/>
          </w:tcPr>
          <w:p>
            <w:pPr>
              <w:ind w:left="140"/>
              <w:spacing w:after="0"/>
              <w:rPr>
                <w:sz w:val="20"/>
                <w:szCs w:val="20"/>
                <w:color w:val="auto"/>
              </w:rPr>
            </w:pPr>
            <w:r>
              <w:rPr>
                <w:rFonts w:ascii="Arial" w:cs="Arial" w:eastAsia="Arial" w:hAnsi="Arial"/>
                <w:sz w:val="18"/>
                <w:szCs w:val="18"/>
                <w:color w:val="auto"/>
              </w:rPr>
              <w:t>Stock Prices:</w:t>
            </w:r>
          </w:p>
        </w:tc>
        <w:tc>
          <w:tcPr>
            <w:tcW w:w="9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03"/>
        </w:trPr>
        <w:tc>
          <w:tcPr>
            <w:tcW w:w="8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2006</w:t>
            </w:r>
          </w:p>
        </w:tc>
        <w:tc>
          <w:tcPr>
            <w:tcW w:w="6640" w:type="dxa"/>
            <w:vAlign w:val="bottom"/>
            <w:shd w:val="clear" w:color="auto" w:fill="E6E7E7"/>
          </w:tcPr>
          <w:p>
            <w:pPr>
              <w:ind w:left="20"/>
              <w:spacing w:after="0" w:line="202" w:lineRule="exact"/>
              <w:rPr>
                <w:sz w:val="20"/>
                <w:szCs w:val="20"/>
                <w:color w:val="auto"/>
              </w:rPr>
            </w:pPr>
            <w:r>
              <w:rPr>
                <w:rFonts w:ascii="Arial" w:cs="Arial" w:eastAsia="Arial" w:hAnsi="Arial"/>
                <w:sz w:val="18"/>
                <w:szCs w:val="18"/>
                <w:b w:val="1"/>
                <w:bCs w:val="1"/>
                <w:color w:val="auto"/>
              </w:rPr>
              <w:t>High</w:t>
            </w:r>
          </w:p>
        </w:tc>
        <w:tc>
          <w:tcPr>
            <w:tcW w:w="900" w:type="dxa"/>
            <w:vAlign w:val="bottom"/>
            <w:shd w:val="clear" w:color="auto" w:fill="E6E7E7"/>
          </w:tcPr>
          <w:p>
            <w:pPr>
              <w:jc w:val="right"/>
              <w:ind w:right="15"/>
              <w:spacing w:after="0" w:line="202" w:lineRule="exact"/>
              <w:rPr>
                <w:sz w:val="20"/>
                <w:szCs w:val="20"/>
                <w:color w:val="auto"/>
              </w:rPr>
            </w:pPr>
            <w:r>
              <w:rPr>
                <w:rFonts w:ascii="Arial" w:cs="Arial" w:eastAsia="Arial" w:hAnsi="Arial"/>
                <w:sz w:val="18"/>
                <w:szCs w:val="18"/>
                <w:b w:val="1"/>
                <w:bCs w:val="1"/>
                <w:color w:val="auto"/>
              </w:rPr>
              <w:t>$ 34.45</w:t>
            </w:r>
          </w:p>
        </w:tc>
        <w:tc>
          <w:tcPr>
            <w:tcW w:w="820" w:type="dxa"/>
            <w:vAlign w:val="bottom"/>
            <w:shd w:val="clear" w:color="auto" w:fill="E6E7E7"/>
          </w:tcPr>
          <w:p>
            <w:pPr>
              <w:jc w:val="right"/>
              <w:ind w:right="17"/>
              <w:spacing w:after="0" w:line="202" w:lineRule="exact"/>
              <w:rPr>
                <w:sz w:val="20"/>
                <w:szCs w:val="20"/>
                <w:color w:val="auto"/>
              </w:rPr>
            </w:pPr>
            <w:r>
              <w:rPr>
                <w:rFonts w:ascii="Arial" w:cs="Arial" w:eastAsia="Arial" w:hAnsi="Arial"/>
                <w:sz w:val="18"/>
                <w:szCs w:val="18"/>
                <w:b w:val="1"/>
                <w:bCs w:val="1"/>
                <w:color w:val="auto"/>
              </w:rPr>
              <w:t>$ 35.56</w:t>
            </w:r>
          </w:p>
        </w:tc>
        <w:tc>
          <w:tcPr>
            <w:tcW w:w="800" w:type="dxa"/>
            <w:vAlign w:val="bottom"/>
            <w:shd w:val="clear" w:color="auto" w:fill="E6E7E7"/>
          </w:tcPr>
          <w:p>
            <w:pPr>
              <w:jc w:val="right"/>
              <w:ind w:right="15"/>
              <w:spacing w:after="0" w:line="202" w:lineRule="exact"/>
              <w:rPr>
                <w:sz w:val="20"/>
                <w:szCs w:val="20"/>
                <w:color w:val="auto"/>
              </w:rPr>
            </w:pPr>
            <w:r>
              <w:rPr>
                <w:rFonts w:ascii="Arial" w:cs="Arial" w:eastAsia="Arial" w:hAnsi="Arial"/>
                <w:sz w:val="18"/>
                <w:szCs w:val="18"/>
                <w:b w:val="1"/>
                <w:bCs w:val="1"/>
                <w:color w:val="auto"/>
              </w:rPr>
              <w:t>$ 33.89</w:t>
            </w:r>
          </w:p>
        </w:tc>
        <w:tc>
          <w:tcPr>
            <w:tcW w:w="7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b w:val="1"/>
                <w:bCs w:val="1"/>
                <w:color w:val="auto"/>
              </w:rPr>
              <w:t>$ 33.06</w:t>
            </w:r>
          </w:p>
        </w:tc>
      </w:tr>
      <w:tr>
        <w:trPr>
          <w:trHeight w:val="203"/>
        </w:trPr>
        <w:tc>
          <w:tcPr>
            <w:tcW w:w="840" w:type="dxa"/>
            <w:vAlign w:val="bottom"/>
          </w:tcPr>
          <w:p>
            <w:pPr>
              <w:spacing w:after="0"/>
              <w:rPr>
                <w:sz w:val="17"/>
                <w:szCs w:val="17"/>
                <w:color w:val="auto"/>
              </w:rPr>
            </w:pPr>
          </w:p>
        </w:tc>
        <w:tc>
          <w:tcPr>
            <w:tcW w:w="66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Low</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29.23</w:t>
            </w:r>
          </w:p>
        </w:tc>
        <w:tc>
          <w:tcPr>
            <w:tcW w:w="820" w:type="dxa"/>
            <w:vAlign w:val="bottom"/>
          </w:tcPr>
          <w:p>
            <w:pPr>
              <w:jc w:val="right"/>
              <w:ind w:right="17"/>
              <w:spacing w:after="0" w:line="202" w:lineRule="exact"/>
              <w:rPr>
                <w:sz w:val="20"/>
                <w:szCs w:val="20"/>
                <w:color w:val="auto"/>
              </w:rPr>
            </w:pPr>
            <w:r>
              <w:rPr>
                <w:rFonts w:ascii="Arial" w:cs="Arial" w:eastAsia="Arial" w:hAnsi="Arial"/>
                <w:sz w:val="18"/>
                <w:szCs w:val="18"/>
                <w:b w:val="1"/>
                <w:bCs w:val="1"/>
                <w:color w:val="auto"/>
              </w:rPr>
              <w:t>28.90</w:t>
            </w:r>
          </w:p>
        </w:tc>
        <w:tc>
          <w:tcPr>
            <w:tcW w:w="80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27.00</w:t>
            </w: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28.55</w:t>
            </w:r>
          </w:p>
        </w:tc>
      </w:tr>
      <w:tr>
        <w:trPr>
          <w:trHeight w:val="203"/>
        </w:trPr>
        <w:tc>
          <w:tcPr>
            <w:tcW w:w="8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2005</w:t>
            </w:r>
          </w:p>
        </w:tc>
        <w:tc>
          <w:tcPr>
            <w:tcW w:w="6640" w:type="dxa"/>
            <w:vAlign w:val="bottom"/>
            <w:shd w:val="clear" w:color="auto" w:fill="E6E7E7"/>
          </w:tcPr>
          <w:p>
            <w:pPr>
              <w:ind w:left="20"/>
              <w:spacing w:after="0" w:line="202" w:lineRule="exact"/>
              <w:rPr>
                <w:sz w:val="20"/>
                <w:szCs w:val="20"/>
                <w:color w:val="auto"/>
              </w:rPr>
            </w:pPr>
            <w:r>
              <w:rPr>
                <w:rFonts w:ascii="Arial" w:cs="Arial" w:eastAsia="Arial" w:hAnsi="Arial"/>
                <w:sz w:val="18"/>
                <w:szCs w:val="18"/>
                <w:color w:val="auto"/>
              </w:rPr>
              <w:t>High</w:t>
            </w:r>
          </w:p>
        </w:tc>
        <w:tc>
          <w:tcPr>
            <w:tcW w:w="900" w:type="dxa"/>
            <w:vAlign w:val="bottom"/>
            <w:shd w:val="clear" w:color="auto" w:fill="E6E7E7"/>
          </w:tcPr>
          <w:p>
            <w:pPr>
              <w:jc w:val="right"/>
              <w:ind w:right="15"/>
              <w:spacing w:after="0" w:line="202" w:lineRule="exact"/>
              <w:rPr>
                <w:sz w:val="20"/>
                <w:szCs w:val="20"/>
                <w:color w:val="auto"/>
              </w:rPr>
            </w:pPr>
            <w:r>
              <w:rPr>
                <w:rFonts w:ascii="Arial" w:cs="Arial" w:eastAsia="Arial" w:hAnsi="Arial"/>
                <w:sz w:val="18"/>
                <w:szCs w:val="18"/>
                <w:color w:val="auto"/>
              </w:rPr>
              <w:t>$ 27.37</w:t>
            </w:r>
          </w:p>
        </w:tc>
        <w:tc>
          <w:tcPr>
            <w:tcW w:w="820" w:type="dxa"/>
            <w:vAlign w:val="bottom"/>
            <w:shd w:val="clear" w:color="auto" w:fill="E6E7E7"/>
          </w:tcPr>
          <w:p>
            <w:pPr>
              <w:jc w:val="right"/>
              <w:ind w:right="17"/>
              <w:spacing w:after="0" w:line="202" w:lineRule="exact"/>
              <w:rPr>
                <w:sz w:val="20"/>
                <w:szCs w:val="20"/>
                <w:color w:val="auto"/>
              </w:rPr>
            </w:pPr>
            <w:r>
              <w:rPr>
                <w:rFonts w:ascii="Arial" w:cs="Arial" w:eastAsia="Arial" w:hAnsi="Arial"/>
                <w:sz w:val="18"/>
                <w:szCs w:val="18"/>
                <w:color w:val="auto"/>
              </w:rPr>
              <w:t>$ 28.34</w:t>
            </w:r>
          </w:p>
        </w:tc>
        <w:tc>
          <w:tcPr>
            <w:tcW w:w="800" w:type="dxa"/>
            <w:vAlign w:val="bottom"/>
            <w:shd w:val="clear" w:color="auto" w:fill="E6E7E7"/>
          </w:tcPr>
          <w:p>
            <w:pPr>
              <w:jc w:val="right"/>
              <w:ind w:right="15"/>
              <w:spacing w:after="0" w:line="202" w:lineRule="exact"/>
              <w:rPr>
                <w:sz w:val="20"/>
                <w:szCs w:val="20"/>
                <w:color w:val="auto"/>
              </w:rPr>
            </w:pPr>
            <w:r>
              <w:rPr>
                <w:rFonts w:ascii="Arial" w:cs="Arial" w:eastAsia="Arial" w:hAnsi="Arial"/>
                <w:sz w:val="18"/>
                <w:szCs w:val="18"/>
                <w:color w:val="auto"/>
              </w:rPr>
              <w:t>$ 33.96</w:t>
            </w:r>
          </w:p>
        </w:tc>
        <w:tc>
          <w:tcPr>
            <w:tcW w:w="7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$ 34.11</w:t>
            </w:r>
          </w:p>
        </w:tc>
      </w:tr>
      <w:tr>
        <w:trPr>
          <w:trHeight w:val="203"/>
        </w:trPr>
        <w:tc>
          <w:tcPr>
            <w:tcW w:w="840" w:type="dxa"/>
            <w:vAlign w:val="bottom"/>
          </w:tcPr>
          <w:p>
            <w:pPr>
              <w:spacing w:after="0"/>
              <w:rPr>
                <w:sz w:val="17"/>
                <w:szCs w:val="17"/>
                <w:color w:val="auto"/>
              </w:rPr>
            </w:pPr>
          </w:p>
        </w:tc>
        <w:tc>
          <w:tcPr>
            <w:tcW w:w="6640" w:type="dxa"/>
            <w:vAlign w:val="bottom"/>
          </w:tcPr>
          <w:p>
            <w:pPr>
              <w:ind w:left="20"/>
              <w:spacing w:after="0" w:line="202" w:lineRule="exact"/>
              <w:rPr>
                <w:sz w:val="20"/>
                <w:szCs w:val="20"/>
                <w:color w:val="auto"/>
              </w:rPr>
            </w:pPr>
            <w:r>
              <w:rPr>
                <w:rFonts w:ascii="Arial" w:cs="Arial" w:eastAsia="Arial" w:hAnsi="Arial"/>
                <w:sz w:val="18"/>
                <w:szCs w:val="18"/>
                <w:color w:val="auto"/>
              </w:rPr>
              <w:t>Low</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20.77</w:t>
            </w:r>
          </w:p>
        </w:tc>
        <w:tc>
          <w:tcPr>
            <w:tcW w:w="820" w:type="dxa"/>
            <w:vAlign w:val="bottom"/>
          </w:tcPr>
          <w:p>
            <w:pPr>
              <w:jc w:val="right"/>
              <w:ind w:right="17"/>
              <w:spacing w:after="0" w:line="202" w:lineRule="exact"/>
              <w:rPr>
                <w:sz w:val="20"/>
                <w:szCs w:val="20"/>
                <w:color w:val="auto"/>
              </w:rPr>
            </w:pPr>
            <w:r>
              <w:rPr>
                <w:rFonts w:ascii="Arial" w:cs="Arial" w:eastAsia="Arial" w:hAnsi="Arial"/>
                <w:sz w:val="18"/>
                <w:szCs w:val="18"/>
                <w:color w:val="auto"/>
              </w:rPr>
              <w:t>22.76</w:t>
            </w:r>
          </w:p>
        </w:tc>
        <w:tc>
          <w:tcPr>
            <w:tcW w:w="8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28.03</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27.47</w:t>
            </w:r>
          </w:p>
        </w:tc>
      </w:tr>
      <w:tr>
        <w:trPr>
          <w:trHeight w:val="311"/>
        </w:trPr>
        <w:tc>
          <w:tcPr>
            <w:tcW w:w="7480" w:type="dxa"/>
            <w:vAlign w:val="bottom"/>
            <w:gridSpan w:val="2"/>
            <w:shd w:val="clear" w:color="auto" w:fill="E6E7E7"/>
          </w:tcPr>
          <w:p>
            <w:pPr>
              <w:ind w:left="140"/>
              <w:spacing w:after="0"/>
              <w:rPr>
                <w:sz w:val="20"/>
                <w:szCs w:val="20"/>
                <w:color w:val="auto"/>
              </w:rPr>
            </w:pPr>
            <w:r>
              <w:rPr>
                <w:rFonts w:ascii="Arial" w:cs="Arial" w:eastAsia="Arial" w:hAnsi="Arial"/>
                <w:sz w:val="18"/>
                <w:szCs w:val="18"/>
                <w:color w:val="auto"/>
              </w:rPr>
              <w:t>Dividends paid:</w:t>
            </w:r>
          </w:p>
        </w:tc>
        <w:tc>
          <w:tcPr>
            <w:tcW w:w="900" w:type="dxa"/>
            <w:vAlign w:val="bottom"/>
            <w:shd w:val="clear" w:color="auto" w:fill="E6E7E7"/>
          </w:tcPr>
          <w:p>
            <w:pPr>
              <w:spacing w:after="0"/>
              <w:rPr>
                <w:sz w:val="24"/>
                <w:szCs w:val="24"/>
                <w:color w:val="auto"/>
              </w:rPr>
            </w:pPr>
          </w:p>
        </w:tc>
        <w:tc>
          <w:tcPr>
            <w:tcW w:w="820" w:type="dxa"/>
            <w:vAlign w:val="bottom"/>
            <w:shd w:val="clear" w:color="auto" w:fill="E6E7E7"/>
          </w:tcPr>
          <w:p>
            <w:pPr>
              <w:spacing w:after="0"/>
              <w:rPr>
                <w:sz w:val="24"/>
                <w:szCs w:val="24"/>
                <w:color w:val="auto"/>
              </w:rPr>
            </w:pPr>
          </w:p>
        </w:tc>
        <w:tc>
          <w:tcPr>
            <w:tcW w:w="800" w:type="dxa"/>
            <w:vAlign w:val="bottom"/>
            <w:shd w:val="clear" w:color="auto" w:fill="E6E7E7"/>
          </w:tcPr>
          <w:p>
            <w:pPr>
              <w:spacing w:after="0"/>
              <w:rPr>
                <w:sz w:val="24"/>
                <w:szCs w:val="24"/>
                <w:color w:val="auto"/>
              </w:rPr>
            </w:pPr>
          </w:p>
        </w:tc>
        <w:tc>
          <w:tcPr>
            <w:tcW w:w="720" w:type="dxa"/>
            <w:vAlign w:val="bottom"/>
            <w:shd w:val="clear" w:color="auto" w:fill="E6E7E7"/>
          </w:tcPr>
          <w:p>
            <w:pPr>
              <w:spacing w:after="0"/>
              <w:rPr>
                <w:sz w:val="24"/>
                <w:szCs w:val="24"/>
                <w:color w:val="auto"/>
              </w:rPr>
            </w:pPr>
          </w:p>
        </w:tc>
      </w:tr>
      <w:tr>
        <w:trPr>
          <w:trHeight w:val="203"/>
        </w:trPr>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2006</w:t>
            </w:r>
          </w:p>
        </w:tc>
        <w:tc>
          <w:tcPr>
            <w:tcW w:w="664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$ 0.030</w:t>
            </w:r>
          </w:p>
        </w:tc>
        <w:tc>
          <w:tcPr>
            <w:tcW w:w="820" w:type="dxa"/>
            <w:vAlign w:val="bottom"/>
          </w:tcPr>
          <w:p>
            <w:pPr>
              <w:jc w:val="right"/>
              <w:ind w:right="17"/>
              <w:spacing w:after="0" w:line="202" w:lineRule="exact"/>
              <w:rPr>
                <w:sz w:val="20"/>
                <w:szCs w:val="20"/>
                <w:color w:val="auto"/>
              </w:rPr>
            </w:pPr>
            <w:r>
              <w:rPr>
                <w:rFonts w:ascii="Arial" w:cs="Arial" w:eastAsia="Arial" w:hAnsi="Arial"/>
                <w:sz w:val="18"/>
                <w:szCs w:val="18"/>
                <w:b w:val="1"/>
                <w:bCs w:val="1"/>
                <w:color w:val="auto"/>
              </w:rPr>
              <w:t>$ 0.030</w:t>
            </w:r>
          </w:p>
        </w:tc>
        <w:tc>
          <w:tcPr>
            <w:tcW w:w="80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$ 0.030</w:t>
            </w: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$ 0.040</w:t>
            </w:r>
          </w:p>
        </w:tc>
      </w:tr>
      <w:tr>
        <w:trPr>
          <w:trHeight w:val="203"/>
        </w:trPr>
        <w:tc>
          <w:tcPr>
            <w:tcW w:w="84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2005</w:t>
            </w:r>
          </w:p>
        </w:tc>
        <w:tc>
          <w:tcPr>
            <w:tcW w:w="6640" w:type="dxa"/>
            <w:vAlign w:val="bottom"/>
            <w:shd w:val="clear" w:color="auto" w:fill="E6E7E7"/>
          </w:tcPr>
          <w:p>
            <w:pPr>
              <w:spacing w:after="0"/>
              <w:rPr>
                <w:sz w:val="17"/>
                <w:szCs w:val="17"/>
                <w:color w:val="auto"/>
              </w:rPr>
            </w:pPr>
          </w:p>
        </w:tc>
        <w:tc>
          <w:tcPr>
            <w:tcW w:w="900" w:type="dxa"/>
            <w:vAlign w:val="bottom"/>
            <w:shd w:val="clear" w:color="auto" w:fill="E6E7E7"/>
          </w:tcPr>
          <w:p>
            <w:pPr>
              <w:jc w:val="right"/>
              <w:ind w:right="15"/>
              <w:spacing w:after="0" w:line="202" w:lineRule="exact"/>
              <w:rPr>
                <w:sz w:val="20"/>
                <w:szCs w:val="20"/>
                <w:color w:val="auto"/>
              </w:rPr>
            </w:pPr>
            <w:r>
              <w:rPr>
                <w:rFonts w:ascii="Arial" w:cs="Arial" w:eastAsia="Arial" w:hAnsi="Arial"/>
                <w:sz w:val="18"/>
                <w:szCs w:val="18"/>
                <w:color w:val="auto"/>
              </w:rPr>
              <w:t>$ 0.025</w:t>
            </w:r>
          </w:p>
        </w:tc>
        <w:tc>
          <w:tcPr>
            <w:tcW w:w="820" w:type="dxa"/>
            <w:vAlign w:val="bottom"/>
            <w:shd w:val="clear" w:color="auto" w:fill="E6E7E7"/>
          </w:tcPr>
          <w:p>
            <w:pPr>
              <w:jc w:val="right"/>
              <w:ind w:right="17"/>
              <w:spacing w:after="0" w:line="202" w:lineRule="exact"/>
              <w:rPr>
                <w:sz w:val="20"/>
                <w:szCs w:val="20"/>
                <w:color w:val="auto"/>
              </w:rPr>
            </w:pPr>
            <w:r>
              <w:rPr>
                <w:rFonts w:ascii="Arial" w:cs="Arial" w:eastAsia="Arial" w:hAnsi="Arial"/>
                <w:sz w:val="18"/>
                <w:szCs w:val="18"/>
                <w:color w:val="auto"/>
              </w:rPr>
              <w:t>$ 0.025</w:t>
            </w:r>
          </w:p>
        </w:tc>
        <w:tc>
          <w:tcPr>
            <w:tcW w:w="800" w:type="dxa"/>
            <w:vAlign w:val="bottom"/>
            <w:shd w:val="clear" w:color="auto" w:fill="E6E7E7"/>
          </w:tcPr>
          <w:p>
            <w:pPr>
              <w:jc w:val="right"/>
              <w:ind w:right="15"/>
              <w:spacing w:after="0" w:line="202" w:lineRule="exact"/>
              <w:rPr>
                <w:sz w:val="20"/>
                <w:szCs w:val="20"/>
                <w:color w:val="auto"/>
              </w:rPr>
            </w:pPr>
            <w:r>
              <w:rPr>
                <w:rFonts w:ascii="Arial" w:cs="Arial" w:eastAsia="Arial" w:hAnsi="Arial"/>
                <w:sz w:val="18"/>
                <w:szCs w:val="18"/>
                <w:color w:val="auto"/>
              </w:rPr>
              <w:t>$ 0.025</w:t>
            </w:r>
          </w:p>
        </w:tc>
        <w:tc>
          <w:tcPr>
            <w:tcW w:w="720" w:type="dxa"/>
            <w:vAlign w:val="bottom"/>
            <w:shd w:val="clear" w:color="auto" w:fill="E6E7E7"/>
          </w:tcPr>
          <w:p>
            <w:pPr>
              <w:jc w:val="right"/>
              <w:spacing w:after="0" w:line="202" w:lineRule="exact"/>
              <w:rPr>
                <w:sz w:val="20"/>
                <w:szCs w:val="20"/>
                <w:color w:val="auto"/>
              </w:rPr>
            </w:pPr>
            <w:r>
              <w:rPr>
                <w:rFonts w:ascii="Arial" w:cs="Arial" w:eastAsia="Arial" w:hAnsi="Arial"/>
                <w:sz w:val="18"/>
                <w:szCs w:val="18"/>
                <w:color w:val="auto"/>
              </w:rPr>
              <w:t>$ 0.030</w:t>
            </w:r>
          </w:p>
        </w:tc>
      </w:tr>
    </w:tbl>
    <w:p>
      <w:pPr>
        <w:sectPr>
          <w:pgSz w:w="11900" w:h="16838" w:orient="portrait"/>
          <w:cols w:equalWidth="0" w:num="1">
            <w:col w:w="11060"/>
          </w:cols>
          <w:pgMar w:left="600" w:top="287" w:right="239" w:bottom="1440" w:gutter="0" w:footer="0" w:header="0"/>
        </w:sectPr>
      </w:pPr>
    </w:p>
    <w:bookmarkStart w:id="107" w:name="page108"/>
    <w:bookmarkEnd w:id="107"/>
    <w:p>
      <w:pPr>
        <w:spacing w:after="0"/>
        <w:tabs>
          <w:tab w:leader="none" w:pos="36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58</w:t>
        <w:tab/>
        <w:t>TEXAS INSTRUMENTS 2006 ANNUAL REPORT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OF TOTAL SHAREHOLDER RETURN</w:t>
      </w:r>
    </w:p>
    <w:p>
      <w:pPr>
        <w:spacing w:after="0" w:line="261" w:lineRule="exact"/>
        <w:rPr>
          <w:sz w:val="20"/>
          <w:szCs w:val="20"/>
          <w:color w:val="auto"/>
        </w:rPr>
      </w:pPr>
    </w:p>
    <w:p>
      <w:pPr>
        <w:jc w:val="both"/>
        <w:ind w:left="460"/>
        <w:spacing w:after="0" w:line="281" w:lineRule="auto"/>
        <w:rPr>
          <w:sz w:val="20"/>
          <w:szCs w:val="20"/>
          <w:color w:val="auto"/>
        </w:rPr>
      </w:pPr>
      <w:r>
        <w:rPr>
          <w:rFonts w:ascii="Arial" w:cs="Arial" w:eastAsia="Arial" w:hAnsi="Arial"/>
          <w:sz w:val="16"/>
          <w:szCs w:val="16"/>
          <w:color w:val="auto"/>
        </w:rPr>
        <w:t>This graph compares TI’s total shareholder return with the S&amp;P 500 Index and the S&amp;P Information Technology Index over a five-year period, beginning December 31, 2001, and ending December 31, 2006. The total shareholder return assumes $100 invested at the beginning of the period in TI common stock, the S&amp;P 500 Index and the S&amp;P Information Technology Index. It also assumes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76200</wp:posOffset>
            </wp:positionV>
            <wp:extent cx="5402580" cy="31470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402580" cy="314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960" w:type="dxa"/>
            <w:vAlign w:val="bottom"/>
            <w:shd w:val="clear" w:color="auto" w:fill="939598"/>
          </w:tcPr>
          <w:p>
            <w:pPr>
              <w:spacing w:after="0"/>
              <w:rPr>
                <w:sz w:val="14"/>
                <w:szCs w:val="14"/>
                <w:color w:val="auto"/>
              </w:rPr>
            </w:pPr>
          </w:p>
        </w:tc>
        <w:tc>
          <w:tcPr>
            <w:tcW w:w="2680" w:type="dxa"/>
            <w:vAlign w:val="bottom"/>
            <w:shd w:val="clear" w:color="auto" w:fill="939598"/>
          </w:tcPr>
          <w:p>
            <w:pPr>
              <w:ind w:left="2140"/>
              <w:spacing w:after="0"/>
              <w:rPr>
                <w:sz w:val="20"/>
                <w:szCs w:val="20"/>
                <w:color w:val="auto"/>
              </w:rPr>
            </w:pPr>
            <w:r>
              <w:rPr>
                <w:rFonts w:ascii="Arial" w:cs="Arial" w:eastAsia="Arial" w:hAnsi="Arial"/>
                <w:sz w:val="14"/>
                <w:szCs w:val="14"/>
                <w:b w:val="1"/>
                <w:bCs w:val="1"/>
                <w:color w:val="FFFFFF"/>
              </w:rPr>
              <w:t>Dec-01</w:t>
            </w:r>
          </w:p>
        </w:tc>
        <w:tc>
          <w:tcPr>
            <w:tcW w:w="640" w:type="dxa"/>
            <w:vAlign w:val="bottom"/>
            <w:gridSpan w:val="2"/>
            <w:shd w:val="clear" w:color="auto" w:fill="939598"/>
          </w:tcPr>
          <w:p>
            <w:pPr>
              <w:ind w:left="100"/>
              <w:spacing w:after="0"/>
              <w:rPr>
                <w:sz w:val="20"/>
                <w:szCs w:val="20"/>
                <w:color w:val="auto"/>
              </w:rPr>
            </w:pPr>
            <w:r>
              <w:rPr>
                <w:rFonts w:ascii="Arial" w:cs="Arial" w:eastAsia="Arial" w:hAnsi="Arial"/>
                <w:sz w:val="14"/>
                <w:szCs w:val="14"/>
                <w:b w:val="1"/>
                <w:bCs w:val="1"/>
                <w:color w:val="FFFFFF"/>
              </w:rPr>
              <w:t>Dec-02</w:t>
            </w:r>
          </w:p>
        </w:tc>
        <w:tc>
          <w:tcPr>
            <w:tcW w:w="620" w:type="dxa"/>
            <w:vAlign w:val="bottom"/>
            <w:gridSpan w:val="2"/>
            <w:shd w:val="clear" w:color="auto" w:fill="939598"/>
          </w:tcPr>
          <w:p>
            <w:pPr>
              <w:ind w:left="80"/>
              <w:spacing w:after="0"/>
              <w:rPr>
                <w:sz w:val="20"/>
                <w:szCs w:val="20"/>
                <w:color w:val="auto"/>
              </w:rPr>
            </w:pPr>
            <w:r>
              <w:rPr>
                <w:rFonts w:ascii="Arial" w:cs="Arial" w:eastAsia="Arial" w:hAnsi="Arial"/>
                <w:sz w:val="14"/>
                <w:szCs w:val="14"/>
                <w:b w:val="1"/>
                <w:bCs w:val="1"/>
                <w:color w:val="FFFFFF"/>
              </w:rPr>
              <w:t>Dec-03</w:t>
            </w:r>
          </w:p>
        </w:tc>
        <w:tc>
          <w:tcPr>
            <w:tcW w:w="640" w:type="dxa"/>
            <w:vAlign w:val="bottom"/>
            <w:gridSpan w:val="2"/>
            <w:shd w:val="clear" w:color="auto" w:fill="939598"/>
          </w:tcPr>
          <w:p>
            <w:pPr>
              <w:ind w:left="100"/>
              <w:spacing w:after="0"/>
              <w:rPr>
                <w:sz w:val="20"/>
                <w:szCs w:val="20"/>
                <w:color w:val="auto"/>
              </w:rPr>
            </w:pPr>
            <w:r>
              <w:rPr>
                <w:rFonts w:ascii="Arial" w:cs="Arial" w:eastAsia="Arial" w:hAnsi="Arial"/>
                <w:sz w:val="14"/>
                <w:szCs w:val="14"/>
                <w:b w:val="1"/>
                <w:bCs w:val="1"/>
                <w:color w:val="FFFFFF"/>
              </w:rPr>
              <w:t>Dec-04</w:t>
            </w:r>
          </w:p>
        </w:tc>
        <w:tc>
          <w:tcPr>
            <w:tcW w:w="640" w:type="dxa"/>
            <w:vAlign w:val="bottom"/>
            <w:gridSpan w:val="2"/>
            <w:shd w:val="clear" w:color="auto" w:fill="939598"/>
          </w:tcPr>
          <w:p>
            <w:pPr>
              <w:ind w:left="100"/>
              <w:spacing w:after="0"/>
              <w:rPr>
                <w:sz w:val="20"/>
                <w:szCs w:val="20"/>
                <w:color w:val="auto"/>
              </w:rPr>
            </w:pPr>
            <w:r>
              <w:rPr>
                <w:rFonts w:ascii="Arial" w:cs="Arial" w:eastAsia="Arial" w:hAnsi="Arial"/>
                <w:sz w:val="14"/>
                <w:szCs w:val="14"/>
                <w:b w:val="1"/>
                <w:bCs w:val="1"/>
                <w:color w:val="FFFFFF"/>
              </w:rPr>
              <w:t>Dec-05</w:t>
            </w:r>
          </w:p>
        </w:tc>
        <w:tc>
          <w:tcPr>
            <w:tcW w:w="540" w:type="dxa"/>
            <w:vAlign w:val="bottom"/>
            <w:shd w:val="clear" w:color="auto" w:fill="939598"/>
          </w:tcPr>
          <w:p>
            <w:pPr>
              <w:ind w:left="100"/>
              <w:spacing w:after="0"/>
              <w:rPr>
                <w:sz w:val="20"/>
                <w:szCs w:val="20"/>
                <w:color w:val="auto"/>
              </w:rPr>
            </w:pPr>
            <w:r>
              <w:rPr>
                <w:rFonts w:ascii="Arial" w:cs="Arial" w:eastAsia="Arial" w:hAnsi="Arial"/>
                <w:sz w:val="14"/>
                <w:szCs w:val="14"/>
                <w:b w:val="1"/>
                <w:bCs w:val="1"/>
                <w:color w:val="FFFFFF"/>
                <w:w w:val="91"/>
              </w:rPr>
              <w:t>Dec-06</w:t>
            </w:r>
          </w:p>
        </w:tc>
      </w:tr>
      <w:tr>
        <w:trPr>
          <w:trHeight w:val="273"/>
        </w:trPr>
        <w:tc>
          <w:tcPr>
            <w:tcW w:w="4960" w:type="dxa"/>
            <w:vAlign w:val="bottom"/>
          </w:tcPr>
          <w:p>
            <w:pPr>
              <w:ind w:left="140"/>
              <w:spacing w:after="0"/>
              <w:rPr>
                <w:sz w:val="20"/>
                <w:szCs w:val="20"/>
                <w:color w:val="auto"/>
              </w:rPr>
            </w:pPr>
            <w:r>
              <w:rPr>
                <w:rFonts w:ascii="Arial" w:cs="Arial" w:eastAsia="Arial" w:hAnsi="Arial"/>
                <w:sz w:val="18"/>
                <w:szCs w:val="18"/>
                <w:color w:val="auto"/>
              </w:rPr>
              <w:t>Texas Instruments</w:t>
            </w:r>
          </w:p>
        </w:tc>
        <w:tc>
          <w:tcPr>
            <w:tcW w:w="2680" w:type="dxa"/>
            <w:vAlign w:val="bottom"/>
          </w:tcPr>
          <w:p>
            <w:pPr>
              <w:ind w:left="2140"/>
              <w:spacing w:after="0"/>
              <w:rPr>
                <w:sz w:val="20"/>
                <w:szCs w:val="20"/>
                <w:color w:val="auto"/>
              </w:rPr>
            </w:pPr>
            <w:r>
              <w:rPr>
                <w:rFonts w:ascii="Arial" w:cs="Arial" w:eastAsia="Arial" w:hAnsi="Arial"/>
                <w:sz w:val="18"/>
                <w:szCs w:val="18"/>
                <w:color w:val="auto"/>
              </w:rPr>
              <w:t>$ 100</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106</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w w:val="99"/>
              </w:rPr>
              <w:t>116</w:t>
            </w:r>
          </w:p>
        </w:tc>
        <w:tc>
          <w:tcPr>
            <w:tcW w:w="540" w:type="dxa"/>
            <w:vAlign w:val="bottom"/>
          </w:tcPr>
          <w:p>
            <w:pPr>
              <w:ind w:left="100"/>
              <w:spacing w:after="0"/>
              <w:rPr>
                <w:sz w:val="20"/>
                <w:szCs w:val="20"/>
                <w:color w:val="auto"/>
              </w:rPr>
            </w:pPr>
            <w:r>
              <w:rPr>
                <w:rFonts w:ascii="Arial" w:cs="Arial" w:eastAsia="Arial" w:hAnsi="Arial"/>
                <w:sz w:val="18"/>
                <w:szCs w:val="18"/>
                <w:color w:val="auto"/>
                <w:w w:val="93"/>
              </w:rPr>
              <w:t>$ 105</w:t>
            </w:r>
          </w:p>
        </w:tc>
      </w:tr>
      <w:tr>
        <w:trPr>
          <w:trHeight w:val="203"/>
        </w:trPr>
        <w:tc>
          <w:tcPr>
            <w:tcW w:w="4960" w:type="dxa"/>
            <w:vAlign w:val="bottom"/>
          </w:tcPr>
          <w:p>
            <w:pPr>
              <w:ind w:left="140"/>
              <w:spacing w:after="0" w:line="202" w:lineRule="exact"/>
              <w:rPr>
                <w:sz w:val="20"/>
                <w:szCs w:val="20"/>
                <w:color w:val="auto"/>
              </w:rPr>
            </w:pPr>
            <w:r>
              <w:rPr>
                <w:rFonts w:ascii="Arial" w:cs="Arial" w:eastAsia="Arial" w:hAnsi="Arial"/>
                <w:sz w:val="18"/>
                <w:szCs w:val="18"/>
                <w:color w:val="auto"/>
              </w:rPr>
              <w:t>S&amp;P 500</w:t>
            </w:r>
          </w:p>
        </w:tc>
        <w:tc>
          <w:tcPr>
            <w:tcW w:w="2680" w:type="dxa"/>
            <w:vAlign w:val="bottom"/>
          </w:tcPr>
          <w:p>
            <w:pPr>
              <w:ind w:left="2140"/>
              <w:spacing w:after="0" w:line="202" w:lineRule="exact"/>
              <w:rPr>
                <w:sz w:val="20"/>
                <w:szCs w:val="20"/>
                <w:color w:val="auto"/>
              </w:rPr>
            </w:pPr>
            <w:r>
              <w:rPr>
                <w:rFonts w:ascii="Arial" w:cs="Arial" w:eastAsia="Arial" w:hAnsi="Arial"/>
                <w:sz w:val="18"/>
                <w:szCs w:val="18"/>
                <w:color w:val="auto"/>
              </w:rPr>
              <w:t>$ 100</w:t>
            </w:r>
          </w:p>
        </w:tc>
        <w:tc>
          <w:tcPr>
            <w:tcW w:w="26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78</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w w:val="99"/>
              </w:rPr>
              <w:t>100</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w w:val="99"/>
              </w:rPr>
              <w:t>$</w:t>
            </w:r>
          </w:p>
        </w:tc>
        <w:tc>
          <w:tcPr>
            <w:tcW w:w="42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9"/>
              </w:rPr>
              <w:t>111</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w w:val="99"/>
              </w:rPr>
              <w:t>$</w:t>
            </w:r>
          </w:p>
        </w:tc>
        <w:tc>
          <w:tcPr>
            <w:tcW w:w="42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9"/>
              </w:rPr>
              <w:t>117</w:t>
            </w:r>
          </w:p>
        </w:tc>
        <w:tc>
          <w:tcPr>
            <w:tcW w:w="540" w:type="dxa"/>
            <w:vAlign w:val="bottom"/>
          </w:tcPr>
          <w:p>
            <w:pPr>
              <w:ind w:left="100"/>
              <w:spacing w:after="0" w:line="202" w:lineRule="exact"/>
              <w:rPr>
                <w:sz w:val="20"/>
                <w:szCs w:val="20"/>
                <w:color w:val="auto"/>
              </w:rPr>
            </w:pPr>
            <w:r>
              <w:rPr>
                <w:rFonts w:ascii="Arial" w:cs="Arial" w:eastAsia="Arial" w:hAnsi="Arial"/>
                <w:sz w:val="18"/>
                <w:szCs w:val="18"/>
                <w:color w:val="auto"/>
                <w:w w:val="93"/>
              </w:rPr>
              <w:t>$ 135</w:t>
            </w:r>
          </w:p>
        </w:tc>
      </w:tr>
      <w:tr>
        <w:trPr>
          <w:trHeight w:val="211"/>
        </w:trPr>
        <w:tc>
          <w:tcPr>
            <w:tcW w:w="4960" w:type="dxa"/>
            <w:vAlign w:val="bottom"/>
          </w:tcPr>
          <w:p>
            <w:pPr>
              <w:ind w:left="140"/>
              <w:spacing w:after="0"/>
              <w:rPr>
                <w:sz w:val="20"/>
                <w:szCs w:val="20"/>
                <w:color w:val="auto"/>
              </w:rPr>
            </w:pPr>
            <w:r>
              <w:rPr>
                <w:rFonts w:ascii="Arial" w:cs="Arial" w:eastAsia="Arial" w:hAnsi="Arial"/>
                <w:sz w:val="18"/>
                <w:szCs w:val="18"/>
                <w:color w:val="auto"/>
              </w:rPr>
              <w:t>S&amp;P Information Technology Index</w:t>
            </w:r>
          </w:p>
        </w:tc>
        <w:tc>
          <w:tcPr>
            <w:tcW w:w="2680" w:type="dxa"/>
            <w:vAlign w:val="bottom"/>
          </w:tcPr>
          <w:p>
            <w:pPr>
              <w:ind w:left="2140"/>
              <w:spacing w:after="0"/>
              <w:rPr>
                <w:sz w:val="20"/>
                <w:szCs w:val="20"/>
                <w:color w:val="auto"/>
              </w:rPr>
            </w:pPr>
            <w:r>
              <w:rPr>
                <w:rFonts w:ascii="Arial" w:cs="Arial" w:eastAsia="Arial" w:hAnsi="Arial"/>
                <w:sz w:val="18"/>
                <w:szCs w:val="18"/>
                <w:color w:val="auto"/>
              </w:rPr>
              <w:t>$ 100</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95</w:t>
            </w:r>
          </w:p>
        </w:tc>
        <w:tc>
          <w:tcPr>
            <w:tcW w:w="540" w:type="dxa"/>
            <w:vAlign w:val="bottom"/>
          </w:tcPr>
          <w:p>
            <w:pPr>
              <w:ind w:left="100"/>
              <w:spacing w:after="0"/>
              <w:rPr>
                <w:sz w:val="20"/>
                <w:szCs w:val="20"/>
                <w:color w:val="auto"/>
              </w:rPr>
            </w:pPr>
            <w:r>
              <w:rPr>
                <w:rFonts w:ascii="Arial" w:cs="Arial" w:eastAsia="Arial" w:hAnsi="Arial"/>
                <w:sz w:val="18"/>
                <w:szCs w:val="18"/>
                <w:color w:val="auto"/>
                <w:w w:val="93"/>
              </w:rPr>
              <w:t>$ 103</w:t>
            </w:r>
          </w:p>
        </w:tc>
      </w:tr>
    </w:tbl>
    <w:p>
      <w:pPr>
        <w:sectPr>
          <w:pgSz w:w="11900" w:h="16838" w:orient="portrait"/>
          <w:cols w:equalWidth="0" w:num="1">
            <w:col w:w="11400"/>
          </w:cols>
          <w:pgMar w:left="240" w:top="287" w:right="259" w:bottom="1440" w:gutter="0" w:footer="0" w:header="0"/>
        </w:sectPr>
      </w:pPr>
    </w:p>
    <w:bookmarkStart w:id="108" w:name="page109"/>
    <w:bookmarkEnd w:id="108"/>
    <w:p>
      <w:pPr>
        <w:jc w:val="right"/>
        <w:spacing w:after="0"/>
        <w:tabs>
          <w:tab w:leader="none" w:pos="120" w:val="left"/>
        </w:tabs>
        <w:rPr>
          <w:sz w:val="20"/>
          <w:szCs w:val="20"/>
          <w:color w:val="auto"/>
        </w:rPr>
      </w:pPr>
      <w:r>
        <w:rPr>
          <w:rFonts w:ascii="Arial" w:cs="Arial" w:eastAsia="Arial" w:hAnsi="Arial"/>
          <w:sz w:val="14"/>
          <w:szCs w:val="14"/>
          <w:color w:val="939598"/>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2006 ANNUAL REPORT</w:t>
      </w:r>
      <w:r>
        <w:rPr>
          <w:sz w:val="20"/>
          <w:szCs w:val="20"/>
          <w:color w:val="auto"/>
        </w:rPr>
        <w:tab/>
      </w:r>
      <w:r>
        <w:rPr>
          <w:rFonts w:ascii="Arial" w:cs="Arial" w:eastAsia="Arial" w:hAnsi="Arial"/>
          <w:sz w:val="12"/>
          <w:szCs w:val="12"/>
          <w:color w:val="939598"/>
        </w:rPr>
        <w:t>59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8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56"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195" w:lineRule="exact"/>
        <w:rPr>
          <w:sz w:val="20"/>
          <w:szCs w:val="20"/>
          <w:color w:val="auto"/>
        </w:rPr>
      </w:pPr>
    </w:p>
    <w:p>
      <w:pPr>
        <w:ind w:left="440" w:right="80" w:hanging="217"/>
        <w:spacing w:after="0" w:line="234" w:lineRule="auto"/>
        <w:tabs>
          <w:tab w:leader="none" w:pos="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440" w:right="260" w:hanging="217"/>
        <w:spacing w:after="0" w:line="234" w:lineRule="auto"/>
        <w:tabs>
          <w:tab w:leader="none" w:pos="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 w:lineRule="exact"/>
        <w:rPr>
          <w:rFonts w:ascii="Arial" w:cs="Arial" w:eastAsia="Arial" w:hAnsi="Arial"/>
          <w:sz w:val="18"/>
          <w:szCs w:val="18"/>
          <w:color w:val="auto"/>
        </w:rPr>
      </w:pPr>
    </w:p>
    <w:p>
      <w:pPr>
        <w:ind w:left="440" w:hanging="217"/>
        <w:spacing w:after="0" w:line="234" w:lineRule="auto"/>
        <w:tabs>
          <w:tab w:leader="none" w:pos="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ind w:left="440" w:hanging="217"/>
        <w:spacing w:after="0" w:line="234" w:lineRule="auto"/>
        <w:tabs>
          <w:tab w:leader="none" w:pos="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ind w:left="440" w:hanging="217"/>
        <w:spacing w:after="0" w:line="234" w:lineRule="auto"/>
        <w:tabs>
          <w:tab w:leader="none" w:pos="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ind w:left="440" w:hanging="217"/>
        <w:spacing w:after="0" w:line="234" w:lineRule="auto"/>
        <w:tabs>
          <w:tab w:leader="none" w:pos="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ind w:left="440" w:right="400" w:hanging="217"/>
        <w:spacing w:after="0" w:line="234" w:lineRule="auto"/>
        <w:tabs>
          <w:tab w:leader="none" w:pos="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 w:lineRule="exact"/>
        <w:rPr>
          <w:rFonts w:ascii="Arial" w:cs="Arial" w:eastAsia="Arial" w:hAnsi="Arial"/>
          <w:sz w:val="18"/>
          <w:szCs w:val="18"/>
          <w:color w:val="auto"/>
        </w:rPr>
      </w:pPr>
    </w:p>
    <w:p>
      <w:pPr>
        <w:ind w:left="440" w:hanging="217"/>
        <w:spacing w:after="0" w:line="234" w:lineRule="auto"/>
        <w:tabs>
          <w:tab w:leader="none" w:pos="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ind w:left="440" w:right="740" w:hanging="217"/>
        <w:spacing w:after="0" w:line="234" w:lineRule="auto"/>
        <w:tabs>
          <w:tab w:leader="none" w:pos="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1" w:lineRule="exact"/>
        <w:rPr>
          <w:rFonts w:ascii="Arial" w:cs="Arial" w:eastAsia="Arial" w:hAnsi="Arial"/>
          <w:sz w:val="18"/>
          <w:szCs w:val="18"/>
          <w:color w:val="auto"/>
        </w:rPr>
      </w:pPr>
    </w:p>
    <w:p>
      <w:pPr>
        <w:ind w:left="440" w:hanging="217"/>
        <w:spacing w:after="0" w:line="234" w:lineRule="auto"/>
        <w:tabs>
          <w:tab w:leader="none" w:pos="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 w:lineRule="exact"/>
        <w:rPr>
          <w:rFonts w:ascii="Arial" w:cs="Arial" w:eastAsia="Arial" w:hAnsi="Arial"/>
          <w:sz w:val="18"/>
          <w:szCs w:val="18"/>
          <w:color w:val="auto"/>
        </w:rPr>
      </w:pPr>
    </w:p>
    <w:p>
      <w:pPr>
        <w:ind w:left="440" w:right="660" w:hanging="217"/>
        <w:spacing w:after="0" w:line="234" w:lineRule="auto"/>
        <w:tabs>
          <w:tab w:leader="none" w:pos="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and the timing and amount of distributor and other customer inventory adjustments;</w:t>
      </w:r>
    </w:p>
    <w:p>
      <w:pPr>
        <w:spacing w:after="0" w:line="1" w:lineRule="exact"/>
        <w:rPr>
          <w:rFonts w:ascii="Arial" w:cs="Arial" w:eastAsia="Arial" w:hAnsi="Arial"/>
          <w:sz w:val="18"/>
          <w:szCs w:val="18"/>
          <w:color w:val="auto"/>
        </w:rPr>
      </w:pPr>
    </w:p>
    <w:p>
      <w:pPr>
        <w:ind w:left="440" w:hanging="217"/>
        <w:spacing w:after="0" w:line="234" w:lineRule="auto"/>
        <w:tabs>
          <w:tab w:leader="none" w:pos="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ind w:left="440" w:hanging="217"/>
        <w:spacing w:after="0" w:line="234" w:lineRule="auto"/>
        <w:tabs>
          <w:tab w:leader="none" w:pos="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ind w:left="440" w:hanging="217"/>
        <w:spacing w:after="0" w:line="234" w:lineRule="auto"/>
        <w:tabs>
          <w:tab w:leader="none" w:pos="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ind w:left="440" w:hanging="217"/>
        <w:spacing w:after="0" w:line="234" w:lineRule="auto"/>
        <w:tabs>
          <w:tab w:leader="none" w:pos="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ind w:left="440" w:right="360" w:hanging="217"/>
        <w:spacing w:after="0" w:line="239" w:lineRule="auto"/>
        <w:tabs>
          <w:tab w:leader="none" w:pos="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5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report are made only as of the date of publication (February 2007), and the Company undertakes no obligation to update the forward-looking statements to reflect subsequent events or circumstances.</w:t>
      </w:r>
    </w:p>
    <w:p>
      <w:pPr>
        <w:sectPr>
          <w:pgSz w:w="11900" w:h="16838" w:orient="portrait"/>
          <w:cols w:equalWidth="0" w:num="1">
            <w:col w:w="10960"/>
          </w:cols>
          <w:pgMar w:left="700" w:top="287"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u w:val="single" w:color="auto"/>
          <w:color w:val="auto"/>
        </w:rPr>
        <w:t>Exhibit 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20" w:type="dxa"/>
            <w:vAlign w:val="bottom"/>
            <w:gridSpan w:val="3"/>
          </w:tcPr>
          <w:p>
            <w:pPr>
              <w:ind w:left="3280"/>
              <w:spacing w:after="0"/>
              <w:rPr>
                <w:sz w:val="20"/>
                <w:szCs w:val="20"/>
                <w:color w:val="auto"/>
              </w:rPr>
            </w:pPr>
            <w:r>
              <w:rPr>
                <w:rFonts w:ascii="Arial" w:cs="Arial" w:eastAsia="Arial" w:hAnsi="Arial"/>
                <w:sz w:val="18"/>
                <w:szCs w:val="18"/>
                <w:color w:val="auto"/>
              </w:rPr>
              <w:t>TEXAS INSTRUMENTS INCORPORATED AND SUBSIDIARIES</w:t>
            </w:r>
          </w:p>
        </w:tc>
      </w:tr>
      <w:tr>
        <w:trPr>
          <w:trHeight w:val="222"/>
        </w:trPr>
        <w:tc>
          <w:tcPr>
            <w:tcW w:w="11420" w:type="dxa"/>
            <w:vAlign w:val="bottom"/>
            <w:gridSpan w:val="3"/>
          </w:tcPr>
          <w:p>
            <w:pPr>
              <w:ind w:left="3880"/>
              <w:spacing w:after="0"/>
              <w:rPr>
                <w:sz w:val="20"/>
                <w:szCs w:val="20"/>
                <w:color w:val="auto"/>
              </w:rPr>
            </w:pPr>
            <w:r>
              <w:rPr>
                <w:rFonts w:ascii="Arial" w:cs="Arial" w:eastAsia="Arial" w:hAnsi="Arial"/>
                <w:sz w:val="18"/>
                <w:szCs w:val="18"/>
                <w:color w:val="auto"/>
              </w:rPr>
              <w:t>LIST OF SUBSIDIARIES OF THE REGISTRANT</w:t>
            </w:r>
          </w:p>
        </w:tc>
      </w:tr>
      <w:tr>
        <w:trPr>
          <w:trHeight w:val="378"/>
        </w:trPr>
        <w:tc>
          <w:tcPr>
            <w:tcW w:w="7200" w:type="dxa"/>
            <w:vAlign w:val="bottom"/>
          </w:tcPr>
          <w:p>
            <w:pPr>
              <w:ind w:left="20"/>
              <w:spacing w:after="0"/>
              <w:rPr>
                <w:sz w:val="20"/>
                <w:szCs w:val="20"/>
                <w:color w:val="auto"/>
              </w:rPr>
            </w:pPr>
            <w:r>
              <w:rPr>
                <w:rFonts w:ascii="Arial" w:cs="Arial" w:eastAsia="Arial" w:hAnsi="Arial"/>
                <w:sz w:val="18"/>
                <w:szCs w:val="18"/>
                <w:color w:val="auto"/>
              </w:rPr>
              <w:t>The following are current subsidiaries of the Registrant.</w:t>
            </w:r>
          </w:p>
        </w:tc>
        <w:tc>
          <w:tcPr>
            <w:tcW w:w="2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353"/>
        </w:trPr>
        <w:tc>
          <w:tcPr>
            <w:tcW w:w="7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 and Name Under Which Business is Done</w:t>
            </w:r>
          </w:p>
        </w:tc>
        <w:tc>
          <w:tcPr>
            <w:tcW w:w="240" w:type="dxa"/>
            <w:vAlign w:val="bottom"/>
          </w:tcPr>
          <w:p>
            <w:pPr>
              <w:spacing w:after="0"/>
              <w:rPr>
                <w:sz w:val="24"/>
                <w:szCs w:val="24"/>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Where Organized</w:t>
            </w:r>
          </w:p>
        </w:tc>
      </w:tr>
      <w:tr>
        <w:trPr>
          <w:trHeight w:val="215"/>
        </w:trPr>
        <w:tc>
          <w:tcPr>
            <w:tcW w:w="7200" w:type="dxa"/>
            <w:vAlign w:val="bottom"/>
          </w:tcPr>
          <w:p>
            <w:pPr>
              <w:spacing w:after="0"/>
              <w:rPr>
                <w:sz w:val="20"/>
                <w:szCs w:val="20"/>
                <w:color w:val="auto"/>
              </w:rPr>
            </w:pPr>
            <w:r>
              <w:rPr>
                <w:rFonts w:ascii="Arial" w:cs="Arial" w:eastAsia="Arial" w:hAnsi="Arial"/>
                <w:sz w:val="18"/>
                <w:szCs w:val="18"/>
                <w:color w:val="auto"/>
              </w:rPr>
              <w:t>Auto Circuits, Inc.</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Benchmarq Microelectronics Corporation of South Korea</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Burr-Brown Europe Limited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Burr-Brown International Holding Corporation</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Butterfly Communications Inc.</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Chipcon, Inc.</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Condat Edinburgh Ltd.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European Engineering and Technologies S.p.A.</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Telogy Networks, Inc.</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Asia Limited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Australia Pty Limited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(Bahamas) Limited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Bahamas</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Belgium S.A.</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Belgium</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Berlin AG</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Business Expansion GmbH</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Canada Limited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Canada</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China Incorporated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de Mexico, S. de R.L. de C.V.</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Mexico</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Denmark A/S</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Denmark</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Deutschland GmbH</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Espana, S.A.</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Spain</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Finance GmbH &amp; Co. KG</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Foreign Sales Corporation</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Barbados</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France S.A.</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Gesellschaft m.b.H.</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Austria</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Holland B.V.</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Hong Kong Limited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Hong Kong</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(India) Private Limited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Insurance (Bermuda) Limited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Bermuda</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International Capital Corporation</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International (Overseas) Limited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International Trade Corporation</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International (U.S.A.) Inc.</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(Ireland) Limited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Ireland</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Israel Ltd.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Israel</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Israel Trading (2003) Ltd.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Israel</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Japan Limited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Korea Limited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Korea</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Limited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Low Power Wireless San Diego Incorporated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Malaysia Sdn. Bhd.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Malaysia</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Norway AS</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Norway</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Norway ASA</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Norway</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Oy</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Finland</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Palo Alto Incorporated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(Philippines) Incorporated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Richardson LLC</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Santa Rosa Incorporated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Semiconductor Technologies (Shanghai) Co., Ltd.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China</w:t>
            </w:r>
          </w:p>
        </w:tc>
      </w:tr>
      <w:tr>
        <w:trPr>
          <w:trHeight w:val="222"/>
        </w:trPr>
        <w:tc>
          <w:tcPr>
            <w:tcW w:w="7200" w:type="dxa"/>
            <w:vAlign w:val="bottom"/>
          </w:tcPr>
          <w:p>
            <w:pPr>
              <w:spacing w:after="0"/>
              <w:rPr>
                <w:sz w:val="20"/>
                <w:szCs w:val="20"/>
                <w:color w:val="auto"/>
              </w:rPr>
            </w:pPr>
            <w:r>
              <w:rPr>
                <w:rFonts w:ascii="Arial" w:cs="Arial" w:eastAsia="Arial" w:hAnsi="Arial"/>
                <w:sz w:val="18"/>
                <w:szCs w:val="18"/>
                <w:color w:val="auto"/>
              </w:rPr>
              <w:t>Texas Instruments Semiconductores e Tecnologias Ltda.</w:t>
            </w:r>
          </w:p>
        </w:tc>
        <w:tc>
          <w:tcPr>
            <w:tcW w:w="2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Brazil</w:t>
            </w:r>
          </w:p>
        </w:tc>
      </w:tr>
    </w:tbl>
    <w:p>
      <w:pPr>
        <w:sectPr>
          <w:pgSz w:w="11900" w:h="16838" w:orient="portrait"/>
          <w:cols w:equalWidth="0" w:num="1">
            <w:col w:w="11420"/>
          </w:cols>
          <w:pgMar w:left="240" w:top="131"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Texas Instruments (Shanghai) Co.,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Singapore (Pte)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Sunnyvale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Taiwan Limited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Texas Instruments Trade &amp; Investment Company S.A.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Tucson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 Europe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 (Philippines),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Unitrode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Unitrode-Maine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-219710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Panama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Maine</w:t>
      </w:r>
    </w:p>
    <w:p>
      <w:pPr>
        <w:sectPr>
          <w:pgSz w:w="11900" w:h="16838" w:orient="portrait"/>
          <w:cols w:equalWidth="0" w:num="2">
            <w:col w:w="6720" w:space="720"/>
            <w:col w:w="2779"/>
          </w:cols>
          <w:pgMar w:left="240" w:top="280" w:right="1440"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u w:val="single" w:color="auto"/>
          <w:color w:val="auto"/>
        </w:rPr>
        <w:t>Exhibit 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consent to the incorporation by reference in this Annual Report on Form 10-K of Texas Instruments Incorporated of our reports dated February 23, 2007, with respect to the consolidated financial statements of Texas Instruments Incorporated, Texas Instruments Incorporated management’s assessment of the effectiveness of internal control over financial reporting, and the effectiveness of internal control over financial reporting of Texas Instruments Incorporated, included in the 2006 Annual Report to Stockholders of Texas Instruments Incorporated.</w:t>
      </w:r>
    </w:p>
    <w:p>
      <w:pPr>
        <w:spacing w:after="0" w:line="143"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We also consent to the incorporation by reference in the following registration statements, and in the related prospectuses thereto, of our reports dated February 23, 2007 with respect to the consolidated financial statements of Texas Instruments Incorporated, Texas Instruments Incorporated management’s assessment of the effectiveness of internal control over financial reporting, and the effectiveness of internal control over financial reporting of Texas Instruments Incorporated, incorporated by reference in this Annual Report on Form 10-K for the year ended December 31, 2006: Registration Statements (Forms S-8) No. 33-42172, No. 33-54615, No. 333-07127 (as amended), No. 333-41913, No. 333-41919, No. 333-31321 (as amended), No. 333-31323, No. 333-48389, No. 333-44662, No. 333-107759, No. 333-107760 and No. 333-107761, No. 333-127021 and Registration Statements (Forms S-3) No. 33-48840, No. 33-39628, No. 333-03571 (as amended), No. 333-93011, and Registration Statements (Forms S-4) No. 333-89433 (as amended), No. 333-87199, No. 333-80157 (as amended), and No. 333-41030 (as amended).</w:t>
      </w:r>
    </w:p>
    <w:p>
      <w:pPr>
        <w:spacing w:after="0" w:line="1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ERNST &amp; YOUNG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2007</w:t>
      </w:r>
    </w:p>
    <w:p>
      <w:pPr>
        <w:sectPr>
          <w:pgSz w:w="11900" w:h="16838" w:orient="portrait"/>
          <w:cols w:equalWidth="0" w:num="1">
            <w:col w:w="11420"/>
          </w:cols>
          <w:pgMar w:left="240" w:top="13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u w:val="single" w:color="auto"/>
          <w:color w:val="auto"/>
        </w:rPr>
        <w:t>Exhibit 31(a)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Richard K. Templeton, certify that:</w:t>
      </w:r>
    </w:p>
    <w:p>
      <w:pPr>
        <w:spacing w:after="0" w:line="90"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1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28, 2007</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Richard K. Templeton</w:t>
      </w:r>
    </w:p>
    <w:p>
      <w:pPr>
        <w:jc w:val="center"/>
        <w:ind w:left="6860"/>
        <w:spacing w:after="0" w:line="223" w:lineRule="auto"/>
        <w:rPr>
          <w:sz w:val="20"/>
          <w:szCs w:val="20"/>
          <w:color w:val="auto"/>
        </w:rPr>
      </w:pPr>
      <w:r>
        <w:rPr>
          <w:rFonts w:ascii="Arial" w:cs="Arial" w:eastAsia="Arial" w:hAnsi="Arial"/>
          <w:sz w:val="14"/>
          <w:szCs w:val="14"/>
          <w:b w:val="1"/>
          <w:bCs w:val="1"/>
          <w:color w:val="auto"/>
        </w:rPr>
        <w:t>President and</w:t>
      </w:r>
    </w:p>
    <w:p>
      <w:pPr>
        <w:jc w:val="center"/>
        <w:ind w:left="686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131"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u w:val="single" w:color="auto"/>
          <w:color w:val="auto"/>
        </w:rPr>
        <w:t>Exhibit 31(b)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Kevin P. March, certify that:</w:t>
      </w:r>
    </w:p>
    <w:p>
      <w:pPr>
        <w:spacing w:after="0" w:line="90"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1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28, 2007</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Kevin P. March</w:t>
      </w:r>
    </w:p>
    <w:p>
      <w:pPr>
        <w:jc w:val="center"/>
        <w:ind w:left="6860"/>
        <w:spacing w:after="0" w:line="223" w:lineRule="auto"/>
        <w:rPr>
          <w:sz w:val="20"/>
          <w:szCs w:val="20"/>
          <w:color w:val="auto"/>
        </w:rPr>
      </w:pPr>
      <w:r>
        <w:rPr>
          <w:rFonts w:ascii="Arial" w:cs="Arial" w:eastAsia="Arial" w:hAnsi="Arial"/>
          <w:sz w:val="14"/>
          <w:szCs w:val="14"/>
          <w:b w:val="1"/>
          <w:bCs w:val="1"/>
          <w:color w:val="auto"/>
        </w:rPr>
        <w:t>Senior Vice President and</w:t>
      </w:r>
    </w:p>
    <w:p>
      <w:pPr>
        <w:jc w:val="center"/>
        <w:ind w:left="686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3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u w:val="single" w:color="auto"/>
          <w:color w:val="auto"/>
        </w:rPr>
        <w:t>Exhibit 32(a)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65"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Richard K. Templeton, President and Chief Executive Officer of Texas Instruments Incorporated (the “Company”), hereby certifies that, to his knowledge:</w:t>
      </w:r>
    </w:p>
    <w:p>
      <w:pPr>
        <w:spacing w:after="0" w:line="85" w:lineRule="exact"/>
        <w:rPr>
          <w:sz w:val="20"/>
          <w:szCs w:val="20"/>
          <w:color w:val="auto"/>
        </w:rPr>
      </w:pPr>
    </w:p>
    <w:p>
      <w:pPr>
        <w:ind w:right="100" w:firstLine="464"/>
        <w:spacing w:after="0" w:line="332" w:lineRule="auto"/>
        <w:tabs>
          <w:tab w:leader="none" w:pos="666"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2006, as filed with the Securities and Exchange Commission on the date hereof (the “Report”) fully complies with the requirements of Section 13(a) or 15(d) of the Securities Exchange Act of 1934; and</w:t>
      </w:r>
    </w:p>
    <w:p>
      <w:pPr>
        <w:spacing w:after="0" w:line="85" w:lineRule="exact"/>
        <w:rPr>
          <w:rFonts w:ascii="Arial" w:cs="Arial" w:eastAsia="Arial" w:hAnsi="Arial"/>
          <w:sz w:val="16"/>
          <w:szCs w:val="16"/>
          <w:color w:val="auto"/>
        </w:rPr>
      </w:pPr>
    </w:p>
    <w:p>
      <w:pPr>
        <w:ind w:left="20" w:right="560" w:firstLine="444"/>
        <w:spacing w:after="0" w:line="456" w:lineRule="auto"/>
        <w:tabs>
          <w:tab w:leader="none" w:pos="73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28, 2007</w:t>
      </w:r>
    </w:p>
    <w:p>
      <w:pPr>
        <w:spacing w:after="0" w:line="10"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Richard K. Templeton</w:t>
      </w:r>
    </w:p>
    <w:p>
      <w:pPr>
        <w:jc w:val="center"/>
        <w:ind w:left="6860"/>
        <w:spacing w:after="0" w:line="223" w:lineRule="auto"/>
        <w:rPr>
          <w:sz w:val="20"/>
          <w:szCs w:val="20"/>
          <w:color w:val="auto"/>
        </w:rPr>
      </w:pPr>
      <w:r>
        <w:rPr>
          <w:rFonts w:ascii="Arial" w:cs="Arial" w:eastAsia="Arial" w:hAnsi="Arial"/>
          <w:sz w:val="14"/>
          <w:szCs w:val="14"/>
          <w:b w:val="1"/>
          <w:bCs w:val="1"/>
          <w:color w:val="auto"/>
        </w:rPr>
        <w:t>President and</w:t>
      </w:r>
    </w:p>
    <w:p>
      <w:pPr>
        <w:jc w:val="center"/>
        <w:ind w:left="686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131"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u w:val="single" w:color="auto"/>
          <w:color w:val="auto"/>
        </w:rPr>
        <w:t>Exhibit 32(b)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65"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85" w:lineRule="exact"/>
        <w:rPr>
          <w:sz w:val="20"/>
          <w:szCs w:val="20"/>
          <w:color w:val="auto"/>
        </w:rPr>
      </w:pPr>
    </w:p>
    <w:p>
      <w:pPr>
        <w:ind w:right="100" w:firstLine="464"/>
        <w:spacing w:after="0" w:line="332" w:lineRule="auto"/>
        <w:tabs>
          <w:tab w:leader="none" w:pos="666"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2006, as filed with the Securities and Exchange Commission on the date hereof (the “Report”) fully complies with the requirements of Section 13(a) or 15(d) of the Securities Exchange Act of 1934; and</w:t>
      </w:r>
    </w:p>
    <w:p>
      <w:pPr>
        <w:spacing w:after="0" w:line="85" w:lineRule="exact"/>
        <w:rPr>
          <w:rFonts w:ascii="Arial" w:cs="Arial" w:eastAsia="Arial" w:hAnsi="Arial"/>
          <w:sz w:val="16"/>
          <w:szCs w:val="16"/>
          <w:color w:val="auto"/>
        </w:rPr>
      </w:pPr>
    </w:p>
    <w:p>
      <w:pPr>
        <w:ind w:left="20" w:right="560" w:firstLine="444"/>
        <w:spacing w:after="0" w:line="456" w:lineRule="auto"/>
        <w:tabs>
          <w:tab w:leader="none" w:pos="73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28, 2007</w:t>
      </w:r>
    </w:p>
    <w:p>
      <w:pPr>
        <w:spacing w:after="0" w:line="10"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Kevin P. March</w:t>
      </w:r>
    </w:p>
    <w:p>
      <w:pPr>
        <w:jc w:val="center"/>
        <w:ind w:left="6860"/>
        <w:spacing w:after="0" w:line="223" w:lineRule="auto"/>
        <w:rPr>
          <w:sz w:val="20"/>
          <w:szCs w:val="20"/>
          <w:color w:val="auto"/>
        </w:rPr>
      </w:pPr>
      <w:r>
        <w:rPr>
          <w:rFonts w:ascii="Arial" w:cs="Arial" w:eastAsia="Arial" w:hAnsi="Arial"/>
          <w:sz w:val="14"/>
          <w:szCs w:val="14"/>
          <w:b w:val="1"/>
          <w:bCs w:val="1"/>
          <w:color w:val="auto"/>
        </w:rPr>
        <w:t>Senior Vice President and</w:t>
      </w:r>
    </w:p>
    <w:p>
      <w:pPr>
        <w:jc w:val="center"/>
        <w:ind w:left="6860"/>
        <w:spacing w:after="0"/>
        <w:rPr>
          <w:sz w:val="20"/>
          <w:szCs w:val="20"/>
          <w:color w:val="auto"/>
        </w:rPr>
      </w:pPr>
      <w:r>
        <w:rPr>
          <w:rFonts w:ascii="Arial" w:cs="Arial" w:eastAsia="Arial" w:hAnsi="Arial"/>
          <w:sz w:val="14"/>
          <w:szCs w:val="14"/>
          <w:b w:val="1"/>
          <w:bCs w:val="1"/>
          <w:color w:val="auto"/>
        </w:rPr>
        <w:t>Chief Financial Officer</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1)"/>
      <w:numFmt w:val="decimal"/>
      <w:start w:val="1"/>
    </w:lvl>
  </w:abstractNum>
  <w:abstractNum w:abstractNumId="3">
    <w:nsid w:val="374A3FE6"/>
    <w:multiLevelType w:val="hybridMultilevel"/>
    <w:lvl w:ilvl="0">
      <w:lvlJc w:val="left"/>
      <w:lvlText w:val="(%1)"/>
      <w:numFmt w:val="decimal"/>
      <w:start w:val="1"/>
    </w:lvl>
  </w:abstractNum>
  <w:abstractNum w:abstractNumId="4">
    <w:nsid w:val="4F4EF005"/>
    <w:multiLevelType w:val="hybridMultilevel"/>
    <w:lvl w:ilvl="0">
      <w:lvlJc w:val="left"/>
      <w:lvlText w:val="(%1)"/>
      <w:numFmt w:val="decimal"/>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1)"/>
      <w:numFmt w:val="decimal"/>
      <w:start w:val="2"/>
    </w:lvl>
  </w:abstractNum>
  <w:abstractNum w:abstractNumId="7">
    <w:nsid w:val="275AC794"/>
    <w:multiLevelType w:val="hybridMultilevel"/>
    <w:lvl w:ilvl="0">
      <w:lvlJc w:val="left"/>
      <w:lvlText w:val="(%1)"/>
      <w:numFmt w:val="decimal"/>
      <w:start w:val="5"/>
    </w:lvl>
  </w:abstractNum>
  <w:abstractNum w:abstractNumId="8">
    <w:nsid w:val="39386575"/>
    <w:multiLevelType w:val="hybridMultilevel"/>
    <w:lvl w:ilvl="0">
      <w:lvlJc w:val="left"/>
      <w:lvlText w:val="(%1)"/>
      <w:numFmt w:val="lowerLetter"/>
      <w:start w:val="1"/>
    </w:lvl>
  </w:abstractNum>
  <w:abstractNum w:abstractNumId="9">
    <w:nsid w:val="1CF10FD8"/>
    <w:multiLevelType w:val="hybridMultilevel"/>
    <w:lvl w:ilvl="0">
      <w:lvlJc w:val="left"/>
      <w:lvlText w:val="%1"/>
      <w:numFmt w:val="decimal"/>
      <w:start w:val="12"/>
    </w:lvl>
  </w:abstractNum>
  <w:abstractNum w:abstractNumId="10">
    <w:nsid w:val="180115BE"/>
    <w:multiLevelType w:val="hybridMultilevel"/>
    <w:lvl w:ilvl="0">
      <w:lvlJc w:val="left"/>
      <w:lvlText w:val="%1"/>
      <w:numFmt w:val="decimal"/>
      <w:start w:val="21"/>
    </w:lvl>
  </w:abstractNum>
  <w:abstractNum w:abstractNumId="11">
    <w:nsid w:val="235BA861"/>
    <w:multiLevelType w:val="hybridMultilevel"/>
    <w:lvl w:ilvl="0">
      <w:lvlJc w:val="left"/>
      <w:lvlText w:val="%1"/>
      <w:numFmt w:val="decimal"/>
      <w:start w:val="23"/>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1)"/>
      <w:numFmt w:val="lowerLetter"/>
      <w:start w:val="1"/>
    </w:lvl>
  </w:abstractNum>
  <w:abstractNum w:abstractNumId="15">
    <w:nsid w:val="741226BB"/>
    <w:multiLevelType w:val="hybridMultilevel"/>
    <w:lvl w:ilvl="0">
      <w:lvlJc w:val="left"/>
      <w:lvlText w:val="(%1)"/>
      <w:numFmt w:val="lowerLetter"/>
      <w:start w:val="13"/>
    </w:lvl>
  </w:abstractNum>
  <w:abstractNum w:abstractNumId="16">
    <w:nsid w:val="D34B6A8"/>
    <w:multiLevelType w:val="hybridMultilevel"/>
    <w:lvl w:ilvl="0">
      <w:lvlJc w:val="left"/>
      <w:lvlText w:val="(%1)"/>
      <w:numFmt w:val="lowerRoman"/>
      <w:start w:val="1"/>
    </w:lvl>
  </w:abstractNum>
  <w:abstractNum w:abstractNumId="17">
    <w:nsid w:val="10233C99"/>
    <w:multiLevelType w:val="hybridMultilevel"/>
    <w:lvl w:ilvl="0">
      <w:lvlJc w:val="left"/>
      <w:lvlText w:val="(%1)"/>
      <w:numFmt w:val="lowerLetter"/>
      <w:start w:val="1"/>
    </w:lvl>
  </w:abstractNum>
  <w:abstractNum w:abstractNumId="18">
    <w:nsid w:val="3F6AB60F"/>
    <w:multiLevelType w:val="hybridMultilevel"/>
    <w:lvl w:ilvl="0">
      <w:lvlJc w:val="left"/>
      <w:lvlText w:val="(%1)"/>
      <w:numFmt w:val="lowerLetter"/>
      <w:start w:val="3"/>
    </w:lvl>
  </w:abstractNum>
  <w:abstractNum w:abstractNumId="19">
    <w:nsid w:val="61574095"/>
    <w:multiLevelType w:val="hybridMultilevel"/>
    <w:lvl w:ilvl="0">
      <w:lvlJc w:val="left"/>
      <w:lvlText w:val="(%1)"/>
      <w:numFmt w:val="lowerLetter"/>
      <w:start w:val="1"/>
    </w:lvl>
    <w:lvl w:ilvl="1">
      <w:lvlJc w:val="left"/>
      <w:lvlText w:val="(%2)"/>
      <w:numFmt w:val="lowerRoman"/>
      <w:start w:val="1"/>
    </w:lvl>
  </w:abstractNum>
  <w:abstractNum w:abstractNumId="20">
    <w:nsid w:val="7E0C57B1"/>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21">
    <w:nsid w:val="77AE35EB"/>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22">
    <w:nsid w:val="579BE4F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23">
    <w:nsid w:val="310C50B3"/>
    <w:multiLevelType w:val="hybridMultilevel"/>
    <w:lvl w:ilvl="0">
      <w:lvlJc w:val="left"/>
      <w:lvlText w:val="(%1)"/>
      <w:numFmt w:val="upperLetter"/>
      <w:start w:val="35"/>
    </w:lvl>
  </w:abstractNum>
  <w:abstractNum w:abstractNumId="24">
    <w:nsid w:val="5FF87E05"/>
    <w:multiLevelType w:val="hybridMultilevel"/>
    <w:lvl w:ilvl="0">
      <w:lvlJc w:val="left"/>
      <w:lvlText w:val="(%1)"/>
      <w:numFmt w:val="upperLetter"/>
      <w:start w:val="61"/>
    </w:lvl>
  </w:abstractNum>
  <w:abstractNum w:abstractNumId="25">
    <w:nsid w:val="2F305DEF"/>
    <w:multiLevelType w:val="hybridMultilevel"/>
    <w:lvl w:ilvl="0">
      <w:lvlJc w:val="left"/>
      <w:lvlText w:val="(%1)"/>
      <w:numFmt w:val="upperLetter"/>
      <w:start w:val="22"/>
    </w:lvl>
  </w:abstractNum>
  <w:abstractNum w:abstractNumId="26">
    <w:nsid w:val="25A70BF7"/>
    <w:multiLevelType w:val="hybridMultilevel"/>
    <w:lvl w:ilvl="0">
      <w:lvlJc w:val="left"/>
      <w:lvlText w:val="%1"/>
      <w:numFmt w:val="lowerLetter"/>
      <w:start w:val="1"/>
    </w:lvl>
    <w:lvl w:ilvl="1">
      <w:lvlJc w:val="left"/>
      <w:lvlText w:val="(%2)"/>
      <w:numFmt w:val="upperLetter"/>
      <w:start w:val="4"/>
    </w:lvl>
  </w:abstractNum>
  <w:abstractNum w:abstractNumId="27">
    <w:nsid w:val="1DBABF00"/>
    <w:multiLevelType w:val="hybridMultilevel"/>
    <w:lvl w:ilvl="0">
      <w:lvlJc w:val="left"/>
      <w:lvlText w:val="(%1)"/>
      <w:numFmt w:val="lowerLetter"/>
      <w:start w:val="2"/>
    </w:lvl>
    <w:lvl w:ilvl="1">
      <w:lvlJc w:val="left"/>
      <w:lvlText w:val="%2"/>
      <w:numFmt w:val="upperLetter"/>
      <w:start w:val="1"/>
    </w:lvl>
  </w:abstractNum>
  <w:abstractNum w:abstractNumId="28">
    <w:nsid w:val="4AD084E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9">
    <w:nsid w:val="1F48EAA1"/>
    <w:multiLevelType w:val="hybridMultilevel"/>
    <w:lvl w:ilvl="0">
      <w:lvlJc w:val="left"/>
      <w:lvlText w:val="(%1)"/>
      <w:numFmt w:val="lowerRoman"/>
      <w:start w:val="2"/>
    </w:lvl>
    <w:lvl w:ilvl="1">
      <w:lvlJc w:val="left"/>
      <w:lvlText w:val="(%2)"/>
      <w:numFmt w:val="upperLetter"/>
      <w:start w:val="1"/>
    </w:lvl>
  </w:abstractNum>
  <w:abstractNum w:abstractNumId="30">
    <w:nsid w:val="1381823A"/>
    <w:multiLevelType w:val="hybridMultilevel"/>
    <w:lvl w:ilvl="0">
      <w:lvlJc w:val="left"/>
      <w:lvlText w:val="(%1)"/>
      <w:numFmt w:val="lowerLetter"/>
      <w:start w:val="3"/>
    </w:lvl>
  </w:abstractNum>
  <w:abstractNum w:abstractNumId="31">
    <w:nsid w:val="5DB70AE5"/>
    <w:multiLevelType w:val="hybridMultilevel"/>
    <w:lvl w:ilvl="0">
      <w:lvlJc w:val="left"/>
      <w:lvlText w:val="(%1)"/>
      <w:numFmt w:val="lowerLetter"/>
      <w:start w:val="7"/>
    </w:lvl>
  </w:abstractNum>
  <w:abstractNum w:abstractNumId="32">
    <w:nsid w:val="100F8FCA"/>
    <w:multiLevelType w:val="hybridMultilevel"/>
    <w:lvl w:ilvl="0">
      <w:lvlJc w:val="left"/>
      <w:lvlText w:val="(%1)"/>
      <w:numFmt w:val="lowerLetter"/>
      <w:start w:val="1"/>
    </w:lvl>
  </w:abstractNum>
  <w:abstractNum w:abstractNumId="33">
    <w:nsid w:val="6590700B"/>
    <w:multiLevelType w:val="hybridMultilevel"/>
    <w:lvl w:ilvl="0">
      <w:lvlJc w:val="left"/>
      <w:lvlText w:val="(%1)"/>
      <w:numFmt w:val="lowerLetter"/>
      <w:start w:val="2"/>
    </w:lvl>
  </w:abstractNum>
  <w:abstractNum w:abstractNumId="34">
    <w:nsid w:val="15014ACB"/>
    <w:multiLevelType w:val="hybridMultilevel"/>
    <w:lvl w:ilvl="0">
      <w:lvlJc w:val="left"/>
      <w:lvlText w:val="(%1)"/>
      <w:numFmt w:val="lowerLetter"/>
      <w:start w:val="1"/>
    </w:lvl>
  </w:abstractNum>
  <w:abstractNum w:abstractNumId="35">
    <w:nsid w:val="5F5E7FD0"/>
    <w:multiLevelType w:val="hybridMultilevel"/>
    <w:lvl w:ilvl="0">
      <w:lvlJc w:val="left"/>
      <w:lvlText w:val="(%1)"/>
      <w:numFmt w:val="lowerLetter"/>
      <w:start w:val="3"/>
    </w:lvl>
  </w:abstractNum>
  <w:abstractNum w:abstractNumId="36">
    <w:nsid w:val="98A3148"/>
    <w:multiLevelType w:val="hybridMultilevel"/>
    <w:lvl w:ilvl="0">
      <w:lvlJc w:val="left"/>
      <w:lvlText w:val="(%1)"/>
      <w:numFmt w:val="lowerLetter"/>
      <w:start w:val="9"/>
    </w:lvl>
  </w:abstractNum>
  <w:abstractNum w:abstractNumId="37">
    <w:nsid w:val="799D0247"/>
    <w:multiLevelType w:val="hybridMultilevel"/>
    <w:lvl w:ilvl="0">
      <w:lvlJc w:val="left"/>
      <w:lvlText w:val="%1."/>
      <w:numFmt w:val="decimal"/>
      <w:start w:val="1"/>
    </w:lvl>
  </w:abstractNum>
  <w:abstractNum w:abstractNumId="38">
    <w:nsid w:val="6B94764"/>
    <w:multiLevelType w:val="hybridMultilevel"/>
    <w:lvl w:ilvl="0">
      <w:lvlJc w:val="left"/>
      <w:lvlText w:val="(%1)"/>
      <w:numFmt w:val="lowerLetter"/>
      <w:start w:val="1"/>
    </w:lvl>
  </w:abstractNum>
  <w:abstractNum w:abstractNumId="39">
    <w:nsid w:val="42C296BD"/>
    <w:multiLevelType w:val="hybridMultilevel"/>
    <w:lvl w:ilvl="0">
      <w:lvlJc w:val="left"/>
      <w:lvlText w:val="(%1)"/>
      <w:numFmt w:val="lowerLetter"/>
      <w:start w:val="2"/>
    </w:lvl>
    <w:lvl w:ilvl="1">
      <w:lvlJc w:val="left"/>
      <w:lvlText w:val="(%2)"/>
      <w:numFmt w:val="lowerRoman"/>
      <w:start w:val="1"/>
    </w:lvl>
  </w:abstractNum>
  <w:abstractNum w:abstractNumId="40">
    <w:nsid w:val="168E121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41">
    <w:nsid w:val="1EBA5D2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2">
    <w:nsid w:val="661E3F1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3">
    <w:nsid w:val="5DC79EA8"/>
    <w:multiLevelType w:val="hybridMultilevel"/>
    <w:lvl w:ilvl="0">
      <w:lvlJc w:val="left"/>
      <w:lvlText w:val="%1."/>
      <w:numFmt w:val="decimal"/>
      <w:start w:val="6"/>
    </w:lvl>
    <w:lvl w:ilvl="1">
      <w:lvlJc w:val="left"/>
      <w:lvlText w:val="(%2)"/>
      <w:numFmt w:val="lowerLetter"/>
      <w:start w:val="1"/>
    </w:lvl>
  </w:abstractNum>
  <w:abstractNum w:abstractNumId="44">
    <w:nsid w:val="540A471C"/>
    <w:multiLevelType w:val="hybridMultilevel"/>
    <w:lvl w:ilvl="0">
      <w:lvlJc w:val="left"/>
      <w:lvlText w:val="%1."/>
      <w:numFmt w:val="decimal"/>
      <w:start w:val="8"/>
    </w:lvl>
    <w:lvl w:ilvl="1">
      <w:lvlJc w:val="left"/>
      <w:lvlText w:val="(%2)"/>
      <w:numFmt w:val="lowerLetter"/>
      <w:start w:val="1"/>
    </w:lvl>
  </w:abstractNum>
  <w:abstractNum w:abstractNumId="45">
    <w:nsid w:val="7BD3EE7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6">
    <w:nsid w:val="51D9C56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47">
    <w:nsid w:val="613EFDC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8">
    <w:nsid w:val="BF72B14"/>
    <w:multiLevelType w:val="hybridMultilevel"/>
    <w:lvl w:ilvl="0">
      <w:lvlJc w:val="left"/>
      <w:lvlText w:val="(%1)"/>
      <w:numFmt w:val="lowerRoman"/>
      <w:start w:val="3"/>
    </w:lvl>
  </w:abstractNum>
  <w:abstractNum w:abstractNumId="49">
    <w:nsid w:val="11447B73"/>
    <w:multiLevelType w:val="hybridMultilevel"/>
    <w:lvl w:ilvl="0">
      <w:lvlJc w:val="left"/>
      <w:lvlText w:val="%1"/>
      <w:numFmt w:val="lowerLetter"/>
      <w:start w:val="1"/>
    </w:lvl>
    <w:lvl w:ilvl="1">
      <w:lvlJc w:val="left"/>
      <w:lvlText w:val="(%2)"/>
      <w:numFmt w:val="lowerRoman"/>
      <w:start w:val="6"/>
    </w:lvl>
  </w:abstractNum>
  <w:abstractNum w:abstractNumId="50">
    <w:nsid w:val="42963E5A"/>
    <w:multiLevelType w:val="hybridMultilevel"/>
    <w:lvl w:ilvl="0">
      <w:lvlJc w:val="left"/>
      <w:lvlText w:val="(%1)"/>
      <w:numFmt w:val="lowerLetter"/>
      <w:start w:val="3"/>
    </w:lvl>
    <w:lvl w:ilvl="1">
      <w:lvlJc w:val="left"/>
      <w:lvlText w:val="%2"/>
      <w:numFmt w:val="lowerRoman"/>
      <w:start w:val="1"/>
    </w:lvl>
  </w:abstractNum>
  <w:abstractNum w:abstractNumId="51">
    <w:nsid w:val="A0382C5"/>
    <w:multiLevelType w:val="hybridMultilevel"/>
    <w:lvl w:ilvl="0">
      <w:lvlJc w:val="left"/>
      <w:lvlText w:val="%1."/>
      <w:numFmt w:val="decimal"/>
      <w:start w:val="2"/>
    </w:lvl>
    <w:lvl w:ilvl="1">
      <w:lvlJc w:val="left"/>
      <w:lvlText w:val="(%2)"/>
      <w:numFmt w:val="lowerLetter"/>
      <w:start w:val="1"/>
    </w:lvl>
  </w:abstractNum>
  <w:abstractNum w:abstractNumId="52">
    <w:nsid w:val="8F2B15E"/>
    <w:multiLevelType w:val="hybridMultilevel"/>
    <w:lvl w:ilvl="0">
      <w:lvlJc w:val="left"/>
      <w:lvlText w:val="%1"/>
      <w:numFmt w:val="decimal"/>
      <w:start w:val="1"/>
    </w:lvl>
    <w:lvl w:ilvl="1">
      <w:lvlJc w:val="left"/>
      <w:lvlText w:val="(%2)"/>
      <w:numFmt w:val="lowerLetter"/>
      <w:start w:val="3"/>
    </w:lvl>
  </w:abstractNum>
  <w:abstractNum w:abstractNumId="53">
    <w:nsid w:val="1A32234B"/>
    <w:multiLevelType w:val="hybridMultilevel"/>
    <w:lvl w:ilvl="0">
      <w:lvlJc w:val="left"/>
      <w:lvlText w:val="%1."/>
      <w:numFmt w:val="decimal"/>
      <w:start w:val="7"/>
    </w:lvl>
    <w:lvl w:ilvl="1">
      <w:lvlJc w:val="left"/>
      <w:lvlText w:val="%2"/>
      <w:numFmt w:val="lowerLetter"/>
      <w:start w:val="1"/>
    </w:lvl>
  </w:abstractNum>
  <w:abstractNum w:abstractNumId="54">
    <w:nsid w:val="3B0FD379"/>
    <w:multiLevelType w:val="hybridMultilevel"/>
    <w:lvl w:ilvl="0">
      <w:lvlJc w:val="left"/>
      <w:lvlText w:val="%1."/>
      <w:numFmt w:val="decimal"/>
      <w:start w:val="8"/>
    </w:lvl>
    <w:lvl w:ilvl="1">
      <w:lvlJc w:val="left"/>
      <w:lvlText w:val="(%2)"/>
      <w:numFmt w:val="lowerLetter"/>
      <w:start w:val="1"/>
    </w:lvl>
  </w:abstractNum>
  <w:abstractNum w:abstractNumId="55">
    <w:nsid w:val="68EB2F63"/>
    <w:multiLevelType w:val="hybridMultilevel"/>
    <w:lvl w:ilvl="0">
      <w:lvlJc w:val="left"/>
      <w:lvlText w:val="(%1)"/>
      <w:numFmt w:val="lowerLetter"/>
      <w:start w:val="3"/>
    </w:lvl>
    <w:lvl w:ilvl="1">
      <w:lvlJc w:val="left"/>
      <w:lvlText w:val="(%2)"/>
      <w:numFmt w:val="lowerRoman"/>
      <w:start w:val="1"/>
    </w:lvl>
  </w:abstractNum>
  <w:abstractNum w:abstractNumId="56">
    <w:nsid w:val="4962813B"/>
    <w:multiLevelType w:val="hybridMultilevel"/>
    <w:lvl w:ilvl="0">
      <w:lvlJc w:val="left"/>
      <w:lvlText w:val="%1"/>
      <w:numFmt w:val="decimal"/>
      <w:start w:val="1"/>
    </w:lvl>
    <w:lvl w:ilvl="1">
      <w:lvlJc w:val="left"/>
      <w:lvlText w:val="(%2)"/>
      <w:numFmt w:val="lowerLetter"/>
      <w:start w:val="9"/>
    </w:lvl>
  </w:abstractNum>
  <w:abstractNum w:abstractNumId="57">
    <w:nsid w:val="60B6DF70"/>
    <w:multiLevelType w:val="hybridMultilevel"/>
    <w:lvl w:ilvl="0">
      <w:lvlJc w:val="left"/>
      <w:lvlText w:val="%1."/>
      <w:numFmt w:val="decimal"/>
      <w:start w:val="10"/>
    </w:lvl>
    <w:lvl w:ilvl="1">
      <w:lvlJc w:val="left"/>
      <w:lvlText w:val="%2"/>
      <w:numFmt w:val="lowerLetter"/>
      <w:start w:val="1"/>
    </w:lvl>
  </w:abstractNum>
  <w:abstractNum w:abstractNumId="58">
    <w:nsid w:val="6A5EE64"/>
    <w:multiLevelType w:val="hybridMultilevel"/>
    <w:lvl w:ilvl="0">
      <w:lvlJc w:val="left"/>
      <w:lvlText w:val="%1."/>
      <w:numFmt w:val="decimal"/>
      <w:start w:val="1"/>
    </w:lvl>
    <w:lvl w:ilvl="1">
      <w:lvlJc w:val="left"/>
      <w:lvlText w:val="%2."/>
      <w:numFmt w:val="lowerLetter"/>
      <w:start w:val="1"/>
    </w:lvl>
  </w:abstractNum>
  <w:abstractNum w:abstractNumId="59">
    <w:nsid w:val="14330624"/>
    <w:multiLevelType w:val="hybridMultilevel"/>
    <w:lvl w:ilvl="0">
      <w:lvlJc w:val="left"/>
      <w:lvlText w:val="%1."/>
      <w:numFmt w:val="lowerLetter"/>
      <w:start w:val="4"/>
    </w:lvl>
  </w:abstractNum>
  <w:abstractNum w:abstractNumId="60">
    <w:nsid w:val="7FFFCA11"/>
    <w:multiLevelType w:val="hybridMultilevel"/>
    <w:lvl w:ilvl="0">
      <w:lvlJc w:val="left"/>
      <w:lvlText w:val="%1."/>
      <w:numFmt w:val="decimal"/>
      <w:start w:val="2"/>
    </w:lvl>
    <w:lvl w:ilvl="1">
      <w:lvlJc w:val="left"/>
      <w:lvlText w:val="%2."/>
      <w:numFmt w:val="lowerLetter"/>
      <w:start w:val="1"/>
    </w:lvl>
  </w:abstractNum>
  <w:abstractNum w:abstractNumId="61">
    <w:nsid w:val="1A27709E"/>
    <w:multiLevelType w:val="hybridMultilevel"/>
    <w:lvl w:ilvl="0">
      <w:lvlJc w:val="left"/>
      <w:lvlText w:val="%1."/>
      <w:numFmt w:val="lowerLetter"/>
      <w:start w:val="2"/>
    </w:lvl>
  </w:abstractNum>
  <w:abstractNum w:abstractNumId="62">
    <w:nsid w:val="71EA1109"/>
    <w:multiLevelType w:val="hybridMultilevel"/>
    <w:lvl w:ilvl="0">
      <w:lvlJc w:val="left"/>
      <w:lvlText w:val="%1."/>
      <w:numFmt w:val="lowerLetter"/>
      <w:start w:val="6"/>
    </w:lvl>
  </w:abstractNum>
  <w:abstractNum w:abstractNumId="63">
    <w:nsid w:val="100F59DC"/>
    <w:multiLevelType w:val="hybridMultilevel"/>
    <w:lvl w:ilvl="0">
      <w:lvlJc w:val="left"/>
      <w:lvlText w:val="%1"/>
      <w:numFmt w:val="decimal"/>
      <w:start w:val="1"/>
    </w:lvl>
    <w:lvl w:ilvl="1">
      <w:lvlJc w:val="left"/>
      <w:lvlText w:val="%2."/>
      <w:numFmt w:val="lowerLetter"/>
      <w:start w:val="13"/>
    </w:lvl>
  </w:abstractNum>
  <w:abstractNum w:abstractNumId="64">
    <w:nsid w:val="7FB7E0AA"/>
    <w:multiLevelType w:val="hybridMultilevel"/>
    <w:lvl w:ilvl="0">
      <w:lvlJc w:val="left"/>
      <w:lvlText w:val="%1."/>
      <w:numFmt w:val="decimal"/>
      <w:start w:val="3"/>
    </w:lvl>
    <w:lvl w:ilvl="1">
      <w:lvlJc w:val="left"/>
      <w:lvlText w:val="%2."/>
      <w:numFmt w:val="lowerLetter"/>
      <w:start w:val="1"/>
    </w:lvl>
  </w:abstractNum>
  <w:abstractNum w:abstractNumId="65">
    <w:nsid w:val="6EB5BD4"/>
    <w:multiLevelType w:val="hybridMultilevel"/>
    <w:lvl w:ilvl="0">
      <w:lvlJc w:val="left"/>
      <w:lvlText w:val="%1."/>
      <w:numFmt w:val="decimal"/>
      <w:start w:val="4"/>
    </w:lvl>
    <w:lvl w:ilvl="1">
      <w:lvlJc w:val="left"/>
      <w:lvlText w:val="%2."/>
      <w:numFmt w:val="lowerLetter"/>
      <w:start w:val="1"/>
    </w:lvl>
  </w:abstractNum>
  <w:abstractNum w:abstractNumId="66">
    <w:nsid w:val="6F6DD9AC"/>
    <w:multiLevelType w:val="hybridMultilevel"/>
    <w:lvl w:ilvl="0">
      <w:lvlJc w:val="left"/>
      <w:lvlText w:val="%1"/>
      <w:numFmt w:val="decimal"/>
      <w:start w:val="1"/>
    </w:lvl>
    <w:lvl w:ilvl="1">
      <w:lvlJc w:val="left"/>
      <w:lvlText w:val="%2."/>
      <w:numFmt w:val="lowerLetter"/>
      <w:start w:val="3"/>
    </w:lvl>
  </w:abstractNum>
  <w:abstractNum w:abstractNumId="67">
    <w:nsid w:val="94211F2"/>
    <w:multiLevelType w:val="hybridMultilevel"/>
    <w:lvl w:ilvl="0">
      <w:lvlJc w:val="left"/>
      <w:lvlText w:val="%1."/>
      <w:numFmt w:val="decimal"/>
      <w:start w:val="5"/>
    </w:lvl>
    <w:lvl w:ilvl="1">
      <w:lvlJc w:val="left"/>
      <w:lvlText w:val="%2"/>
      <w:numFmt w:val="lowerLetter"/>
      <w:start w:val="1"/>
    </w:lvl>
  </w:abstractNum>
  <w:abstractNum w:abstractNumId="68">
    <w:nsid w:val="885E1B"/>
    <w:multiLevelType w:val="hybridMultilevel"/>
    <w:lvl w:ilvl="0">
      <w:lvlJc w:val="left"/>
      <w:lvlText w:val="%1."/>
      <w:numFmt w:val="lowerLetter"/>
      <w:start w:val="1"/>
    </w:lvl>
  </w:abstractNum>
  <w:abstractNum w:abstractNumId="69">
    <w:nsid w:val="76272110"/>
    <w:multiLevelType w:val="hybridMultilevel"/>
    <w:lvl w:ilvl="0">
      <w:lvlJc w:val="left"/>
      <w:lvlText w:val="%1."/>
      <w:numFmt w:val="decimal"/>
      <w:start w:val="6"/>
    </w:lvl>
  </w:abstractNum>
  <w:abstractNum w:abstractNumId="70">
    <w:nsid w:val="4C04A8AF"/>
    <w:multiLevelType w:val="hybridMultilevel"/>
    <w:lvl w:ilvl="0">
      <w:lvlJc w:val="left"/>
      <w:lvlText w:val="6"/>
      <w:numFmt w:val="bullet"/>
      <w:start w:val="1"/>
    </w:lvl>
  </w:abstractNum>
  <w:abstractNum w:abstractNumId="71">
    <w:nsid w:val="1716703B"/>
    <w:multiLevelType w:val="hybridMultilevel"/>
    <w:lvl w:ilvl="0">
      <w:lvlJc w:val="left"/>
      <w:lvlText w:val="7"/>
      <w:numFmt w:val="bullet"/>
      <w:start w:val="1"/>
    </w:lvl>
  </w:abstractNum>
  <w:abstractNum w:abstractNumId="72">
    <w:nsid w:val="14E17E33"/>
    <w:multiLevelType w:val="hybridMultilevel"/>
    <w:lvl w:ilvl="0">
      <w:lvlJc w:val="left"/>
      <w:lvlText w:val="%1"/>
      <w:numFmt w:val="decimal"/>
      <w:start w:val="10"/>
    </w:lvl>
  </w:abstractNum>
  <w:abstractNum w:abstractNumId="73">
    <w:nsid w:val="3222E7CD"/>
    <w:multiLevelType w:val="hybridMultilevel"/>
    <w:lvl w:ilvl="0">
      <w:lvlJc w:val="left"/>
      <w:lvlText w:val="%1"/>
      <w:numFmt w:val="decimal"/>
      <w:start w:val="39"/>
    </w:lvl>
  </w:abstractNum>
  <w:abstractNum w:abstractNumId="74">
    <w:nsid w:val="74DE0EE3"/>
    <w:multiLevelType w:val="hybridMultilevel"/>
    <w:lvl w:ilvl="0">
      <w:lvlJc w:val="left"/>
      <w:lvlText w:val="%1"/>
      <w:numFmt w:val="decimal"/>
      <w:start w:val="56"/>
    </w:lvl>
  </w:abstractNum>
  <w:abstractNum w:abstractNumId="75">
    <w:nsid w:val="68EBC550"/>
    <w:multiLevelType w:val="hybridMultilevel"/>
    <w:lvl w:ilvl="0">
      <w:lvlJc w:val="left"/>
      <w:lvlText w:val="6"/>
      <w:numFmt w:val="bullet"/>
      <w:start w:val="1"/>
    </w:lvl>
  </w:abstractNum>
  <w:abstractNum w:abstractNumId="76">
    <w:nsid w:val="2DF6D648"/>
    <w:multiLevelType w:val="hybridMultilevel"/>
    <w:lvl w:ilvl="0">
      <w:lvlJc w:val="left"/>
      <w:lvlText w:val="$"/>
      <w:numFmt w:val="bullet"/>
      <w:start w:val="1"/>
    </w:lvl>
  </w:abstractNum>
  <w:abstractNum w:abstractNumId="77">
    <w:nsid w:val="46B7D447"/>
    <w:multiLevelType w:val="hybridMultilevel"/>
    <w:lvl w:ilvl="0">
      <w:lvlJc w:val="left"/>
      <w:lvlText w:val="(%1)"/>
      <w:numFmt w:val="lowerLetter"/>
      <w:start w:val="1"/>
    </w:lvl>
  </w:abstractNum>
  <w:abstractNum w:abstractNumId="78">
    <w:nsid w:val="4A2AC315"/>
    <w:multiLevelType w:val="hybridMultilevel"/>
    <w:lvl w:ilvl="0">
      <w:lvlJc w:val="left"/>
      <w:lvlText w:val="•"/>
      <w:numFmt w:val="bullet"/>
      <w:start w:val="1"/>
    </w:lvl>
  </w:abstractNum>
  <w:abstractNum w:abstractNumId="79">
    <w:nsid w:val="39EE015C"/>
    <w:multiLevelType w:val="hybridMultilevel"/>
    <w:lvl w:ilvl="0">
      <w:lvlJc w:val="left"/>
      <w:lvlText w:val="(%1)"/>
      <w:numFmt w:val="lowerLetter"/>
      <w:start w:val="1"/>
    </w:lvl>
  </w:abstractNum>
  <w:abstractNum w:abstractNumId="80">
    <w:nsid w:val="57FC4FBB"/>
    <w:multiLevelType w:val="hybridMultilevel"/>
    <w:lvl w:ilvl="0">
      <w:lvlJc w:val="left"/>
      <w:lvlText w:val="(%1)"/>
      <w:numFmt w:val="lowerLetter"/>
      <w:start w:val="1"/>
    </w:lvl>
  </w:abstractNum>
  <w:abstractNum w:abstractNumId="81">
    <w:nsid w:val="CC1016F"/>
    <w:multiLevelType w:val="hybridMultilevel"/>
    <w:lvl w:ilvl="0">
      <w:lvlJc w:val="left"/>
      <w:lvlText w:val="(%1)"/>
      <w:numFmt w:val="lowerLetter"/>
      <w:start w:val="1"/>
    </w:lvl>
  </w:abstractNum>
  <w:abstractNum w:abstractNumId="82">
    <w:nsid w:val="43F18422"/>
    <w:multiLevelType w:val="hybridMultilevel"/>
    <w:lvl w:ilvl="0">
      <w:lvlJc w:val="left"/>
      <w:lvlText w:val="%1"/>
      <w:numFmt w:val="decimal"/>
      <w:start w:val="18"/>
    </w:lvl>
    <w:lvl w:ilvl="1">
      <w:lvlJc w:val="left"/>
      <w:lvlText w:val="%2."/>
      <w:numFmt w:val="decimal"/>
      <w:start w:val="3"/>
    </w:lvl>
  </w:abstractNum>
  <w:abstractNum w:abstractNumId="83">
    <w:nsid w:val="60EF0119"/>
    <w:multiLevelType w:val="hybridMultilevel"/>
    <w:lvl w:ilvl="0">
      <w:lvlJc w:val="left"/>
      <w:lvlText w:val="(%1)"/>
      <w:numFmt w:val="lowerLetter"/>
      <w:start w:val="1"/>
    </w:lvl>
  </w:abstractNum>
  <w:abstractNum w:abstractNumId="84">
    <w:nsid w:val="26F324BA"/>
    <w:multiLevelType w:val="hybridMultilevel"/>
    <w:lvl w:ilvl="0">
      <w:lvlJc w:val="left"/>
      <w:lvlText w:val="(%1)"/>
      <w:numFmt w:val="lowerLetter"/>
      <w:start w:val="1"/>
    </w:lvl>
  </w:abstractNum>
  <w:abstractNum w:abstractNumId="85">
    <w:nsid w:val="7F01579B"/>
    <w:multiLevelType w:val="hybridMultilevel"/>
    <w:lvl w:ilvl="0">
      <w:lvlJc w:val="left"/>
      <w:lvlText w:val="(%1)"/>
      <w:numFmt w:val="lowerLetter"/>
      <w:start w:val="1"/>
    </w:lvl>
  </w:abstractNum>
  <w:abstractNum w:abstractNumId="86">
    <w:nsid w:val="49DA307D"/>
    <w:multiLevelType w:val="hybridMultilevel"/>
    <w:lvl w:ilvl="0">
      <w:lvlJc w:val="left"/>
      <w:lvlText w:val="(%1)"/>
      <w:numFmt w:val="lowerLetter"/>
      <w:start w:val="1"/>
    </w:lvl>
  </w:abstractNum>
  <w:abstractNum w:abstractNumId="87">
    <w:nsid w:val="7055A5F5"/>
    <w:multiLevelType w:val="hybridMultilevel"/>
    <w:lvl w:ilvl="0">
      <w:lvlJc w:val="left"/>
      <w:lvlText w:val="(%1)"/>
      <w:numFmt w:val="lowerLetter"/>
      <w:start w:val="1"/>
    </w:lvl>
  </w:abstractNum>
  <w:abstractNum w:abstractNumId="88">
    <w:nsid w:val="5FB8370B"/>
    <w:multiLevelType w:val="hybridMultilevel"/>
    <w:lvl w:ilvl="0">
      <w:lvlJc w:val="left"/>
      <w:lvlText w:val="$"/>
      <w:numFmt w:val="bullet"/>
      <w:start w:val="1"/>
    </w:lvl>
  </w:abstractNum>
  <w:abstractNum w:abstractNumId="89">
    <w:nsid w:val="50801EE1"/>
    <w:multiLevelType w:val="hybridMultilevel"/>
    <w:lvl w:ilvl="0">
      <w:lvlJc w:val="left"/>
      <w:lvlText w:val="(%1)"/>
      <w:numFmt w:val="lowerLetter"/>
      <w:start w:val="1"/>
    </w:lvl>
  </w:abstractNum>
  <w:abstractNum w:abstractNumId="90">
    <w:nsid w:val="488AC1A"/>
    <w:multiLevelType w:val="hybridMultilevel"/>
    <w:lvl w:ilvl="0">
      <w:lvlJc w:val="left"/>
      <w:lvlText w:val="$"/>
      <w:numFmt w:val="bullet"/>
      <w:start w:val="1"/>
    </w:lvl>
  </w:abstractNum>
  <w:abstractNum w:abstractNumId="91">
    <w:nsid w:val="5FB8011C"/>
    <w:multiLevelType w:val="hybridMultilevel"/>
    <w:lvl w:ilvl="0">
      <w:lvlJc w:val="left"/>
      <w:lvlText w:val="$"/>
      <w:numFmt w:val="bullet"/>
      <w:start w:val="1"/>
    </w:lvl>
  </w:abstractNum>
  <w:abstractNum w:abstractNumId="92">
    <w:nsid w:val="6AA78F7F"/>
    <w:multiLevelType w:val="hybridMultilevel"/>
    <w:lvl w:ilvl="0">
      <w:lvlJc w:val="left"/>
      <w:lvlText w:val="\emdash "/>
      <w:numFmt w:val="bullet"/>
      <w:start w:val="1"/>
    </w:lvl>
  </w:abstractNum>
  <w:abstractNum w:abstractNumId="93">
    <w:nsid w:val="7672BD23"/>
    <w:multiLevelType w:val="hybridMultilevel"/>
    <w:lvl w:ilvl="0">
      <w:lvlJc w:val="left"/>
      <w:lvlText w:val="(%1)"/>
      <w:numFmt w:val="decimal"/>
      <w:start w:val="357"/>
    </w:lvl>
  </w:abstractNum>
  <w:abstractNum w:abstractNumId="94">
    <w:nsid w:val="6FC75AF8"/>
    <w:multiLevelType w:val="hybridMultilevel"/>
    <w:lvl w:ilvl="0">
      <w:lvlJc w:val="left"/>
      <w:lvlText w:val="(%1)"/>
      <w:numFmt w:val="lowerLetter"/>
      <w:start w:val="1"/>
    </w:lvl>
  </w:abstractNum>
  <w:abstractNum w:abstractNumId="95">
    <w:nsid w:val="6A5F7029"/>
    <w:multiLevelType w:val="hybridMultilevel"/>
    <w:lvl w:ilvl="0">
      <w:lvlJc w:val="left"/>
      <w:lvlText w:val="(%1)"/>
      <w:numFmt w:val="lowerLetter"/>
      <w:start w:val="1"/>
    </w:lvl>
  </w:abstractNum>
  <w:abstractNum w:abstractNumId="96">
    <w:nsid w:val="7D5E18F8"/>
    <w:multiLevelType w:val="hybridMultilevel"/>
    <w:lvl w:ilvl="0">
      <w:lvlJc w:val="left"/>
      <w:lvlText w:val="(%1)"/>
      <w:numFmt w:val="lowerLetter"/>
      <w:start w:val="7"/>
    </w:lvl>
  </w:abstractNum>
  <w:abstractNum w:abstractNumId="97">
    <w:nsid w:val="5F3534A4"/>
    <w:multiLevelType w:val="hybridMultilevel"/>
    <w:lvl w:ilvl="0">
      <w:lvlJc w:val="left"/>
      <w:lvlText w:val="•"/>
      <w:numFmt w:val="bullet"/>
      <w:start w:val="1"/>
    </w:lvl>
  </w:abstractNum>
  <w:abstractNum w:abstractNumId="98">
    <w:nsid w:val="73A1821B"/>
    <w:multiLevelType w:val="hybridMultilevel"/>
    <w:lvl w:ilvl="0">
      <w:lvlJc w:val="left"/>
      <w:lvlText w:val="(%1)"/>
      <w:numFmt w:val="lowerLetter"/>
      <w:start w:val="1"/>
    </w:lvl>
  </w:abstractNum>
  <w:abstractNum w:abstractNumId="99">
    <w:nsid w:val="7DE67713"/>
    <w:multiLevelType w:val="hybridMultilevel"/>
    <w:lvl w:ilvl="0">
      <w:lvlJc w:val="left"/>
      <w:lvlText w:val="•"/>
      <w:numFmt w:val="bullet"/>
      <w:start w:val="1"/>
    </w:lvl>
  </w:abstractNum>
  <w:abstractNum w:abstractNumId="100">
    <w:nsid w:val="555C55B5"/>
    <w:multiLevelType w:val="hybridMultilevel"/>
    <w:lvl w:ilvl="0">
      <w:lvlJc w:val="left"/>
      <w:lvlText w:val="%1."/>
      <w:numFmt w:val="decimal"/>
      <w:start w:val="1"/>
    </w:lvl>
    <w:lvl w:ilvl="1">
      <w:lvlJc w:val="left"/>
      <w:lvlText w:val="(%2)"/>
      <w:numFmt w:val="lowerLetter"/>
      <w:start w:val="1"/>
    </w:lvl>
  </w:abstractNum>
  <w:abstractNum w:abstractNumId="101">
    <w:nsid w:val="3FA62ACA"/>
    <w:multiLevelType w:val="hybridMultilevel"/>
    <w:lvl w:ilvl="0">
      <w:lvlJc w:val="left"/>
      <w:lvlText w:val="%1."/>
      <w:numFmt w:val="decimal"/>
      <w:start w:val="1"/>
    </w:lvl>
    <w:lvl w:ilvl="1">
      <w:lvlJc w:val="left"/>
      <w:lvlText w:val="(%2)"/>
      <w:numFmt w:val="lowerLetter"/>
      <w:start w:val="1"/>
    </w:lvl>
  </w:abstractNum>
  <w:abstractNum w:abstractNumId="102">
    <w:nsid w:val="14FCE74E"/>
    <w:multiLevelType w:val="hybridMultilevel"/>
    <w:lvl w:ilvl="0">
      <w:lvlJc w:val="left"/>
      <w:lvlText w:val="(%1)"/>
      <w:numFmt w:val="lowerRoman"/>
      <w:start w:val="1"/>
    </w:lvl>
  </w:abstractNum>
  <w:abstractNum w:abstractNumId="103">
    <w:nsid w:val="6A3DD3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2019-12-13T07:31:28Z</dcterms:created>
  <dcterms:modified xsi:type="dcterms:W3CDTF">2019-12-13T07:31:28Z</dcterms:modified>
</cp:coreProperties>
</file>