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2"/>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137795</wp:posOffset>
            </wp:positionH>
            <wp:positionV relativeFrom="page">
              <wp:posOffset>241935</wp:posOffset>
            </wp:positionV>
            <wp:extent cx="728599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5990" cy="6350"/>
                    </a:xfrm>
                    <a:prstGeom prst="rect">
                      <a:avLst/>
                    </a:prstGeom>
                    <a:noFill/>
                  </pic:spPr>
                </pic:pic>
              </a:graphicData>
            </a:graphic>
          </wp:anchor>
        </w:drawing>
        <w:drawing>
          <wp:anchor simplePos="0" relativeHeight="251657728" behindDoc="1" locked="0" layoutInCell="0" allowOverlap="1">
            <wp:simplePos x="0" y="0"/>
            <wp:positionH relativeFrom="page">
              <wp:posOffset>137795</wp:posOffset>
            </wp:positionH>
            <wp:positionV relativeFrom="page">
              <wp:posOffset>260350</wp:posOffset>
            </wp:positionV>
            <wp:extent cx="728599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5990" cy="6350"/>
                    </a:xfrm>
                    <a:prstGeom prst="rect">
                      <a:avLst/>
                    </a:prstGeom>
                    <a:noFill/>
                  </pic:spPr>
                </pic:pic>
              </a:graphicData>
            </a:graphic>
          </wp:anchor>
        </w:drawing>
        <w:t>UNITED STATES</w:t>
      </w:r>
    </w:p>
    <w:p>
      <w:pPr>
        <w:spacing w:after="0" w:line="19" w:lineRule="exact"/>
        <w:rPr>
          <w:sz w:val="24"/>
          <w:szCs w:val="24"/>
          <w:color w:val="auto"/>
        </w:rPr>
      </w:pPr>
    </w:p>
    <w:p>
      <w:pPr>
        <w:jc w:val="center"/>
        <w:ind w:right="-322"/>
        <w:spacing w:after="0"/>
        <w:rPr>
          <w:sz w:val="20"/>
          <w:szCs w:val="20"/>
          <w:color w:val="auto"/>
        </w:rPr>
      </w:pPr>
      <w:r>
        <w:rPr>
          <w:rFonts w:ascii="Arial" w:cs="Arial" w:eastAsia="Arial" w:hAnsi="Arial"/>
          <w:sz w:val="23"/>
          <w:szCs w:val="23"/>
          <w:b w:val="1"/>
          <w:bCs w:val="1"/>
          <w:color w:val="auto"/>
        </w:rPr>
        <w:t>SECURITIES AND EXCHANGE COMMISSION</w:t>
      </w:r>
    </w:p>
    <w:p>
      <w:pPr>
        <w:jc w:val="center"/>
        <w:ind w:right="-322"/>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2916555</wp:posOffset>
            </wp:positionH>
            <wp:positionV relativeFrom="paragraph">
              <wp:posOffset>118745</wp:posOffset>
            </wp:positionV>
            <wp:extent cx="1452245"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2245" cy="6350"/>
                    </a:xfrm>
                    <a:prstGeom prst="rect">
                      <a:avLst/>
                    </a:prstGeom>
                    <a:noFill/>
                  </pic:spPr>
                </pic:pic>
              </a:graphicData>
            </a:graphic>
          </wp:anchor>
        </w:drawing>
      </w:r>
    </w:p>
    <w:p>
      <w:pPr>
        <w:spacing w:after="0" w:line="301" w:lineRule="exact"/>
        <w:rPr>
          <w:sz w:val="24"/>
          <w:szCs w:val="24"/>
          <w:color w:val="auto"/>
        </w:rPr>
      </w:pPr>
    </w:p>
    <w:p>
      <w:pPr>
        <w:jc w:val="center"/>
        <w:ind w:right="-322"/>
        <w:spacing w:after="0"/>
        <w:rPr>
          <w:sz w:val="20"/>
          <w:szCs w:val="20"/>
          <w:color w:val="auto"/>
        </w:rPr>
      </w:pPr>
      <w:r>
        <w:rPr>
          <w:rFonts w:ascii="Arial" w:cs="Arial" w:eastAsia="Arial" w:hAnsi="Arial"/>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2916555</wp:posOffset>
            </wp:positionH>
            <wp:positionV relativeFrom="paragraph">
              <wp:posOffset>132715</wp:posOffset>
            </wp:positionV>
            <wp:extent cx="1452245"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2245" cy="6350"/>
                    </a:xfrm>
                    <a:prstGeom prst="rect">
                      <a:avLst/>
                    </a:prstGeom>
                    <a:noFill/>
                  </pic:spPr>
                </pic:pic>
              </a:graphicData>
            </a:graphic>
          </wp:anchor>
        </w:drawing>
      </w:r>
    </w:p>
    <w:p>
      <w:pPr>
        <w:spacing w:after="0" w:line="333" w:lineRule="exact"/>
        <w:rPr>
          <w:sz w:val="24"/>
          <w:szCs w:val="24"/>
          <w:color w:val="auto"/>
        </w:rPr>
      </w:pPr>
    </w:p>
    <w:p>
      <w:pPr>
        <w:jc w:val="center"/>
        <w:ind w:right="-322"/>
        <w:spacing w:after="0"/>
        <w:rPr>
          <w:sz w:val="20"/>
          <w:szCs w:val="20"/>
          <w:color w:val="auto"/>
        </w:rPr>
      </w:pPr>
      <w:r>
        <w:rPr>
          <w:rFonts w:ascii="Arial" w:cs="Arial" w:eastAsia="Arial" w:hAnsi="Arial"/>
          <w:sz w:val="15"/>
          <w:szCs w:val="15"/>
          <w:b w:val="1"/>
          <w:bCs w:val="1"/>
          <w:color w:val="auto"/>
        </w:rPr>
        <w:t>CURRENT REPORT</w:t>
      </w:r>
    </w:p>
    <w:p>
      <w:pPr>
        <w:spacing w:after="0" w:line="19" w:lineRule="exact"/>
        <w:rPr>
          <w:sz w:val="24"/>
          <w:szCs w:val="24"/>
          <w:color w:val="auto"/>
        </w:rPr>
      </w:pPr>
    </w:p>
    <w:p>
      <w:pPr>
        <w:jc w:val="center"/>
        <w:ind w:right="-322"/>
        <w:spacing w:after="0"/>
        <w:rPr>
          <w:sz w:val="20"/>
          <w:szCs w:val="20"/>
          <w:color w:val="auto"/>
        </w:rPr>
      </w:pPr>
      <w:r>
        <w:rPr>
          <w:rFonts w:ascii="Arial" w:cs="Arial" w:eastAsia="Arial" w:hAnsi="Arial"/>
          <w:sz w:val="15"/>
          <w:szCs w:val="15"/>
          <w:b w:val="1"/>
          <w:bCs w:val="1"/>
          <w:color w:val="auto"/>
        </w:rPr>
        <w:t>PURSUANT TO SECTION 13 OR 15(d)</w:t>
      </w:r>
    </w:p>
    <w:p>
      <w:pPr>
        <w:spacing w:after="0" w:line="1" w:lineRule="exact"/>
        <w:rPr>
          <w:sz w:val="24"/>
          <w:szCs w:val="24"/>
          <w:color w:val="auto"/>
        </w:rPr>
      </w:pPr>
    </w:p>
    <w:p>
      <w:pPr>
        <w:jc w:val="center"/>
        <w:ind w:right="-322"/>
        <w:spacing w:after="0"/>
        <w:rPr>
          <w:sz w:val="20"/>
          <w:szCs w:val="20"/>
          <w:color w:val="auto"/>
        </w:rPr>
      </w:pPr>
      <w:r>
        <w:rPr>
          <w:rFonts w:ascii="Arial" w:cs="Arial" w:eastAsia="Arial" w:hAnsi="Arial"/>
          <w:sz w:val="15"/>
          <w:szCs w:val="15"/>
          <w:b w:val="1"/>
          <w:bCs w:val="1"/>
          <w:color w:val="auto"/>
        </w:rPr>
        <w:t>OF THE SECURITIES EXCHANGE ACT OF 1934</w:t>
      </w:r>
    </w:p>
    <w:p>
      <w:pPr>
        <w:spacing w:after="0" w:line="138" w:lineRule="exact"/>
        <w:rPr>
          <w:sz w:val="24"/>
          <w:szCs w:val="24"/>
          <w:color w:val="auto"/>
        </w:rPr>
      </w:pPr>
    </w:p>
    <w:p>
      <w:pPr>
        <w:ind w:left="2903"/>
        <w:spacing w:after="0"/>
        <w:rPr>
          <w:sz w:val="20"/>
          <w:szCs w:val="20"/>
          <w:color w:val="auto"/>
        </w:rPr>
      </w:pPr>
      <w:r>
        <w:rPr>
          <w:rFonts w:ascii="Arial" w:cs="Arial" w:eastAsia="Arial" w:hAnsi="Arial"/>
          <w:sz w:val="15"/>
          <w:szCs w:val="15"/>
          <w:b w:val="1"/>
          <w:bCs w:val="1"/>
          <w:color w:val="auto"/>
        </w:rPr>
        <w:t>DATE OF REPORT (DATE OF EARLIEST EVENT REPORTED): January 23,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2916555</wp:posOffset>
            </wp:positionH>
            <wp:positionV relativeFrom="paragraph">
              <wp:posOffset>123825</wp:posOffset>
            </wp:positionV>
            <wp:extent cx="1452245" cy="63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2245" cy="6350"/>
                    </a:xfrm>
                    <a:prstGeom prst="rect">
                      <a:avLst/>
                    </a:prstGeom>
                    <a:noFill/>
                  </pic:spPr>
                </pic:pic>
              </a:graphicData>
            </a:graphic>
          </wp:anchor>
        </w:drawing>
      </w:r>
    </w:p>
    <w:p>
      <w:pPr>
        <w:spacing w:after="0" w:line="308" w:lineRule="exact"/>
        <w:rPr>
          <w:sz w:val="24"/>
          <w:szCs w:val="24"/>
          <w:color w:val="auto"/>
        </w:rPr>
      </w:pPr>
    </w:p>
    <w:p>
      <w:pPr>
        <w:jc w:val="center"/>
        <w:ind w:right="-322"/>
        <w:spacing w:after="0"/>
        <w:rPr>
          <w:sz w:val="20"/>
          <w:szCs w:val="20"/>
          <w:color w:val="auto"/>
        </w:rPr>
      </w:pPr>
      <w:r>
        <w:rPr>
          <w:rFonts w:ascii="Arial" w:cs="Arial" w:eastAsia="Arial" w:hAnsi="Arial"/>
          <w:sz w:val="31"/>
          <w:szCs w:val="31"/>
          <w:b w:val="1"/>
          <w:bCs w:val="1"/>
          <w:color w:val="auto"/>
        </w:rPr>
        <w:t>TEXAS INSTRUMENTS INCORPORATED</w:t>
      </w:r>
    </w:p>
    <w:p>
      <w:pPr>
        <w:spacing w:after="0" w:line="33" w:lineRule="exact"/>
        <w:rPr>
          <w:sz w:val="24"/>
          <w:szCs w:val="24"/>
          <w:color w:val="auto"/>
        </w:rPr>
      </w:pPr>
    </w:p>
    <w:p>
      <w:pPr>
        <w:jc w:val="center"/>
        <w:ind w:right="-322"/>
        <w:spacing w:after="0"/>
        <w:rPr>
          <w:sz w:val="20"/>
          <w:szCs w:val="20"/>
          <w:color w:val="auto"/>
        </w:rPr>
      </w:pPr>
      <w:r>
        <w:rPr>
          <w:rFonts w:ascii="Arial" w:cs="Arial" w:eastAsia="Arial" w:hAnsi="Arial"/>
          <w:sz w:val="13"/>
          <w:szCs w:val="13"/>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2916555</wp:posOffset>
            </wp:positionH>
            <wp:positionV relativeFrom="paragraph">
              <wp:posOffset>118745</wp:posOffset>
            </wp:positionV>
            <wp:extent cx="1452245" cy="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2245" cy="6350"/>
                    </a:xfrm>
                    <a:prstGeom prst="rect">
                      <a:avLst/>
                    </a:prstGeom>
                    <a:noFill/>
                  </pic:spPr>
                </pic:pic>
              </a:graphicData>
            </a:graphic>
          </wp:anchor>
        </w:drawing>
      </w:r>
    </w:p>
    <w:p>
      <w:pPr>
        <w:spacing w:after="0" w:line="318" w:lineRule="exact"/>
        <w:rPr>
          <w:sz w:val="24"/>
          <w:szCs w:val="24"/>
          <w:color w:val="auto"/>
        </w:rPr>
      </w:pPr>
    </w:p>
    <w:tbl>
      <w:tblPr>
        <w:tblLayout w:type="fixed"/>
        <w:tblInd w:w="1303" w:type="dxa"/>
        <w:tblCellMar>
          <w:top w:w="0" w:type="dxa"/>
          <w:left w:w="0" w:type="dxa"/>
          <w:bottom w:w="0" w:type="dxa"/>
          <w:right w:w="0" w:type="dxa"/>
        </w:tblCellMar>
      </w:tblPr>
      <w:tr>
        <w:trPr>
          <w:trHeight w:val="150"/>
        </w:trPr>
        <w:tc>
          <w:tcPr>
            <w:tcW w:w="2060" w:type="dxa"/>
            <w:vAlign w:val="bottom"/>
          </w:tcPr>
          <w:p>
            <w:pPr>
              <w:jc w:val="center"/>
              <w:ind w:right="824"/>
              <w:spacing w:after="0"/>
              <w:rPr>
                <w:sz w:val="20"/>
                <w:szCs w:val="20"/>
                <w:color w:val="auto"/>
              </w:rPr>
            </w:pPr>
            <w:r>
              <w:rPr>
                <w:rFonts w:ascii="Arial" w:cs="Arial" w:eastAsia="Arial" w:hAnsi="Arial"/>
                <w:sz w:val="13"/>
                <w:szCs w:val="13"/>
                <w:b w:val="1"/>
                <w:bCs w:val="1"/>
                <w:color w:val="auto"/>
                <w:w w:val="98"/>
              </w:rPr>
              <w:t>DELAWARE</w:t>
            </w:r>
          </w:p>
        </w:tc>
        <w:tc>
          <w:tcPr>
            <w:tcW w:w="4880" w:type="dxa"/>
            <w:vAlign w:val="bottom"/>
          </w:tcPr>
          <w:p>
            <w:pPr>
              <w:ind w:left="2160"/>
              <w:spacing w:after="0"/>
              <w:rPr>
                <w:sz w:val="20"/>
                <w:szCs w:val="20"/>
                <w:color w:val="auto"/>
              </w:rPr>
            </w:pPr>
            <w:r>
              <w:rPr>
                <w:rFonts w:ascii="Arial" w:cs="Arial" w:eastAsia="Arial" w:hAnsi="Arial"/>
                <w:sz w:val="13"/>
                <w:szCs w:val="13"/>
                <w:b w:val="1"/>
                <w:bCs w:val="1"/>
                <w:color w:val="auto"/>
              </w:rPr>
              <w:t>001-03761</w:t>
            </w:r>
          </w:p>
        </w:tc>
        <w:tc>
          <w:tcPr>
            <w:tcW w:w="1780" w:type="dxa"/>
            <w:vAlign w:val="bottom"/>
          </w:tcPr>
          <w:p>
            <w:pPr>
              <w:jc w:val="center"/>
              <w:ind w:left="944"/>
              <w:spacing w:after="0"/>
              <w:rPr>
                <w:sz w:val="20"/>
                <w:szCs w:val="20"/>
                <w:color w:val="auto"/>
              </w:rPr>
            </w:pPr>
            <w:r>
              <w:rPr>
                <w:rFonts w:ascii="Arial" w:cs="Arial" w:eastAsia="Arial" w:hAnsi="Arial"/>
                <w:sz w:val="13"/>
                <w:szCs w:val="13"/>
                <w:b w:val="1"/>
                <w:bCs w:val="1"/>
                <w:color w:val="auto"/>
                <w:w w:val="89"/>
              </w:rPr>
              <w:t>75-0289970</w:t>
            </w:r>
          </w:p>
        </w:tc>
      </w:tr>
      <w:tr>
        <w:trPr>
          <w:trHeight w:val="106"/>
        </w:trPr>
        <w:tc>
          <w:tcPr>
            <w:tcW w:w="2060" w:type="dxa"/>
            <w:vAlign w:val="bottom"/>
          </w:tcPr>
          <w:p>
            <w:pPr>
              <w:jc w:val="center"/>
              <w:ind w:right="824"/>
              <w:spacing w:after="0" w:line="106" w:lineRule="exact"/>
              <w:rPr>
                <w:sz w:val="20"/>
                <w:szCs w:val="20"/>
                <w:color w:val="auto"/>
              </w:rPr>
            </w:pPr>
            <w:r>
              <w:rPr>
                <w:rFonts w:ascii="Arial" w:cs="Arial" w:eastAsia="Arial" w:hAnsi="Arial"/>
                <w:sz w:val="10"/>
                <w:szCs w:val="10"/>
                <w:b w:val="1"/>
                <w:bCs w:val="1"/>
                <w:color w:val="auto"/>
                <w:w w:val="94"/>
              </w:rPr>
              <w:t>(State or other jurisdiction</w:t>
            </w:r>
          </w:p>
        </w:tc>
        <w:tc>
          <w:tcPr>
            <w:tcW w:w="4880" w:type="dxa"/>
            <w:vAlign w:val="bottom"/>
          </w:tcPr>
          <w:p>
            <w:pPr>
              <w:ind w:left="2160"/>
              <w:spacing w:after="0" w:line="106" w:lineRule="exact"/>
              <w:rPr>
                <w:sz w:val="20"/>
                <w:szCs w:val="20"/>
                <w:color w:val="auto"/>
              </w:rPr>
            </w:pPr>
            <w:r>
              <w:rPr>
                <w:rFonts w:ascii="Arial" w:cs="Arial" w:eastAsia="Arial" w:hAnsi="Arial"/>
                <w:sz w:val="10"/>
                <w:szCs w:val="10"/>
                <w:b w:val="1"/>
                <w:bCs w:val="1"/>
                <w:color w:val="auto"/>
              </w:rPr>
              <w:t>(Commission</w:t>
            </w:r>
          </w:p>
        </w:tc>
        <w:tc>
          <w:tcPr>
            <w:tcW w:w="1780" w:type="dxa"/>
            <w:vAlign w:val="bottom"/>
          </w:tcPr>
          <w:p>
            <w:pPr>
              <w:jc w:val="center"/>
              <w:ind w:left="964"/>
              <w:spacing w:after="0" w:line="106" w:lineRule="exact"/>
              <w:rPr>
                <w:sz w:val="20"/>
                <w:szCs w:val="20"/>
                <w:color w:val="auto"/>
              </w:rPr>
            </w:pPr>
            <w:r>
              <w:rPr>
                <w:rFonts w:ascii="Arial" w:cs="Arial" w:eastAsia="Arial" w:hAnsi="Arial"/>
                <w:sz w:val="10"/>
                <w:szCs w:val="10"/>
                <w:b w:val="1"/>
                <w:bCs w:val="1"/>
                <w:color w:val="auto"/>
                <w:w w:val="95"/>
              </w:rPr>
              <w:t>(I.R.S. employer</w:t>
            </w:r>
          </w:p>
        </w:tc>
      </w:tr>
      <w:tr>
        <w:trPr>
          <w:trHeight w:val="134"/>
        </w:trPr>
        <w:tc>
          <w:tcPr>
            <w:tcW w:w="2060" w:type="dxa"/>
            <w:vAlign w:val="bottom"/>
          </w:tcPr>
          <w:p>
            <w:pPr>
              <w:jc w:val="center"/>
              <w:ind w:right="824"/>
              <w:spacing w:after="0"/>
              <w:rPr>
                <w:sz w:val="20"/>
                <w:szCs w:val="20"/>
                <w:color w:val="auto"/>
              </w:rPr>
            </w:pPr>
            <w:r>
              <w:rPr>
                <w:rFonts w:ascii="Arial" w:cs="Arial" w:eastAsia="Arial" w:hAnsi="Arial"/>
                <w:sz w:val="10"/>
                <w:szCs w:val="10"/>
                <w:b w:val="1"/>
                <w:bCs w:val="1"/>
                <w:color w:val="auto"/>
                <w:w w:val="92"/>
              </w:rPr>
              <w:t>of incorporation)</w:t>
            </w:r>
          </w:p>
        </w:tc>
        <w:tc>
          <w:tcPr>
            <w:tcW w:w="4880" w:type="dxa"/>
            <w:vAlign w:val="bottom"/>
          </w:tcPr>
          <w:p>
            <w:pPr>
              <w:ind w:left="2160"/>
              <w:spacing w:after="0"/>
              <w:rPr>
                <w:sz w:val="20"/>
                <w:szCs w:val="20"/>
                <w:color w:val="auto"/>
              </w:rPr>
            </w:pPr>
            <w:r>
              <w:rPr>
                <w:rFonts w:ascii="Arial" w:cs="Arial" w:eastAsia="Arial" w:hAnsi="Arial"/>
                <w:sz w:val="10"/>
                <w:szCs w:val="10"/>
                <w:b w:val="1"/>
                <w:bCs w:val="1"/>
                <w:color w:val="auto"/>
              </w:rPr>
              <w:t>file number)</w:t>
            </w:r>
          </w:p>
        </w:tc>
        <w:tc>
          <w:tcPr>
            <w:tcW w:w="1780" w:type="dxa"/>
            <w:vAlign w:val="bottom"/>
          </w:tcPr>
          <w:p>
            <w:pPr>
              <w:jc w:val="center"/>
              <w:ind w:left="944"/>
              <w:spacing w:after="0"/>
              <w:rPr>
                <w:sz w:val="20"/>
                <w:szCs w:val="20"/>
                <w:color w:val="auto"/>
              </w:rPr>
            </w:pPr>
            <w:r>
              <w:rPr>
                <w:rFonts w:ascii="Arial" w:cs="Arial" w:eastAsia="Arial" w:hAnsi="Arial"/>
                <w:sz w:val="10"/>
                <w:szCs w:val="10"/>
                <w:b w:val="1"/>
                <w:bCs w:val="1"/>
                <w:color w:val="auto"/>
                <w:w w:val="93"/>
              </w:rPr>
              <w:t>identification no.)</w:t>
            </w:r>
          </w:p>
        </w:tc>
      </w:tr>
      <w:tr>
        <w:trPr>
          <w:trHeight w:val="285"/>
        </w:trPr>
        <w:tc>
          <w:tcPr>
            <w:tcW w:w="2060" w:type="dxa"/>
            <w:vAlign w:val="bottom"/>
          </w:tcPr>
          <w:p>
            <w:pPr>
              <w:spacing w:after="0"/>
              <w:rPr>
                <w:sz w:val="24"/>
                <w:szCs w:val="24"/>
                <w:color w:val="auto"/>
              </w:rPr>
            </w:pPr>
          </w:p>
        </w:tc>
        <w:tc>
          <w:tcPr>
            <w:tcW w:w="4880" w:type="dxa"/>
            <w:vAlign w:val="bottom"/>
          </w:tcPr>
          <w:p>
            <w:pPr>
              <w:jc w:val="center"/>
              <w:ind w:right="63"/>
              <w:spacing w:after="0"/>
              <w:rPr>
                <w:sz w:val="20"/>
                <w:szCs w:val="20"/>
                <w:color w:val="auto"/>
              </w:rPr>
            </w:pPr>
            <w:r>
              <w:rPr>
                <w:rFonts w:ascii="Arial" w:cs="Arial" w:eastAsia="Arial" w:hAnsi="Arial"/>
                <w:sz w:val="13"/>
                <w:szCs w:val="13"/>
                <w:b w:val="1"/>
                <w:bCs w:val="1"/>
                <w:color w:val="auto"/>
                <w:w w:val="96"/>
              </w:rPr>
              <w:t>12500 TI BOULEVARD</w:t>
            </w:r>
          </w:p>
        </w:tc>
        <w:tc>
          <w:tcPr>
            <w:tcW w:w="1780" w:type="dxa"/>
            <w:vAlign w:val="bottom"/>
          </w:tcPr>
          <w:p>
            <w:pPr>
              <w:spacing w:after="0"/>
              <w:rPr>
                <w:sz w:val="24"/>
                <w:szCs w:val="24"/>
                <w:color w:val="auto"/>
              </w:rPr>
            </w:pPr>
          </w:p>
        </w:tc>
      </w:tr>
      <w:tr>
        <w:trPr>
          <w:trHeight w:val="150"/>
        </w:trPr>
        <w:tc>
          <w:tcPr>
            <w:tcW w:w="2060" w:type="dxa"/>
            <w:vAlign w:val="bottom"/>
          </w:tcPr>
          <w:p>
            <w:pPr>
              <w:spacing w:after="0"/>
              <w:rPr>
                <w:sz w:val="13"/>
                <w:szCs w:val="13"/>
                <w:color w:val="auto"/>
              </w:rPr>
            </w:pPr>
          </w:p>
        </w:tc>
        <w:tc>
          <w:tcPr>
            <w:tcW w:w="4880" w:type="dxa"/>
            <w:vAlign w:val="bottom"/>
          </w:tcPr>
          <w:p>
            <w:pPr>
              <w:jc w:val="center"/>
              <w:ind w:right="83"/>
              <w:spacing w:after="0"/>
              <w:rPr>
                <w:sz w:val="20"/>
                <w:szCs w:val="20"/>
                <w:color w:val="auto"/>
              </w:rPr>
            </w:pPr>
            <w:r>
              <w:rPr>
                <w:rFonts w:ascii="Arial" w:cs="Arial" w:eastAsia="Arial" w:hAnsi="Arial"/>
                <w:sz w:val="13"/>
                <w:szCs w:val="13"/>
                <w:b w:val="1"/>
                <w:bCs w:val="1"/>
                <w:color w:val="auto"/>
                <w:w w:val="96"/>
              </w:rPr>
              <w:t>DALLAS, TEXAS 75243</w:t>
            </w:r>
          </w:p>
        </w:tc>
        <w:tc>
          <w:tcPr>
            <w:tcW w:w="1780" w:type="dxa"/>
            <w:vAlign w:val="bottom"/>
          </w:tcPr>
          <w:p>
            <w:pPr>
              <w:spacing w:after="0"/>
              <w:rPr>
                <w:sz w:val="13"/>
                <w:szCs w:val="13"/>
                <w:color w:val="auto"/>
              </w:rPr>
            </w:pPr>
          </w:p>
        </w:tc>
      </w:tr>
      <w:tr>
        <w:trPr>
          <w:trHeight w:val="134"/>
        </w:trPr>
        <w:tc>
          <w:tcPr>
            <w:tcW w:w="2060" w:type="dxa"/>
            <w:vAlign w:val="bottom"/>
          </w:tcPr>
          <w:p>
            <w:pPr>
              <w:spacing w:after="0"/>
              <w:rPr>
                <w:sz w:val="11"/>
                <w:szCs w:val="11"/>
                <w:color w:val="auto"/>
              </w:rPr>
            </w:pPr>
          </w:p>
        </w:tc>
        <w:tc>
          <w:tcPr>
            <w:tcW w:w="4880" w:type="dxa"/>
            <w:vAlign w:val="bottom"/>
          </w:tcPr>
          <w:p>
            <w:pPr>
              <w:jc w:val="center"/>
              <w:ind w:right="83"/>
              <w:spacing w:after="0"/>
              <w:rPr>
                <w:sz w:val="20"/>
                <w:szCs w:val="20"/>
                <w:color w:val="auto"/>
              </w:rPr>
            </w:pPr>
            <w:r>
              <w:rPr>
                <w:rFonts w:ascii="Arial" w:cs="Arial" w:eastAsia="Arial" w:hAnsi="Arial"/>
                <w:sz w:val="10"/>
                <w:szCs w:val="10"/>
                <w:b w:val="1"/>
                <w:bCs w:val="1"/>
                <w:color w:val="auto"/>
                <w:w w:val="91"/>
              </w:rPr>
              <w:t>(Address of principal executive offices)</w:t>
            </w:r>
          </w:p>
        </w:tc>
        <w:tc>
          <w:tcPr>
            <w:tcW w:w="1780" w:type="dxa"/>
            <w:vAlign w:val="bottom"/>
          </w:tcPr>
          <w:p>
            <w:pPr>
              <w:spacing w:after="0"/>
              <w:rPr>
                <w:sz w:val="11"/>
                <w:szCs w:val="11"/>
                <w:color w:val="auto"/>
              </w:rPr>
            </w:pPr>
          </w:p>
        </w:tc>
      </w:tr>
      <w:tr>
        <w:trPr>
          <w:trHeight w:val="261"/>
        </w:trPr>
        <w:tc>
          <w:tcPr>
            <w:tcW w:w="2060" w:type="dxa"/>
            <w:vAlign w:val="bottom"/>
          </w:tcPr>
          <w:p>
            <w:pPr>
              <w:spacing w:after="0"/>
              <w:rPr>
                <w:sz w:val="22"/>
                <w:szCs w:val="22"/>
                <w:color w:val="auto"/>
              </w:rPr>
            </w:pPr>
          </w:p>
        </w:tc>
        <w:tc>
          <w:tcPr>
            <w:tcW w:w="4880" w:type="dxa"/>
            <w:vAlign w:val="bottom"/>
          </w:tcPr>
          <w:p>
            <w:pPr>
              <w:jc w:val="center"/>
              <w:ind w:right="63"/>
              <w:spacing w:after="0"/>
              <w:rPr>
                <w:sz w:val="20"/>
                <w:szCs w:val="20"/>
                <w:color w:val="auto"/>
              </w:rPr>
            </w:pPr>
            <w:r>
              <w:rPr>
                <w:rFonts w:ascii="Arial" w:cs="Arial" w:eastAsia="Arial" w:hAnsi="Arial"/>
                <w:sz w:val="10"/>
                <w:szCs w:val="10"/>
                <w:b w:val="1"/>
                <w:bCs w:val="1"/>
                <w:color w:val="auto"/>
                <w:w w:val="92"/>
              </w:rPr>
              <w:t>Registrant’s telephone number, including area code: (214) 479-3773</w:t>
            </w:r>
          </w:p>
        </w:tc>
        <w:tc>
          <w:tcPr>
            <w:tcW w:w="1780" w:type="dxa"/>
            <w:vAlign w:val="bottom"/>
          </w:tcPr>
          <w:p>
            <w:pPr>
              <w:spacing w:after="0"/>
              <w:rPr>
                <w:sz w:val="22"/>
                <w:szCs w:val="2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2916555</wp:posOffset>
            </wp:positionH>
            <wp:positionV relativeFrom="paragraph">
              <wp:posOffset>109855</wp:posOffset>
            </wp:positionV>
            <wp:extent cx="1452245" cy="63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2245" cy="6350"/>
                    </a:xfrm>
                    <a:prstGeom prst="rect">
                      <a:avLst/>
                    </a:prstGeom>
                    <a:noFill/>
                  </pic:spPr>
                </pic:pic>
              </a:graphicData>
            </a:graphic>
          </wp:anchor>
        </w:drawing>
      </w:r>
    </w:p>
    <w:p>
      <w:pPr>
        <w:spacing w:after="0" w:line="308" w:lineRule="exact"/>
        <w:rPr>
          <w:sz w:val="24"/>
          <w:szCs w:val="24"/>
          <w:color w:val="auto"/>
        </w:rPr>
      </w:pPr>
    </w:p>
    <w:p>
      <w:pPr>
        <w:ind w:left="3"/>
        <w:spacing w:after="0"/>
        <w:rPr>
          <w:sz w:val="20"/>
          <w:szCs w:val="20"/>
          <w:color w:val="auto"/>
        </w:rPr>
      </w:pPr>
      <w:r>
        <w:rPr>
          <w:rFonts w:ascii="Arial" w:cs="Arial" w:eastAsia="Arial" w:hAnsi="Arial"/>
          <w:sz w:val="13"/>
          <w:szCs w:val="13"/>
          <w:color w:val="auto"/>
        </w:rPr>
        <w:t>Check the appropriate box below if the Form 8-K is intended to simultaneously satisfy the filing obligation of the registrant under any of the following provisions:</w:t>
      </w:r>
    </w:p>
    <w:p>
      <w:pPr>
        <w:spacing w:after="0" w:line="159" w:lineRule="exact"/>
        <w:rPr>
          <w:sz w:val="24"/>
          <w:szCs w:val="24"/>
          <w:color w:val="auto"/>
        </w:rPr>
      </w:pPr>
    </w:p>
    <w:p>
      <w:pPr>
        <w:ind w:left="503" w:hanging="503"/>
        <w:spacing w:after="0"/>
        <w:tabs>
          <w:tab w:leader="none" w:pos="503"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Written communications pursuant to Rule 425 under the Securities Act (17 CFR 230.425)</w:t>
      </w:r>
    </w:p>
    <w:p>
      <w:pPr>
        <w:spacing w:after="0" w:line="159" w:lineRule="exact"/>
        <w:rPr>
          <w:rFonts w:ascii="MS PGothic" w:cs="MS PGothic" w:eastAsia="MS PGothic" w:hAnsi="MS PGothic"/>
          <w:sz w:val="13"/>
          <w:szCs w:val="13"/>
          <w:color w:val="auto"/>
        </w:rPr>
      </w:pPr>
    </w:p>
    <w:p>
      <w:pPr>
        <w:ind w:left="503" w:hanging="503"/>
        <w:spacing w:after="0"/>
        <w:tabs>
          <w:tab w:leader="none" w:pos="503"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Rule 14a-12 under the Exchange Act (17 CFR 240.14a-12)</w:t>
      </w:r>
    </w:p>
    <w:p>
      <w:pPr>
        <w:spacing w:after="0" w:line="159" w:lineRule="exact"/>
        <w:rPr>
          <w:rFonts w:ascii="MS PGothic" w:cs="MS PGothic" w:eastAsia="MS PGothic" w:hAnsi="MS PGothic"/>
          <w:sz w:val="13"/>
          <w:szCs w:val="13"/>
          <w:color w:val="auto"/>
        </w:rPr>
      </w:pPr>
    </w:p>
    <w:p>
      <w:pPr>
        <w:ind w:left="503" w:hanging="503"/>
        <w:spacing w:after="0"/>
        <w:tabs>
          <w:tab w:leader="none" w:pos="503"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14d-2(b) under the Exchange Act (17 CFR 240.14d-2(b))</w:t>
      </w:r>
    </w:p>
    <w:p>
      <w:pPr>
        <w:spacing w:after="0" w:line="159" w:lineRule="exact"/>
        <w:rPr>
          <w:rFonts w:ascii="MS PGothic" w:cs="MS PGothic" w:eastAsia="MS PGothic" w:hAnsi="MS PGothic"/>
          <w:sz w:val="13"/>
          <w:szCs w:val="13"/>
          <w:color w:val="auto"/>
        </w:rPr>
      </w:pPr>
    </w:p>
    <w:p>
      <w:pPr>
        <w:ind w:left="503" w:hanging="503"/>
        <w:spacing w:after="0"/>
        <w:tabs>
          <w:tab w:leader="none" w:pos="503"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13e-4(c) under the Exchange Act (17 CFR 240.13e-4(c))</w:t>
      </w:r>
    </w:p>
    <w:p>
      <w:pPr>
        <w:spacing w:after="0" w:line="159" w:lineRule="exact"/>
        <w:rPr>
          <w:sz w:val="24"/>
          <w:szCs w:val="24"/>
          <w:color w:val="auto"/>
        </w:rPr>
      </w:pPr>
    </w:p>
    <w:p>
      <w:pPr>
        <w:ind w:left="3" w:right="220"/>
        <w:spacing w:after="0" w:line="268"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5" w:lineRule="exact"/>
        <w:rPr>
          <w:sz w:val="24"/>
          <w:szCs w:val="24"/>
          <w:color w:val="auto"/>
        </w:rPr>
      </w:pPr>
    </w:p>
    <w:p>
      <w:pPr>
        <w:ind w:left="3"/>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184" w:lineRule="exact"/>
        <w:rPr>
          <w:sz w:val="24"/>
          <w:szCs w:val="24"/>
          <w:color w:val="auto"/>
        </w:rPr>
      </w:pPr>
    </w:p>
    <w:p>
      <w:pPr>
        <w:ind w:left="3"/>
        <w:spacing w:after="0" w:line="16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249555</wp:posOffset>
            </wp:positionV>
            <wp:extent cx="7285990" cy="63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599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273685</wp:posOffset>
            </wp:positionV>
            <wp:extent cx="7285990" cy="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5990" cy="63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622935</wp:posOffset>
            </wp:positionV>
            <wp:extent cx="7323455" cy="374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23455" cy="37465"/>
                    </a:xfrm>
                    <a:prstGeom prst="rect">
                      <a:avLst/>
                    </a:prstGeom>
                    <a:noFill/>
                  </pic:spPr>
                </pic:pic>
              </a:graphicData>
            </a:graphic>
          </wp:anchor>
        </w:drawing>
      </w:r>
    </w:p>
    <w:p>
      <w:pPr>
        <w:sectPr>
          <w:pgSz w:w="11900" w:h="16838" w:orient="portrait"/>
          <w:cols w:equalWidth="0" w:num="1">
            <w:col w:w="11143"/>
          </w:cols>
          <w:pgMar w:left="217" w:top="467" w:right="539" w:bottom="1440" w:gutter="0" w:footer="0" w:header="0"/>
        </w:sectPr>
      </w:pPr>
    </w:p>
    <w:bookmarkStart w:id="1" w:name="page2"/>
    <w:bookmarkEnd w:id="1"/>
    <w:p>
      <w:pPr>
        <w:spacing w:after="0"/>
        <w:rPr>
          <w:sz w:val="20"/>
          <w:szCs w:val="20"/>
          <w:color w:val="auto"/>
        </w:rPr>
      </w:pPr>
      <w:r>
        <w:rPr>
          <w:rFonts w:ascii="Arial" w:cs="Arial" w:eastAsia="Arial" w:hAnsi="Arial"/>
          <w:sz w:val="13"/>
          <w:szCs w:val="13"/>
          <w:color w:val="auto"/>
        </w:rPr>
        <w:t>ITEM 2.02. Results of Operations and Financial Condition</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The Registrant’s news release dated January 23, 2018, regarding its fourth-quarter and 2017 results of operations and financial condition is attached hereto as Exhibit 99.</w:t>
      </w:r>
    </w:p>
    <w:p>
      <w:pPr>
        <w:spacing w:after="0" w:line="159" w:lineRule="exact"/>
        <w:rPr>
          <w:sz w:val="20"/>
          <w:szCs w:val="20"/>
          <w:color w:val="auto"/>
        </w:rPr>
      </w:pPr>
    </w:p>
    <w:p>
      <w:pPr>
        <w:jc w:val="both"/>
        <w:spacing w:after="0" w:line="254" w:lineRule="auto"/>
        <w:rPr>
          <w:sz w:val="20"/>
          <w:szCs w:val="20"/>
          <w:color w:val="auto"/>
        </w:rPr>
      </w:pPr>
      <w:r>
        <w:rPr>
          <w:rFonts w:ascii="Arial" w:cs="Arial" w:eastAsia="Arial" w:hAnsi="Arial"/>
          <w:sz w:val="13"/>
          <w:szCs w:val="13"/>
          <w:color w:val="auto"/>
        </w:rPr>
        <w:t>The attached news release includes references to the following financial measures that were not prepared in accordance with generally accepted accounting principles in the United States (non-GAAP measures): free cash flow and ratios based on free cash flow. The company believes these non-GAAP measures provide insight into its liquidity, cash generating capability and the amount of cash potentially available to return to shareholders, as well as insight into its financial performance. These non-GAAP measures are supplemental to the comparable GAAP measures. Reconciliation to the most directly comparable GAAP measures is included in the “Non-GAAP financial information” section of the news release.</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3"/>
          <w:szCs w:val="13"/>
          <w:color w:val="auto"/>
        </w:rPr>
        <w:t>ITEM 9.01. Exhibits</w:t>
      </w:r>
    </w:p>
    <w:p>
      <w:pPr>
        <w:sectPr>
          <w:pgSz w:w="11900" w:h="16838" w:orient="portrait"/>
          <w:cols w:equalWidth="0" w:num="1">
            <w:col w:w="11340"/>
          </w:cols>
          <w:pgMar w:left="220" w:top="439" w:right="339" w:bottom="1440" w:gutter="0" w:footer="0" w:header="0"/>
        </w:sectPr>
      </w:pPr>
    </w:p>
    <w:p>
      <w:pPr>
        <w:spacing w:after="0" w:line="155" w:lineRule="exact"/>
        <w:rPr>
          <w:sz w:val="20"/>
          <w:szCs w:val="20"/>
          <w:color w:val="auto"/>
        </w:rPr>
      </w:pPr>
    </w:p>
    <w:p>
      <w:pPr>
        <w:jc w:val="center"/>
        <w:ind w:left="320"/>
        <w:spacing w:after="0"/>
        <w:rPr>
          <w:sz w:val="20"/>
          <w:szCs w:val="20"/>
          <w:color w:val="auto"/>
        </w:rPr>
      </w:pPr>
      <w:r>
        <w:rPr>
          <w:rFonts w:ascii="Arial" w:cs="Arial" w:eastAsia="Arial" w:hAnsi="Arial"/>
          <w:sz w:val="9"/>
          <w:szCs w:val="9"/>
          <w:color w:val="auto"/>
        </w:rPr>
        <w:t>Designation</w:t>
      </w:r>
    </w:p>
    <w:p>
      <w:pPr>
        <w:spacing w:after="0" w:line="2" w:lineRule="exact"/>
        <w:rPr>
          <w:sz w:val="20"/>
          <w:szCs w:val="20"/>
          <w:color w:val="auto"/>
        </w:rPr>
      </w:pPr>
    </w:p>
    <w:p>
      <w:pPr>
        <w:jc w:val="center"/>
        <w:ind w:left="320"/>
        <w:spacing w:after="0"/>
        <w:rPr>
          <w:sz w:val="20"/>
          <w:szCs w:val="20"/>
          <w:color w:val="auto"/>
        </w:rPr>
      </w:pPr>
      <w:r>
        <w:rPr>
          <w:rFonts w:ascii="Arial" w:cs="Arial" w:eastAsia="Arial" w:hAnsi="Arial"/>
          <w:sz w:val="10"/>
          <w:szCs w:val="10"/>
          <w:color w:val="auto"/>
        </w:rPr>
        <w:t>of Exhibit</w:t>
      </w:r>
    </w:p>
    <w:p>
      <w:pPr>
        <w:jc w:val="center"/>
        <w:ind w:left="320"/>
        <w:spacing w:after="0" w:line="221" w:lineRule="auto"/>
        <w:rPr>
          <w:sz w:val="20"/>
          <w:szCs w:val="20"/>
          <w:color w:val="auto"/>
        </w:rPr>
      </w:pPr>
      <w:r>
        <w:rPr>
          <w:rFonts w:ascii="Arial" w:cs="Arial" w:eastAsia="Arial" w:hAnsi="Arial"/>
          <w:sz w:val="10"/>
          <w:szCs w:val="10"/>
          <w:color w:val="auto"/>
        </w:rPr>
        <w:t>in this</w:t>
      </w:r>
    </w:p>
    <w:p>
      <w:pPr>
        <w:jc w:val="center"/>
        <w:ind w:left="320"/>
        <w:spacing w:after="0"/>
        <w:rPr>
          <w:sz w:val="20"/>
          <w:szCs w:val="20"/>
          <w:color w:val="auto"/>
        </w:rPr>
      </w:pPr>
      <w:r>
        <w:rPr>
          <w:rFonts w:ascii="Arial" w:cs="Arial" w:eastAsia="Arial" w:hAnsi="Arial"/>
          <w:sz w:val="10"/>
          <w:szCs w:val="10"/>
          <w:color w:val="auto"/>
        </w:rPr>
        <w:t>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-1905</wp:posOffset>
            </wp:positionV>
            <wp:extent cx="728980" cy="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80" cy="6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9"/>
          <w:szCs w:val="9"/>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9525</wp:posOffset>
            </wp:positionV>
            <wp:extent cx="1054100" cy="6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54100" cy="6350"/>
                    </a:xfrm>
                    <a:prstGeom prst="rect">
                      <a:avLst/>
                    </a:prstGeom>
                    <a:noFill/>
                  </pic:spPr>
                </pic:pic>
              </a:graphicData>
            </a:graphic>
          </wp:anchor>
        </w:drawing>
      </w:r>
    </w:p>
    <w:p>
      <w:pPr>
        <w:spacing w:after="0" w:line="103" w:lineRule="exact"/>
        <w:rPr>
          <w:sz w:val="20"/>
          <w:szCs w:val="20"/>
          <w:color w:val="auto"/>
        </w:rPr>
      </w:pPr>
    </w:p>
    <w:p>
      <w:pPr>
        <w:sectPr>
          <w:pgSz w:w="11900" w:h="16838" w:orient="portrait"/>
          <w:cols w:equalWidth="0" w:num="2">
            <w:col w:w="820" w:space="440"/>
            <w:col w:w="10080"/>
          </w:cols>
          <w:pgMar w:left="220" w:top="439" w:right="339" w:bottom="1440" w:gutter="0" w:footer="0" w:header="0"/>
          <w:type w:val="continuous"/>
        </w:sectPr>
      </w:pPr>
    </w:p>
    <w:p>
      <w:pPr>
        <w:ind w:left="1260" w:hanging="753"/>
        <w:spacing w:after="0"/>
        <w:tabs>
          <w:tab w:leader="none" w:pos="1260" w:val="left"/>
        </w:tabs>
        <w:numPr>
          <w:ilvl w:val="0"/>
          <w:numId w:val="2"/>
        </w:numPr>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Registrant’s News Release</w:t>
        </w:r>
      </w:hyperlink>
    </w:p>
    <w:p>
      <w:pPr>
        <w:spacing w:after="0" w:line="13" w:lineRule="exact"/>
        <w:rPr>
          <w:rFonts w:ascii="Arial" w:cs="Arial" w:eastAsia="Arial" w:hAnsi="Arial"/>
          <w:sz w:val="13"/>
          <w:szCs w:val="13"/>
          <w:u w:val="single" w:color="auto"/>
          <w:color w:val="0000EE"/>
        </w:rPr>
      </w:pPr>
    </w:p>
    <w:p>
      <w:pPr>
        <w:ind w:left="1260"/>
        <w:spacing w:after="0"/>
        <w:rPr>
          <w:rFonts w:ascii="Arial" w:cs="Arial" w:eastAsia="Arial" w:hAnsi="Arial"/>
          <w:sz w:val="13"/>
          <w:szCs w:val="13"/>
          <w:u w:val="single" w:color="auto"/>
          <w:color w:val="0000EE"/>
        </w:rPr>
      </w:pPr>
      <w:r>
        <w:rPr>
          <w:rFonts w:ascii="Arial" w:cs="Arial" w:eastAsia="Arial" w:hAnsi="Arial"/>
          <w:sz w:val="11"/>
          <w:szCs w:val="11"/>
          <w:color w:val="auto"/>
        </w:rPr>
        <w:t>Dated January 23, 2018 (furnished pursuant to Item 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446405</wp:posOffset>
            </wp:positionV>
            <wp:extent cx="7323455" cy="3746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3455" cy="37465"/>
                    </a:xfrm>
                    <a:prstGeom prst="rect">
                      <a:avLst/>
                    </a:prstGeom>
                    <a:noFill/>
                  </pic:spPr>
                </pic:pic>
              </a:graphicData>
            </a:graphic>
          </wp:anchor>
        </w:drawing>
      </w:r>
    </w:p>
    <w:p>
      <w:pPr>
        <w:sectPr>
          <w:pgSz w:w="11900" w:h="16838" w:orient="portrait"/>
          <w:cols w:equalWidth="0" w:num="1">
            <w:col w:w="11340"/>
          </w:cols>
          <w:pgMar w:left="220" w:top="439" w:right="3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3"/>
          <w:szCs w:val="13"/>
          <w:color w:val="auto"/>
        </w:rPr>
        <w:t>SIGNATURES</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Pursuant to the requirements of the Securities Exchange Act of 1934, the Registrant has duly caused this report to be signed on its behalf by the undersigned hereunto duly authorized.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3800" w:type="dxa"/>
            <w:vAlign w:val="bottom"/>
          </w:tcPr>
          <w:p>
            <w:pPr>
              <w:spacing w:after="0"/>
              <w:rPr>
                <w:sz w:val="14"/>
                <w:szCs w:val="14"/>
                <w:color w:val="auto"/>
              </w:rPr>
            </w:pPr>
          </w:p>
        </w:tc>
        <w:tc>
          <w:tcPr>
            <w:tcW w:w="7680" w:type="dxa"/>
            <w:vAlign w:val="bottom"/>
            <w:gridSpan w:val="2"/>
          </w:tcPr>
          <w:p>
            <w:pPr>
              <w:ind w:left="2620"/>
              <w:spacing w:after="0"/>
              <w:rPr>
                <w:sz w:val="20"/>
                <w:szCs w:val="20"/>
                <w:color w:val="auto"/>
              </w:rPr>
            </w:pPr>
            <w:r>
              <w:rPr>
                <w:rFonts w:ascii="Arial" w:cs="Arial" w:eastAsia="Arial" w:hAnsi="Arial"/>
                <w:sz w:val="13"/>
                <w:szCs w:val="13"/>
                <w:color w:val="auto"/>
              </w:rPr>
              <w:t>TEXAS INSTRUMENTS INCORPORATED</w:t>
            </w:r>
          </w:p>
        </w:tc>
      </w:tr>
      <w:tr>
        <w:trPr>
          <w:trHeight w:val="309"/>
        </w:trPr>
        <w:tc>
          <w:tcPr>
            <w:tcW w:w="3800" w:type="dxa"/>
            <w:vAlign w:val="bottom"/>
          </w:tcPr>
          <w:p>
            <w:pPr>
              <w:spacing w:after="0"/>
              <w:rPr>
                <w:sz w:val="20"/>
                <w:szCs w:val="20"/>
                <w:color w:val="auto"/>
              </w:rPr>
            </w:pPr>
            <w:r>
              <w:rPr>
                <w:rFonts w:ascii="Arial" w:cs="Arial" w:eastAsia="Arial" w:hAnsi="Arial"/>
                <w:sz w:val="13"/>
                <w:szCs w:val="13"/>
                <w:color w:val="auto"/>
              </w:rPr>
              <w:t>Date: January 23, 2018</w:t>
            </w:r>
          </w:p>
        </w:tc>
        <w:tc>
          <w:tcPr>
            <w:tcW w:w="3080" w:type="dxa"/>
            <w:vAlign w:val="bottom"/>
          </w:tcPr>
          <w:p>
            <w:pPr>
              <w:ind w:left="2620"/>
              <w:spacing w:after="0"/>
              <w:rPr>
                <w:sz w:val="20"/>
                <w:szCs w:val="20"/>
                <w:color w:val="auto"/>
              </w:rPr>
            </w:pPr>
            <w:r>
              <w:rPr>
                <w:rFonts w:ascii="Arial" w:cs="Arial" w:eastAsia="Arial" w:hAnsi="Arial"/>
                <w:sz w:val="13"/>
                <w:szCs w:val="13"/>
                <w:color w:val="auto"/>
              </w:rPr>
              <w:t>By:</w:t>
            </w:r>
          </w:p>
        </w:tc>
        <w:tc>
          <w:tcPr>
            <w:tcW w:w="46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Rafael R. Lizardi</w:t>
            </w:r>
          </w:p>
        </w:tc>
      </w:tr>
      <w:tr>
        <w:trPr>
          <w:trHeight w:val="136"/>
        </w:trPr>
        <w:tc>
          <w:tcPr>
            <w:tcW w:w="380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4600" w:type="dxa"/>
            <w:vAlign w:val="bottom"/>
          </w:tcPr>
          <w:p>
            <w:pPr>
              <w:spacing w:after="0" w:line="136" w:lineRule="exact"/>
              <w:rPr>
                <w:sz w:val="20"/>
                <w:szCs w:val="20"/>
                <w:color w:val="auto"/>
              </w:rPr>
            </w:pPr>
            <w:r>
              <w:rPr>
                <w:rFonts w:ascii="Arial" w:cs="Arial" w:eastAsia="Arial" w:hAnsi="Arial"/>
                <w:sz w:val="13"/>
                <w:szCs w:val="13"/>
                <w:color w:val="auto"/>
              </w:rPr>
              <w:t>Rafael R. Lizardi</w:t>
            </w:r>
          </w:p>
        </w:tc>
      </w:tr>
      <w:tr>
        <w:trPr>
          <w:trHeight w:val="154"/>
        </w:trPr>
        <w:tc>
          <w:tcPr>
            <w:tcW w:w="380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4600" w:type="dxa"/>
            <w:vAlign w:val="bottom"/>
          </w:tcPr>
          <w:p>
            <w:pPr>
              <w:spacing w:after="0"/>
              <w:rPr>
                <w:sz w:val="20"/>
                <w:szCs w:val="20"/>
                <w:color w:val="auto"/>
              </w:rPr>
            </w:pPr>
            <w:r>
              <w:rPr>
                <w:rFonts w:ascii="Arial" w:cs="Arial" w:eastAsia="Arial" w:hAnsi="Arial"/>
                <w:sz w:val="13"/>
                <w:szCs w:val="13"/>
                <w:color w:val="auto"/>
              </w:rPr>
              <w:t>Senior Vice President and</w:t>
            </w:r>
          </w:p>
        </w:tc>
      </w:tr>
      <w:tr>
        <w:trPr>
          <w:trHeight w:val="163"/>
        </w:trPr>
        <w:tc>
          <w:tcPr>
            <w:tcW w:w="38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4600" w:type="dxa"/>
            <w:vAlign w:val="bottom"/>
          </w:tcPr>
          <w:p>
            <w:pPr>
              <w:spacing w:after="0"/>
              <w:rPr>
                <w:sz w:val="20"/>
                <w:szCs w:val="20"/>
                <w:color w:val="auto"/>
              </w:rPr>
            </w:pPr>
            <w:r>
              <w:rPr>
                <w:rFonts w:ascii="Arial" w:cs="Arial" w:eastAsia="Arial" w:hAnsi="Arial"/>
                <w:sz w:val="13"/>
                <w:szCs w:val="13"/>
                <w:color w:val="auto"/>
              </w:rPr>
              <w:t>Chief Financial Officer</w:t>
            </w:r>
          </w:p>
        </w:tc>
      </w:tr>
    </w:tbl>
    <w:p>
      <w:pPr>
        <w:sectPr>
          <w:pgSz w:w="11900" w:h="16838" w:orient="portrait"/>
          <w:cols w:equalWidth="0" w:num="1">
            <w:col w:w="11480"/>
          </w:cols>
          <w:pgMar w:left="220" w:top="285" w:right="199" w:bottom="1440" w:gutter="0" w:footer="0" w:header="0"/>
        </w:sectPr>
      </w:pPr>
    </w:p>
    <w:bookmarkStart w:id="3" w:name="page4"/>
    <w:bookmarkEnd w:id="3"/>
    <w:p>
      <w:pPr>
        <w:jc w:val="right"/>
        <w:ind w:right="20"/>
        <w:spacing w:after="0"/>
        <w:rPr>
          <w:sz w:val="20"/>
          <w:szCs w:val="20"/>
          <w:color w:val="auto"/>
        </w:rPr>
      </w:pPr>
      <w:r>
        <w:rPr>
          <w:rFonts w:ascii="Arial" w:cs="Arial" w:eastAsia="Arial" w:hAnsi="Arial"/>
          <w:sz w:val="13"/>
          <w:szCs w:val="13"/>
          <w:b w:val="1"/>
          <w:bCs w:val="1"/>
          <w:color w:val="auto"/>
        </w:rPr>
        <w:t>Exhibit 99</w:t>
      </w:r>
    </w:p>
    <w:p>
      <w:pPr>
        <w:spacing w:after="0" w:line="333" w:lineRule="exact"/>
        <w:rPr>
          <w:sz w:val="20"/>
          <w:szCs w:val="20"/>
          <w:color w:val="auto"/>
        </w:rPr>
      </w:pPr>
    </w:p>
    <w:p>
      <w:pPr>
        <w:jc w:val="center"/>
        <w:ind w:right="17"/>
        <w:spacing w:after="0"/>
        <w:rPr>
          <w:sz w:val="20"/>
          <w:szCs w:val="20"/>
          <w:color w:val="auto"/>
        </w:rPr>
      </w:pPr>
      <w:r>
        <w:rPr>
          <w:rFonts w:ascii="Arial" w:cs="Arial" w:eastAsia="Arial" w:hAnsi="Arial"/>
          <w:sz w:val="13"/>
          <w:szCs w:val="13"/>
          <w:b w:val="1"/>
          <w:bCs w:val="1"/>
          <w:color w:val="auto"/>
        </w:rPr>
        <w:t>TI reports 4Q17 and 2017 financial results and shareholder returns</w:t>
      </w:r>
    </w:p>
    <w:p>
      <w:pPr>
        <w:spacing w:after="0" w:line="163" w:lineRule="exact"/>
        <w:rPr>
          <w:sz w:val="20"/>
          <w:szCs w:val="20"/>
          <w:color w:val="auto"/>
        </w:rPr>
      </w:pPr>
    </w:p>
    <w:p>
      <w:pPr>
        <w:jc w:val="center"/>
        <w:ind w:right="37"/>
        <w:spacing w:after="0"/>
        <w:rPr>
          <w:sz w:val="20"/>
          <w:szCs w:val="20"/>
          <w:color w:val="auto"/>
        </w:rPr>
      </w:pPr>
      <w:r>
        <w:rPr>
          <w:rFonts w:ascii="Arial" w:cs="Arial" w:eastAsia="Arial" w:hAnsi="Arial"/>
          <w:sz w:val="13"/>
          <w:szCs w:val="13"/>
          <w:color w:val="auto"/>
        </w:rPr>
        <w:t>Conference call on TI website at 3:30 p.m. Central time today</w:t>
      </w:r>
    </w:p>
    <w:p>
      <w:pPr>
        <w:spacing w:after="0" w:line="159" w:lineRule="exact"/>
        <w:rPr>
          <w:sz w:val="20"/>
          <w:szCs w:val="20"/>
          <w:color w:val="auto"/>
        </w:rPr>
      </w:pPr>
    </w:p>
    <w:p>
      <w:pPr>
        <w:jc w:val="center"/>
        <w:ind w:right="17"/>
        <w:spacing w:after="0"/>
        <w:rPr>
          <w:sz w:val="20"/>
          <w:szCs w:val="20"/>
          <w:color w:val="auto"/>
        </w:rPr>
      </w:pPr>
      <w:r>
        <w:rPr>
          <w:rFonts w:ascii="Arial" w:cs="Arial" w:eastAsia="Arial" w:hAnsi="Arial"/>
          <w:sz w:val="13"/>
          <w:szCs w:val="13"/>
          <w:u w:val="single" w:color="auto"/>
          <w:color w:val="auto"/>
        </w:rPr>
        <w:t>www.ti.com/ir</w:t>
      </w:r>
    </w:p>
    <w:p>
      <w:pPr>
        <w:spacing w:after="0" w:line="159" w:lineRule="exact"/>
        <w:rPr>
          <w:sz w:val="20"/>
          <w:szCs w:val="20"/>
          <w:color w:val="auto"/>
        </w:rPr>
      </w:pPr>
    </w:p>
    <w:p>
      <w:pPr>
        <w:ind w:left="3"/>
        <w:spacing w:after="0"/>
        <w:rPr>
          <w:sz w:val="20"/>
          <w:szCs w:val="20"/>
          <w:color w:val="auto"/>
        </w:rPr>
      </w:pPr>
      <w:r>
        <w:rPr>
          <w:rFonts w:ascii="Arial" w:cs="Arial" w:eastAsia="Arial" w:hAnsi="Arial"/>
          <w:sz w:val="13"/>
          <w:szCs w:val="13"/>
          <w:color w:val="auto"/>
        </w:rPr>
        <w:t>DALLAS (Jan. 23, 2018) – Texas Instruments Incorporated (TI) (NASDAQ: TXN) today reported fourth-quarter revenue of $3.75 billion, net income of $344 million and earnings per share of 34 cents.</w:t>
      </w:r>
    </w:p>
    <w:p>
      <w:pPr>
        <w:spacing w:after="0" w:line="13" w:lineRule="exact"/>
        <w:rPr>
          <w:sz w:val="20"/>
          <w:szCs w:val="20"/>
          <w:color w:val="auto"/>
        </w:rPr>
      </w:pPr>
    </w:p>
    <w:p>
      <w:pPr>
        <w:ind w:left="3"/>
        <w:spacing w:after="0"/>
        <w:rPr>
          <w:sz w:val="20"/>
          <w:szCs w:val="20"/>
          <w:color w:val="auto"/>
        </w:rPr>
      </w:pPr>
      <w:r>
        <w:rPr>
          <w:rFonts w:ascii="Arial" w:cs="Arial" w:eastAsia="Arial" w:hAnsi="Arial"/>
          <w:sz w:val="13"/>
          <w:szCs w:val="13"/>
          <w:color w:val="auto"/>
        </w:rPr>
        <w:t>Earnings per share include 75 cents in tax-related expenses not in the company’s original guidance primarily due to the recently passed tax reform act.</w:t>
      </w:r>
    </w:p>
    <w:p>
      <w:pPr>
        <w:spacing w:after="0" w:line="151" w:lineRule="exact"/>
        <w:rPr>
          <w:sz w:val="20"/>
          <w:szCs w:val="20"/>
          <w:color w:val="auto"/>
        </w:rPr>
      </w:pPr>
    </w:p>
    <w:p>
      <w:pPr>
        <w:ind w:left="3"/>
        <w:spacing w:after="0"/>
        <w:rPr>
          <w:sz w:val="20"/>
          <w:szCs w:val="20"/>
          <w:color w:val="auto"/>
        </w:rPr>
      </w:pPr>
      <w:r>
        <w:rPr>
          <w:rFonts w:ascii="Arial" w:cs="Arial" w:eastAsia="Arial" w:hAnsi="Arial"/>
          <w:sz w:val="13"/>
          <w:szCs w:val="13"/>
          <w:color w:val="auto"/>
        </w:rPr>
        <w:t>Regarding the company’s performance and returns to shareholders, Rich Templeton, TI’s chairman, president and CEO, made the following comments:</w:t>
      </w:r>
    </w:p>
    <w:p>
      <w:pPr>
        <w:spacing w:after="0" w:line="82" w:lineRule="exact"/>
        <w:rPr>
          <w:sz w:val="20"/>
          <w:szCs w:val="20"/>
          <w:color w:val="auto"/>
        </w:rPr>
      </w:pPr>
    </w:p>
    <w:p>
      <w:pPr>
        <w:ind w:left="503" w:hanging="503"/>
        <w:spacing w:after="0"/>
        <w:tabs>
          <w:tab w:leader="none" w:pos="503" w:val="left"/>
        </w:tabs>
        <w:numPr>
          <w:ilvl w:val="0"/>
          <w:numId w:val="3"/>
        </w:numPr>
        <w:rPr>
          <w:rFonts w:ascii="Arial" w:cs="Arial" w:eastAsia="Arial" w:hAnsi="Arial"/>
          <w:sz w:val="13"/>
          <w:szCs w:val="13"/>
          <w:color w:val="auto"/>
        </w:rPr>
      </w:pPr>
      <w:r>
        <w:rPr>
          <w:rFonts w:ascii="Arial" w:cs="Arial" w:eastAsia="Arial" w:hAnsi="Arial"/>
          <w:sz w:val="13"/>
          <w:szCs w:val="13"/>
          <w:color w:val="auto"/>
        </w:rPr>
        <w:t>“Revenue increased 10 percent from the same quarter a year ago. Demand for our products continued to be strong in the industrial and automotive markets.</w:t>
      </w:r>
    </w:p>
    <w:p>
      <w:pPr>
        <w:spacing w:after="0" w:line="82" w:lineRule="exact"/>
        <w:rPr>
          <w:rFonts w:ascii="Arial" w:cs="Arial" w:eastAsia="Arial" w:hAnsi="Arial"/>
          <w:sz w:val="13"/>
          <w:szCs w:val="13"/>
          <w:color w:val="auto"/>
        </w:rPr>
      </w:pPr>
    </w:p>
    <w:p>
      <w:pPr>
        <w:ind w:left="503" w:hanging="503"/>
        <w:spacing w:after="0"/>
        <w:tabs>
          <w:tab w:leader="none" w:pos="503" w:val="left"/>
        </w:tabs>
        <w:numPr>
          <w:ilvl w:val="0"/>
          <w:numId w:val="3"/>
        </w:numPr>
        <w:rPr>
          <w:rFonts w:ascii="Arial" w:cs="Arial" w:eastAsia="Arial" w:hAnsi="Arial"/>
          <w:sz w:val="13"/>
          <w:szCs w:val="13"/>
          <w:color w:val="auto"/>
        </w:rPr>
      </w:pPr>
      <w:r>
        <w:rPr>
          <w:rFonts w:ascii="Arial" w:cs="Arial" w:eastAsia="Arial" w:hAnsi="Arial"/>
          <w:sz w:val="13"/>
          <w:szCs w:val="13"/>
          <w:color w:val="auto"/>
        </w:rPr>
        <w:t>“In our core businesses, Analog revenue grew 11 percent and Embedded Processing grew 20 percent from the same quarter a year ago. Operating margin increased in both businesses.</w:t>
      </w:r>
    </w:p>
    <w:p>
      <w:pPr>
        <w:spacing w:after="0" w:line="82" w:lineRule="exact"/>
        <w:rPr>
          <w:rFonts w:ascii="Arial" w:cs="Arial" w:eastAsia="Arial" w:hAnsi="Arial"/>
          <w:sz w:val="13"/>
          <w:szCs w:val="13"/>
          <w:color w:val="auto"/>
        </w:rPr>
      </w:pPr>
    </w:p>
    <w:p>
      <w:pPr>
        <w:ind w:left="503" w:hanging="503"/>
        <w:spacing w:after="0"/>
        <w:tabs>
          <w:tab w:leader="none" w:pos="503" w:val="left"/>
        </w:tabs>
        <w:numPr>
          <w:ilvl w:val="0"/>
          <w:numId w:val="3"/>
        </w:numPr>
        <w:rPr>
          <w:rFonts w:ascii="Arial" w:cs="Arial" w:eastAsia="Arial" w:hAnsi="Arial"/>
          <w:sz w:val="12"/>
          <w:szCs w:val="12"/>
          <w:color w:val="auto"/>
        </w:rPr>
      </w:pPr>
      <w:r>
        <w:rPr>
          <w:rFonts w:ascii="Arial" w:cs="Arial" w:eastAsia="Arial" w:hAnsi="Arial"/>
          <w:sz w:val="12"/>
          <w:szCs w:val="12"/>
          <w:color w:val="auto"/>
        </w:rPr>
        <w:t>“Gross margin of 65.1 percent for the quarter reflected the quality of our product portfolio, as well as the efficiency of our manufacturing strategy, including the benefit of 300-millimeter Analog production.</w:t>
      </w:r>
    </w:p>
    <w:p>
      <w:pPr>
        <w:spacing w:after="0" w:line="93" w:lineRule="exact"/>
        <w:rPr>
          <w:rFonts w:ascii="Arial" w:cs="Arial" w:eastAsia="Arial" w:hAnsi="Arial"/>
          <w:sz w:val="12"/>
          <w:szCs w:val="12"/>
          <w:color w:val="auto"/>
        </w:rPr>
      </w:pPr>
    </w:p>
    <w:p>
      <w:pPr>
        <w:ind w:left="503" w:right="280" w:hanging="503"/>
        <w:spacing w:after="0" w:line="268" w:lineRule="auto"/>
        <w:tabs>
          <w:tab w:leader="none" w:pos="503"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cash flow from operations of $5.36 billion for the year again underscored the strength of our business model. Free cash flow for the year was up 14 percent from a year ago to $4.67 billion and represents 31.2 percent of revenue, up from 30.5 percent a year ago.</w:t>
      </w:r>
    </w:p>
    <w:p>
      <w:pPr>
        <w:spacing w:after="0" w:line="52" w:lineRule="exact"/>
        <w:rPr>
          <w:rFonts w:ascii="Arial" w:cs="Arial" w:eastAsia="Arial" w:hAnsi="Arial"/>
          <w:sz w:val="13"/>
          <w:szCs w:val="13"/>
          <w:color w:val="auto"/>
        </w:rPr>
      </w:pPr>
    </w:p>
    <w:p>
      <w:pPr>
        <w:ind w:left="503" w:right="460" w:hanging="503"/>
        <w:spacing w:after="0" w:line="268" w:lineRule="auto"/>
        <w:tabs>
          <w:tab w:leader="none" w:pos="503" w:val="left"/>
        </w:tabs>
        <w:numPr>
          <w:ilvl w:val="0"/>
          <w:numId w:val="3"/>
        </w:numPr>
        <w:rPr>
          <w:rFonts w:ascii="Arial" w:cs="Arial" w:eastAsia="Arial" w:hAnsi="Arial"/>
          <w:sz w:val="13"/>
          <w:szCs w:val="13"/>
          <w:color w:val="auto"/>
        </w:rPr>
      </w:pPr>
      <w:r>
        <w:rPr>
          <w:rFonts w:ascii="Arial" w:cs="Arial" w:eastAsia="Arial" w:hAnsi="Arial"/>
          <w:sz w:val="13"/>
          <w:szCs w:val="13"/>
          <w:color w:val="auto"/>
        </w:rPr>
        <w:t>“We have returned $4.66 billion to owners in 2017 through stock repurchases and dividends, consistent with our strategy to return to owners all of our free cash flow. Over the last 12 months, our dividends represented 45 percent of free cash flow, underscoring their sustainability.</w:t>
      </w:r>
    </w:p>
    <w:p>
      <w:pPr>
        <w:spacing w:after="0" w:line="52" w:lineRule="exact"/>
        <w:rPr>
          <w:rFonts w:ascii="Arial" w:cs="Arial" w:eastAsia="Arial" w:hAnsi="Arial"/>
          <w:sz w:val="13"/>
          <w:szCs w:val="13"/>
          <w:color w:val="auto"/>
        </w:rPr>
      </w:pPr>
    </w:p>
    <w:p>
      <w:pPr>
        <w:ind w:left="503" w:hanging="503"/>
        <w:spacing w:after="0"/>
        <w:tabs>
          <w:tab w:leader="none" w:pos="503" w:val="left"/>
        </w:tabs>
        <w:numPr>
          <w:ilvl w:val="0"/>
          <w:numId w:val="3"/>
        </w:numPr>
        <w:rPr>
          <w:rFonts w:ascii="Arial" w:cs="Arial" w:eastAsia="Arial" w:hAnsi="Arial"/>
          <w:sz w:val="12"/>
          <w:szCs w:val="12"/>
          <w:color w:val="auto"/>
        </w:rPr>
      </w:pPr>
      <w:r>
        <w:rPr>
          <w:rFonts w:ascii="Arial" w:cs="Arial" w:eastAsia="Arial" w:hAnsi="Arial"/>
          <w:sz w:val="12"/>
          <w:szCs w:val="12"/>
          <w:color w:val="auto"/>
        </w:rPr>
        <w:t>“TI’s first-quarter outlook is for revenue in the range of $3.49 billion to $3.79 billion, and earnings per share between $1.01 and $1.17, which includes an estimated $30 million discrete tax benefit.</w:t>
      </w:r>
    </w:p>
    <w:p>
      <w:pPr>
        <w:spacing w:after="0" w:line="93" w:lineRule="exact"/>
        <w:rPr>
          <w:rFonts w:ascii="Arial" w:cs="Arial" w:eastAsia="Arial" w:hAnsi="Arial"/>
          <w:sz w:val="12"/>
          <w:szCs w:val="12"/>
          <w:color w:val="auto"/>
        </w:rPr>
      </w:pPr>
    </w:p>
    <w:p>
      <w:pPr>
        <w:ind w:left="503" w:right="40" w:hanging="503"/>
        <w:spacing w:after="0" w:line="258" w:lineRule="auto"/>
        <w:tabs>
          <w:tab w:leader="none" w:pos="503" w:val="left"/>
        </w:tabs>
        <w:numPr>
          <w:ilvl w:val="0"/>
          <w:numId w:val="3"/>
        </w:numPr>
        <w:rPr>
          <w:rFonts w:ascii="Arial" w:cs="Arial" w:eastAsia="Arial" w:hAnsi="Arial"/>
          <w:sz w:val="13"/>
          <w:szCs w:val="13"/>
          <w:color w:val="auto"/>
        </w:rPr>
      </w:pPr>
      <w:r>
        <w:rPr>
          <w:rFonts w:ascii="Arial" w:cs="Arial" w:eastAsia="Arial" w:hAnsi="Arial"/>
          <w:sz w:val="13"/>
          <w:szCs w:val="13"/>
          <w:color w:val="auto"/>
        </w:rPr>
        <w:t>“Notably, the recently passed tax reform act will reduce our annual operating tax rate from 31 percent in 2017 to an ongoing rate of 18 percent starting in 2019, comprehending the benefit of exports and having manufacturing, R&amp;D and intellectual property in the United States. In 2018, our annual operating tax rate will be 23 percent, 5 percentage points higher, due to transitional expense associated with the reduced U.S. tax rate in 2018.”</w:t>
      </w:r>
    </w:p>
    <w:p>
      <w:pPr>
        <w:spacing w:after="0" w:line="135"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Free cash flow is a non-GAAP financial measure. Free cash flow is cash flow from operations less capital expenditures.</w:t>
      </w:r>
    </w:p>
    <w:p>
      <w:pPr>
        <w:spacing w:after="0" w:line="82"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Certain amounts in the prior periods have been recast to conform to the current presentation.</w:t>
      </w:r>
    </w:p>
    <w:p>
      <w:pPr>
        <w:spacing w:after="0" w:line="232" w:lineRule="exact"/>
        <w:rPr>
          <w:sz w:val="20"/>
          <w:szCs w:val="20"/>
          <w:color w:val="auto"/>
        </w:rPr>
      </w:pPr>
    </w:p>
    <w:p>
      <w:pPr>
        <w:ind w:left="3"/>
        <w:spacing w:after="0"/>
        <w:rPr>
          <w:sz w:val="20"/>
          <w:szCs w:val="20"/>
          <w:color w:val="auto"/>
        </w:rPr>
      </w:pPr>
      <w:r>
        <w:rPr>
          <w:rFonts w:ascii="Arial" w:cs="Arial" w:eastAsia="Arial" w:hAnsi="Arial"/>
          <w:sz w:val="13"/>
          <w:szCs w:val="13"/>
          <w:b w:val="1"/>
          <w:bCs w:val="1"/>
          <w:u w:val="single" w:color="auto"/>
          <w:color w:val="auto"/>
        </w:rPr>
        <w:t>Earnings summary</w:t>
      </w:r>
    </w:p>
    <w:p>
      <w:pPr>
        <w:spacing w:after="0" w:line="86"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Amounts are in millions of dollars, except per-share amounts.</w:t>
      </w:r>
    </w:p>
    <w:p>
      <w:pPr>
        <w:spacing w:after="0" w:line="159" w:lineRule="exact"/>
        <w:rPr>
          <w:sz w:val="20"/>
          <w:szCs w:val="20"/>
          <w:color w:val="auto"/>
        </w:rPr>
      </w:pPr>
    </w:p>
    <w:tbl>
      <w:tblPr>
        <w:tblLayout w:type="fixed"/>
        <w:tblInd w:w="3" w:type="dxa"/>
        <w:tblCellMar>
          <w:top w:w="0" w:type="dxa"/>
          <w:left w:w="0" w:type="dxa"/>
          <w:bottom w:w="0" w:type="dxa"/>
          <w:right w:w="0" w:type="dxa"/>
        </w:tblCellMar>
      </w:tblPr>
      <w:tr>
        <w:trPr>
          <w:trHeight w:val="182"/>
        </w:trPr>
        <w:tc>
          <w:tcPr>
            <w:tcW w:w="1140" w:type="dxa"/>
            <w:vAlign w:val="bottom"/>
          </w:tcPr>
          <w:p>
            <w:pPr>
              <w:spacing w:after="0"/>
              <w:rPr>
                <w:sz w:val="15"/>
                <w:szCs w:val="15"/>
                <w:color w:val="auto"/>
              </w:rPr>
            </w:pPr>
          </w:p>
        </w:tc>
        <w:tc>
          <w:tcPr>
            <w:tcW w:w="2900" w:type="dxa"/>
            <w:vAlign w:val="bottom"/>
            <w:tcBorders>
              <w:bottom w:val="single" w:sz="8" w:color="CFF0FC"/>
            </w:tcBorders>
          </w:tcPr>
          <w:p>
            <w:pPr>
              <w:spacing w:after="0"/>
              <w:rPr>
                <w:sz w:val="15"/>
                <w:szCs w:val="15"/>
                <w:color w:val="auto"/>
              </w:rPr>
            </w:pPr>
          </w:p>
        </w:tc>
        <w:tc>
          <w:tcPr>
            <w:tcW w:w="1940" w:type="dxa"/>
            <w:vAlign w:val="bottom"/>
            <w:tcBorders>
              <w:bottom w:val="single" w:sz="8" w:color="CFF0FC"/>
            </w:tcBorders>
          </w:tcPr>
          <w:p>
            <w:pPr>
              <w:spacing w:after="0"/>
              <w:rPr>
                <w:sz w:val="15"/>
                <w:szCs w:val="15"/>
                <w:color w:val="auto"/>
              </w:rPr>
            </w:pPr>
          </w:p>
        </w:tc>
        <w:tc>
          <w:tcPr>
            <w:tcW w:w="86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4Q17</w:t>
            </w:r>
          </w:p>
        </w:tc>
        <w:tc>
          <w:tcPr>
            <w:tcW w:w="400" w:type="dxa"/>
            <w:vAlign w:val="bottom"/>
            <w:tcBorders>
              <w:bottom w:val="single" w:sz="8" w:color="auto"/>
            </w:tcBorders>
          </w:tcPr>
          <w:p>
            <w:pPr>
              <w:spacing w:after="0"/>
              <w:rPr>
                <w:sz w:val="15"/>
                <w:szCs w:val="15"/>
                <w:color w:val="auto"/>
              </w:rPr>
            </w:pPr>
          </w:p>
        </w:tc>
        <w:tc>
          <w:tcPr>
            <w:tcW w:w="220" w:type="dxa"/>
            <w:vAlign w:val="bottom"/>
            <w:tcBorders>
              <w:bottom w:val="single" w:sz="8" w:color="CFF0FC"/>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color w:val="auto"/>
              </w:rPr>
              <w:t>4Q16</w:t>
            </w:r>
          </w:p>
        </w:tc>
        <w:tc>
          <w:tcPr>
            <w:tcW w:w="320" w:type="dxa"/>
            <w:vAlign w:val="bottom"/>
            <w:tcBorders>
              <w:bottom w:val="single" w:sz="8" w:color="CFF0FC"/>
            </w:tcBorders>
          </w:tcPr>
          <w:p>
            <w:pPr>
              <w:spacing w:after="0"/>
              <w:rPr>
                <w:sz w:val="15"/>
                <w:szCs w:val="15"/>
                <w:color w:val="auto"/>
              </w:rPr>
            </w:pPr>
          </w:p>
        </w:tc>
        <w:tc>
          <w:tcPr>
            <w:tcW w:w="1140" w:type="dxa"/>
            <w:vAlign w:val="bottom"/>
            <w:tcBorders>
              <w:bottom w:val="single" w:sz="8" w:color="auto"/>
            </w:tcBorders>
          </w:tcPr>
          <w:p>
            <w:pPr>
              <w:ind w:left="380"/>
              <w:spacing w:after="0"/>
              <w:rPr>
                <w:sz w:val="20"/>
                <w:szCs w:val="20"/>
                <w:color w:val="auto"/>
              </w:rPr>
            </w:pPr>
            <w:r>
              <w:rPr>
                <w:rFonts w:ascii="Arial" w:cs="Arial" w:eastAsia="Arial" w:hAnsi="Arial"/>
                <w:sz w:val="13"/>
                <w:szCs w:val="13"/>
                <w:color w:val="auto"/>
              </w:rPr>
              <w:t>Change</w:t>
            </w:r>
          </w:p>
        </w:tc>
        <w:tc>
          <w:tcPr>
            <w:tcW w:w="120" w:type="dxa"/>
            <w:vAlign w:val="bottom"/>
            <w:tcBorders>
              <w:bottom w:val="single" w:sz="8" w:color="CFF0FC"/>
            </w:tcBorders>
          </w:tcPr>
          <w:p>
            <w:pPr>
              <w:spacing w:after="0"/>
              <w:rPr>
                <w:sz w:val="15"/>
                <w:szCs w:val="15"/>
                <w:color w:val="auto"/>
              </w:rPr>
            </w:pPr>
          </w:p>
        </w:tc>
        <w:tc>
          <w:tcPr>
            <w:tcW w:w="1180" w:type="dxa"/>
            <w:vAlign w:val="bottom"/>
          </w:tcPr>
          <w:p>
            <w:pPr>
              <w:spacing w:after="0"/>
              <w:rPr>
                <w:sz w:val="15"/>
                <w:szCs w:val="15"/>
                <w:color w:val="auto"/>
              </w:rPr>
            </w:pPr>
          </w:p>
        </w:tc>
      </w:tr>
      <w:tr>
        <w:trPr>
          <w:trHeight w:val="164"/>
        </w:trPr>
        <w:tc>
          <w:tcPr>
            <w:tcW w:w="1140" w:type="dxa"/>
            <w:vAlign w:val="bottom"/>
          </w:tcPr>
          <w:p>
            <w:pPr>
              <w:spacing w:after="0"/>
              <w:rPr>
                <w:sz w:val="14"/>
                <w:szCs w:val="14"/>
                <w:color w:val="auto"/>
              </w:rPr>
            </w:pPr>
          </w:p>
        </w:tc>
        <w:tc>
          <w:tcPr>
            <w:tcW w:w="2900" w:type="dxa"/>
            <w:vAlign w:val="bottom"/>
            <w:shd w:val="clear" w:color="auto" w:fill="CFF0FC"/>
          </w:tcPr>
          <w:p>
            <w:pPr>
              <w:spacing w:after="0"/>
              <w:rPr>
                <w:sz w:val="20"/>
                <w:szCs w:val="20"/>
                <w:color w:val="auto"/>
              </w:rPr>
            </w:pPr>
            <w:r>
              <w:rPr>
                <w:rFonts w:ascii="Arial" w:cs="Arial" w:eastAsia="Arial" w:hAnsi="Arial"/>
                <w:sz w:val="13"/>
                <w:szCs w:val="13"/>
                <w:color w:val="auto"/>
              </w:rPr>
              <w:t>Revenue</w:t>
            </w:r>
          </w:p>
        </w:tc>
        <w:tc>
          <w:tcPr>
            <w:tcW w:w="2800" w:type="dxa"/>
            <w:vAlign w:val="bottom"/>
            <w:gridSpan w:val="2"/>
            <w:shd w:val="clear" w:color="auto" w:fill="CFF0FC"/>
          </w:tcPr>
          <w:p>
            <w:pPr>
              <w:jc w:val="right"/>
              <w:ind w:right="736"/>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3,750</w:t>
            </w:r>
          </w:p>
        </w:tc>
        <w:tc>
          <w:tcPr>
            <w:tcW w:w="280" w:type="dxa"/>
            <w:vAlign w:val="bottom"/>
            <w:shd w:val="clear" w:color="auto" w:fill="CFF0FC"/>
          </w:tcPr>
          <w:p>
            <w:pPr>
              <w:jc w:val="right"/>
              <w:ind w:right="136"/>
              <w:spacing w:after="0"/>
              <w:rPr>
                <w:sz w:val="20"/>
                <w:szCs w:val="20"/>
                <w:color w:val="auto"/>
              </w:rPr>
            </w:pPr>
            <w:r>
              <w:rPr>
                <w:rFonts w:ascii="Arial" w:cs="Arial" w:eastAsia="Arial" w:hAnsi="Arial"/>
                <w:sz w:val="13"/>
                <w:szCs w:val="13"/>
                <w:color w:val="auto"/>
                <w:w w:val="82"/>
              </w:rPr>
              <w:t>$</w:t>
            </w: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3,414</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w:t>
            </w:r>
          </w:p>
        </w:tc>
        <w:tc>
          <w:tcPr>
            <w:tcW w:w="1180" w:type="dxa"/>
            <w:vAlign w:val="bottom"/>
          </w:tcPr>
          <w:p>
            <w:pPr>
              <w:spacing w:after="0"/>
              <w:rPr>
                <w:sz w:val="14"/>
                <w:szCs w:val="14"/>
                <w:color w:val="auto"/>
              </w:rPr>
            </w:pPr>
          </w:p>
        </w:tc>
      </w:tr>
      <w:tr>
        <w:trPr>
          <w:trHeight w:val="173"/>
        </w:trPr>
        <w:tc>
          <w:tcPr>
            <w:tcW w:w="1140" w:type="dxa"/>
            <w:vAlign w:val="bottom"/>
          </w:tcPr>
          <w:p>
            <w:pPr>
              <w:spacing w:after="0"/>
              <w:rPr>
                <w:sz w:val="15"/>
                <w:szCs w:val="15"/>
                <w:color w:val="auto"/>
              </w:rPr>
            </w:pPr>
          </w:p>
        </w:tc>
        <w:tc>
          <w:tcPr>
            <w:tcW w:w="2900" w:type="dxa"/>
            <w:vAlign w:val="bottom"/>
          </w:tcPr>
          <w:p>
            <w:pPr>
              <w:spacing w:after="0"/>
              <w:rPr>
                <w:sz w:val="20"/>
                <w:szCs w:val="20"/>
                <w:color w:val="auto"/>
              </w:rPr>
            </w:pPr>
            <w:r>
              <w:rPr>
                <w:rFonts w:ascii="Arial" w:cs="Arial" w:eastAsia="Arial" w:hAnsi="Arial"/>
                <w:sz w:val="13"/>
                <w:szCs w:val="13"/>
                <w:color w:val="auto"/>
              </w:rPr>
              <w:t>Operating profit</w:t>
            </w:r>
          </w:p>
        </w:tc>
        <w:tc>
          <w:tcPr>
            <w:tcW w:w="2800" w:type="dxa"/>
            <w:vAlign w:val="bottom"/>
            <w:gridSpan w:val="2"/>
          </w:tcPr>
          <w:p>
            <w:pPr>
              <w:jc w:val="right"/>
              <w:ind w:right="736"/>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1,563</w:t>
            </w: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1320" w:type="dxa"/>
            <w:vAlign w:val="bottom"/>
            <w:gridSpan w:val="2"/>
          </w:tcPr>
          <w:p>
            <w:pPr>
              <w:jc w:val="right"/>
              <w:ind w:right="320"/>
              <w:spacing w:after="0"/>
              <w:rPr>
                <w:sz w:val="20"/>
                <w:szCs w:val="20"/>
                <w:color w:val="auto"/>
              </w:rPr>
            </w:pPr>
            <w:r>
              <w:rPr>
                <w:rFonts w:ascii="Arial" w:cs="Arial" w:eastAsia="Arial" w:hAnsi="Arial"/>
                <w:sz w:val="13"/>
                <w:szCs w:val="13"/>
                <w:color w:val="auto"/>
              </w:rPr>
              <w:t>1,332</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17%</w:t>
            </w:r>
          </w:p>
        </w:tc>
        <w:tc>
          <w:tcPr>
            <w:tcW w:w="1180" w:type="dxa"/>
            <w:vAlign w:val="bottom"/>
          </w:tcPr>
          <w:p>
            <w:pPr>
              <w:spacing w:after="0"/>
              <w:rPr>
                <w:sz w:val="15"/>
                <w:szCs w:val="15"/>
                <w:color w:val="auto"/>
              </w:rPr>
            </w:pPr>
          </w:p>
        </w:tc>
      </w:tr>
      <w:tr>
        <w:trPr>
          <w:trHeight w:val="174"/>
        </w:trPr>
        <w:tc>
          <w:tcPr>
            <w:tcW w:w="1140" w:type="dxa"/>
            <w:vAlign w:val="bottom"/>
          </w:tcPr>
          <w:p>
            <w:pPr>
              <w:spacing w:after="0"/>
              <w:rPr>
                <w:sz w:val="15"/>
                <w:szCs w:val="15"/>
                <w:color w:val="auto"/>
              </w:rPr>
            </w:pPr>
          </w:p>
        </w:tc>
        <w:tc>
          <w:tcPr>
            <w:tcW w:w="2900" w:type="dxa"/>
            <w:vAlign w:val="bottom"/>
            <w:shd w:val="clear" w:color="auto" w:fill="CFF0FC"/>
          </w:tcPr>
          <w:p>
            <w:pPr>
              <w:spacing w:after="0"/>
              <w:rPr>
                <w:sz w:val="20"/>
                <w:szCs w:val="20"/>
                <w:color w:val="auto"/>
              </w:rPr>
            </w:pPr>
            <w:r>
              <w:rPr>
                <w:rFonts w:ascii="Arial" w:cs="Arial" w:eastAsia="Arial" w:hAnsi="Arial"/>
                <w:sz w:val="13"/>
                <w:szCs w:val="13"/>
                <w:color w:val="auto"/>
              </w:rPr>
              <w:t>Net income</w:t>
            </w:r>
          </w:p>
        </w:tc>
        <w:tc>
          <w:tcPr>
            <w:tcW w:w="2800" w:type="dxa"/>
            <w:vAlign w:val="bottom"/>
            <w:gridSpan w:val="2"/>
            <w:shd w:val="clear" w:color="auto" w:fill="CFF0FC"/>
          </w:tcPr>
          <w:p>
            <w:pPr>
              <w:jc w:val="right"/>
              <w:ind w:right="736"/>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344</w:t>
            </w:r>
          </w:p>
        </w:tc>
        <w:tc>
          <w:tcPr>
            <w:tcW w:w="280" w:type="dxa"/>
            <w:vAlign w:val="bottom"/>
            <w:shd w:val="clear" w:color="auto" w:fill="CFF0FC"/>
          </w:tcPr>
          <w:p>
            <w:pPr>
              <w:jc w:val="right"/>
              <w:ind w:right="136"/>
              <w:spacing w:after="0"/>
              <w:rPr>
                <w:sz w:val="20"/>
                <w:szCs w:val="20"/>
                <w:color w:val="auto"/>
              </w:rPr>
            </w:pPr>
            <w:r>
              <w:rPr>
                <w:rFonts w:ascii="Arial" w:cs="Arial" w:eastAsia="Arial" w:hAnsi="Arial"/>
                <w:sz w:val="13"/>
                <w:szCs w:val="13"/>
                <w:color w:val="auto"/>
                <w:w w:val="82"/>
              </w:rPr>
              <w:t>$</w:t>
            </w:r>
          </w:p>
        </w:tc>
        <w:tc>
          <w:tcPr>
            <w:tcW w:w="1320" w:type="dxa"/>
            <w:vAlign w:val="bottom"/>
            <w:gridSpan w:val="2"/>
            <w:shd w:val="clear" w:color="auto" w:fill="CFF0FC"/>
          </w:tcPr>
          <w:p>
            <w:pPr>
              <w:jc w:val="right"/>
              <w:ind w:right="320"/>
              <w:spacing w:after="0"/>
              <w:rPr>
                <w:sz w:val="20"/>
                <w:szCs w:val="20"/>
                <w:color w:val="auto"/>
              </w:rPr>
            </w:pPr>
            <w:r>
              <w:rPr>
                <w:rFonts w:ascii="Arial" w:cs="Arial" w:eastAsia="Arial" w:hAnsi="Arial"/>
                <w:sz w:val="13"/>
                <w:szCs w:val="13"/>
                <w:color w:val="auto"/>
              </w:rPr>
              <w:t>1,047</w:t>
            </w:r>
          </w:p>
        </w:tc>
        <w:tc>
          <w:tcPr>
            <w:tcW w:w="1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-67%</w:t>
            </w:r>
          </w:p>
        </w:tc>
        <w:tc>
          <w:tcPr>
            <w:tcW w:w="1180" w:type="dxa"/>
            <w:vAlign w:val="bottom"/>
          </w:tcPr>
          <w:p>
            <w:pPr>
              <w:spacing w:after="0"/>
              <w:rPr>
                <w:sz w:val="15"/>
                <w:szCs w:val="15"/>
                <w:color w:val="auto"/>
              </w:rPr>
            </w:pPr>
          </w:p>
        </w:tc>
      </w:tr>
      <w:tr>
        <w:trPr>
          <w:trHeight w:val="173"/>
        </w:trPr>
        <w:tc>
          <w:tcPr>
            <w:tcW w:w="1140" w:type="dxa"/>
            <w:vAlign w:val="bottom"/>
          </w:tcPr>
          <w:p>
            <w:pPr>
              <w:spacing w:after="0"/>
              <w:rPr>
                <w:sz w:val="15"/>
                <w:szCs w:val="15"/>
                <w:color w:val="auto"/>
              </w:rPr>
            </w:pPr>
          </w:p>
        </w:tc>
        <w:tc>
          <w:tcPr>
            <w:tcW w:w="2900" w:type="dxa"/>
            <w:vAlign w:val="bottom"/>
          </w:tcPr>
          <w:p>
            <w:pPr>
              <w:spacing w:after="0"/>
              <w:rPr>
                <w:sz w:val="20"/>
                <w:szCs w:val="20"/>
                <w:color w:val="auto"/>
              </w:rPr>
            </w:pPr>
            <w:r>
              <w:rPr>
                <w:rFonts w:ascii="Arial" w:cs="Arial" w:eastAsia="Arial" w:hAnsi="Arial"/>
                <w:sz w:val="13"/>
                <w:szCs w:val="13"/>
                <w:color w:val="auto"/>
              </w:rPr>
              <w:t>Earnings per share</w:t>
            </w:r>
          </w:p>
        </w:tc>
        <w:tc>
          <w:tcPr>
            <w:tcW w:w="2800" w:type="dxa"/>
            <w:vAlign w:val="bottom"/>
            <w:gridSpan w:val="2"/>
          </w:tcPr>
          <w:p>
            <w:pPr>
              <w:jc w:val="right"/>
              <w:ind w:right="736"/>
              <w:spacing w:after="0"/>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3"/>
                <w:szCs w:val="13"/>
                <w:color w:val="auto"/>
              </w:rPr>
              <w:t>0.34</w:t>
            </w:r>
          </w:p>
        </w:tc>
        <w:tc>
          <w:tcPr>
            <w:tcW w:w="280" w:type="dxa"/>
            <w:vAlign w:val="bottom"/>
          </w:tcPr>
          <w:p>
            <w:pPr>
              <w:jc w:val="right"/>
              <w:ind w:right="136"/>
              <w:spacing w:after="0"/>
              <w:rPr>
                <w:sz w:val="20"/>
                <w:szCs w:val="20"/>
                <w:color w:val="auto"/>
              </w:rPr>
            </w:pPr>
            <w:r>
              <w:rPr>
                <w:rFonts w:ascii="Arial" w:cs="Arial" w:eastAsia="Arial" w:hAnsi="Arial"/>
                <w:sz w:val="13"/>
                <w:szCs w:val="13"/>
                <w:color w:val="auto"/>
                <w:w w:val="82"/>
              </w:rPr>
              <w:t>$</w:t>
            </w:r>
          </w:p>
        </w:tc>
        <w:tc>
          <w:tcPr>
            <w:tcW w:w="1320" w:type="dxa"/>
            <w:vAlign w:val="bottom"/>
            <w:gridSpan w:val="2"/>
          </w:tcPr>
          <w:p>
            <w:pPr>
              <w:jc w:val="right"/>
              <w:ind w:right="320"/>
              <w:spacing w:after="0"/>
              <w:rPr>
                <w:sz w:val="20"/>
                <w:szCs w:val="20"/>
                <w:color w:val="auto"/>
              </w:rPr>
            </w:pPr>
            <w:r>
              <w:rPr>
                <w:rFonts w:ascii="Arial" w:cs="Arial" w:eastAsia="Arial" w:hAnsi="Arial"/>
                <w:sz w:val="13"/>
                <w:szCs w:val="13"/>
                <w:color w:val="auto"/>
              </w:rPr>
              <w:t>1.02</w:t>
            </w:r>
          </w:p>
        </w:tc>
        <w:tc>
          <w:tcPr>
            <w:tcW w:w="1260" w:type="dxa"/>
            <w:vAlign w:val="bottom"/>
            <w:gridSpan w:val="2"/>
          </w:tcPr>
          <w:p>
            <w:pPr>
              <w:jc w:val="right"/>
              <w:spacing w:after="0"/>
              <w:rPr>
                <w:sz w:val="20"/>
                <w:szCs w:val="20"/>
                <w:color w:val="auto"/>
              </w:rPr>
            </w:pPr>
            <w:r>
              <w:rPr>
                <w:rFonts w:ascii="Arial" w:cs="Arial" w:eastAsia="Arial" w:hAnsi="Arial"/>
                <w:sz w:val="13"/>
                <w:szCs w:val="13"/>
                <w:color w:val="auto"/>
              </w:rPr>
              <w:t>-67%</w:t>
            </w:r>
          </w:p>
        </w:tc>
        <w:tc>
          <w:tcPr>
            <w:tcW w:w="1180" w:type="dxa"/>
            <w:vAlign w:val="bottom"/>
          </w:tcPr>
          <w:p>
            <w:pPr>
              <w:spacing w:after="0"/>
              <w:rPr>
                <w:sz w:val="15"/>
                <w:szCs w:val="15"/>
                <w:color w:val="auto"/>
              </w:rPr>
            </w:pPr>
          </w:p>
        </w:tc>
      </w:tr>
      <w:tr>
        <w:trPr>
          <w:trHeight w:val="541"/>
        </w:trPr>
        <w:tc>
          <w:tcPr>
            <w:tcW w:w="114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7279005</wp:posOffset>
            </wp:positionH>
            <wp:positionV relativeFrom="paragraph">
              <wp:posOffset>-24130</wp:posOffset>
            </wp:positionV>
            <wp:extent cx="31750" cy="374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750" cy="3746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-24130</wp:posOffset>
            </wp:positionV>
            <wp:extent cx="31750" cy="374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750" cy="37465"/>
                    </a:xfrm>
                    <a:prstGeom prst="rect">
                      <a:avLst/>
                    </a:prstGeom>
                    <a:noFill/>
                  </pic:spPr>
                </pic:pic>
              </a:graphicData>
            </a:graphic>
          </wp:anchor>
        </w:drawing>
      </w:r>
    </w:p>
    <w:p>
      <w:pPr>
        <w:sectPr>
          <w:pgSz w:w="11900" w:h="16838" w:orient="portrait"/>
          <w:cols w:equalWidth="0" w:num="1">
            <w:col w:w="11503"/>
          </w:cols>
          <w:pgMar w:left="217" w:top="127" w:right="1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67"/>
        </w:trPr>
        <w:tc>
          <w:tcPr>
            <w:tcW w:w="4140" w:type="dxa"/>
            <w:vAlign w:val="bottom"/>
            <w:gridSpan w:val="4"/>
          </w:tcPr>
          <w:p>
            <w:pPr>
              <w:spacing w:after="0"/>
              <w:rPr>
                <w:sz w:val="20"/>
                <w:szCs w:val="20"/>
                <w:color w:val="auto"/>
              </w:rPr>
            </w:pPr>
            <w:r>
              <w:rPr>
                <w:rFonts w:ascii="Arial" w:cs="Arial" w:eastAsia="Arial" w:hAnsi="Arial"/>
                <w:sz w:val="13"/>
                <w:szCs w:val="13"/>
                <w:b w:val="1"/>
                <w:bCs w:val="1"/>
                <w:color w:val="auto"/>
              </w:rPr>
              <w:t>TI reports 4Q17 and 2017 financial results and shareholder returns</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ind w:left="220"/>
              <w:spacing w:after="0"/>
              <w:rPr>
                <w:sz w:val="20"/>
                <w:szCs w:val="20"/>
                <w:color w:val="auto"/>
              </w:rPr>
            </w:pPr>
            <w:r>
              <w:rPr>
                <w:rFonts w:ascii="Arial" w:cs="Arial" w:eastAsia="Arial" w:hAnsi="Arial"/>
                <w:sz w:val="13"/>
                <w:szCs w:val="13"/>
                <w:b w:val="1"/>
                <w:bCs w:val="1"/>
                <w:color w:val="auto"/>
                <w:w w:val="85"/>
              </w:rPr>
              <w:t>Page 2</w:t>
            </w:r>
          </w:p>
        </w:tc>
      </w:tr>
      <w:tr>
        <w:trPr>
          <w:trHeight w:val="280"/>
        </w:trPr>
        <w:tc>
          <w:tcPr>
            <w:tcW w:w="90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w w:val="86"/>
              </w:rPr>
              <w:t>Cash generation</w:t>
            </w:r>
          </w:p>
        </w:tc>
        <w:tc>
          <w:tcPr>
            <w:tcW w:w="3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40"/>
        </w:trPr>
        <w:tc>
          <w:tcPr>
            <w:tcW w:w="4140" w:type="dxa"/>
            <w:vAlign w:val="bottom"/>
            <w:gridSpan w:val="4"/>
          </w:tcPr>
          <w:p>
            <w:pPr>
              <w:spacing w:after="0"/>
              <w:rPr>
                <w:sz w:val="20"/>
                <w:szCs w:val="20"/>
                <w:color w:val="auto"/>
              </w:rPr>
            </w:pPr>
            <w:r>
              <w:rPr>
                <w:rFonts w:ascii="Arial" w:cs="Arial" w:eastAsia="Arial" w:hAnsi="Arial"/>
                <w:sz w:val="13"/>
                <w:szCs w:val="13"/>
                <w:i w:val="1"/>
                <w:iCs w:val="1"/>
                <w:color w:val="auto"/>
              </w:rPr>
              <w:t>Amounts are in millions of dollars.</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18"/>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3"/>
                <w:szCs w:val="13"/>
                <w:color w:val="auto"/>
                <w:w w:val="91"/>
              </w:rPr>
              <w:t>Trailing 12 Months</w:t>
            </w:r>
          </w:p>
        </w:tc>
        <w:tc>
          <w:tcPr>
            <w:tcW w:w="12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54"/>
        </w:trPr>
        <w:tc>
          <w:tcPr>
            <w:tcW w:w="580" w:type="dxa"/>
            <w:vAlign w:val="bottom"/>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240" w:type="dxa"/>
            <w:vAlign w:val="bottom"/>
            <w:tcBorders>
              <w:bottom w:val="single" w:sz="8" w:color="CFF0FC"/>
            </w:tcBorders>
          </w:tcPr>
          <w:p>
            <w:pPr>
              <w:spacing w:after="0"/>
              <w:rPr>
                <w:sz w:val="13"/>
                <w:szCs w:val="13"/>
                <w:color w:val="auto"/>
              </w:rPr>
            </w:pPr>
          </w:p>
        </w:tc>
        <w:tc>
          <w:tcPr>
            <w:tcW w:w="4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color w:val="auto"/>
              </w:rPr>
              <w:t>4Q17</w:t>
            </w:r>
          </w:p>
        </w:tc>
        <w:tc>
          <w:tcPr>
            <w:tcW w:w="3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color w:val="auto"/>
              </w:rPr>
              <w:t>4Q17</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color w:val="auto"/>
                <w:w w:val="87"/>
              </w:rPr>
              <w:t>4Q16</w:t>
            </w:r>
          </w:p>
        </w:tc>
        <w:tc>
          <w:tcPr>
            <w:tcW w:w="340" w:type="dxa"/>
            <w:vAlign w:val="bottom"/>
            <w:tcBorders>
              <w:bottom w:val="single" w:sz="8" w:color="CFF0FC"/>
            </w:tcBorders>
          </w:tcPr>
          <w:p>
            <w:pPr>
              <w:spacing w:after="0"/>
              <w:rPr>
                <w:sz w:val="13"/>
                <w:szCs w:val="13"/>
                <w:color w:val="auto"/>
              </w:rPr>
            </w:pPr>
          </w:p>
        </w:tc>
        <w:tc>
          <w:tcPr>
            <w:tcW w:w="128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Change</w:t>
            </w:r>
          </w:p>
        </w:tc>
        <w:tc>
          <w:tcPr>
            <w:tcW w:w="240" w:type="dxa"/>
            <w:vAlign w:val="bottom"/>
            <w:tcBorders>
              <w:bottom w:val="single" w:sz="8" w:color="CFF0FC"/>
            </w:tcBorders>
          </w:tcPr>
          <w:p>
            <w:pPr>
              <w:spacing w:after="0"/>
              <w:rPr>
                <w:sz w:val="13"/>
                <w:szCs w:val="13"/>
                <w:color w:val="auto"/>
              </w:rPr>
            </w:pPr>
          </w:p>
        </w:tc>
        <w:tc>
          <w:tcPr>
            <w:tcW w:w="600" w:type="dxa"/>
            <w:vAlign w:val="bottom"/>
          </w:tcPr>
          <w:p>
            <w:pPr>
              <w:spacing w:after="0"/>
              <w:rPr>
                <w:sz w:val="13"/>
                <w:szCs w:val="13"/>
                <w:color w:val="auto"/>
              </w:rPr>
            </w:pPr>
          </w:p>
        </w:tc>
      </w:tr>
      <w:tr>
        <w:trPr>
          <w:trHeight w:val="154"/>
        </w:trPr>
        <w:tc>
          <w:tcPr>
            <w:tcW w:w="580" w:type="dxa"/>
            <w:vAlign w:val="bottom"/>
          </w:tcPr>
          <w:p>
            <w:pPr>
              <w:spacing w:after="0"/>
              <w:rPr>
                <w:sz w:val="13"/>
                <w:szCs w:val="13"/>
                <w:color w:val="auto"/>
              </w:rPr>
            </w:pPr>
          </w:p>
        </w:tc>
        <w:tc>
          <w:tcPr>
            <w:tcW w:w="356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Cash flow from operations</w:t>
            </w: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1,929</w:t>
            </w: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5,363</w:t>
            </w:r>
          </w:p>
        </w:tc>
        <w:tc>
          <w:tcPr>
            <w:tcW w:w="22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4,614</w:t>
            </w:r>
          </w:p>
        </w:tc>
        <w:tc>
          <w:tcPr>
            <w:tcW w:w="34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16%</w:t>
            </w:r>
          </w:p>
        </w:tc>
        <w:tc>
          <w:tcPr>
            <w:tcW w:w="600" w:type="dxa"/>
            <w:vAlign w:val="bottom"/>
          </w:tcPr>
          <w:p>
            <w:pPr>
              <w:spacing w:after="0"/>
              <w:rPr>
                <w:sz w:val="13"/>
                <w:szCs w:val="13"/>
                <w:color w:val="auto"/>
              </w:rPr>
            </w:pPr>
          </w:p>
        </w:tc>
      </w:tr>
      <w:tr>
        <w:trPr>
          <w:trHeight w:val="164"/>
        </w:trPr>
        <w:tc>
          <w:tcPr>
            <w:tcW w:w="4140" w:type="dxa"/>
            <w:vAlign w:val="bottom"/>
            <w:gridSpan w:val="4"/>
          </w:tcPr>
          <w:p>
            <w:pPr>
              <w:ind w:left="580"/>
              <w:spacing w:after="0"/>
              <w:rPr>
                <w:sz w:val="20"/>
                <w:szCs w:val="20"/>
                <w:color w:val="auto"/>
              </w:rPr>
            </w:pPr>
            <w:r>
              <w:rPr>
                <w:rFonts w:ascii="Arial" w:cs="Arial" w:eastAsia="Arial" w:hAnsi="Arial"/>
                <w:sz w:val="13"/>
                <w:szCs w:val="13"/>
                <w:color w:val="auto"/>
              </w:rPr>
              <w:t>Capital expenditures</w:t>
            </w: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231</w:t>
            </w: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695</w:t>
            </w:r>
          </w:p>
        </w:tc>
        <w:tc>
          <w:tcPr>
            <w:tcW w:w="220" w:type="dxa"/>
            <w:vAlign w:val="bottom"/>
          </w:tcPr>
          <w:p>
            <w:pPr>
              <w:spacing w:after="0"/>
              <w:rPr>
                <w:sz w:val="14"/>
                <w:szCs w:val="14"/>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531</w:t>
            </w:r>
          </w:p>
        </w:tc>
        <w:tc>
          <w:tcPr>
            <w:tcW w:w="340" w:type="dxa"/>
            <w:vAlign w:val="bottom"/>
          </w:tcPr>
          <w:p>
            <w:pPr>
              <w:spacing w:after="0"/>
              <w:rPr>
                <w:sz w:val="14"/>
                <w:szCs w:val="14"/>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3"/>
                <w:szCs w:val="13"/>
                <w:color w:val="auto"/>
              </w:rPr>
              <w:t>31%</w:t>
            </w:r>
          </w:p>
        </w:tc>
        <w:tc>
          <w:tcPr>
            <w:tcW w:w="600" w:type="dxa"/>
            <w:vAlign w:val="bottom"/>
          </w:tcPr>
          <w:p>
            <w:pPr>
              <w:spacing w:after="0"/>
              <w:rPr>
                <w:sz w:val="14"/>
                <w:szCs w:val="14"/>
                <w:color w:val="auto"/>
              </w:rPr>
            </w:pPr>
          </w:p>
        </w:tc>
      </w:tr>
      <w:tr>
        <w:trPr>
          <w:trHeight w:val="164"/>
        </w:trPr>
        <w:tc>
          <w:tcPr>
            <w:tcW w:w="580" w:type="dxa"/>
            <w:vAlign w:val="bottom"/>
          </w:tcPr>
          <w:p>
            <w:pPr>
              <w:spacing w:after="0"/>
              <w:rPr>
                <w:sz w:val="14"/>
                <w:szCs w:val="14"/>
                <w:color w:val="auto"/>
              </w:rPr>
            </w:pPr>
          </w:p>
        </w:tc>
        <w:tc>
          <w:tcPr>
            <w:tcW w:w="356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Free cash flow</w:t>
            </w: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1,698</w:t>
            </w: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4,668</w:t>
            </w:r>
          </w:p>
        </w:tc>
        <w:tc>
          <w:tcPr>
            <w:tcW w:w="22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4,083</w:t>
            </w:r>
          </w:p>
        </w:tc>
        <w:tc>
          <w:tcPr>
            <w:tcW w:w="34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14%</w:t>
            </w:r>
          </w:p>
        </w:tc>
        <w:tc>
          <w:tcPr>
            <w:tcW w:w="600" w:type="dxa"/>
            <w:vAlign w:val="bottom"/>
          </w:tcPr>
          <w:p>
            <w:pPr>
              <w:spacing w:after="0"/>
              <w:rPr>
                <w:sz w:val="14"/>
                <w:szCs w:val="14"/>
                <w:color w:val="auto"/>
              </w:rPr>
            </w:pPr>
          </w:p>
        </w:tc>
      </w:tr>
      <w:tr>
        <w:trPr>
          <w:trHeight w:val="163"/>
        </w:trPr>
        <w:tc>
          <w:tcPr>
            <w:tcW w:w="4140" w:type="dxa"/>
            <w:vAlign w:val="bottom"/>
            <w:gridSpan w:val="4"/>
          </w:tcPr>
          <w:p>
            <w:pPr>
              <w:ind w:left="580"/>
              <w:spacing w:after="0"/>
              <w:rPr>
                <w:sz w:val="20"/>
                <w:szCs w:val="20"/>
                <w:color w:val="auto"/>
              </w:rPr>
            </w:pPr>
            <w:r>
              <w:rPr>
                <w:rFonts w:ascii="Arial" w:cs="Arial" w:eastAsia="Arial" w:hAnsi="Arial"/>
                <w:sz w:val="13"/>
                <w:szCs w:val="13"/>
                <w:color w:val="auto"/>
              </w:rPr>
              <w:t>Free cash flow % of revenue</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3"/>
                <w:szCs w:val="13"/>
                <w:color w:val="auto"/>
              </w:rPr>
              <w:t>31.2%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3"/>
                <w:szCs w:val="13"/>
                <w:color w:val="auto"/>
              </w:rPr>
              <w:t>30.5%</w:t>
            </w: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387"/>
        </w:trPr>
        <w:tc>
          <w:tcPr>
            <w:tcW w:w="4140" w:type="dxa"/>
            <w:vAlign w:val="bottom"/>
            <w:gridSpan w:val="4"/>
          </w:tcPr>
          <w:p>
            <w:pPr>
              <w:spacing w:after="0"/>
              <w:rPr>
                <w:sz w:val="20"/>
                <w:szCs w:val="20"/>
                <w:color w:val="auto"/>
              </w:rPr>
            </w:pPr>
            <w:r>
              <w:rPr>
                <w:rFonts w:ascii="Arial" w:cs="Arial" w:eastAsia="Arial" w:hAnsi="Arial"/>
                <w:sz w:val="13"/>
                <w:szCs w:val="13"/>
                <w:b w:val="1"/>
                <w:bCs w:val="1"/>
                <w:color w:val="auto"/>
              </w:rPr>
              <w:t>Cash return</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0"/>
        </w:trPr>
        <w:tc>
          <w:tcPr>
            <w:tcW w:w="660" w:type="dxa"/>
            <w:vAlign w:val="bottom"/>
            <w:gridSpan w:val="2"/>
            <w:shd w:val="clear" w:color="auto" w:fill="000000"/>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40"/>
        </w:trPr>
        <w:tc>
          <w:tcPr>
            <w:tcW w:w="4140" w:type="dxa"/>
            <w:vAlign w:val="bottom"/>
            <w:gridSpan w:val="4"/>
          </w:tcPr>
          <w:p>
            <w:pPr>
              <w:spacing w:after="0"/>
              <w:rPr>
                <w:sz w:val="20"/>
                <w:szCs w:val="20"/>
                <w:color w:val="auto"/>
              </w:rPr>
            </w:pPr>
            <w:r>
              <w:rPr>
                <w:rFonts w:ascii="Arial" w:cs="Arial" w:eastAsia="Arial" w:hAnsi="Arial"/>
                <w:sz w:val="13"/>
                <w:szCs w:val="13"/>
                <w:i w:val="1"/>
                <w:iCs w:val="1"/>
                <w:color w:val="auto"/>
              </w:rPr>
              <w:t>Amounts are in millions of dollars.</w:t>
            </w: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318"/>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3"/>
                <w:szCs w:val="13"/>
                <w:color w:val="auto"/>
                <w:w w:val="91"/>
              </w:rPr>
              <w:t>Trailing 12 Months</w:t>
            </w:r>
          </w:p>
        </w:tc>
        <w:tc>
          <w:tcPr>
            <w:tcW w:w="12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54"/>
        </w:trPr>
        <w:tc>
          <w:tcPr>
            <w:tcW w:w="580" w:type="dxa"/>
            <w:vAlign w:val="bottom"/>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240" w:type="dxa"/>
            <w:vAlign w:val="bottom"/>
            <w:tcBorders>
              <w:bottom w:val="single" w:sz="8" w:color="CFF0FC"/>
            </w:tcBorders>
          </w:tcPr>
          <w:p>
            <w:pPr>
              <w:spacing w:after="0"/>
              <w:rPr>
                <w:sz w:val="13"/>
                <w:szCs w:val="13"/>
                <w:color w:val="auto"/>
              </w:rPr>
            </w:pPr>
          </w:p>
        </w:tc>
        <w:tc>
          <w:tcPr>
            <w:tcW w:w="46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color w:val="auto"/>
              </w:rPr>
              <w:t>4Q17</w:t>
            </w:r>
          </w:p>
        </w:tc>
        <w:tc>
          <w:tcPr>
            <w:tcW w:w="3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color w:val="auto"/>
              </w:rPr>
              <w:t>4Q17</w:t>
            </w: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56"/>
              <w:spacing w:after="0"/>
              <w:rPr>
                <w:sz w:val="20"/>
                <w:szCs w:val="20"/>
                <w:color w:val="auto"/>
              </w:rPr>
            </w:pPr>
            <w:r>
              <w:rPr>
                <w:rFonts w:ascii="Arial" w:cs="Arial" w:eastAsia="Arial" w:hAnsi="Arial"/>
                <w:sz w:val="13"/>
                <w:szCs w:val="13"/>
                <w:color w:val="auto"/>
                <w:w w:val="87"/>
              </w:rPr>
              <w:t>4Q16</w:t>
            </w:r>
          </w:p>
        </w:tc>
        <w:tc>
          <w:tcPr>
            <w:tcW w:w="340" w:type="dxa"/>
            <w:vAlign w:val="bottom"/>
            <w:tcBorders>
              <w:bottom w:val="single" w:sz="8" w:color="CFF0FC"/>
            </w:tcBorders>
          </w:tcPr>
          <w:p>
            <w:pPr>
              <w:spacing w:after="0"/>
              <w:rPr>
                <w:sz w:val="13"/>
                <w:szCs w:val="13"/>
                <w:color w:val="auto"/>
              </w:rPr>
            </w:pPr>
          </w:p>
        </w:tc>
        <w:tc>
          <w:tcPr>
            <w:tcW w:w="128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Change</w:t>
            </w:r>
          </w:p>
        </w:tc>
        <w:tc>
          <w:tcPr>
            <w:tcW w:w="240" w:type="dxa"/>
            <w:vAlign w:val="bottom"/>
            <w:tcBorders>
              <w:bottom w:val="single" w:sz="8" w:color="CFF0FC"/>
            </w:tcBorders>
          </w:tcPr>
          <w:p>
            <w:pPr>
              <w:spacing w:after="0"/>
              <w:rPr>
                <w:sz w:val="13"/>
                <w:szCs w:val="13"/>
                <w:color w:val="auto"/>
              </w:rPr>
            </w:pPr>
          </w:p>
        </w:tc>
        <w:tc>
          <w:tcPr>
            <w:tcW w:w="600" w:type="dxa"/>
            <w:vAlign w:val="bottom"/>
          </w:tcPr>
          <w:p>
            <w:pPr>
              <w:spacing w:after="0"/>
              <w:rPr>
                <w:sz w:val="13"/>
                <w:szCs w:val="13"/>
                <w:color w:val="auto"/>
              </w:rPr>
            </w:pPr>
          </w:p>
        </w:tc>
      </w:tr>
      <w:tr>
        <w:trPr>
          <w:trHeight w:val="154"/>
        </w:trPr>
        <w:tc>
          <w:tcPr>
            <w:tcW w:w="580" w:type="dxa"/>
            <w:vAlign w:val="bottom"/>
          </w:tcPr>
          <w:p>
            <w:pPr>
              <w:spacing w:after="0"/>
              <w:rPr>
                <w:sz w:val="13"/>
                <w:szCs w:val="13"/>
                <w:color w:val="auto"/>
              </w:rPr>
            </w:pPr>
          </w:p>
        </w:tc>
        <w:tc>
          <w:tcPr>
            <w:tcW w:w="356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Dividends paid</w:t>
            </w: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611</w:t>
            </w: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2,104</w:t>
            </w:r>
          </w:p>
        </w:tc>
        <w:tc>
          <w:tcPr>
            <w:tcW w:w="220" w:type="dxa"/>
            <w:vAlign w:val="bottom"/>
            <w:shd w:val="clear" w:color="auto" w:fill="CFF0FC"/>
          </w:tcPr>
          <w:p>
            <w:pPr>
              <w:spacing w:after="0"/>
              <w:rPr>
                <w:sz w:val="13"/>
                <w:szCs w:val="13"/>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1,646</w:t>
            </w:r>
          </w:p>
        </w:tc>
        <w:tc>
          <w:tcPr>
            <w:tcW w:w="340" w:type="dxa"/>
            <w:vAlign w:val="bottom"/>
            <w:shd w:val="clear" w:color="auto" w:fill="CFF0FC"/>
          </w:tcPr>
          <w:p>
            <w:pPr>
              <w:spacing w:after="0"/>
              <w:rPr>
                <w:sz w:val="13"/>
                <w:szCs w:val="13"/>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28%</w:t>
            </w:r>
          </w:p>
        </w:tc>
        <w:tc>
          <w:tcPr>
            <w:tcW w:w="600" w:type="dxa"/>
            <w:vAlign w:val="bottom"/>
          </w:tcPr>
          <w:p>
            <w:pPr>
              <w:spacing w:after="0"/>
              <w:rPr>
                <w:sz w:val="13"/>
                <w:szCs w:val="13"/>
                <w:color w:val="auto"/>
              </w:rPr>
            </w:pPr>
          </w:p>
        </w:tc>
      </w:tr>
      <w:tr>
        <w:trPr>
          <w:trHeight w:val="164"/>
        </w:trPr>
        <w:tc>
          <w:tcPr>
            <w:tcW w:w="4140" w:type="dxa"/>
            <w:vAlign w:val="bottom"/>
            <w:gridSpan w:val="4"/>
          </w:tcPr>
          <w:p>
            <w:pPr>
              <w:ind w:left="580"/>
              <w:spacing w:after="0"/>
              <w:rPr>
                <w:sz w:val="20"/>
                <w:szCs w:val="20"/>
                <w:color w:val="auto"/>
              </w:rPr>
            </w:pPr>
            <w:r>
              <w:rPr>
                <w:rFonts w:ascii="Arial" w:cs="Arial" w:eastAsia="Arial" w:hAnsi="Arial"/>
                <w:sz w:val="13"/>
                <w:szCs w:val="13"/>
                <w:color w:val="auto"/>
              </w:rPr>
              <w:t>Stock repurchases</w:t>
            </w: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706</w:t>
            </w:r>
          </w:p>
        </w:tc>
        <w:tc>
          <w:tcPr>
            <w:tcW w:w="6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2,556</w:t>
            </w:r>
          </w:p>
        </w:tc>
        <w:tc>
          <w:tcPr>
            <w:tcW w:w="220" w:type="dxa"/>
            <w:vAlign w:val="bottom"/>
          </w:tcPr>
          <w:p>
            <w:pPr>
              <w:spacing w:after="0"/>
              <w:rPr>
                <w:sz w:val="14"/>
                <w:szCs w:val="14"/>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2,132</w:t>
            </w:r>
          </w:p>
        </w:tc>
        <w:tc>
          <w:tcPr>
            <w:tcW w:w="340" w:type="dxa"/>
            <w:vAlign w:val="bottom"/>
          </w:tcPr>
          <w:p>
            <w:pPr>
              <w:spacing w:after="0"/>
              <w:rPr>
                <w:sz w:val="14"/>
                <w:szCs w:val="14"/>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3"/>
                <w:szCs w:val="13"/>
                <w:color w:val="auto"/>
              </w:rPr>
              <w:t>20%</w:t>
            </w:r>
          </w:p>
        </w:tc>
        <w:tc>
          <w:tcPr>
            <w:tcW w:w="600" w:type="dxa"/>
            <w:vAlign w:val="bottom"/>
          </w:tcPr>
          <w:p>
            <w:pPr>
              <w:spacing w:after="0"/>
              <w:rPr>
                <w:sz w:val="14"/>
                <w:szCs w:val="14"/>
                <w:color w:val="auto"/>
              </w:rPr>
            </w:pPr>
          </w:p>
        </w:tc>
      </w:tr>
      <w:tr>
        <w:trPr>
          <w:trHeight w:val="164"/>
        </w:trPr>
        <w:tc>
          <w:tcPr>
            <w:tcW w:w="580" w:type="dxa"/>
            <w:vAlign w:val="bottom"/>
          </w:tcPr>
          <w:p>
            <w:pPr>
              <w:spacing w:after="0"/>
              <w:rPr>
                <w:sz w:val="14"/>
                <w:szCs w:val="14"/>
                <w:color w:val="auto"/>
              </w:rPr>
            </w:pPr>
          </w:p>
        </w:tc>
        <w:tc>
          <w:tcPr>
            <w:tcW w:w="3560" w:type="dxa"/>
            <w:vAlign w:val="bottom"/>
            <w:gridSpan w:val="3"/>
            <w:shd w:val="clear" w:color="auto" w:fill="CFF0FC"/>
          </w:tcPr>
          <w:p>
            <w:pPr>
              <w:spacing w:after="0"/>
              <w:rPr>
                <w:sz w:val="20"/>
                <w:szCs w:val="20"/>
                <w:color w:val="auto"/>
              </w:rPr>
            </w:pPr>
            <w:r>
              <w:rPr>
                <w:rFonts w:ascii="Arial" w:cs="Arial" w:eastAsia="Arial" w:hAnsi="Arial"/>
                <w:sz w:val="13"/>
                <w:szCs w:val="13"/>
                <w:color w:val="auto"/>
              </w:rPr>
              <w:t>Total cash returned</w:t>
            </w:r>
          </w:p>
        </w:tc>
        <w:tc>
          <w:tcPr>
            <w:tcW w:w="7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1,317</w:t>
            </w:r>
          </w:p>
        </w:tc>
        <w:tc>
          <w:tcPr>
            <w:tcW w:w="6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4,660</w:t>
            </w:r>
          </w:p>
        </w:tc>
        <w:tc>
          <w:tcPr>
            <w:tcW w:w="220" w:type="dxa"/>
            <w:vAlign w:val="bottom"/>
            <w:shd w:val="clear" w:color="auto" w:fill="CFF0FC"/>
          </w:tcPr>
          <w:p>
            <w:pPr>
              <w:spacing w:after="0"/>
              <w:rPr>
                <w:sz w:val="14"/>
                <w:szCs w:val="14"/>
                <w:color w:val="auto"/>
              </w:rPr>
            </w:pPr>
          </w:p>
        </w:tc>
        <w:tc>
          <w:tcPr>
            <w:tcW w:w="2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3,778</w:t>
            </w:r>
          </w:p>
        </w:tc>
        <w:tc>
          <w:tcPr>
            <w:tcW w:w="340" w:type="dxa"/>
            <w:vAlign w:val="bottom"/>
            <w:shd w:val="clear" w:color="auto" w:fill="CFF0FC"/>
          </w:tcPr>
          <w:p>
            <w:pPr>
              <w:spacing w:after="0"/>
              <w:rPr>
                <w:sz w:val="14"/>
                <w:szCs w:val="14"/>
                <w:color w:val="auto"/>
              </w:rPr>
            </w:pPr>
          </w:p>
        </w:tc>
        <w:tc>
          <w:tcPr>
            <w:tcW w:w="152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23%</w:t>
            </w:r>
          </w:p>
        </w:tc>
        <w:tc>
          <w:tcPr>
            <w:tcW w:w="600" w:type="dxa"/>
            <w:vAlign w:val="bottom"/>
          </w:tcPr>
          <w:p>
            <w:pPr>
              <w:spacing w:after="0"/>
              <w:rPr>
                <w:sz w:val="14"/>
                <w:szCs w:val="14"/>
                <w:color w:val="auto"/>
              </w:rPr>
            </w:pPr>
          </w:p>
        </w:tc>
      </w:tr>
      <w:tr>
        <w:trPr>
          <w:trHeight w:val="772"/>
        </w:trPr>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7277100</wp:posOffset>
            </wp:positionH>
            <wp:positionV relativeFrom="paragraph">
              <wp:posOffset>-24130</wp:posOffset>
            </wp:positionV>
            <wp:extent cx="31750" cy="374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1750" cy="3746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-24130</wp:posOffset>
            </wp:positionV>
            <wp:extent cx="31750" cy="37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750" cy="37465"/>
                    </a:xfrm>
                    <a:prstGeom prst="rect">
                      <a:avLst/>
                    </a:prstGeom>
                    <a:noFill/>
                  </pic:spPr>
                </pic:pic>
              </a:graphicData>
            </a:graphic>
          </wp:anchor>
        </w:drawing>
      </w:r>
    </w:p>
    <w:p>
      <w:pPr>
        <w:sectPr>
          <w:pgSz w:w="11900" w:h="16838" w:orient="portrait"/>
          <w:cols w:equalWidth="0" w:num="1">
            <w:col w:w="11500"/>
          </w:cols>
          <w:pgMar w:left="220" w:top="127" w:right="1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7"/>
        </w:trPr>
        <w:tc>
          <w:tcPr>
            <w:tcW w:w="3780" w:type="dxa"/>
            <w:vAlign w:val="bottom"/>
          </w:tcPr>
          <w:p>
            <w:pPr>
              <w:spacing w:after="0"/>
              <w:rPr>
                <w:sz w:val="20"/>
                <w:szCs w:val="20"/>
                <w:color w:val="auto"/>
              </w:rPr>
            </w:pPr>
            <w:r>
              <w:rPr>
                <w:rFonts w:ascii="Arial" w:cs="Arial" w:eastAsia="Arial" w:hAnsi="Arial"/>
                <w:sz w:val="13"/>
                <w:szCs w:val="13"/>
                <w:b w:val="1"/>
                <w:bCs w:val="1"/>
                <w:color w:val="auto"/>
                <w:w w:val="91"/>
              </w:rPr>
              <w:t>TI reports 4Q17 and 2017 financial results and shareholder returns</w:t>
            </w: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gridSpan w:val="2"/>
          </w:tcPr>
          <w:p>
            <w:pPr>
              <w:ind w:left="480"/>
              <w:spacing w:after="0"/>
              <w:rPr>
                <w:sz w:val="20"/>
                <w:szCs w:val="20"/>
                <w:color w:val="auto"/>
              </w:rPr>
            </w:pPr>
            <w:r>
              <w:rPr>
                <w:rFonts w:ascii="Arial" w:cs="Arial" w:eastAsia="Arial" w:hAnsi="Arial"/>
                <w:sz w:val="13"/>
                <w:szCs w:val="13"/>
                <w:b w:val="1"/>
                <w:bCs w:val="1"/>
                <w:color w:val="auto"/>
                <w:w w:val="95"/>
              </w:rPr>
              <w:t>Page 3</w:t>
            </w:r>
          </w:p>
        </w:tc>
      </w:tr>
      <w:tr>
        <w:trPr>
          <w:trHeight w:val="297"/>
        </w:trPr>
        <w:tc>
          <w:tcPr>
            <w:tcW w:w="3780" w:type="dxa"/>
            <w:vAlign w:val="bottom"/>
          </w:tcPr>
          <w:p>
            <w:pPr>
              <w:spacing w:after="0"/>
              <w:rPr>
                <w:sz w:val="24"/>
                <w:szCs w:val="24"/>
                <w:color w:val="auto"/>
              </w:rPr>
            </w:pPr>
          </w:p>
        </w:tc>
        <w:tc>
          <w:tcPr>
            <w:tcW w:w="3860" w:type="dxa"/>
            <w:vAlign w:val="bottom"/>
            <w:gridSpan w:val="5"/>
          </w:tcPr>
          <w:p>
            <w:pPr>
              <w:jc w:val="right"/>
              <w:spacing w:after="0"/>
              <w:rPr>
                <w:sz w:val="20"/>
                <w:szCs w:val="20"/>
                <w:color w:val="auto"/>
              </w:rPr>
            </w:pPr>
            <w:r>
              <w:rPr>
                <w:rFonts w:ascii="Arial" w:cs="Arial" w:eastAsia="Arial" w:hAnsi="Arial"/>
                <w:sz w:val="13"/>
                <w:szCs w:val="13"/>
                <w:b w:val="1"/>
                <w:bCs w:val="1"/>
                <w:color w:val="auto"/>
              </w:rPr>
              <w:t>TEXAS INSTRUMENTS INCORPORATED AND SUBSIDIARIES</w:t>
            </w:r>
          </w:p>
        </w:tc>
        <w:tc>
          <w:tcPr>
            <w:tcW w:w="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54"/>
        </w:trPr>
        <w:tc>
          <w:tcPr>
            <w:tcW w:w="3780" w:type="dxa"/>
            <w:vAlign w:val="bottom"/>
          </w:tcPr>
          <w:p>
            <w:pPr>
              <w:spacing w:after="0"/>
              <w:rPr>
                <w:sz w:val="13"/>
                <w:szCs w:val="13"/>
                <w:color w:val="auto"/>
              </w:rPr>
            </w:pPr>
          </w:p>
        </w:tc>
        <w:tc>
          <w:tcPr>
            <w:tcW w:w="3460" w:type="dxa"/>
            <w:vAlign w:val="bottom"/>
            <w:gridSpan w:val="4"/>
          </w:tcPr>
          <w:p>
            <w:pPr>
              <w:jc w:val="right"/>
              <w:ind w:right="540"/>
              <w:spacing w:after="0"/>
              <w:rPr>
                <w:sz w:val="20"/>
                <w:szCs w:val="20"/>
                <w:color w:val="auto"/>
              </w:rPr>
            </w:pPr>
            <w:r>
              <w:rPr>
                <w:rFonts w:ascii="Arial" w:cs="Arial" w:eastAsia="Arial" w:hAnsi="Arial"/>
                <w:sz w:val="13"/>
                <w:szCs w:val="13"/>
                <w:b w:val="1"/>
                <w:bCs w:val="1"/>
                <w:color w:val="auto"/>
              </w:rPr>
              <w:t>Consolidated Statements of Income</w:t>
            </w:r>
          </w:p>
        </w:tc>
        <w:tc>
          <w:tcPr>
            <w:tcW w:w="4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7"/>
        </w:trPr>
        <w:tc>
          <w:tcPr>
            <w:tcW w:w="3780" w:type="dxa"/>
            <w:vAlign w:val="bottom"/>
          </w:tcPr>
          <w:p>
            <w:pPr>
              <w:spacing w:after="0"/>
              <w:rPr>
                <w:sz w:val="14"/>
                <w:szCs w:val="14"/>
                <w:color w:val="auto"/>
              </w:rPr>
            </w:pPr>
          </w:p>
        </w:tc>
        <w:tc>
          <w:tcPr>
            <w:tcW w:w="3860" w:type="dxa"/>
            <w:vAlign w:val="bottom"/>
            <w:gridSpan w:val="5"/>
          </w:tcPr>
          <w:p>
            <w:pPr>
              <w:jc w:val="right"/>
              <w:ind w:right="292"/>
              <w:spacing w:after="0"/>
              <w:rPr>
                <w:sz w:val="20"/>
                <w:szCs w:val="20"/>
                <w:color w:val="auto"/>
              </w:rPr>
            </w:pPr>
            <w:r>
              <w:rPr>
                <w:rFonts w:ascii="Arial" w:cs="Arial" w:eastAsia="Arial" w:hAnsi="Arial"/>
                <w:sz w:val="13"/>
                <w:szCs w:val="13"/>
                <w:b w:val="1"/>
                <w:bCs w:val="1"/>
                <w:color w:val="auto"/>
                <w:w w:val="99"/>
              </w:rPr>
              <w:t>(Millions of dollars, except share and per-share amounts)</w:t>
            </w:r>
          </w:p>
        </w:tc>
        <w:tc>
          <w:tcPr>
            <w:tcW w:w="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328"/>
        </w:trPr>
        <w:tc>
          <w:tcPr>
            <w:tcW w:w="37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60" w:type="dxa"/>
            <w:vAlign w:val="bottom"/>
            <w:gridSpan w:val="5"/>
          </w:tcPr>
          <w:p>
            <w:pPr>
              <w:jc w:val="right"/>
              <w:ind w:right="980"/>
              <w:spacing w:after="0"/>
              <w:rPr>
                <w:sz w:val="20"/>
                <w:szCs w:val="20"/>
                <w:color w:val="auto"/>
              </w:rPr>
            </w:pPr>
            <w:r>
              <w:rPr>
                <w:rFonts w:ascii="Arial" w:cs="Arial" w:eastAsia="Arial" w:hAnsi="Arial"/>
                <w:sz w:val="13"/>
                <w:szCs w:val="13"/>
                <w:b w:val="1"/>
                <w:bCs w:val="1"/>
                <w:color w:val="auto"/>
              </w:rPr>
              <w:t>For Three Months Ended</w:t>
            </w:r>
          </w:p>
        </w:tc>
        <w:tc>
          <w:tcPr>
            <w:tcW w:w="260" w:type="dxa"/>
            <w:vAlign w:val="bottom"/>
          </w:tcPr>
          <w:p>
            <w:pPr>
              <w:spacing w:after="0"/>
              <w:rPr>
                <w:sz w:val="24"/>
                <w:szCs w:val="24"/>
                <w:color w:val="auto"/>
              </w:rPr>
            </w:pPr>
          </w:p>
        </w:tc>
        <w:tc>
          <w:tcPr>
            <w:tcW w:w="1640" w:type="dxa"/>
            <w:vAlign w:val="bottom"/>
            <w:gridSpan w:val="3"/>
          </w:tcPr>
          <w:p>
            <w:pPr>
              <w:jc w:val="right"/>
              <w:ind w:right="32"/>
              <w:spacing w:after="0"/>
              <w:rPr>
                <w:sz w:val="20"/>
                <w:szCs w:val="20"/>
                <w:color w:val="auto"/>
              </w:rPr>
            </w:pPr>
            <w:r>
              <w:rPr>
                <w:rFonts w:ascii="Arial" w:cs="Arial" w:eastAsia="Arial" w:hAnsi="Arial"/>
                <w:sz w:val="13"/>
                <w:szCs w:val="13"/>
                <w:b w:val="1"/>
                <w:bCs w:val="1"/>
                <w:color w:val="auto"/>
              </w:rPr>
              <w:t>For Years Ended</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4"/>
        </w:trPr>
        <w:tc>
          <w:tcPr>
            <w:tcW w:w="37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3"/>
                <w:szCs w:val="13"/>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3"/>
                <w:szCs w:val="13"/>
                <w:b w:val="1"/>
                <w:bCs w:val="1"/>
                <w:color w:val="auto"/>
              </w:rPr>
              <w:t>December 31,</w:t>
            </w:r>
          </w:p>
        </w:tc>
        <w:tc>
          <w:tcPr>
            <w:tcW w:w="8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63"/>
        </w:trPr>
        <w:tc>
          <w:tcPr>
            <w:tcW w:w="3780" w:type="dxa"/>
            <w:vAlign w:val="bottom"/>
            <w:tcBorders>
              <w:bottom w:val="single" w:sz="8" w:color="CFF0FC"/>
            </w:tcBorders>
          </w:tcPr>
          <w:p>
            <w:pPr>
              <w:spacing w:after="0"/>
              <w:rPr>
                <w:sz w:val="14"/>
                <w:szCs w:val="14"/>
                <w:color w:val="auto"/>
              </w:rPr>
            </w:pPr>
          </w:p>
        </w:tc>
        <w:tc>
          <w:tcPr>
            <w:tcW w:w="19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76"/>
              <w:spacing w:after="0"/>
              <w:rPr>
                <w:sz w:val="20"/>
                <w:szCs w:val="20"/>
                <w:color w:val="auto"/>
              </w:rPr>
            </w:pPr>
            <w:r>
              <w:rPr>
                <w:rFonts w:ascii="Arial" w:cs="Arial" w:eastAsia="Arial" w:hAnsi="Arial"/>
                <w:sz w:val="13"/>
                <w:szCs w:val="13"/>
                <w:b w:val="1"/>
                <w:bCs w:val="1"/>
                <w:color w:val="auto"/>
              </w:rPr>
              <w:t>2017</w:t>
            </w:r>
          </w:p>
        </w:tc>
        <w:tc>
          <w:tcPr>
            <w:tcW w:w="360" w:type="dxa"/>
            <w:vAlign w:val="bottom"/>
            <w:tcBorders>
              <w:bottom w:val="single" w:sz="8" w:color="CFF0FC"/>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w w:val="96"/>
              </w:rPr>
              <w:t>2016</w:t>
            </w:r>
          </w:p>
        </w:tc>
        <w:tc>
          <w:tcPr>
            <w:tcW w:w="34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2017</w:t>
            </w:r>
          </w:p>
        </w:tc>
        <w:tc>
          <w:tcPr>
            <w:tcW w:w="34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b w:val="1"/>
                <w:bCs w:val="1"/>
                <w:color w:val="auto"/>
              </w:rPr>
              <w:t>2016</w:t>
            </w:r>
          </w:p>
        </w:tc>
        <w:tc>
          <w:tcPr>
            <w:tcW w:w="100" w:type="dxa"/>
            <w:vAlign w:val="bottom"/>
            <w:tcBorders>
              <w:bottom w:val="single" w:sz="8" w:color="CFF0FC"/>
            </w:tcBorders>
          </w:tcPr>
          <w:p>
            <w:pPr>
              <w:spacing w:after="0"/>
              <w:rPr>
                <w:sz w:val="14"/>
                <w:szCs w:val="14"/>
                <w:color w:val="auto"/>
              </w:rPr>
            </w:pPr>
          </w:p>
        </w:tc>
      </w:tr>
      <w:tr>
        <w:trPr>
          <w:trHeight w:val="164"/>
        </w:trPr>
        <w:tc>
          <w:tcPr>
            <w:tcW w:w="3780" w:type="dxa"/>
            <w:vAlign w:val="bottom"/>
            <w:shd w:val="clear" w:color="auto" w:fill="CFF0FC"/>
          </w:tcPr>
          <w:p>
            <w:pPr>
              <w:spacing w:after="0"/>
              <w:rPr>
                <w:sz w:val="20"/>
                <w:szCs w:val="20"/>
                <w:color w:val="auto"/>
              </w:rPr>
            </w:pPr>
            <w:r>
              <w:rPr>
                <w:rFonts w:ascii="Arial" w:cs="Arial" w:eastAsia="Arial" w:hAnsi="Arial"/>
                <w:sz w:val="13"/>
                <w:szCs w:val="13"/>
                <w:color w:val="auto"/>
              </w:rPr>
              <w:t>Revenue</w:t>
            </w:r>
          </w:p>
        </w:tc>
        <w:tc>
          <w:tcPr>
            <w:tcW w:w="22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b w:val="1"/>
                <w:bCs w:val="1"/>
                <w:color w:val="auto"/>
              </w:rPr>
              <w:t>$</w:t>
            </w:r>
          </w:p>
        </w:tc>
        <w:tc>
          <w:tcPr>
            <w:tcW w:w="126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b w:val="1"/>
                <w:bCs w:val="1"/>
                <w:color w:val="auto"/>
              </w:rPr>
              <w:t>3,750</w:t>
            </w:r>
          </w:p>
        </w:tc>
        <w:tc>
          <w:tcPr>
            <w:tcW w:w="400" w:type="dxa"/>
            <w:vAlign w:val="bottom"/>
            <w:shd w:val="clear" w:color="auto" w:fill="CFF0FC"/>
          </w:tcPr>
          <w:p>
            <w:pPr>
              <w:jc w:val="right"/>
              <w:ind w:right="292"/>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3,414</w:t>
            </w:r>
          </w:p>
        </w:tc>
        <w:tc>
          <w:tcPr>
            <w:tcW w:w="260" w:type="dxa"/>
            <w:vAlign w:val="bottom"/>
            <w:shd w:val="clear" w:color="auto" w:fill="CFF0FC"/>
          </w:tcPr>
          <w:p>
            <w:pPr>
              <w:jc w:val="right"/>
              <w:ind w:right="116"/>
              <w:spacing w:after="0"/>
              <w:rPr>
                <w:sz w:val="20"/>
                <w:szCs w:val="20"/>
                <w:color w:val="auto"/>
              </w:rPr>
            </w:pPr>
            <w:r>
              <w:rPr>
                <w:rFonts w:ascii="Arial" w:cs="Arial" w:eastAsia="Arial" w:hAnsi="Arial"/>
                <w:sz w:val="13"/>
                <w:szCs w:val="13"/>
                <w:b w:val="1"/>
                <w:bCs w:val="1"/>
                <w:color w:val="auto"/>
                <w:w w:val="82"/>
              </w:rPr>
              <w:t>$</w:t>
            </w:r>
          </w:p>
        </w:tc>
        <w:tc>
          <w:tcPr>
            <w:tcW w:w="126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b w:val="1"/>
                <w:bCs w:val="1"/>
                <w:color w:val="auto"/>
              </w:rPr>
              <w:t>14,961</w:t>
            </w:r>
          </w:p>
        </w:tc>
        <w:tc>
          <w:tcPr>
            <w:tcW w:w="380" w:type="dxa"/>
            <w:vAlign w:val="bottom"/>
            <w:shd w:val="clear" w:color="auto" w:fill="CFF0FC"/>
          </w:tcPr>
          <w:p>
            <w:pPr>
              <w:jc w:val="right"/>
              <w:ind w:right="27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13,370</w:t>
            </w:r>
          </w:p>
        </w:tc>
        <w:tc>
          <w:tcPr>
            <w:tcW w:w="100" w:type="dxa"/>
            <w:vAlign w:val="bottom"/>
            <w:shd w:val="clear" w:color="auto" w:fill="CFF0FC"/>
          </w:tcPr>
          <w:p>
            <w:pPr>
              <w:spacing w:after="0"/>
              <w:rPr>
                <w:sz w:val="14"/>
                <w:szCs w:val="14"/>
                <w:color w:val="auto"/>
              </w:rPr>
            </w:pPr>
          </w:p>
        </w:tc>
      </w:tr>
      <w:tr>
        <w:trPr>
          <w:trHeight w:val="173"/>
        </w:trPr>
        <w:tc>
          <w:tcPr>
            <w:tcW w:w="3780" w:type="dxa"/>
            <w:vAlign w:val="bottom"/>
          </w:tcPr>
          <w:p>
            <w:pPr>
              <w:spacing w:after="0"/>
              <w:rPr>
                <w:sz w:val="20"/>
                <w:szCs w:val="20"/>
                <w:color w:val="auto"/>
              </w:rPr>
            </w:pPr>
            <w:r>
              <w:rPr>
                <w:rFonts w:ascii="Arial" w:cs="Arial" w:eastAsia="Arial" w:hAnsi="Arial"/>
                <w:sz w:val="13"/>
                <w:szCs w:val="13"/>
                <w:color w:val="auto"/>
              </w:rPr>
              <w:t>Cost of revenue (COR)</w:t>
            </w:r>
          </w:p>
        </w:tc>
        <w:tc>
          <w:tcPr>
            <w:tcW w:w="1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1,310</w:t>
            </w:r>
          </w:p>
        </w:tc>
        <w:tc>
          <w:tcPr>
            <w:tcW w:w="400" w:type="dxa"/>
            <w:vAlign w:val="bottom"/>
          </w:tcPr>
          <w:p>
            <w:pPr>
              <w:spacing w:after="0"/>
              <w:rPr>
                <w:sz w:val="15"/>
                <w:szCs w:val="15"/>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3"/>
                <w:szCs w:val="13"/>
                <w:color w:val="auto"/>
              </w:rPr>
              <w:t>1,277</w:t>
            </w:r>
          </w:p>
        </w:tc>
        <w:tc>
          <w:tcPr>
            <w:tcW w:w="260" w:type="dxa"/>
            <w:vAlign w:val="bottom"/>
          </w:tcPr>
          <w:p>
            <w:pPr>
              <w:spacing w:after="0"/>
              <w:rPr>
                <w:sz w:val="15"/>
                <w:szCs w:val="15"/>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5,347</w:t>
            </w:r>
          </w:p>
        </w:tc>
        <w:tc>
          <w:tcPr>
            <w:tcW w:w="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5,113</w:t>
            </w:r>
          </w:p>
        </w:tc>
        <w:tc>
          <w:tcPr>
            <w:tcW w:w="100" w:type="dxa"/>
            <w:vAlign w:val="bottom"/>
          </w:tcPr>
          <w:p>
            <w:pPr>
              <w:spacing w:after="0"/>
              <w:rPr>
                <w:sz w:val="15"/>
                <w:szCs w:val="15"/>
                <w:color w:val="auto"/>
              </w:rPr>
            </w:pPr>
          </w:p>
        </w:tc>
      </w:tr>
      <w:tr>
        <w:trPr>
          <w:trHeight w:val="20"/>
        </w:trPr>
        <w:tc>
          <w:tcPr>
            <w:tcW w:w="3780" w:type="dxa"/>
            <w:vAlign w:val="bottom"/>
            <w:shd w:val="clear" w:color="auto" w:fill="CFF0FC"/>
          </w:tcPr>
          <w:p>
            <w:pPr>
              <w:spacing w:after="0" w:line="20" w:lineRule="exact"/>
              <w:rPr>
                <w:sz w:val="1"/>
                <w:szCs w:val="1"/>
                <w:color w:val="auto"/>
              </w:rPr>
            </w:pPr>
          </w:p>
        </w:tc>
        <w:tc>
          <w:tcPr>
            <w:tcW w:w="19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4"/>
        </w:trPr>
        <w:tc>
          <w:tcPr>
            <w:tcW w:w="3780" w:type="dxa"/>
            <w:vAlign w:val="bottom"/>
            <w:shd w:val="clear" w:color="auto" w:fill="CFF0FC"/>
          </w:tcPr>
          <w:p>
            <w:pPr>
              <w:spacing w:after="0"/>
              <w:rPr>
                <w:sz w:val="20"/>
                <w:szCs w:val="20"/>
                <w:color w:val="auto"/>
              </w:rPr>
            </w:pPr>
            <w:r>
              <w:rPr>
                <w:rFonts w:ascii="Arial" w:cs="Arial" w:eastAsia="Arial" w:hAnsi="Arial"/>
                <w:sz w:val="13"/>
                <w:szCs w:val="13"/>
                <w:color w:val="auto"/>
              </w:rPr>
              <w:t>Gross profit</w:t>
            </w:r>
          </w:p>
        </w:tc>
        <w:tc>
          <w:tcPr>
            <w:tcW w:w="19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b w:val="1"/>
                <w:bCs w:val="1"/>
                <w:color w:val="auto"/>
              </w:rPr>
              <w:t>2,440</w:t>
            </w:r>
          </w:p>
        </w:tc>
        <w:tc>
          <w:tcPr>
            <w:tcW w:w="4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2,137</w:t>
            </w:r>
          </w:p>
        </w:tc>
        <w:tc>
          <w:tcPr>
            <w:tcW w:w="26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b w:val="1"/>
                <w:bCs w:val="1"/>
                <w:color w:val="auto"/>
              </w:rPr>
              <w:t>9,614</w:t>
            </w:r>
          </w:p>
        </w:tc>
        <w:tc>
          <w:tcPr>
            <w:tcW w:w="3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8,257</w:t>
            </w:r>
          </w:p>
        </w:tc>
        <w:tc>
          <w:tcPr>
            <w:tcW w:w="100" w:type="dxa"/>
            <w:vAlign w:val="bottom"/>
            <w:shd w:val="clear" w:color="auto" w:fill="CFF0FC"/>
          </w:tcPr>
          <w:p>
            <w:pPr>
              <w:spacing w:after="0"/>
              <w:rPr>
                <w:sz w:val="14"/>
                <w:szCs w:val="14"/>
                <w:color w:val="auto"/>
              </w:rPr>
            </w:pPr>
          </w:p>
        </w:tc>
      </w:tr>
      <w:tr>
        <w:trPr>
          <w:trHeight w:val="173"/>
        </w:trPr>
        <w:tc>
          <w:tcPr>
            <w:tcW w:w="3780" w:type="dxa"/>
            <w:vAlign w:val="bottom"/>
          </w:tcPr>
          <w:p>
            <w:pPr>
              <w:spacing w:after="0"/>
              <w:rPr>
                <w:sz w:val="20"/>
                <w:szCs w:val="20"/>
                <w:color w:val="auto"/>
              </w:rPr>
            </w:pPr>
            <w:r>
              <w:rPr>
                <w:rFonts w:ascii="Arial" w:cs="Arial" w:eastAsia="Arial" w:hAnsi="Arial"/>
                <w:sz w:val="13"/>
                <w:szCs w:val="13"/>
                <w:color w:val="auto"/>
              </w:rPr>
              <w:t>Research and development (R&amp;D)</w:t>
            </w:r>
          </w:p>
        </w:tc>
        <w:tc>
          <w:tcPr>
            <w:tcW w:w="1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386</w:t>
            </w:r>
          </w:p>
        </w:tc>
        <w:tc>
          <w:tcPr>
            <w:tcW w:w="400" w:type="dxa"/>
            <w:vAlign w:val="bottom"/>
          </w:tcPr>
          <w:p>
            <w:pPr>
              <w:spacing w:after="0"/>
              <w:rPr>
                <w:sz w:val="15"/>
                <w:szCs w:val="15"/>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3"/>
                <w:szCs w:val="13"/>
                <w:color w:val="auto"/>
              </w:rPr>
              <w:t>340</w:t>
            </w:r>
          </w:p>
        </w:tc>
        <w:tc>
          <w:tcPr>
            <w:tcW w:w="260" w:type="dxa"/>
            <w:vAlign w:val="bottom"/>
          </w:tcPr>
          <w:p>
            <w:pPr>
              <w:spacing w:after="0"/>
              <w:rPr>
                <w:sz w:val="15"/>
                <w:szCs w:val="15"/>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1,508</w:t>
            </w:r>
          </w:p>
        </w:tc>
        <w:tc>
          <w:tcPr>
            <w:tcW w:w="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1,356</w:t>
            </w:r>
          </w:p>
        </w:tc>
        <w:tc>
          <w:tcPr>
            <w:tcW w:w="100" w:type="dxa"/>
            <w:vAlign w:val="bottom"/>
          </w:tcPr>
          <w:p>
            <w:pPr>
              <w:spacing w:after="0"/>
              <w:rPr>
                <w:sz w:val="15"/>
                <w:szCs w:val="15"/>
                <w:color w:val="auto"/>
              </w:rPr>
            </w:pPr>
          </w:p>
        </w:tc>
      </w:tr>
      <w:tr>
        <w:trPr>
          <w:trHeight w:val="174"/>
        </w:trPr>
        <w:tc>
          <w:tcPr>
            <w:tcW w:w="3780" w:type="dxa"/>
            <w:vAlign w:val="bottom"/>
            <w:shd w:val="clear" w:color="auto" w:fill="CFF0FC"/>
          </w:tcPr>
          <w:p>
            <w:pPr>
              <w:spacing w:after="0"/>
              <w:rPr>
                <w:sz w:val="20"/>
                <w:szCs w:val="20"/>
                <w:color w:val="auto"/>
              </w:rPr>
            </w:pPr>
            <w:r>
              <w:rPr>
                <w:rFonts w:ascii="Arial" w:cs="Arial" w:eastAsia="Arial" w:hAnsi="Arial"/>
                <w:sz w:val="13"/>
                <w:szCs w:val="13"/>
                <w:color w:val="auto"/>
              </w:rPr>
              <w:t>Selling, general and administrative (SG&amp;A)</w:t>
            </w:r>
          </w:p>
        </w:tc>
        <w:tc>
          <w:tcPr>
            <w:tcW w:w="19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b w:val="1"/>
                <w:bCs w:val="1"/>
                <w:color w:val="auto"/>
              </w:rPr>
              <w:t>409</w:t>
            </w:r>
          </w:p>
        </w:tc>
        <w:tc>
          <w:tcPr>
            <w:tcW w:w="4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405</w:t>
            </w:r>
          </w:p>
        </w:tc>
        <w:tc>
          <w:tcPr>
            <w:tcW w:w="26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b w:val="1"/>
                <w:bCs w:val="1"/>
                <w:color w:val="auto"/>
              </w:rPr>
              <w:t>1,694</w:t>
            </w:r>
          </w:p>
        </w:tc>
        <w:tc>
          <w:tcPr>
            <w:tcW w:w="3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1,742</w:t>
            </w:r>
          </w:p>
        </w:tc>
        <w:tc>
          <w:tcPr>
            <w:tcW w:w="100" w:type="dxa"/>
            <w:vAlign w:val="bottom"/>
            <w:shd w:val="clear" w:color="auto" w:fill="CFF0FC"/>
          </w:tcPr>
          <w:p>
            <w:pPr>
              <w:spacing w:after="0"/>
              <w:rPr>
                <w:sz w:val="15"/>
                <w:szCs w:val="15"/>
                <w:color w:val="auto"/>
              </w:rPr>
            </w:pPr>
          </w:p>
        </w:tc>
      </w:tr>
      <w:tr>
        <w:trPr>
          <w:trHeight w:val="173"/>
        </w:trPr>
        <w:tc>
          <w:tcPr>
            <w:tcW w:w="3780" w:type="dxa"/>
            <w:vAlign w:val="bottom"/>
          </w:tcPr>
          <w:p>
            <w:pPr>
              <w:spacing w:after="0"/>
              <w:rPr>
                <w:sz w:val="20"/>
                <w:szCs w:val="20"/>
                <w:color w:val="auto"/>
              </w:rPr>
            </w:pPr>
            <w:r>
              <w:rPr>
                <w:rFonts w:ascii="Arial" w:cs="Arial" w:eastAsia="Arial" w:hAnsi="Arial"/>
                <w:sz w:val="13"/>
                <w:szCs w:val="13"/>
                <w:color w:val="auto"/>
              </w:rPr>
              <w:t>Acquisition charges</w:t>
            </w:r>
          </w:p>
        </w:tc>
        <w:tc>
          <w:tcPr>
            <w:tcW w:w="1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79</w:t>
            </w:r>
          </w:p>
        </w:tc>
        <w:tc>
          <w:tcPr>
            <w:tcW w:w="400" w:type="dxa"/>
            <w:vAlign w:val="bottom"/>
          </w:tcPr>
          <w:p>
            <w:pPr>
              <w:spacing w:after="0"/>
              <w:rPr>
                <w:sz w:val="15"/>
                <w:szCs w:val="15"/>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3"/>
                <w:szCs w:val="13"/>
                <w:color w:val="auto"/>
              </w:rPr>
              <w:t>80</w:t>
            </w:r>
          </w:p>
        </w:tc>
        <w:tc>
          <w:tcPr>
            <w:tcW w:w="260" w:type="dxa"/>
            <w:vAlign w:val="bottom"/>
          </w:tcPr>
          <w:p>
            <w:pPr>
              <w:spacing w:after="0"/>
              <w:rPr>
                <w:sz w:val="15"/>
                <w:szCs w:val="15"/>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318</w:t>
            </w:r>
          </w:p>
        </w:tc>
        <w:tc>
          <w:tcPr>
            <w:tcW w:w="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319</w:t>
            </w:r>
          </w:p>
        </w:tc>
        <w:tc>
          <w:tcPr>
            <w:tcW w:w="100" w:type="dxa"/>
            <w:vAlign w:val="bottom"/>
          </w:tcPr>
          <w:p>
            <w:pPr>
              <w:spacing w:after="0"/>
              <w:rPr>
                <w:sz w:val="15"/>
                <w:szCs w:val="15"/>
                <w:color w:val="auto"/>
              </w:rPr>
            </w:pPr>
          </w:p>
        </w:tc>
      </w:tr>
      <w:tr>
        <w:trPr>
          <w:trHeight w:val="174"/>
        </w:trPr>
        <w:tc>
          <w:tcPr>
            <w:tcW w:w="3780" w:type="dxa"/>
            <w:vAlign w:val="bottom"/>
            <w:shd w:val="clear" w:color="auto" w:fill="CFF0FC"/>
          </w:tcPr>
          <w:p>
            <w:pPr>
              <w:spacing w:after="0"/>
              <w:rPr>
                <w:sz w:val="20"/>
                <w:szCs w:val="20"/>
                <w:color w:val="auto"/>
              </w:rPr>
            </w:pPr>
            <w:r>
              <w:rPr>
                <w:rFonts w:ascii="Arial" w:cs="Arial" w:eastAsia="Arial" w:hAnsi="Arial"/>
                <w:sz w:val="13"/>
                <w:szCs w:val="13"/>
                <w:color w:val="auto"/>
              </w:rPr>
              <w:t>Restructuring charges/other</w:t>
            </w:r>
          </w:p>
        </w:tc>
        <w:tc>
          <w:tcPr>
            <w:tcW w:w="19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b w:val="1"/>
                <w:bCs w:val="1"/>
                <w:color w:val="auto"/>
              </w:rPr>
              <w:t>3</w:t>
            </w:r>
          </w:p>
        </w:tc>
        <w:tc>
          <w:tcPr>
            <w:tcW w:w="4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(20)</w:t>
            </w:r>
          </w:p>
        </w:tc>
        <w:tc>
          <w:tcPr>
            <w:tcW w:w="26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b w:val="1"/>
                <w:bCs w:val="1"/>
                <w:color w:val="auto"/>
              </w:rPr>
              <w:t>11</w:t>
            </w:r>
          </w:p>
        </w:tc>
        <w:tc>
          <w:tcPr>
            <w:tcW w:w="3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FF0FC"/>
          </w:tcPr>
          <w:p>
            <w:pPr>
              <w:spacing w:after="0"/>
              <w:rPr>
                <w:sz w:val="15"/>
                <w:szCs w:val="15"/>
                <w:color w:val="auto"/>
              </w:rPr>
            </w:pPr>
          </w:p>
        </w:tc>
      </w:tr>
      <w:tr>
        <w:trPr>
          <w:trHeight w:val="20"/>
        </w:trPr>
        <w:tc>
          <w:tcPr>
            <w:tcW w:w="3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3"/>
        </w:trPr>
        <w:tc>
          <w:tcPr>
            <w:tcW w:w="3780" w:type="dxa"/>
            <w:vAlign w:val="bottom"/>
          </w:tcPr>
          <w:p>
            <w:pPr>
              <w:spacing w:after="0"/>
              <w:rPr>
                <w:sz w:val="20"/>
                <w:szCs w:val="20"/>
                <w:color w:val="auto"/>
              </w:rPr>
            </w:pPr>
            <w:r>
              <w:rPr>
                <w:rFonts w:ascii="Arial" w:cs="Arial" w:eastAsia="Arial" w:hAnsi="Arial"/>
                <w:sz w:val="13"/>
                <w:szCs w:val="13"/>
                <w:color w:val="auto"/>
              </w:rPr>
              <w:t>Operating profit</w:t>
            </w:r>
          </w:p>
        </w:tc>
        <w:tc>
          <w:tcPr>
            <w:tcW w:w="1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1,563</w:t>
            </w:r>
          </w:p>
        </w:tc>
        <w:tc>
          <w:tcPr>
            <w:tcW w:w="40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3"/>
                <w:szCs w:val="13"/>
                <w:color w:val="auto"/>
              </w:rPr>
              <w:t>1,332</w:t>
            </w:r>
          </w:p>
        </w:tc>
        <w:tc>
          <w:tcPr>
            <w:tcW w:w="260" w:type="dxa"/>
            <w:vAlign w:val="bottom"/>
          </w:tcPr>
          <w:p>
            <w:pPr>
              <w:spacing w:after="0"/>
              <w:rPr>
                <w:sz w:val="14"/>
                <w:szCs w:val="14"/>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6,083</w:t>
            </w:r>
          </w:p>
        </w:tc>
        <w:tc>
          <w:tcPr>
            <w:tcW w:w="3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4,855</w:t>
            </w:r>
          </w:p>
        </w:tc>
        <w:tc>
          <w:tcPr>
            <w:tcW w:w="100" w:type="dxa"/>
            <w:vAlign w:val="bottom"/>
          </w:tcPr>
          <w:p>
            <w:pPr>
              <w:spacing w:after="0"/>
              <w:rPr>
                <w:sz w:val="14"/>
                <w:szCs w:val="14"/>
                <w:color w:val="auto"/>
              </w:rPr>
            </w:pPr>
          </w:p>
        </w:tc>
      </w:tr>
      <w:tr>
        <w:trPr>
          <w:trHeight w:val="174"/>
        </w:trPr>
        <w:tc>
          <w:tcPr>
            <w:tcW w:w="3780" w:type="dxa"/>
            <w:vAlign w:val="bottom"/>
            <w:shd w:val="clear" w:color="auto" w:fill="CFF0FC"/>
          </w:tcPr>
          <w:p>
            <w:pPr>
              <w:spacing w:after="0"/>
              <w:rPr>
                <w:sz w:val="20"/>
                <w:szCs w:val="20"/>
                <w:color w:val="auto"/>
              </w:rPr>
            </w:pPr>
            <w:r>
              <w:rPr>
                <w:rFonts w:ascii="Arial" w:cs="Arial" w:eastAsia="Arial" w:hAnsi="Arial"/>
                <w:sz w:val="13"/>
                <w:szCs w:val="13"/>
                <w:color w:val="auto"/>
              </w:rPr>
              <w:t>Other income (expense), net (OI&amp;E)</w:t>
            </w:r>
          </w:p>
        </w:tc>
        <w:tc>
          <w:tcPr>
            <w:tcW w:w="19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b w:val="1"/>
                <w:bCs w:val="1"/>
                <w:color w:val="auto"/>
              </w:rPr>
              <w:t>8</w:t>
            </w:r>
          </w:p>
        </w:tc>
        <w:tc>
          <w:tcPr>
            <w:tcW w:w="4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184</w:t>
            </w:r>
          </w:p>
        </w:tc>
        <w:tc>
          <w:tcPr>
            <w:tcW w:w="26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b w:val="1"/>
                <w:bCs w:val="1"/>
                <w:color w:val="auto"/>
              </w:rPr>
              <w:t>75</w:t>
            </w:r>
          </w:p>
        </w:tc>
        <w:tc>
          <w:tcPr>
            <w:tcW w:w="3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155</w:t>
            </w:r>
          </w:p>
        </w:tc>
        <w:tc>
          <w:tcPr>
            <w:tcW w:w="100" w:type="dxa"/>
            <w:vAlign w:val="bottom"/>
            <w:shd w:val="clear" w:color="auto" w:fill="CFF0FC"/>
          </w:tcPr>
          <w:p>
            <w:pPr>
              <w:spacing w:after="0"/>
              <w:rPr>
                <w:sz w:val="15"/>
                <w:szCs w:val="15"/>
                <w:color w:val="auto"/>
              </w:rPr>
            </w:pPr>
          </w:p>
        </w:tc>
      </w:tr>
      <w:tr>
        <w:trPr>
          <w:trHeight w:val="173"/>
        </w:trPr>
        <w:tc>
          <w:tcPr>
            <w:tcW w:w="3780" w:type="dxa"/>
            <w:vAlign w:val="bottom"/>
          </w:tcPr>
          <w:p>
            <w:pPr>
              <w:spacing w:after="0"/>
              <w:rPr>
                <w:sz w:val="20"/>
                <w:szCs w:val="20"/>
                <w:color w:val="auto"/>
              </w:rPr>
            </w:pPr>
            <w:r>
              <w:rPr>
                <w:rFonts w:ascii="Arial" w:cs="Arial" w:eastAsia="Arial" w:hAnsi="Arial"/>
                <w:sz w:val="13"/>
                <w:szCs w:val="13"/>
                <w:color w:val="auto"/>
              </w:rPr>
              <w:t>Interest and debt expense</w:t>
            </w:r>
          </w:p>
        </w:tc>
        <w:tc>
          <w:tcPr>
            <w:tcW w:w="1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21</w:t>
            </w:r>
          </w:p>
        </w:tc>
        <w:tc>
          <w:tcPr>
            <w:tcW w:w="400" w:type="dxa"/>
            <w:vAlign w:val="bottom"/>
          </w:tcPr>
          <w:p>
            <w:pPr>
              <w:spacing w:after="0"/>
              <w:rPr>
                <w:sz w:val="15"/>
                <w:szCs w:val="15"/>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3"/>
                <w:szCs w:val="13"/>
                <w:color w:val="auto"/>
              </w:rPr>
              <w:t>19</w:t>
            </w:r>
          </w:p>
        </w:tc>
        <w:tc>
          <w:tcPr>
            <w:tcW w:w="260" w:type="dxa"/>
            <w:vAlign w:val="bottom"/>
          </w:tcPr>
          <w:p>
            <w:pPr>
              <w:spacing w:after="0"/>
              <w:rPr>
                <w:sz w:val="15"/>
                <w:szCs w:val="15"/>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78</w:t>
            </w:r>
          </w:p>
        </w:tc>
        <w:tc>
          <w:tcPr>
            <w:tcW w:w="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80</w:t>
            </w:r>
          </w:p>
        </w:tc>
        <w:tc>
          <w:tcPr>
            <w:tcW w:w="100" w:type="dxa"/>
            <w:vAlign w:val="bottom"/>
          </w:tcPr>
          <w:p>
            <w:pPr>
              <w:spacing w:after="0"/>
              <w:rPr>
                <w:sz w:val="15"/>
                <w:szCs w:val="15"/>
                <w:color w:val="auto"/>
              </w:rPr>
            </w:pPr>
          </w:p>
        </w:tc>
      </w:tr>
      <w:tr>
        <w:trPr>
          <w:trHeight w:val="20"/>
        </w:trPr>
        <w:tc>
          <w:tcPr>
            <w:tcW w:w="3780" w:type="dxa"/>
            <w:vAlign w:val="bottom"/>
            <w:shd w:val="clear" w:color="auto" w:fill="CFF0FC"/>
          </w:tcPr>
          <w:p>
            <w:pPr>
              <w:spacing w:after="0" w:line="20" w:lineRule="exact"/>
              <w:rPr>
                <w:sz w:val="1"/>
                <w:szCs w:val="1"/>
                <w:color w:val="auto"/>
              </w:rPr>
            </w:pPr>
          </w:p>
        </w:tc>
        <w:tc>
          <w:tcPr>
            <w:tcW w:w="19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4"/>
        </w:trPr>
        <w:tc>
          <w:tcPr>
            <w:tcW w:w="3780" w:type="dxa"/>
            <w:vAlign w:val="bottom"/>
            <w:shd w:val="clear" w:color="auto" w:fill="CFF0FC"/>
          </w:tcPr>
          <w:p>
            <w:pPr>
              <w:spacing w:after="0"/>
              <w:rPr>
                <w:sz w:val="20"/>
                <w:szCs w:val="20"/>
                <w:color w:val="auto"/>
              </w:rPr>
            </w:pPr>
            <w:r>
              <w:rPr>
                <w:rFonts w:ascii="Arial" w:cs="Arial" w:eastAsia="Arial" w:hAnsi="Arial"/>
                <w:sz w:val="13"/>
                <w:szCs w:val="13"/>
                <w:color w:val="auto"/>
              </w:rPr>
              <w:t>Income before income taxes</w:t>
            </w:r>
          </w:p>
        </w:tc>
        <w:tc>
          <w:tcPr>
            <w:tcW w:w="19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b w:val="1"/>
                <w:bCs w:val="1"/>
                <w:color w:val="auto"/>
              </w:rPr>
              <w:t>1,550</w:t>
            </w:r>
          </w:p>
        </w:tc>
        <w:tc>
          <w:tcPr>
            <w:tcW w:w="4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1,497</w:t>
            </w:r>
          </w:p>
        </w:tc>
        <w:tc>
          <w:tcPr>
            <w:tcW w:w="260" w:type="dxa"/>
            <w:vAlign w:val="bottom"/>
            <w:shd w:val="clear" w:color="auto" w:fill="CFF0FC"/>
          </w:tcPr>
          <w:p>
            <w:pPr>
              <w:spacing w:after="0"/>
              <w:rPr>
                <w:sz w:val="14"/>
                <w:szCs w:val="14"/>
                <w:color w:val="auto"/>
              </w:rPr>
            </w:pPr>
          </w:p>
        </w:tc>
        <w:tc>
          <w:tcPr>
            <w:tcW w:w="126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b w:val="1"/>
                <w:bCs w:val="1"/>
                <w:color w:val="auto"/>
              </w:rPr>
              <w:t>6,080</w:t>
            </w:r>
          </w:p>
        </w:tc>
        <w:tc>
          <w:tcPr>
            <w:tcW w:w="38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4,930</w:t>
            </w:r>
          </w:p>
        </w:tc>
        <w:tc>
          <w:tcPr>
            <w:tcW w:w="100" w:type="dxa"/>
            <w:vAlign w:val="bottom"/>
            <w:shd w:val="clear" w:color="auto" w:fill="CFF0FC"/>
          </w:tcPr>
          <w:p>
            <w:pPr>
              <w:spacing w:after="0"/>
              <w:rPr>
                <w:sz w:val="14"/>
                <w:szCs w:val="14"/>
                <w:color w:val="auto"/>
              </w:rPr>
            </w:pPr>
          </w:p>
        </w:tc>
      </w:tr>
      <w:tr>
        <w:trPr>
          <w:trHeight w:val="173"/>
        </w:trPr>
        <w:tc>
          <w:tcPr>
            <w:tcW w:w="3780" w:type="dxa"/>
            <w:vAlign w:val="bottom"/>
          </w:tcPr>
          <w:p>
            <w:pPr>
              <w:spacing w:after="0"/>
              <w:rPr>
                <w:sz w:val="20"/>
                <w:szCs w:val="20"/>
                <w:color w:val="auto"/>
              </w:rPr>
            </w:pPr>
            <w:r>
              <w:rPr>
                <w:rFonts w:ascii="Arial" w:cs="Arial" w:eastAsia="Arial" w:hAnsi="Arial"/>
                <w:sz w:val="13"/>
                <w:szCs w:val="13"/>
                <w:color w:val="auto"/>
              </w:rPr>
              <w:t>Provision for income taxes</w:t>
            </w:r>
          </w:p>
        </w:tc>
        <w:tc>
          <w:tcPr>
            <w:tcW w:w="1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1,206</w:t>
            </w:r>
          </w:p>
        </w:tc>
        <w:tc>
          <w:tcPr>
            <w:tcW w:w="400" w:type="dxa"/>
            <w:vAlign w:val="bottom"/>
          </w:tcPr>
          <w:p>
            <w:pPr>
              <w:spacing w:after="0"/>
              <w:rPr>
                <w:sz w:val="15"/>
                <w:szCs w:val="15"/>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3"/>
                <w:szCs w:val="13"/>
                <w:color w:val="auto"/>
              </w:rPr>
              <w:t>450</w:t>
            </w:r>
          </w:p>
        </w:tc>
        <w:tc>
          <w:tcPr>
            <w:tcW w:w="260" w:type="dxa"/>
            <w:vAlign w:val="bottom"/>
          </w:tcPr>
          <w:p>
            <w:pPr>
              <w:spacing w:after="0"/>
              <w:rPr>
                <w:sz w:val="15"/>
                <w:szCs w:val="15"/>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2,398</w:t>
            </w:r>
          </w:p>
        </w:tc>
        <w:tc>
          <w:tcPr>
            <w:tcW w:w="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1,335</w:t>
            </w:r>
          </w:p>
        </w:tc>
        <w:tc>
          <w:tcPr>
            <w:tcW w:w="100" w:type="dxa"/>
            <w:vAlign w:val="bottom"/>
          </w:tcPr>
          <w:p>
            <w:pPr>
              <w:spacing w:after="0"/>
              <w:rPr>
                <w:sz w:val="15"/>
                <w:szCs w:val="15"/>
                <w:color w:val="auto"/>
              </w:rPr>
            </w:pPr>
          </w:p>
        </w:tc>
      </w:tr>
      <w:tr>
        <w:trPr>
          <w:trHeight w:val="20"/>
        </w:trPr>
        <w:tc>
          <w:tcPr>
            <w:tcW w:w="3780" w:type="dxa"/>
            <w:vAlign w:val="bottom"/>
            <w:shd w:val="clear" w:color="auto" w:fill="CFF0FC"/>
          </w:tcPr>
          <w:p>
            <w:pPr>
              <w:spacing w:after="0" w:line="20" w:lineRule="exact"/>
              <w:rPr>
                <w:sz w:val="1"/>
                <w:szCs w:val="1"/>
                <w:color w:val="auto"/>
              </w:rPr>
            </w:pPr>
          </w:p>
        </w:tc>
        <w:tc>
          <w:tcPr>
            <w:tcW w:w="19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73"/>
        </w:trPr>
        <w:tc>
          <w:tcPr>
            <w:tcW w:w="3780" w:type="dxa"/>
            <w:vAlign w:val="bottom"/>
            <w:shd w:val="clear" w:color="auto" w:fill="CFF0FC"/>
          </w:tcPr>
          <w:p>
            <w:pPr>
              <w:spacing w:after="0"/>
              <w:rPr>
                <w:sz w:val="20"/>
                <w:szCs w:val="20"/>
                <w:color w:val="auto"/>
              </w:rPr>
            </w:pPr>
            <w:r>
              <w:rPr>
                <w:rFonts w:ascii="Arial" w:cs="Arial" w:eastAsia="Arial" w:hAnsi="Arial"/>
                <w:sz w:val="13"/>
                <w:szCs w:val="13"/>
                <w:color w:val="auto"/>
              </w:rPr>
              <w:t>Net income</w:t>
            </w:r>
          </w:p>
        </w:tc>
        <w:tc>
          <w:tcPr>
            <w:tcW w:w="22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b w:val="1"/>
                <w:bCs w:val="1"/>
                <w:color w:val="auto"/>
              </w:rPr>
              <w:t>$</w:t>
            </w:r>
          </w:p>
        </w:tc>
        <w:tc>
          <w:tcPr>
            <w:tcW w:w="126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b w:val="1"/>
                <w:bCs w:val="1"/>
                <w:color w:val="auto"/>
              </w:rPr>
              <w:t>344</w:t>
            </w:r>
          </w:p>
        </w:tc>
        <w:tc>
          <w:tcPr>
            <w:tcW w:w="400" w:type="dxa"/>
            <w:vAlign w:val="bottom"/>
            <w:shd w:val="clear" w:color="auto" w:fill="CFF0FC"/>
          </w:tcPr>
          <w:p>
            <w:pPr>
              <w:jc w:val="right"/>
              <w:ind w:right="292"/>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1,047</w:t>
            </w:r>
          </w:p>
        </w:tc>
        <w:tc>
          <w:tcPr>
            <w:tcW w:w="260" w:type="dxa"/>
            <w:vAlign w:val="bottom"/>
            <w:shd w:val="clear" w:color="auto" w:fill="CFF0FC"/>
          </w:tcPr>
          <w:p>
            <w:pPr>
              <w:jc w:val="right"/>
              <w:ind w:right="116"/>
              <w:spacing w:after="0"/>
              <w:rPr>
                <w:sz w:val="20"/>
                <w:szCs w:val="20"/>
                <w:color w:val="auto"/>
              </w:rPr>
            </w:pPr>
            <w:r>
              <w:rPr>
                <w:rFonts w:ascii="Arial" w:cs="Arial" w:eastAsia="Arial" w:hAnsi="Arial"/>
                <w:sz w:val="13"/>
                <w:szCs w:val="13"/>
                <w:b w:val="1"/>
                <w:bCs w:val="1"/>
                <w:color w:val="auto"/>
                <w:w w:val="82"/>
              </w:rPr>
              <w:t>$</w:t>
            </w:r>
          </w:p>
        </w:tc>
        <w:tc>
          <w:tcPr>
            <w:tcW w:w="126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b w:val="1"/>
                <w:bCs w:val="1"/>
                <w:color w:val="auto"/>
              </w:rPr>
              <w:t>3,682</w:t>
            </w:r>
          </w:p>
        </w:tc>
        <w:tc>
          <w:tcPr>
            <w:tcW w:w="380" w:type="dxa"/>
            <w:vAlign w:val="bottom"/>
            <w:shd w:val="clear" w:color="auto" w:fill="CFF0FC"/>
          </w:tcPr>
          <w:p>
            <w:pPr>
              <w:jc w:val="right"/>
              <w:ind w:right="272"/>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3,595</w:t>
            </w:r>
          </w:p>
        </w:tc>
        <w:tc>
          <w:tcPr>
            <w:tcW w:w="100" w:type="dxa"/>
            <w:vAlign w:val="bottom"/>
            <w:shd w:val="clear" w:color="auto" w:fill="CFF0FC"/>
          </w:tcPr>
          <w:p>
            <w:pPr>
              <w:spacing w:after="0"/>
              <w:rPr>
                <w:sz w:val="15"/>
                <w:szCs w:val="15"/>
                <w:color w:val="auto"/>
              </w:rPr>
            </w:pPr>
          </w:p>
        </w:tc>
      </w:tr>
      <w:tr>
        <w:trPr>
          <w:trHeight w:val="174"/>
        </w:trPr>
        <w:tc>
          <w:tcPr>
            <w:tcW w:w="3780" w:type="dxa"/>
            <w:vAlign w:val="bottom"/>
            <w:tcBorders>
              <w:top w:val="single" w:sz="8" w:color="CFF0FC"/>
            </w:tcBorders>
            <w:shd w:val="clear" w:color="auto" w:fill="CFF0FC"/>
          </w:tcPr>
          <w:p>
            <w:pPr>
              <w:spacing w:after="0"/>
              <w:rPr>
                <w:sz w:val="15"/>
                <w:szCs w:val="15"/>
                <w:color w:val="auto"/>
              </w:rPr>
            </w:pPr>
          </w:p>
        </w:tc>
        <w:tc>
          <w:tcPr>
            <w:tcW w:w="194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360" w:type="dxa"/>
            <w:vAlign w:val="bottom"/>
            <w:tcBorders>
              <w:top w:val="single" w:sz="8" w:color="CFF0FC"/>
            </w:tcBorders>
            <w:shd w:val="clear" w:color="auto" w:fill="CFF0FC"/>
          </w:tcPr>
          <w:p>
            <w:pPr>
              <w:spacing w:after="0"/>
              <w:rPr>
                <w:sz w:val="15"/>
                <w:szCs w:val="15"/>
                <w:color w:val="auto"/>
              </w:rPr>
            </w:pPr>
          </w:p>
        </w:tc>
        <w:tc>
          <w:tcPr>
            <w:tcW w:w="40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34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340" w:type="dxa"/>
            <w:vAlign w:val="bottom"/>
            <w:tcBorders>
              <w:top w:val="single" w:sz="8" w:color="CFF0FC"/>
            </w:tcBorders>
            <w:shd w:val="clear" w:color="auto" w:fill="CFF0FC"/>
          </w:tcPr>
          <w:p>
            <w:pPr>
              <w:spacing w:after="0"/>
              <w:rPr>
                <w:sz w:val="15"/>
                <w:szCs w:val="15"/>
                <w:color w:val="auto"/>
              </w:rPr>
            </w:pPr>
          </w:p>
        </w:tc>
        <w:tc>
          <w:tcPr>
            <w:tcW w:w="38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r>
      <w:tr>
        <w:trPr>
          <w:trHeight w:val="183"/>
        </w:trPr>
        <w:tc>
          <w:tcPr>
            <w:tcW w:w="3780" w:type="dxa"/>
            <w:vAlign w:val="bottom"/>
          </w:tcPr>
          <w:p>
            <w:pPr>
              <w:spacing w:after="0"/>
              <w:rPr>
                <w:sz w:val="20"/>
                <w:szCs w:val="20"/>
                <w:color w:val="auto"/>
              </w:rPr>
            </w:pPr>
            <w:r>
              <w:rPr>
                <w:rFonts w:ascii="Arial" w:cs="Arial" w:eastAsia="Arial" w:hAnsi="Arial"/>
                <w:sz w:val="13"/>
                <w:szCs w:val="13"/>
                <w:color w:val="auto"/>
              </w:rPr>
              <w:t>Diluted earnings per common share</w:t>
            </w:r>
          </w:p>
        </w:tc>
        <w:tc>
          <w:tcPr>
            <w:tcW w:w="22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.34</w:t>
            </w: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340"/>
              <w:spacing w:after="0"/>
              <w:rPr>
                <w:sz w:val="20"/>
                <w:szCs w:val="20"/>
                <w:color w:val="auto"/>
              </w:rPr>
            </w:pPr>
            <w:r>
              <w:rPr>
                <w:rFonts w:ascii="Arial" w:cs="Arial" w:eastAsia="Arial" w:hAnsi="Arial"/>
                <w:sz w:val="13"/>
                <w:szCs w:val="13"/>
                <w:color w:val="auto"/>
              </w:rPr>
              <w:t>1.02</w:t>
            </w:r>
          </w:p>
        </w:tc>
        <w:tc>
          <w:tcPr>
            <w:tcW w:w="260" w:type="dxa"/>
            <w:vAlign w:val="bottom"/>
          </w:tcPr>
          <w:p>
            <w:pPr>
              <w:jc w:val="right"/>
              <w:ind w:right="116"/>
              <w:spacing w:after="0"/>
              <w:rPr>
                <w:sz w:val="20"/>
                <w:szCs w:val="20"/>
                <w:color w:val="auto"/>
              </w:rPr>
            </w:pPr>
            <w:r>
              <w:rPr>
                <w:rFonts w:ascii="Arial" w:cs="Arial" w:eastAsia="Arial" w:hAnsi="Arial"/>
                <w:sz w:val="13"/>
                <w:szCs w:val="13"/>
                <w:b w:val="1"/>
                <w:bCs w:val="1"/>
                <w:color w:val="auto"/>
                <w:w w:val="82"/>
              </w:rPr>
              <w:t>$</w:t>
            </w:r>
          </w:p>
        </w:tc>
        <w:tc>
          <w:tcPr>
            <w:tcW w:w="12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3.61</w:t>
            </w:r>
          </w:p>
        </w:tc>
        <w:tc>
          <w:tcPr>
            <w:tcW w:w="380" w:type="dxa"/>
            <w:vAlign w:val="bottom"/>
          </w:tcPr>
          <w:p>
            <w:pPr>
              <w:jc w:val="right"/>
              <w:ind w:right="272"/>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3.48</w:t>
            </w:r>
          </w:p>
        </w:tc>
        <w:tc>
          <w:tcPr>
            <w:tcW w:w="100" w:type="dxa"/>
            <w:vAlign w:val="bottom"/>
          </w:tcPr>
          <w:p>
            <w:pPr>
              <w:spacing w:after="0"/>
              <w:rPr>
                <w:sz w:val="15"/>
                <w:szCs w:val="15"/>
                <w:color w:val="auto"/>
              </w:rPr>
            </w:pPr>
          </w:p>
        </w:tc>
      </w:tr>
      <w:tr>
        <w:trPr>
          <w:trHeight w:val="174"/>
        </w:trPr>
        <w:tc>
          <w:tcPr>
            <w:tcW w:w="378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4"/>
        </w:trPr>
        <w:tc>
          <w:tcPr>
            <w:tcW w:w="3780" w:type="dxa"/>
            <w:vAlign w:val="bottom"/>
            <w:shd w:val="clear" w:color="auto" w:fill="CFF0FC"/>
          </w:tcPr>
          <w:p>
            <w:pPr>
              <w:spacing w:after="0"/>
              <w:rPr>
                <w:sz w:val="20"/>
                <w:szCs w:val="20"/>
                <w:color w:val="auto"/>
              </w:rPr>
            </w:pPr>
            <w:r>
              <w:rPr>
                <w:rFonts w:ascii="Arial" w:cs="Arial" w:eastAsia="Arial" w:hAnsi="Arial"/>
                <w:sz w:val="13"/>
                <w:szCs w:val="13"/>
                <w:color w:val="auto"/>
              </w:rPr>
              <w:t>Average shares outstanding (millions):</w:t>
            </w:r>
          </w:p>
        </w:tc>
        <w:tc>
          <w:tcPr>
            <w:tcW w:w="19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4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3"/>
        </w:trPr>
        <w:tc>
          <w:tcPr>
            <w:tcW w:w="3780" w:type="dxa"/>
            <w:vAlign w:val="bottom"/>
          </w:tcPr>
          <w:p>
            <w:pPr>
              <w:ind w:left="120"/>
              <w:spacing w:after="0"/>
              <w:rPr>
                <w:sz w:val="20"/>
                <w:szCs w:val="20"/>
                <w:color w:val="auto"/>
              </w:rPr>
            </w:pPr>
            <w:r>
              <w:rPr>
                <w:rFonts w:ascii="Arial" w:cs="Arial" w:eastAsia="Arial" w:hAnsi="Arial"/>
                <w:sz w:val="13"/>
                <w:szCs w:val="13"/>
                <w:color w:val="auto"/>
              </w:rPr>
              <w:t>Basic</w:t>
            </w:r>
          </w:p>
        </w:tc>
        <w:tc>
          <w:tcPr>
            <w:tcW w:w="1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985</w:t>
            </w:r>
          </w:p>
        </w:tc>
        <w:tc>
          <w:tcPr>
            <w:tcW w:w="400" w:type="dxa"/>
            <w:vAlign w:val="bottom"/>
          </w:tcPr>
          <w:p>
            <w:pPr>
              <w:spacing w:after="0"/>
              <w:rPr>
                <w:sz w:val="15"/>
                <w:szCs w:val="15"/>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3"/>
                <w:szCs w:val="13"/>
                <w:color w:val="auto"/>
              </w:rPr>
              <w:t>998</w:t>
            </w:r>
          </w:p>
        </w:tc>
        <w:tc>
          <w:tcPr>
            <w:tcW w:w="260" w:type="dxa"/>
            <w:vAlign w:val="bottom"/>
          </w:tcPr>
          <w:p>
            <w:pPr>
              <w:spacing w:after="0"/>
              <w:rPr>
                <w:sz w:val="15"/>
                <w:szCs w:val="15"/>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991</w:t>
            </w:r>
          </w:p>
        </w:tc>
        <w:tc>
          <w:tcPr>
            <w:tcW w:w="3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1,003</w:t>
            </w:r>
          </w:p>
        </w:tc>
        <w:tc>
          <w:tcPr>
            <w:tcW w:w="100" w:type="dxa"/>
            <w:vAlign w:val="bottom"/>
          </w:tcPr>
          <w:p>
            <w:pPr>
              <w:spacing w:after="0"/>
              <w:rPr>
                <w:sz w:val="15"/>
                <w:szCs w:val="15"/>
                <w:color w:val="auto"/>
              </w:rPr>
            </w:pPr>
          </w:p>
        </w:tc>
      </w:tr>
      <w:tr>
        <w:trPr>
          <w:trHeight w:val="29"/>
        </w:trPr>
        <w:tc>
          <w:tcPr>
            <w:tcW w:w="3780" w:type="dxa"/>
            <w:vAlign w:val="bottom"/>
            <w:shd w:val="clear" w:color="auto" w:fill="CFF0FC"/>
          </w:tcPr>
          <w:p>
            <w:pPr>
              <w:spacing w:after="0"/>
              <w:rPr>
                <w:sz w:val="2"/>
                <w:szCs w:val="2"/>
                <w:color w:val="auto"/>
              </w:rPr>
            </w:pPr>
          </w:p>
        </w:tc>
        <w:tc>
          <w:tcPr>
            <w:tcW w:w="194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183"/>
        </w:trPr>
        <w:tc>
          <w:tcPr>
            <w:tcW w:w="37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Diluted</w:t>
            </w:r>
          </w:p>
        </w:tc>
        <w:tc>
          <w:tcPr>
            <w:tcW w:w="19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b w:val="1"/>
                <w:bCs w:val="1"/>
                <w:color w:val="auto"/>
              </w:rPr>
              <w:t>1,007</w:t>
            </w:r>
          </w:p>
        </w:tc>
        <w:tc>
          <w:tcPr>
            <w:tcW w:w="40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color w:val="auto"/>
              </w:rPr>
              <w:t>1,018</w:t>
            </w:r>
          </w:p>
        </w:tc>
        <w:tc>
          <w:tcPr>
            <w:tcW w:w="260" w:type="dxa"/>
            <w:vAlign w:val="bottom"/>
            <w:shd w:val="clear" w:color="auto" w:fill="CFF0FC"/>
          </w:tcPr>
          <w:p>
            <w:pPr>
              <w:spacing w:after="0"/>
              <w:rPr>
                <w:sz w:val="15"/>
                <w:szCs w:val="15"/>
                <w:color w:val="auto"/>
              </w:rPr>
            </w:pPr>
          </w:p>
        </w:tc>
        <w:tc>
          <w:tcPr>
            <w:tcW w:w="126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b w:val="1"/>
                <w:bCs w:val="1"/>
                <w:color w:val="auto"/>
              </w:rPr>
              <w:t>1,012</w:t>
            </w:r>
          </w:p>
        </w:tc>
        <w:tc>
          <w:tcPr>
            <w:tcW w:w="38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1,021</w:t>
            </w:r>
          </w:p>
        </w:tc>
        <w:tc>
          <w:tcPr>
            <w:tcW w:w="100" w:type="dxa"/>
            <w:vAlign w:val="bottom"/>
            <w:shd w:val="clear" w:color="auto" w:fill="CFF0FC"/>
          </w:tcPr>
          <w:p>
            <w:pPr>
              <w:spacing w:after="0"/>
              <w:rPr>
                <w:sz w:val="15"/>
                <w:szCs w:val="15"/>
                <w:color w:val="auto"/>
              </w:rPr>
            </w:pPr>
          </w:p>
        </w:tc>
      </w:tr>
      <w:tr>
        <w:trPr>
          <w:trHeight w:val="174"/>
        </w:trPr>
        <w:tc>
          <w:tcPr>
            <w:tcW w:w="3780" w:type="dxa"/>
            <w:vAlign w:val="bottom"/>
            <w:tcBorders>
              <w:top w:val="single" w:sz="8" w:color="CFF0FC"/>
            </w:tcBorders>
            <w:shd w:val="clear" w:color="auto" w:fill="CFF0FC"/>
          </w:tcPr>
          <w:p>
            <w:pPr>
              <w:spacing w:after="0"/>
              <w:rPr>
                <w:sz w:val="15"/>
                <w:szCs w:val="15"/>
                <w:color w:val="auto"/>
              </w:rPr>
            </w:pPr>
          </w:p>
        </w:tc>
        <w:tc>
          <w:tcPr>
            <w:tcW w:w="194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360" w:type="dxa"/>
            <w:vAlign w:val="bottom"/>
            <w:tcBorders>
              <w:top w:val="single" w:sz="8" w:color="CFF0FC"/>
            </w:tcBorders>
            <w:shd w:val="clear" w:color="auto" w:fill="CFF0FC"/>
          </w:tcPr>
          <w:p>
            <w:pPr>
              <w:spacing w:after="0"/>
              <w:rPr>
                <w:sz w:val="15"/>
                <w:szCs w:val="15"/>
                <w:color w:val="auto"/>
              </w:rPr>
            </w:pPr>
          </w:p>
        </w:tc>
        <w:tc>
          <w:tcPr>
            <w:tcW w:w="400" w:type="dxa"/>
            <w:vAlign w:val="bottom"/>
            <w:tcBorders>
              <w:top w:val="single" w:sz="8" w:color="auto"/>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34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920" w:type="dxa"/>
            <w:vAlign w:val="bottom"/>
            <w:tcBorders>
              <w:top w:val="single" w:sz="8" w:color="auto"/>
            </w:tcBorders>
            <w:shd w:val="clear" w:color="auto" w:fill="CFF0FC"/>
          </w:tcPr>
          <w:p>
            <w:pPr>
              <w:spacing w:after="0"/>
              <w:rPr>
                <w:sz w:val="15"/>
                <w:szCs w:val="15"/>
                <w:color w:val="auto"/>
              </w:rPr>
            </w:pPr>
          </w:p>
        </w:tc>
        <w:tc>
          <w:tcPr>
            <w:tcW w:w="340" w:type="dxa"/>
            <w:vAlign w:val="bottom"/>
            <w:tcBorders>
              <w:top w:val="single" w:sz="8" w:color="CFF0FC"/>
            </w:tcBorders>
            <w:shd w:val="clear" w:color="auto" w:fill="CFF0FC"/>
          </w:tcPr>
          <w:p>
            <w:pPr>
              <w:spacing w:after="0"/>
              <w:rPr>
                <w:sz w:val="15"/>
                <w:szCs w:val="15"/>
                <w:color w:val="auto"/>
              </w:rPr>
            </w:pPr>
          </w:p>
        </w:tc>
        <w:tc>
          <w:tcPr>
            <w:tcW w:w="380" w:type="dxa"/>
            <w:vAlign w:val="bottom"/>
            <w:tcBorders>
              <w:top w:val="single" w:sz="8" w:color="auto"/>
            </w:tcBorders>
            <w:shd w:val="clear" w:color="auto" w:fill="CFF0FC"/>
          </w:tcPr>
          <w:p>
            <w:pPr>
              <w:spacing w:after="0"/>
              <w:rPr>
                <w:sz w:val="15"/>
                <w:szCs w:val="15"/>
                <w:color w:val="auto"/>
              </w:rPr>
            </w:pPr>
          </w:p>
        </w:tc>
        <w:tc>
          <w:tcPr>
            <w:tcW w:w="80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r>
      <w:tr>
        <w:trPr>
          <w:trHeight w:val="173"/>
        </w:trPr>
        <w:tc>
          <w:tcPr>
            <w:tcW w:w="3780" w:type="dxa"/>
            <w:vAlign w:val="bottom"/>
          </w:tcPr>
          <w:p>
            <w:pPr>
              <w:spacing w:after="0"/>
              <w:rPr>
                <w:sz w:val="20"/>
                <w:szCs w:val="20"/>
                <w:color w:val="auto"/>
              </w:rPr>
            </w:pPr>
            <w:r>
              <w:rPr>
                <w:rFonts w:ascii="Arial" w:cs="Arial" w:eastAsia="Arial" w:hAnsi="Arial"/>
                <w:sz w:val="13"/>
                <w:szCs w:val="13"/>
                <w:color w:val="auto"/>
              </w:rPr>
              <w:t>Cash dividends declared per common share</w:t>
            </w:r>
          </w:p>
        </w:tc>
        <w:tc>
          <w:tcPr>
            <w:tcW w:w="22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w:t>
            </w:r>
          </w:p>
        </w:tc>
        <w:tc>
          <w:tcPr>
            <w:tcW w:w="12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.62</w:t>
            </w:r>
          </w:p>
        </w:tc>
        <w:tc>
          <w:tcPr>
            <w:tcW w:w="400" w:type="dxa"/>
            <w:vAlign w:val="bottom"/>
          </w:tcPr>
          <w:p>
            <w:pPr>
              <w:jc w:val="right"/>
              <w:ind w:right="292"/>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340"/>
              <w:spacing w:after="0"/>
              <w:rPr>
                <w:sz w:val="20"/>
                <w:szCs w:val="20"/>
                <w:color w:val="auto"/>
              </w:rPr>
            </w:pPr>
            <w:r>
              <w:rPr>
                <w:rFonts w:ascii="Arial" w:cs="Arial" w:eastAsia="Arial" w:hAnsi="Arial"/>
                <w:sz w:val="13"/>
                <w:szCs w:val="13"/>
                <w:color w:val="auto"/>
              </w:rPr>
              <w:t>.50</w:t>
            </w:r>
          </w:p>
        </w:tc>
        <w:tc>
          <w:tcPr>
            <w:tcW w:w="260" w:type="dxa"/>
            <w:vAlign w:val="bottom"/>
          </w:tcPr>
          <w:p>
            <w:pPr>
              <w:jc w:val="right"/>
              <w:ind w:right="116"/>
              <w:spacing w:after="0"/>
              <w:rPr>
                <w:sz w:val="20"/>
                <w:szCs w:val="20"/>
                <w:color w:val="auto"/>
              </w:rPr>
            </w:pPr>
            <w:r>
              <w:rPr>
                <w:rFonts w:ascii="Arial" w:cs="Arial" w:eastAsia="Arial" w:hAnsi="Arial"/>
                <w:sz w:val="13"/>
                <w:szCs w:val="13"/>
                <w:b w:val="1"/>
                <w:bCs w:val="1"/>
                <w:color w:val="auto"/>
                <w:w w:val="82"/>
              </w:rPr>
              <w:t>$</w:t>
            </w:r>
          </w:p>
        </w:tc>
        <w:tc>
          <w:tcPr>
            <w:tcW w:w="12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2.12</w:t>
            </w:r>
          </w:p>
        </w:tc>
        <w:tc>
          <w:tcPr>
            <w:tcW w:w="380" w:type="dxa"/>
            <w:vAlign w:val="bottom"/>
          </w:tcPr>
          <w:p>
            <w:pPr>
              <w:jc w:val="right"/>
              <w:ind w:right="272"/>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1.64</w:t>
            </w:r>
          </w:p>
        </w:tc>
        <w:tc>
          <w:tcPr>
            <w:tcW w:w="100" w:type="dxa"/>
            <w:vAlign w:val="bottom"/>
          </w:tcPr>
          <w:p>
            <w:pPr>
              <w:spacing w:after="0"/>
              <w:rPr>
                <w:sz w:val="15"/>
                <w:szCs w:val="15"/>
                <w:color w:val="auto"/>
              </w:rPr>
            </w:pPr>
          </w:p>
        </w:tc>
      </w:tr>
      <w:tr>
        <w:trPr>
          <w:trHeight w:val="29"/>
        </w:trPr>
        <w:tc>
          <w:tcPr>
            <w:tcW w:w="37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110490</wp:posOffset>
            </wp:positionV>
            <wp:extent cx="7329805" cy="2203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9805" cy="22034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Certain amounts in the prior periods have been adjusted to reflect the first-quarter 2017 early adoption of ASU 2017-07 related to the reclassification of certain pension and other retiree benefit costs to OI&amp;E.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Supplemental Information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00" w:type="dxa"/>
            <w:vAlign w:val="bottom"/>
            <w:shd w:val="clear" w:color="auto" w:fill="CFF0FC"/>
          </w:tcPr>
          <w:p>
            <w:pPr>
              <w:spacing w:after="0"/>
              <w:rPr>
                <w:sz w:val="20"/>
                <w:szCs w:val="20"/>
                <w:color w:val="auto"/>
              </w:rPr>
            </w:pPr>
            <w:r>
              <w:rPr>
                <w:rFonts w:ascii="Arial" w:cs="Arial" w:eastAsia="Arial" w:hAnsi="Arial"/>
                <w:sz w:val="13"/>
                <w:szCs w:val="13"/>
                <w:color w:val="auto"/>
              </w:rPr>
              <w:t>Provision for income taxes is based on the following:</w:t>
            </w:r>
          </w:p>
        </w:tc>
        <w:tc>
          <w:tcPr>
            <w:tcW w:w="1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4"/>
        </w:trPr>
        <w:tc>
          <w:tcPr>
            <w:tcW w:w="56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7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3"/>
        </w:trPr>
        <w:tc>
          <w:tcPr>
            <w:tcW w:w="5600" w:type="dxa"/>
            <w:vAlign w:val="bottom"/>
          </w:tcPr>
          <w:p>
            <w:pPr>
              <w:spacing w:after="0"/>
              <w:rPr>
                <w:sz w:val="20"/>
                <w:szCs w:val="20"/>
                <w:color w:val="auto"/>
              </w:rPr>
            </w:pPr>
            <w:r>
              <w:rPr>
                <w:rFonts w:ascii="Arial" w:cs="Arial" w:eastAsia="Arial" w:hAnsi="Arial"/>
                <w:sz w:val="13"/>
                <w:szCs w:val="13"/>
                <w:color w:val="auto"/>
              </w:rPr>
              <w:t>Operating taxes (calculated using the estimated annual effective tax rate)</w:t>
            </w:r>
          </w:p>
        </w:tc>
        <w:tc>
          <w:tcPr>
            <w:tcW w:w="6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476</w:t>
            </w:r>
          </w:p>
        </w:tc>
        <w:tc>
          <w:tcPr>
            <w:tcW w:w="520" w:type="dxa"/>
            <w:vAlign w:val="bottom"/>
          </w:tcPr>
          <w:p>
            <w:pPr>
              <w:jc w:val="right"/>
              <w:ind w:right="412"/>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340"/>
              <w:spacing w:after="0"/>
              <w:rPr>
                <w:sz w:val="20"/>
                <w:szCs w:val="20"/>
                <w:color w:val="auto"/>
              </w:rPr>
            </w:pPr>
            <w:r>
              <w:rPr>
                <w:rFonts w:ascii="Arial" w:cs="Arial" w:eastAsia="Arial" w:hAnsi="Arial"/>
                <w:sz w:val="13"/>
                <w:szCs w:val="13"/>
                <w:color w:val="auto"/>
              </w:rPr>
              <w:t>465</w:t>
            </w:r>
          </w:p>
        </w:tc>
        <w:tc>
          <w:tcPr>
            <w:tcW w:w="480" w:type="dxa"/>
            <w:vAlign w:val="bottom"/>
          </w:tcPr>
          <w:p>
            <w:pPr>
              <w:jc w:val="right"/>
              <w:ind w:right="336"/>
              <w:spacing w:after="0"/>
              <w:rPr>
                <w:sz w:val="20"/>
                <w:szCs w:val="20"/>
                <w:color w:val="auto"/>
              </w:rPr>
            </w:pPr>
            <w:r>
              <w:rPr>
                <w:rFonts w:ascii="Arial" w:cs="Arial" w:eastAsia="Arial" w:hAnsi="Arial"/>
                <w:sz w:val="13"/>
                <w:szCs w:val="13"/>
                <w:b w:val="1"/>
                <w:bCs w:val="1"/>
                <w:color w:val="auto"/>
                <w:w w:val="82"/>
              </w:rPr>
              <w:t>$</w:t>
            </w:r>
          </w:p>
        </w:tc>
        <w:tc>
          <w:tcPr>
            <w:tcW w:w="10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1,858</w:t>
            </w:r>
          </w:p>
        </w:tc>
        <w:tc>
          <w:tcPr>
            <w:tcW w:w="480" w:type="dxa"/>
            <w:vAlign w:val="bottom"/>
          </w:tcPr>
          <w:p>
            <w:pPr>
              <w:jc w:val="right"/>
              <w:ind w:right="372"/>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1,489</w:t>
            </w:r>
          </w:p>
        </w:tc>
        <w:tc>
          <w:tcPr>
            <w:tcW w:w="100" w:type="dxa"/>
            <w:vAlign w:val="bottom"/>
          </w:tcPr>
          <w:p>
            <w:pPr>
              <w:spacing w:after="0"/>
              <w:rPr>
                <w:sz w:val="15"/>
                <w:szCs w:val="15"/>
                <w:color w:val="auto"/>
              </w:rPr>
            </w:pPr>
          </w:p>
        </w:tc>
      </w:tr>
      <w:tr>
        <w:trPr>
          <w:trHeight w:val="174"/>
        </w:trPr>
        <w:tc>
          <w:tcPr>
            <w:tcW w:w="5600" w:type="dxa"/>
            <w:vAlign w:val="bottom"/>
            <w:shd w:val="clear" w:color="auto" w:fill="CFF0FC"/>
          </w:tcPr>
          <w:p>
            <w:pPr>
              <w:spacing w:after="0"/>
              <w:rPr>
                <w:sz w:val="20"/>
                <w:szCs w:val="20"/>
                <w:color w:val="auto"/>
              </w:rPr>
            </w:pPr>
            <w:r>
              <w:rPr>
                <w:rFonts w:ascii="Arial" w:cs="Arial" w:eastAsia="Arial" w:hAnsi="Arial"/>
                <w:sz w:val="13"/>
                <w:szCs w:val="13"/>
                <w:color w:val="auto"/>
              </w:rPr>
              <w:t>Discrete tax items</w:t>
            </w:r>
          </w:p>
        </w:tc>
        <w:tc>
          <w:tcPr>
            <w:tcW w:w="1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360"/>
              <w:spacing w:after="0"/>
              <w:rPr>
                <w:sz w:val="20"/>
                <w:szCs w:val="20"/>
                <w:color w:val="auto"/>
              </w:rPr>
            </w:pPr>
            <w:r>
              <w:rPr>
                <w:rFonts w:ascii="Arial" w:cs="Arial" w:eastAsia="Arial" w:hAnsi="Arial"/>
                <w:sz w:val="13"/>
                <w:szCs w:val="13"/>
                <w:b w:val="1"/>
                <w:bCs w:val="1"/>
                <w:color w:val="auto"/>
              </w:rPr>
              <w:t>730</w:t>
            </w:r>
          </w:p>
        </w:tc>
        <w:tc>
          <w:tcPr>
            <w:tcW w:w="5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(15)</w:t>
            </w:r>
          </w:p>
        </w:tc>
        <w:tc>
          <w:tcPr>
            <w:tcW w:w="4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340"/>
              <w:spacing w:after="0"/>
              <w:rPr>
                <w:sz w:val="20"/>
                <w:szCs w:val="20"/>
                <w:color w:val="auto"/>
              </w:rPr>
            </w:pPr>
            <w:r>
              <w:rPr>
                <w:rFonts w:ascii="Arial" w:cs="Arial" w:eastAsia="Arial" w:hAnsi="Arial"/>
                <w:sz w:val="13"/>
                <w:szCs w:val="13"/>
                <w:b w:val="1"/>
                <w:bCs w:val="1"/>
                <w:color w:val="auto"/>
              </w:rPr>
              <w:t>540</w:t>
            </w:r>
          </w:p>
        </w:tc>
        <w:tc>
          <w:tcPr>
            <w:tcW w:w="48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(154)</w:t>
            </w:r>
          </w:p>
        </w:tc>
      </w:tr>
      <w:tr>
        <w:trPr>
          <w:trHeight w:val="20"/>
        </w:trPr>
        <w:tc>
          <w:tcPr>
            <w:tcW w:w="5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3"/>
        </w:trPr>
        <w:tc>
          <w:tcPr>
            <w:tcW w:w="5600" w:type="dxa"/>
            <w:vAlign w:val="bottom"/>
          </w:tcPr>
          <w:p>
            <w:pPr>
              <w:spacing w:after="0"/>
              <w:rPr>
                <w:sz w:val="20"/>
                <w:szCs w:val="20"/>
                <w:color w:val="auto"/>
              </w:rPr>
            </w:pPr>
            <w:r>
              <w:rPr>
                <w:rFonts w:ascii="Arial" w:cs="Arial" w:eastAsia="Arial" w:hAnsi="Arial"/>
                <w:sz w:val="13"/>
                <w:szCs w:val="13"/>
                <w:color w:val="auto"/>
              </w:rPr>
              <w:t>Provision for income taxes (effective taxes)</w:t>
            </w:r>
          </w:p>
        </w:tc>
        <w:tc>
          <w:tcPr>
            <w:tcW w:w="6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w:t>
            </w:r>
          </w:p>
        </w:tc>
        <w:tc>
          <w:tcPr>
            <w:tcW w:w="104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1,206</w:t>
            </w:r>
          </w:p>
        </w:tc>
        <w:tc>
          <w:tcPr>
            <w:tcW w:w="520" w:type="dxa"/>
            <w:vAlign w:val="bottom"/>
          </w:tcPr>
          <w:p>
            <w:pPr>
              <w:jc w:val="right"/>
              <w:ind w:right="412"/>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ind w:right="340"/>
              <w:spacing w:after="0"/>
              <w:rPr>
                <w:sz w:val="20"/>
                <w:szCs w:val="20"/>
                <w:color w:val="auto"/>
              </w:rPr>
            </w:pPr>
            <w:r>
              <w:rPr>
                <w:rFonts w:ascii="Arial" w:cs="Arial" w:eastAsia="Arial" w:hAnsi="Arial"/>
                <w:sz w:val="13"/>
                <w:szCs w:val="13"/>
                <w:color w:val="auto"/>
              </w:rPr>
              <w:t>450</w:t>
            </w:r>
          </w:p>
        </w:tc>
        <w:tc>
          <w:tcPr>
            <w:tcW w:w="480" w:type="dxa"/>
            <w:vAlign w:val="bottom"/>
          </w:tcPr>
          <w:p>
            <w:pPr>
              <w:jc w:val="right"/>
              <w:ind w:right="336"/>
              <w:spacing w:after="0"/>
              <w:rPr>
                <w:sz w:val="20"/>
                <w:szCs w:val="20"/>
                <w:color w:val="auto"/>
              </w:rPr>
            </w:pPr>
            <w:r>
              <w:rPr>
                <w:rFonts w:ascii="Arial" w:cs="Arial" w:eastAsia="Arial" w:hAnsi="Arial"/>
                <w:sz w:val="13"/>
                <w:szCs w:val="13"/>
                <w:b w:val="1"/>
                <w:bCs w:val="1"/>
                <w:color w:val="auto"/>
                <w:w w:val="82"/>
              </w:rPr>
              <w:t>$</w:t>
            </w:r>
          </w:p>
        </w:tc>
        <w:tc>
          <w:tcPr>
            <w:tcW w:w="10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2,398</w:t>
            </w:r>
          </w:p>
        </w:tc>
        <w:tc>
          <w:tcPr>
            <w:tcW w:w="480" w:type="dxa"/>
            <w:vAlign w:val="bottom"/>
          </w:tcPr>
          <w:p>
            <w:pPr>
              <w:jc w:val="right"/>
              <w:ind w:right="372"/>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1,335</w:t>
            </w:r>
          </w:p>
        </w:tc>
        <w:tc>
          <w:tcPr>
            <w:tcW w:w="100" w:type="dxa"/>
            <w:vAlign w:val="bottom"/>
          </w:tcPr>
          <w:p>
            <w:pPr>
              <w:spacing w:after="0"/>
              <w:rPr>
                <w:sz w:val="15"/>
                <w:szCs w:val="15"/>
                <w:color w:val="auto"/>
              </w:rPr>
            </w:pPr>
          </w:p>
        </w:tc>
      </w:tr>
      <w:tr>
        <w:trPr>
          <w:trHeight w:val="174"/>
        </w:trPr>
        <w:tc>
          <w:tcPr>
            <w:tcW w:w="5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74"/>
        </w:trPr>
        <w:tc>
          <w:tcPr>
            <w:tcW w:w="5600" w:type="dxa"/>
            <w:vAlign w:val="bottom"/>
            <w:shd w:val="clear" w:color="auto" w:fill="CFF0FC"/>
          </w:tcPr>
          <w:p>
            <w:pPr>
              <w:spacing w:after="0"/>
              <w:rPr>
                <w:sz w:val="20"/>
                <w:szCs w:val="20"/>
                <w:color w:val="auto"/>
              </w:rPr>
            </w:pPr>
            <w:r>
              <w:rPr>
                <w:rFonts w:ascii="Arial" w:cs="Arial" w:eastAsia="Arial" w:hAnsi="Arial"/>
                <w:sz w:val="13"/>
                <w:szCs w:val="13"/>
                <w:color w:val="auto"/>
              </w:rPr>
              <w:t>Annual operating tax rate</w:t>
            </w:r>
          </w:p>
        </w:tc>
        <w:tc>
          <w:tcPr>
            <w:tcW w:w="1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b w:val="1"/>
                <w:bCs w:val="1"/>
                <w:color w:val="auto"/>
              </w:rPr>
              <w:t>31%</w:t>
            </w:r>
          </w:p>
        </w:tc>
        <w:tc>
          <w:tcPr>
            <w:tcW w:w="52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31%</w:t>
            </w:r>
          </w:p>
        </w:tc>
        <w:tc>
          <w:tcPr>
            <w:tcW w:w="4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b w:val="1"/>
                <w:bCs w:val="1"/>
                <w:color w:val="auto"/>
              </w:rPr>
              <w:t>31%</w:t>
            </w:r>
          </w:p>
        </w:tc>
        <w:tc>
          <w:tcPr>
            <w:tcW w:w="48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30%</w:t>
            </w:r>
          </w:p>
        </w:tc>
      </w:tr>
      <w:tr>
        <w:trPr>
          <w:trHeight w:val="173"/>
        </w:trPr>
        <w:tc>
          <w:tcPr>
            <w:tcW w:w="5600" w:type="dxa"/>
            <w:vAlign w:val="bottom"/>
          </w:tcPr>
          <w:p>
            <w:pPr>
              <w:spacing w:after="0"/>
              <w:rPr>
                <w:sz w:val="20"/>
                <w:szCs w:val="20"/>
                <w:color w:val="auto"/>
              </w:rPr>
            </w:pPr>
            <w:r>
              <w:rPr>
                <w:rFonts w:ascii="Arial" w:cs="Arial" w:eastAsia="Arial" w:hAnsi="Arial"/>
                <w:sz w:val="13"/>
                <w:szCs w:val="13"/>
                <w:color w:val="auto"/>
              </w:rPr>
              <w:t>Effective tax rate</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78%</w:t>
            </w:r>
          </w:p>
        </w:tc>
        <w:tc>
          <w:tcPr>
            <w:tcW w:w="52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30%</w:t>
            </w:r>
          </w:p>
        </w:tc>
        <w:tc>
          <w:tcPr>
            <w:tcW w:w="48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39%</w:t>
            </w:r>
          </w:p>
        </w:tc>
        <w:tc>
          <w:tcPr>
            <w:tcW w:w="48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110490</wp:posOffset>
            </wp:positionV>
            <wp:extent cx="7329805" cy="2203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29805" cy="220345"/>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1"/>
          <w:szCs w:val="11"/>
          <w:color w:val="auto"/>
        </w:rPr>
        <w:t>As a result of accounting rule ASC 260, which requires a portion of Net income to be allocated to unvested restricted stock units (RSUs) on which we pay dividend equivalents, diluted EPS is calculated using the following:</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720" w:type="dxa"/>
            <w:vAlign w:val="bottom"/>
          </w:tcPr>
          <w:p>
            <w:pPr>
              <w:spacing w:after="0"/>
              <w:rPr>
                <w:sz w:val="20"/>
                <w:szCs w:val="20"/>
                <w:color w:val="auto"/>
              </w:rPr>
            </w:pPr>
            <w:r>
              <w:rPr>
                <w:rFonts w:ascii="Arial" w:cs="Arial" w:eastAsia="Arial" w:hAnsi="Arial"/>
                <w:sz w:val="13"/>
                <w:szCs w:val="13"/>
                <w:color w:val="auto"/>
              </w:rPr>
              <w:t>Net income</w:t>
            </w:r>
          </w:p>
        </w:tc>
        <w:tc>
          <w:tcPr>
            <w:tcW w:w="520" w:type="dxa"/>
            <w:vAlign w:val="bottom"/>
          </w:tcPr>
          <w:p>
            <w:pPr>
              <w:jc w:val="right"/>
              <w:ind w:right="412"/>
              <w:spacing w:after="0"/>
              <w:rPr>
                <w:sz w:val="20"/>
                <w:szCs w:val="20"/>
                <w:color w:val="auto"/>
              </w:rPr>
            </w:pPr>
            <w:r>
              <w:rPr>
                <w:rFonts w:ascii="Arial" w:cs="Arial" w:eastAsia="Arial" w:hAnsi="Arial"/>
                <w:sz w:val="10"/>
                <w:szCs w:val="10"/>
                <w:b w:val="1"/>
                <w:bCs w:val="1"/>
                <w:color w:val="auto"/>
                <w:w w:val="71"/>
              </w:rPr>
              <w:t>$</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344</w:t>
            </w:r>
          </w:p>
        </w:tc>
        <w:tc>
          <w:tcPr>
            <w:tcW w:w="460" w:type="dxa"/>
            <w:vAlign w:val="bottom"/>
          </w:tcPr>
          <w:p>
            <w:pPr>
              <w:jc w:val="right"/>
              <w:ind w:right="352"/>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340"/>
              <w:spacing w:after="0"/>
              <w:rPr>
                <w:sz w:val="20"/>
                <w:szCs w:val="20"/>
                <w:color w:val="auto"/>
              </w:rPr>
            </w:pPr>
            <w:r>
              <w:rPr>
                <w:rFonts w:ascii="Arial" w:cs="Arial" w:eastAsia="Arial" w:hAnsi="Arial"/>
                <w:sz w:val="13"/>
                <w:szCs w:val="13"/>
                <w:color w:val="auto"/>
              </w:rPr>
              <w:t>1,047</w:t>
            </w:r>
          </w:p>
        </w:tc>
        <w:tc>
          <w:tcPr>
            <w:tcW w:w="480" w:type="dxa"/>
            <w:vAlign w:val="bottom"/>
          </w:tcPr>
          <w:p>
            <w:pPr>
              <w:jc w:val="right"/>
              <w:ind w:right="336"/>
              <w:spacing w:after="0"/>
              <w:rPr>
                <w:sz w:val="20"/>
                <w:szCs w:val="20"/>
                <w:color w:val="auto"/>
              </w:rPr>
            </w:pPr>
            <w:r>
              <w:rPr>
                <w:rFonts w:ascii="Arial" w:cs="Arial" w:eastAsia="Arial" w:hAnsi="Arial"/>
                <w:sz w:val="13"/>
                <w:szCs w:val="13"/>
                <w:b w:val="1"/>
                <w:bCs w:val="1"/>
                <w:color w:val="auto"/>
                <w:w w:val="82"/>
              </w:rPr>
              <w:t>$</w:t>
            </w:r>
          </w:p>
        </w:tc>
        <w:tc>
          <w:tcPr>
            <w:tcW w:w="10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3,682</w:t>
            </w:r>
          </w:p>
        </w:tc>
        <w:tc>
          <w:tcPr>
            <w:tcW w:w="480" w:type="dxa"/>
            <w:vAlign w:val="bottom"/>
          </w:tcPr>
          <w:p>
            <w:pPr>
              <w:jc w:val="right"/>
              <w:ind w:right="372"/>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3,595</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4"/>
        </w:trPr>
        <w:tc>
          <w:tcPr>
            <w:tcW w:w="5720" w:type="dxa"/>
            <w:vAlign w:val="bottom"/>
            <w:shd w:val="clear" w:color="auto" w:fill="CFF0FC"/>
          </w:tcPr>
          <w:p>
            <w:pPr>
              <w:spacing w:after="0"/>
              <w:rPr>
                <w:sz w:val="20"/>
                <w:szCs w:val="20"/>
                <w:color w:val="auto"/>
              </w:rPr>
            </w:pPr>
            <w:r>
              <w:rPr>
                <w:rFonts w:ascii="Arial" w:cs="Arial" w:eastAsia="Arial" w:hAnsi="Arial"/>
                <w:sz w:val="13"/>
                <w:szCs w:val="13"/>
                <w:color w:val="auto"/>
              </w:rPr>
              <w:t>Income allocated to RSUs</w:t>
            </w:r>
          </w:p>
        </w:tc>
        <w:tc>
          <w:tcPr>
            <w:tcW w:w="52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b w:val="1"/>
                <w:bCs w:val="1"/>
                <w:color w:val="auto"/>
              </w:rPr>
              <w:t>(3)</w:t>
            </w:r>
          </w:p>
        </w:tc>
        <w:tc>
          <w:tcPr>
            <w:tcW w:w="46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color w:val="auto"/>
              </w:rPr>
              <w:t>(13)</w:t>
            </w:r>
          </w:p>
        </w:tc>
        <w:tc>
          <w:tcPr>
            <w:tcW w:w="480" w:type="dxa"/>
            <w:vAlign w:val="bottom"/>
            <w:shd w:val="clear" w:color="auto" w:fill="CFF0FC"/>
          </w:tcPr>
          <w:p>
            <w:pPr>
              <w:spacing w:after="0"/>
              <w:rPr>
                <w:sz w:val="15"/>
                <w:szCs w:val="15"/>
                <w:color w:val="auto"/>
              </w:rPr>
            </w:pPr>
          </w:p>
        </w:tc>
        <w:tc>
          <w:tcPr>
            <w:tcW w:w="1040" w:type="dxa"/>
            <w:vAlign w:val="bottom"/>
            <w:gridSpan w:val="2"/>
            <w:shd w:val="clear" w:color="auto" w:fill="CFF0FC"/>
          </w:tcPr>
          <w:p>
            <w:pPr>
              <w:jc w:val="right"/>
              <w:ind w:right="300"/>
              <w:spacing w:after="0"/>
              <w:rPr>
                <w:sz w:val="20"/>
                <w:szCs w:val="20"/>
                <w:color w:val="auto"/>
              </w:rPr>
            </w:pPr>
            <w:r>
              <w:rPr>
                <w:rFonts w:ascii="Arial" w:cs="Arial" w:eastAsia="Arial" w:hAnsi="Arial"/>
                <w:sz w:val="13"/>
                <w:szCs w:val="13"/>
                <w:b w:val="1"/>
                <w:bCs w:val="1"/>
                <w:color w:val="auto"/>
              </w:rPr>
              <w:t>(33</w:t>
            </w:r>
            <w:r>
              <w:rPr>
                <w:rFonts w:ascii="Arial" w:cs="Arial" w:eastAsia="Arial" w:hAnsi="Arial"/>
                <w:sz w:val="13"/>
                <w:szCs w:val="13"/>
                <w:color w:val="auto"/>
              </w:rPr>
              <w:t>)</w:t>
            </w:r>
          </w:p>
        </w:tc>
        <w:tc>
          <w:tcPr>
            <w:tcW w:w="48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(44)</w:t>
            </w:r>
          </w:p>
        </w:tc>
        <w:tc>
          <w:tcPr>
            <w:tcW w:w="40" w:type="dxa"/>
            <w:vAlign w:val="bottom"/>
            <w:shd w:val="clear" w:color="auto" w:fill="CFF0FC"/>
          </w:tcPr>
          <w:p>
            <w:pPr>
              <w:spacing w:after="0"/>
              <w:rPr>
                <w:sz w:val="15"/>
                <w:szCs w:val="15"/>
                <w:color w:val="auto"/>
              </w:rPr>
            </w:pPr>
          </w:p>
        </w:tc>
      </w:tr>
      <w:tr>
        <w:trPr>
          <w:trHeight w:val="20"/>
        </w:trPr>
        <w:tc>
          <w:tcPr>
            <w:tcW w:w="57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3"/>
        </w:trPr>
        <w:tc>
          <w:tcPr>
            <w:tcW w:w="5720" w:type="dxa"/>
            <w:vAlign w:val="bottom"/>
          </w:tcPr>
          <w:p>
            <w:pPr>
              <w:spacing w:after="0"/>
              <w:rPr>
                <w:sz w:val="20"/>
                <w:szCs w:val="20"/>
                <w:color w:val="auto"/>
              </w:rPr>
            </w:pPr>
            <w:r>
              <w:rPr>
                <w:rFonts w:ascii="Arial" w:cs="Arial" w:eastAsia="Arial" w:hAnsi="Arial"/>
                <w:sz w:val="13"/>
                <w:szCs w:val="13"/>
                <w:color w:val="auto"/>
              </w:rPr>
              <w:t>Income allocated to common stock for diluted EPS</w:t>
            </w:r>
          </w:p>
        </w:tc>
        <w:tc>
          <w:tcPr>
            <w:tcW w:w="520" w:type="dxa"/>
            <w:vAlign w:val="bottom"/>
          </w:tcPr>
          <w:p>
            <w:pPr>
              <w:jc w:val="right"/>
              <w:ind w:right="412"/>
              <w:spacing w:after="0"/>
              <w:rPr>
                <w:sz w:val="20"/>
                <w:szCs w:val="20"/>
                <w:color w:val="auto"/>
              </w:rPr>
            </w:pPr>
            <w:r>
              <w:rPr>
                <w:rFonts w:ascii="Arial" w:cs="Arial" w:eastAsia="Arial" w:hAnsi="Arial"/>
                <w:sz w:val="10"/>
                <w:szCs w:val="10"/>
                <w:b w:val="1"/>
                <w:bCs w:val="1"/>
                <w:color w:val="auto"/>
                <w:w w:val="71"/>
              </w:rPr>
              <w:t>$</w:t>
            </w:r>
          </w:p>
        </w:tc>
        <w:tc>
          <w:tcPr>
            <w:tcW w:w="10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341</w:t>
            </w:r>
          </w:p>
        </w:tc>
        <w:tc>
          <w:tcPr>
            <w:tcW w:w="460" w:type="dxa"/>
            <w:vAlign w:val="bottom"/>
          </w:tcPr>
          <w:p>
            <w:pPr>
              <w:jc w:val="right"/>
              <w:ind w:right="352"/>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340"/>
              <w:spacing w:after="0"/>
              <w:rPr>
                <w:sz w:val="20"/>
                <w:szCs w:val="20"/>
                <w:color w:val="auto"/>
              </w:rPr>
            </w:pPr>
            <w:r>
              <w:rPr>
                <w:rFonts w:ascii="Arial" w:cs="Arial" w:eastAsia="Arial" w:hAnsi="Arial"/>
                <w:sz w:val="13"/>
                <w:szCs w:val="13"/>
                <w:color w:val="auto"/>
              </w:rPr>
              <w:t>1,034</w:t>
            </w:r>
          </w:p>
        </w:tc>
        <w:tc>
          <w:tcPr>
            <w:tcW w:w="480" w:type="dxa"/>
            <w:vAlign w:val="bottom"/>
          </w:tcPr>
          <w:p>
            <w:pPr>
              <w:jc w:val="right"/>
              <w:ind w:right="336"/>
              <w:spacing w:after="0"/>
              <w:rPr>
                <w:sz w:val="20"/>
                <w:szCs w:val="20"/>
                <w:color w:val="auto"/>
              </w:rPr>
            </w:pPr>
            <w:r>
              <w:rPr>
                <w:rFonts w:ascii="Arial" w:cs="Arial" w:eastAsia="Arial" w:hAnsi="Arial"/>
                <w:sz w:val="13"/>
                <w:szCs w:val="13"/>
                <w:b w:val="1"/>
                <w:bCs w:val="1"/>
                <w:color w:val="auto"/>
                <w:w w:val="82"/>
              </w:rPr>
              <w:t>$</w:t>
            </w:r>
          </w:p>
        </w:tc>
        <w:tc>
          <w:tcPr>
            <w:tcW w:w="104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3,649</w:t>
            </w:r>
          </w:p>
        </w:tc>
        <w:tc>
          <w:tcPr>
            <w:tcW w:w="480" w:type="dxa"/>
            <w:vAlign w:val="bottom"/>
          </w:tcPr>
          <w:p>
            <w:pPr>
              <w:jc w:val="right"/>
              <w:ind w:right="372"/>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3,551</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849"/>
        </w:trPr>
        <w:tc>
          <w:tcPr>
            <w:tcW w:w="5720" w:type="dxa"/>
            <w:vAlign w:val="bottom"/>
            <w:tcBorders>
              <w:bottom w:val="single" w:sz="8" w:color="9A9A9A"/>
            </w:tcBorders>
          </w:tcPr>
          <w:p>
            <w:pPr>
              <w:spacing w:after="0"/>
              <w:rPr>
                <w:sz w:val="24"/>
                <w:szCs w:val="24"/>
                <w:color w:val="auto"/>
              </w:rPr>
            </w:pPr>
          </w:p>
        </w:tc>
        <w:tc>
          <w:tcPr>
            <w:tcW w:w="520" w:type="dxa"/>
            <w:vAlign w:val="bottom"/>
            <w:tcBorders>
              <w:top w:val="single" w:sz="8" w:color="auto"/>
              <w:bottom w:val="single" w:sz="8" w:color="9A9A9A"/>
            </w:tcBorders>
          </w:tcPr>
          <w:p>
            <w:pPr>
              <w:spacing w:after="0"/>
              <w:rPr>
                <w:sz w:val="24"/>
                <w:szCs w:val="24"/>
                <w:color w:val="auto"/>
              </w:rPr>
            </w:pPr>
          </w:p>
        </w:tc>
        <w:tc>
          <w:tcPr>
            <w:tcW w:w="640" w:type="dxa"/>
            <w:vAlign w:val="bottom"/>
            <w:tcBorders>
              <w:top w:val="single" w:sz="8" w:color="auto"/>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460" w:type="dxa"/>
            <w:vAlign w:val="bottom"/>
            <w:tcBorders>
              <w:top w:val="single" w:sz="8" w:color="auto"/>
              <w:bottom w:val="single" w:sz="8" w:color="9A9A9A"/>
            </w:tcBorders>
          </w:tcPr>
          <w:p>
            <w:pPr>
              <w:spacing w:after="0"/>
              <w:rPr>
                <w:sz w:val="24"/>
                <w:szCs w:val="24"/>
                <w:color w:val="auto"/>
              </w:rPr>
            </w:pPr>
          </w:p>
        </w:tc>
        <w:tc>
          <w:tcPr>
            <w:tcW w:w="700" w:type="dxa"/>
            <w:vAlign w:val="bottom"/>
            <w:tcBorders>
              <w:top w:val="single" w:sz="8" w:color="auto"/>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80" w:type="dxa"/>
            <w:vAlign w:val="bottom"/>
            <w:tcBorders>
              <w:top w:val="single" w:sz="8" w:color="auto"/>
              <w:bottom w:val="single" w:sz="8" w:color="9A9A9A"/>
            </w:tcBorders>
          </w:tcPr>
          <w:p>
            <w:pPr>
              <w:spacing w:after="0"/>
              <w:rPr>
                <w:sz w:val="24"/>
                <w:szCs w:val="24"/>
                <w:color w:val="auto"/>
              </w:rPr>
            </w:pPr>
          </w:p>
        </w:tc>
        <w:tc>
          <w:tcPr>
            <w:tcW w:w="700" w:type="dxa"/>
            <w:vAlign w:val="bottom"/>
            <w:tcBorders>
              <w:top w:val="single" w:sz="8" w:color="auto"/>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80" w:type="dxa"/>
            <w:vAlign w:val="bottom"/>
            <w:tcBorders>
              <w:top w:val="single" w:sz="8" w:color="auto"/>
              <w:bottom w:val="single" w:sz="8" w:color="9A9A9A"/>
            </w:tcBorders>
          </w:tcPr>
          <w:p>
            <w:pPr>
              <w:spacing w:after="0"/>
              <w:rPr>
                <w:sz w:val="24"/>
                <w:szCs w:val="24"/>
                <w:color w:val="auto"/>
              </w:rPr>
            </w:pPr>
          </w:p>
        </w:tc>
        <w:tc>
          <w:tcPr>
            <w:tcW w:w="700" w:type="dxa"/>
            <w:vAlign w:val="bottom"/>
            <w:tcBorders>
              <w:top w:val="single" w:sz="8" w:color="auto"/>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7277100</wp:posOffset>
            </wp:positionH>
            <wp:positionV relativeFrom="paragraph">
              <wp:posOffset>-24130</wp:posOffset>
            </wp:positionV>
            <wp:extent cx="31750" cy="374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750" cy="3746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-24130</wp:posOffset>
            </wp:positionV>
            <wp:extent cx="31750" cy="374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1750" cy="37465"/>
                    </a:xfrm>
                    <a:prstGeom prst="rect">
                      <a:avLst/>
                    </a:prstGeom>
                    <a:noFill/>
                  </pic:spPr>
                </pic:pic>
              </a:graphicData>
            </a:graphic>
          </wp:anchor>
        </w:drawing>
      </w:r>
    </w:p>
    <w:p>
      <w:pPr>
        <w:sectPr>
          <w:pgSz w:w="11900" w:h="16838" w:orient="portrait"/>
          <w:cols w:equalWidth="0" w:num="1">
            <w:col w:w="11540"/>
          </w:cols>
          <w:pgMar w:left="220" w:top="127" w:right="1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67"/>
        </w:trPr>
        <w:tc>
          <w:tcPr>
            <w:tcW w:w="3800" w:type="dxa"/>
            <w:vAlign w:val="bottom"/>
          </w:tcPr>
          <w:p>
            <w:pPr>
              <w:spacing w:after="0"/>
              <w:rPr>
                <w:sz w:val="20"/>
                <w:szCs w:val="20"/>
                <w:color w:val="auto"/>
              </w:rPr>
            </w:pPr>
            <w:r>
              <w:rPr>
                <w:rFonts w:ascii="Arial" w:cs="Arial" w:eastAsia="Arial" w:hAnsi="Arial"/>
                <w:sz w:val="13"/>
                <w:szCs w:val="13"/>
                <w:b w:val="1"/>
                <w:bCs w:val="1"/>
                <w:color w:val="auto"/>
                <w:w w:val="92"/>
              </w:rPr>
              <w:t>TI reports 4Q17 and 2017 financial results and shareholder returns</w:t>
            </w:r>
          </w:p>
        </w:tc>
        <w:tc>
          <w:tcPr>
            <w:tcW w:w="4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Arial" w:cs="Arial" w:eastAsia="Arial" w:hAnsi="Arial"/>
                <w:sz w:val="13"/>
                <w:szCs w:val="13"/>
                <w:b w:val="1"/>
                <w:bCs w:val="1"/>
                <w:color w:val="auto"/>
              </w:rPr>
              <w:t>Page 4</w:t>
            </w:r>
          </w:p>
        </w:tc>
        <w:tc>
          <w:tcPr>
            <w:tcW w:w="20" w:type="dxa"/>
            <w:vAlign w:val="bottom"/>
          </w:tcPr>
          <w:p>
            <w:pPr>
              <w:spacing w:after="0"/>
              <w:rPr>
                <w:sz w:val="14"/>
                <w:szCs w:val="14"/>
                <w:color w:val="auto"/>
              </w:rPr>
            </w:pPr>
          </w:p>
        </w:tc>
      </w:tr>
      <w:tr>
        <w:trPr>
          <w:trHeight w:val="297"/>
        </w:trPr>
        <w:tc>
          <w:tcPr>
            <w:tcW w:w="3800" w:type="dxa"/>
            <w:vAlign w:val="bottom"/>
          </w:tcPr>
          <w:p>
            <w:pPr>
              <w:spacing w:after="0"/>
              <w:rPr>
                <w:sz w:val="24"/>
                <w:szCs w:val="24"/>
                <w:color w:val="auto"/>
              </w:rPr>
            </w:pPr>
          </w:p>
        </w:tc>
        <w:tc>
          <w:tcPr>
            <w:tcW w:w="5620" w:type="dxa"/>
            <w:vAlign w:val="bottom"/>
            <w:gridSpan w:val="2"/>
          </w:tcPr>
          <w:p>
            <w:pPr>
              <w:jc w:val="center"/>
              <w:ind w:right="1712"/>
              <w:spacing w:after="0"/>
              <w:rPr>
                <w:sz w:val="20"/>
                <w:szCs w:val="20"/>
                <w:color w:val="auto"/>
              </w:rPr>
            </w:pPr>
            <w:r>
              <w:rPr>
                <w:rFonts w:ascii="Arial" w:cs="Arial" w:eastAsia="Arial" w:hAnsi="Arial"/>
                <w:sz w:val="13"/>
                <w:szCs w:val="13"/>
                <w:b w:val="1"/>
                <w:bCs w:val="1"/>
                <w:color w:val="auto"/>
                <w:w w:val="98"/>
              </w:rPr>
              <w:t>TEXAS INSTRUMENTS INCORPORATED AND SUBSIDIARIES</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4"/>
        </w:trPr>
        <w:tc>
          <w:tcPr>
            <w:tcW w:w="3800" w:type="dxa"/>
            <w:vAlign w:val="bottom"/>
          </w:tcPr>
          <w:p>
            <w:pPr>
              <w:spacing w:after="0"/>
              <w:rPr>
                <w:sz w:val="13"/>
                <w:szCs w:val="13"/>
                <w:color w:val="auto"/>
              </w:rPr>
            </w:pPr>
          </w:p>
        </w:tc>
        <w:tc>
          <w:tcPr>
            <w:tcW w:w="5620" w:type="dxa"/>
            <w:vAlign w:val="bottom"/>
            <w:gridSpan w:val="2"/>
          </w:tcPr>
          <w:p>
            <w:pPr>
              <w:jc w:val="center"/>
              <w:ind w:right="1712"/>
              <w:spacing w:after="0"/>
              <w:rPr>
                <w:sz w:val="20"/>
                <w:szCs w:val="20"/>
                <w:color w:val="auto"/>
              </w:rPr>
            </w:pPr>
            <w:r>
              <w:rPr>
                <w:rFonts w:ascii="Arial" w:cs="Arial" w:eastAsia="Arial" w:hAnsi="Arial"/>
                <w:sz w:val="13"/>
                <w:szCs w:val="13"/>
                <w:b w:val="1"/>
                <w:bCs w:val="1"/>
                <w:color w:val="auto"/>
                <w:w w:val="86"/>
              </w:rPr>
              <w:t>Consolidated Balance Sheets</w:t>
            </w: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3800" w:type="dxa"/>
            <w:vAlign w:val="bottom"/>
          </w:tcPr>
          <w:p>
            <w:pPr>
              <w:spacing w:after="0"/>
              <w:rPr>
                <w:sz w:val="14"/>
                <w:szCs w:val="14"/>
                <w:color w:val="auto"/>
              </w:rPr>
            </w:pPr>
          </w:p>
        </w:tc>
        <w:tc>
          <w:tcPr>
            <w:tcW w:w="5620" w:type="dxa"/>
            <w:vAlign w:val="bottom"/>
            <w:gridSpan w:val="2"/>
          </w:tcPr>
          <w:p>
            <w:pPr>
              <w:jc w:val="center"/>
              <w:ind w:right="1712"/>
              <w:spacing w:after="0"/>
              <w:rPr>
                <w:sz w:val="20"/>
                <w:szCs w:val="20"/>
                <w:color w:val="auto"/>
              </w:rPr>
            </w:pPr>
            <w:r>
              <w:rPr>
                <w:rFonts w:ascii="Arial" w:cs="Arial" w:eastAsia="Arial" w:hAnsi="Arial"/>
                <w:sz w:val="13"/>
                <w:szCs w:val="13"/>
                <w:b w:val="1"/>
                <w:bCs w:val="1"/>
                <w:color w:val="auto"/>
                <w:w w:val="88"/>
              </w:rPr>
              <w:t>(Millions of dollars, except share amounts)</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28"/>
        </w:trPr>
        <w:tc>
          <w:tcPr>
            <w:tcW w:w="38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3"/>
          </w:tcPr>
          <w:p>
            <w:pPr>
              <w:jc w:val="right"/>
              <w:ind w:right="72"/>
              <w:spacing w:after="0"/>
              <w:rPr>
                <w:sz w:val="20"/>
                <w:szCs w:val="20"/>
                <w:color w:val="auto"/>
              </w:rPr>
            </w:pPr>
            <w:r>
              <w:rPr>
                <w:rFonts w:ascii="Arial" w:cs="Arial" w:eastAsia="Arial" w:hAnsi="Arial"/>
                <w:sz w:val="13"/>
                <w:szCs w:val="13"/>
                <w:b w:val="1"/>
                <w:bCs w:val="1"/>
                <w:color w:val="auto"/>
              </w:rPr>
              <w:t>December 31,</w:t>
            </w: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3"/>
        </w:trPr>
        <w:tc>
          <w:tcPr>
            <w:tcW w:w="3800" w:type="dxa"/>
            <w:vAlign w:val="bottom"/>
          </w:tcPr>
          <w:p>
            <w:pPr>
              <w:spacing w:after="0"/>
              <w:rPr>
                <w:sz w:val="14"/>
                <w:szCs w:val="14"/>
                <w:color w:val="auto"/>
              </w:rPr>
            </w:pPr>
          </w:p>
        </w:tc>
        <w:tc>
          <w:tcPr>
            <w:tcW w:w="5620" w:type="dxa"/>
            <w:vAlign w:val="bottom"/>
            <w:gridSpan w:val="2"/>
          </w:tcPr>
          <w:p>
            <w:pPr>
              <w:jc w:val="right"/>
              <w:ind w:right="12"/>
              <w:spacing w:after="0"/>
              <w:rPr>
                <w:sz w:val="20"/>
                <w:szCs w:val="20"/>
                <w:color w:val="auto"/>
              </w:rPr>
            </w:pPr>
            <w:r>
              <w:rPr>
                <w:rFonts w:ascii="Arial" w:cs="Arial" w:eastAsia="Arial" w:hAnsi="Arial"/>
                <w:sz w:val="13"/>
                <w:szCs w:val="13"/>
                <w:b w:val="1"/>
                <w:bCs w:val="1"/>
                <w:color w:val="auto"/>
              </w:rPr>
              <w:t>2017</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jc w:val="right"/>
              <w:ind w:right="436"/>
              <w:spacing w:after="0"/>
              <w:rPr>
                <w:sz w:val="20"/>
                <w:szCs w:val="20"/>
                <w:color w:val="auto"/>
              </w:rPr>
            </w:pPr>
            <w:r>
              <w:rPr>
                <w:rFonts w:ascii="Arial" w:cs="Arial" w:eastAsia="Arial" w:hAnsi="Arial"/>
                <w:sz w:val="13"/>
                <w:szCs w:val="13"/>
                <w:b w:val="1"/>
                <w:bCs w:val="1"/>
                <w:color w:val="auto"/>
              </w:rPr>
              <w:t>2016</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4"/>
        </w:trPr>
        <w:tc>
          <w:tcPr>
            <w:tcW w:w="3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b w:val="1"/>
                <w:bCs w:val="1"/>
                <w:color w:val="auto"/>
              </w:rPr>
              <w:t>Assets</w:t>
            </w:r>
          </w:p>
        </w:tc>
        <w:tc>
          <w:tcPr>
            <w:tcW w:w="4800" w:type="dxa"/>
            <w:vAlign w:val="bottom"/>
            <w:tcBorders>
              <w:top w:val="single" w:sz="8" w:color="CFF0FC"/>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44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380" w:type="dxa"/>
            <w:vAlign w:val="bottom"/>
            <w:tcBorders>
              <w:top w:val="single" w:sz="8" w:color="auto"/>
            </w:tcBorders>
            <w:shd w:val="clear" w:color="auto" w:fill="CFF0FC"/>
          </w:tcPr>
          <w:p>
            <w:pPr>
              <w:spacing w:after="0"/>
              <w:rPr>
                <w:sz w:val="14"/>
                <w:szCs w:val="14"/>
                <w:color w:val="auto"/>
              </w:rPr>
            </w:pPr>
          </w:p>
        </w:tc>
        <w:tc>
          <w:tcPr>
            <w:tcW w:w="88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73"/>
        </w:trPr>
        <w:tc>
          <w:tcPr>
            <w:tcW w:w="3800" w:type="dxa"/>
            <w:vAlign w:val="bottom"/>
          </w:tcPr>
          <w:p>
            <w:pPr>
              <w:spacing w:after="0"/>
              <w:rPr>
                <w:sz w:val="20"/>
                <w:szCs w:val="20"/>
                <w:color w:val="auto"/>
              </w:rPr>
            </w:pPr>
            <w:r>
              <w:rPr>
                <w:rFonts w:ascii="Arial" w:cs="Arial" w:eastAsia="Arial" w:hAnsi="Arial"/>
                <w:sz w:val="13"/>
                <w:szCs w:val="13"/>
                <w:color w:val="auto"/>
              </w:rPr>
              <w:t>Current assets:</w:t>
            </w:r>
          </w:p>
        </w:tc>
        <w:tc>
          <w:tcPr>
            <w:tcW w:w="4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4"/>
        </w:trPr>
        <w:tc>
          <w:tcPr>
            <w:tcW w:w="38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Cash and cash equivalents</w:t>
            </w:r>
          </w:p>
        </w:tc>
        <w:tc>
          <w:tcPr>
            <w:tcW w:w="5620" w:type="dxa"/>
            <w:vAlign w:val="bottom"/>
            <w:gridSpan w:val="2"/>
            <w:shd w:val="clear" w:color="auto" w:fill="CFF0FC"/>
          </w:tcPr>
          <w:p>
            <w:pPr>
              <w:jc w:val="right"/>
              <w:ind w:right="712"/>
              <w:spacing w:after="0"/>
              <w:rPr>
                <w:sz w:val="20"/>
                <w:szCs w:val="20"/>
                <w:color w:val="auto"/>
              </w:rPr>
            </w:pPr>
            <w:r>
              <w:rPr>
                <w:rFonts w:ascii="Arial" w:cs="Arial" w:eastAsia="Arial" w:hAnsi="Arial"/>
                <w:sz w:val="13"/>
                <w:szCs w:val="13"/>
                <w:b w:val="1"/>
                <w:bCs w:val="1"/>
                <w:color w:val="auto"/>
              </w:rPr>
              <w:t>$</w:t>
            </w: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b w:val="1"/>
                <w:bCs w:val="1"/>
                <w:color w:val="auto"/>
              </w:rPr>
              <w:t>1,656</w:t>
            </w:r>
          </w:p>
        </w:tc>
        <w:tc>
          <w:tcPr>
            <w:tcW w:w="380" w:type="dxa"/>
            <w:vAlign w:val="bottom"/>
            <w:shd w:val="clear" w:color="auto" w:fill="CFF0FC"/>
          </w:tcPr>
          <w:p>
            <w:pPr>
              <w:jc w:val="right"/>
              <w:ind w:right="272"/>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1,154</w:t>
            </w:r>
          </w:p>
        </w:tc>
        <w:tc>
          <w:tcPr>
            <w:tcW w:w="20" w:type="dxa"/>
            <w:vAlign w:val="bottom"/>
          </w:tcPr>
          <w:p>
            <w:pPr>
              <w:spacing w:after="0"/>
              <w:rPr>
                <w:sz w:val="15"/>
                <w:szCs w:val="15"/>
                <w:color w:val="auto"/>
              </w:rPr>
            </w:pPr>
          </w:p>
        </w:tc>
      </w:tr>
      <w:tr>
        <w:trPr>
          <w:trHeight w:val="173"/>
        </w:trPr>
        <w:tc>
          <w:tcPr>
            <w:tcW w:w="3800" w:type="dxa"/>
            <w:vAlign w:val="bottom"/>
          </w:tcPr>
          <w:p>
            <w:pPr>
              <w:ind w:left="120"/>
              <w:spacing w:after="0"/>
              <w:rPr>
                <w:sz w:val="20"/>
                <w:szCs w:val="20"/>
                <w:color w:val="auto"/>
              </w:rPr>
            </w:pPr>
            <w:r>
              <w:rPr>
                <w:rFonts w:ascii="Arial" w:cs="Arial" w:eastAsia="Arial" w:hAnsi="Arial"/>
                <w:sz w:val="13"/>
                <w:szCs w:val="13"/>
                <w:color w:val="auto"/>
              </w:rPr>
              <w:t>Short-term investments</w:t>
            </w:r>
          </w:p>
        </w:tc>
        <w:tc>
          <w:tcPr>
            <w:tcW w:w="4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2,813</w:t>
            </w:r>
          </w:p>
        </w:tc>
        <w:tc>
          <w:tcPr>
            <w:tcW w:w="38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2,336</w:t>
            </w:r>
          </w:p>
        </w:tc>
        <w:tc>
          <w:tcPr>
            <w:tcW w:w="20" w:type="dxa"/>
            <w:vAlign w:val="bottom"/>
          </w:tcPr>
          <w:p>
            <w:pPr>
              <w:spacing w:after="0"/>
              <w:rPr>
                <w:sz w:val="15"/>
                <w:szCs w:val="15"/>
                <w:color w:val="auto"/>
              </w:rPr>
            </w:pPr>
          </w:p>
        </w:tc>
      </w:tr>
      <w:tr>
        <w:trPr>
          <w:trHeight w:val="174"/>
        </w:trPr>
        <w:tc>
          <w:tcPr>
            <w:tcW w:w="38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Accounts receivable, net of allowances of ($8) and ($17)</w:t>
            </w:r>
          </w:p>
        </w:tc>
        <w:tc>
          <w:tcPr>
            <w:tcW w:w="48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b w:val="1"/>
                <w:bCs w:val="1"/>
                <w:color w:val="auto"/>
              </w:rPr>
              <w:t>1,278</w:t>
            </w:r>
          </w:p>
        </w:tc>
        <w:tc>
          <w:tcPr>
            <w:tcW w:w="3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1,267</w:t>
            </w:r>
          </w:p>
        </w:tc>
        <w:tc>
          <w:tcPr>
            <w:tcW w:w="20" w:type="dxa"/>
            <w:vAlign w:val="bottom"/>
          </w:tcPr>
          <w:p>
            <w:pPr>
              <w:spacing w:after="0"/>
              <w:rPr>
                <w:sz w:val="15"/>
                <w:szCs w:val="15"/>
                <w:color w:val="auto"/>
              </w:rPr>
            </w:pPr>
          </w:p>
        </w:tc>
      </w:tr>
      <w:tr>
        <w:trPr>
          <w:trHeight w:val="173"/>
        </w:trPr>
        <w:tc>
          <w:tcPr>
            <w:tcW w:w="3800" w:type="dxa"/>
            <w:vAlign w:val="bottom"/>
          </w:tcPr>
          <w:p>
            <w:pPr>
              <w:ind w:left="260"/>
              <w:spacing w:after="0"/>
              <w:rPr>
                <w:sz w:val="20"/>
                <w:szCs w:val="20"/>
                <w:color w:val="auto"/>
              </w:rPr>
            </w:pPr>
            <w:r>
              <w:rPr>
                <w:rFonts w:ascii="Arial" w:cs="Arial" w:eastAsia="Arial" w:hAnsi="Arial"/>
                <w:sz w:val="13"/>
                <w:szCs w:val="13"/>
                <w:color w:val="auto"/>
              </w:rPr>
              <w:t>Raw materials</w:t>
            </w:r>
          </w:p>
        </w:tc>
        <w:tc>
          <w:tcPr>
            <w:tcW w:w="4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126</w:t>
            </w:r>
          </w:p>
        </w:tc>
        <w:tc>
          <w:tcPr>
            <w:tcW w:w="38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102</w:t>
            </w:r>
          </w:p>
        </w:tc>
        <w:tc>
          <w:tcPr>
            <w:tcW w:w="20" w:type="dxa"/>
            <w:vAlign w:val="bottom"/>
          </w:tcPr>
          <w:p>
            <w:pPr>
              <w:spacing w:after="0"/>
              <w:rPr>
                <w:sz w:val="15"/>
                <w:szCs w:val="15"/>
                <w:color w:val="auto"/>
              </w:rPr>
            </w:pPr>
          </w:p>
        </w:tc>
      </w:tr>
      <w:tr>
        <w:trPr>
          <w:trHeight w:val="174"/>
        </w:trPr>
        <w:tc>
          <w:tcPr>
            <w:tcW w:w="38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Work in process</w:t>
            </w:r>
          </w:p>
        </w:tc>
        <w:tc>
          <w:tcPr>
            <w:tcW w:w="48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b w:val="1"/>
                <w:bCs w:val="1"/>
                <w:color w:val="auto"/>
              </w:rPr>
              <w:t>1,089</w:t>
            </w:r>
          </w:p>
        </w:tc>
        <w:tc>
          <w:tcPr>
            <w:tcW w:w="3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954</w:t>
            </w:r>
          </w:p>
        </w:tc>
        <w:tc>
          <w:tcPr>
            <w:tcW w:w="20" w:type="dxa"/>
            <w:vAlign w:val="bottom"/>
          </w:tcPr>
          <w:p>
            <w:pPr>
              <w:spacing w:after="0"/>
              <w:rPr>
                <w:sz w:val="15"/>
                <w:szCs w:val="15"/>
                <w:color w:val="auto"/>
              </w:rPr>
            </w:pPr>
          </w:p>
        </w:tc>
      </w:tr>
      <w:tr>
        <w:trPr>
          <w:trHeight w:val="173"/>
        </w:trPr>
        <w:tc>
          <w:tcPr>
            <w:tcW w:w="3800" w:type="dxa"/>
            <w:vAlign w:val="bottom"/>
          </w:tcPr>
          <w:p>
            <w:pPr>
              <w:ind w:left="260"/>
              <w:spacing w:after="0"/>
              <w:rPr>
                <w:sz w:val="20"/>
                <w:szCs w:val="20"/>
                <w:color w:val="auto"/>
              </w:rPr>
            </w:pPr>
            <w:r>
              <w:rPr>
                <w:rFonts w:ascii="Arial" w:cs="Arial" w:eastAsia="Arial" w:hAnsi="Arial"/>
                <w:sz w:val="13"/>
                <w:szCs w:val="13"/>
                <w:color w:val="auto"/>
              </w:rPr>
              <w:t>Finished goods</w:t>
            </w:r>
          </w:p>
        </w:tc>
        <w:tc>
          <w:tcPr>
            <w:tcW w:w="4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742</w:t>
            </w:r>
          </w:p>
        </w:tc>
        <w:tc>
          <w:tcPr>
            <w:tcW w:w="38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734</w:t>
            </w:r>
          </w:p>
        </w:tc>
        <w:tc>
          <w:tcPr>
            <w:tcW w:w="20" w:type="dxa"/>
            <w:vAlign w:val="bottom"/>
          </w:tcPr>
          <w:p>
            <w:pPr>
              <w:spacing w:after="0"/>
              <w:rPr>
                <w:sz w:val="15"/>
                <w:szCs w:val="15"/>
                <w:color w:val="auto"/>
              </w:rPr>
            </w:pPr>
          </w:p>
        </w:tc>
      </w:tr>
      <w:tr>
        <w:trPr>
          <w:trHeight w:val="20"/>
        </w:trPr>
        <w:tc>
          <w:tcPr>
            <w:tcW w:w="3800" w:type="dxa"/>
            <w:vAlign w:val="bottom"/>
            <w:shd w:val="clear" w:color="auto" w:fill="CFF0FC"/>
          </w:tcPr>
          <w:p>
            <w:pPr>
              <w:spacing w:after="0" w:line="20" w:lineRule="exact"/>
              <w:rPr>
                <w:sz w:val="1"/>
                <w:szCs w:val="1"/>
                <w:color w:val="auto"/>
              </w:rPr>
            </w:pPr>
          </w:p>
        </w:tc>
        <w:tc>
          <w:tcPr>
            <w:tcW w:w="48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3"/>
        </w:trPr>
        <w:tc>
          <w:tcPr>
            <w:tcW w:w="38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Inventories</w:t>
            </w:r>
          </w:p>
        </w:tc>
        <w:tc>
          <w:tcPr>
            <w:tcW w:w="48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b w:val="1"/>
                <w:bCs w:val="1"/>
                <w:color w:val="auto"/>
              </w:rPr>
              <w:t>1,957</w:t>
            </w:r>
          </w:p>
        </w:tc>
        <w:tc>
          <w:tcPr>
            <w:tcW w:w="3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1,790</w:t>
            </w:r>
          </w:p>
        </w:tc>
        <w:tc>
          <w:tcPr>
            <w:tcW w:w="20" w:type="dxa"/>
            <w:vAlign w:val="bottom"/>
          </w:tcPr>
          <w:p>
            <w:pPr>
              <w:spacing w:after="0"/>
              <w:rPr>
                <w:sz w:val="14"/>
                <w:szCs w:val="14"/>
                <w:color w:val="auto"/>
              </w:rPr>
            </w:pPr>
          </w:p>
        </w:tc>
      </w:tr>
      <w:tr>
        <w:trPr>
          <w:trHeight w:val="20"/>
        </w:trPr>
        <w:tc>
          <w:tcPr>
            <w:tcW w:w="38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3"/>
        </w:trPr>
        <w:tc>
          <w:tcPr>
            <w:tcW w:w="3800" w:type="dxa"/>
            <w:vAlign w:val="bottom"/>
          </w:tcPr>
          <w:p>
            <w:pPr>
              <w:ind w:left="120"/>
              <w:spacing w:after="0"/>
              <w:rPr>
                <w:sz w:val="20"/>
                <w:szCs w:val="20"/>
                <w:color w:val="auto"/>
              </w:rPr>
            </w:pPr>
            <w:r>
              <w:rPr>
                <w:rFonts w:ascii="Arial" w:cs="Arial" w:eastAsia="Arial" w:hAnsi="Arial"/>
                <w:sz w:val="13"/>
                <w:szCs w:val="13"/>
                <w:color w:val="auto"/>
              </w:rPr>
              <w:t>Prepaid expenses and other current assets</w:t>
            </w:r>
          </w:p>
        </w:tc>
        <w:tc>
          <w:tcPr>
            <w:tcW w:w="4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1,030</w:t>
            </w:r>
          </w:p>
        </w:tc>
        <w:tc>
          <w:tcPr>
            <w:tcW w:w="38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910</w:t>
            </w:r>
          </w:p>
        </w:tc>
        <w:tc>
          <w:tcPr>
            <w:tcW w:w="20" w:type="dxa"/>
            <w:vAlign w:val="bottom"/>
          </w:tcPr>
          <w:p>
            <w:pPr>
              <w:spacing w:after="0"/>
              <w:rPr>
                <w:sz w:val="14"/>
                <w:szCs w:val="14"/>
                <w:color w:val="auto"/>
              </w:rPr>
            </w:pPr>
          </w:p>
        </w:tc>
      </w:tr>
      <w:tr>
        <w:trPr>
          <w:trHeight w:val="20"/>
        </w:trPr>
        <w:tc>
          <w:tcPr>
            <w:tcW w:w="3800" w:type="dxa"/>
            <w:vAlign w:val="bottom"/>
            <w:shd w:val="clear" w:color="auto" w:fill="CFF0FC"/>
          </w:tcPr>
          <w:p>
            <w:pPr>
              <w:spacing w:after="0" w:line="20" w:lineRule="exact"/>
              <w:rPr>
                <w:sz w:val="1"/>
                <w:szCs w:val="1"/>
                <w:color w:val="auto"/>
              </w:rPr>
            </w:pPr>
          </w:p>
        </w:tc>
        <w:tc>
          <w:tcPr>
            <w:tcW w:w="48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3"/>
        </w:trPr>
        <w:tc>
          <w:tcPr>
            <w:tcW w:w="38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Total current assets</w:t>
            </w:r>
          </w:p>
        </w:tc>
        <w:tc>
          <w:tcPr>
            <w:tcW w:w="48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b w:val="1"/>
                <w:bCs w:val="1"/>
                <w:color w:val="auto"/>
              </w:rPr>
              <w:t>8,734</w:t>
            </w:r>
          </w:p>
        </w:tc>
        <w:tc>
          <w:tcPr>
            <w:tcW w:w="3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7,457</w:t>
            </w:r>
          </w:p>
        </w:tc>
        <w:tc>
          <w:tcPr>
            <w:tcW w:w="20" w:type="dxa"/>
            <w:vAlign w:val="bottom"/>
          </w:tcPr>
          <w:p>
            <w:pPr>
              <w:spacing w:after="0"/>
              <w:rPr>
                <w:sz w:val="14"/>
                <w:szCs w:val="14"/>
                <w:color w:val="auto"/>
              </w:rPr>
            </w:pPr>
          </w:p>
        </w:tc>
      </w:tr>
      <w:tr>
        <w:trPr>
          <w:trHeight w:val="20"/>
        </w:trPr>
        <w:tc>
          <w:tcPr>
            <w:tcW w:w="38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3"/>
        </w:trPr>
        <w:tc>
          <w:tcPr>
            <w:tcW w:w="3800" w:type="dxa"/>
            <w:vAlign w:val="bottom"/>
          </w:tcPr>
          <w:p>
            <w:pPr>
              <w:spacing w:after="0"/>
              <w:rPr>
                <w:sz w:val="20"/>
                <w:szCs w:val="20"/>
                <w:color w:val="auto"/>
              </w:rPr>
            </w:pPr>
            <w:r>
              <w:rPr>
                <w:rFonts w:ascii="Arial" w:cs="Arial" w:eastAsia="Arial" w:hAnsi="Arial"/>
                <w:sz w:val="13"/>
                <w:szCs w:val="13"/>
                <w:color w:val="auto"/>
              </w:rPr>
              <w:t>Property, plant and equipment at cost</w:t>
            </w:r>
          </w:p>
        </w:tc>
        <w:tc>
          <w:tcPr>
            <w:tcW w:w="4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4,789</w:t>
            </w:r>
          </w:p>
        </w:tc>
        <w:tc>
          <w:tcPr>
            <w:tcW w:w="38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4,923</w:t>
            </w:r>
          </w:p>
        </w:tc>
        <w:tc>
          <w:tcPr>
            <w:tcW w:w="20" w:type="dxa"/>
            <w:vAlign w:val="bottom"/>
          </w:tcPr>
          <w:p>
            <w:pPr>
              <w:spacing w:after="0"/>
              <w:rPr>
                <w:sz w:val="14"/>
                <w:szCs w:val="14"/>
                <w:color w:val="auto"/>
              </w:rPr>
            </w:pPr>
          </w:p>
        </w:tc>
      </w:tr>
      <w:tr>
        <w:trPr>
          <w:trHeight w:val="174"/>
        </w:trPr>
        <w:tc>
          <w:tcPr>
            <w:tcW w:w="38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Accumulated depreciation</w:t>
            </w:r>
          </w:p>
        </w:tc>
        <w:tc>
          <w:tcPr>
            <w:tcW w:w="48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b w:val="1"/>
                <w:bCs w:val="1"/>
                <w:color w:val="auto"/>
              </w:rPr>
              <w:t>(2,125)</w:t>
            </w:r>
          </w:p>
        </w:tc>
        <w:tc>
          <w:tcPr>
            <w:tcW w:w="3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(2,411)</w:t>
            </w:r>
          </w:p>
        </w:tc>
        <w:tc>
          <w:tcPr>
            <w:tcW w:w="20" w:type="dxa"/>
            <w:vAlign w:val="bottom"/>
          </w:tcPr>
          <w:p>
            <w:pPr>
              <w:spacing w:after="0"/>
              <w:rPr>
                <w:sz w:val="15"/>
                <w:szCs w:val="15"/>
                <w:color w:val="auto"/>
              </w:rPr>
            </w:pPr>
          </w:p>
        </w:tc>
      </w:tr>
      <w:tr>
        <w:trPr>
          <w:trHeight w:val="20"/>
        </w:trPr>
        <w:tc>
          <w:tcPr>
            <w:tcW w:w="38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3"/>
        </w:trPr>
        <w:tc>
          <w:tcPr>
            <w:tcW w:w="3800" w:type="dxa"/>
            <w:vAlign w:val="bottom"/>
          </w:tcPr>
          <w:p>
            <w:pPr>
              <w:ind w:left="120"/>
              <w:spacing w:after="0"/>
              <w:rPr>
                <w:sz w:val="20"/>
                <w:szCs w:val="20"/>
                <w:color w:val="auto"/>
              </w:rPr>
            </w:pPr>
            <w:r>
              <w:rPr>
                <w:rFonts w:ascii="Arial" w:cs="Arial" w:eastAsia="Arial" w:hAnsi="Arial"/>
                <w:sz w:val="13"/>
                <w:szCs w:val="13"/>
                <w:color w:val="auto"/>
              </w:rPr>
              <w:t>Property, plant and equipment, net</w:t>
            </w:r>
          </w:p>
        </w:tc>
        <w:tc>
          <w:tcPr>
            <w:tcW w:w="4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2,664</w:t>
            </w:r>
          </w:p>
        </w:tc>
        <w:tc>
          <w:tcPr>
            <w:tcW w:w="38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2,512</w:t>
            </w:r>
          </w:p>
        </w:tc>
        <w:tc>
          <w:tcPr>
            <w:tcW w:w="20" w:type="dxa"/>
            <w:vAlign w:val="bottom"/>
          </w:tcPr>
          <w:p>
            <w:pPr>
              <w:spacing w:after="0"/>
              <w:rPr>
                <w:sz w:val="14"/>
                <w:szCs w:val="14"/>
                <w:color w:val="auto"/>
              </w:rPr>
            </w:pPr>
          </w:p>
        </w:tc>
      </w:tr>
      <w:tr>
        <w:trPr>
          <w:trHeight w:val="20"/>
        </w:trPr>
        <w:tc>
          <w:tcPr>
            <w:tcW w:w="3800" w:type="dxa"/>
            <w:vAlign w:val="bottom"/>
            <w:shd w:val="clear" w:color="auto" w:fill="CFF0FC"/>
          </w:tcPr>
          <w:p>
            <w:pPr>
              <w:spacing w:after="0" w:line="20" w:lineRule="exact"/>
              <w:rPr>
                <w:sz w:val="1"/>
                <w:szCs w:val="1"/>
                <w:color w:val="auto"/>
              </w:rPr>
            </w:pPr>
          </w:p>
        </w:tc>
        <w:tc>
          <w:tcPr>
            <w:tcW w:w="48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4"/>
        </w:trPr>
        <w:tc>
          <w:tcPr>
            <w:tcW w:w="3800" w:type="dxa"/>
            <w:vAlign w:val="bottom"/>
            <w:shd w:val="clear" w:color="auto" w:fill="CFF0FC"/>
          </w:tcPr>
          <w:p>
            <w:pPr>
              <w:spacing w:after="0"/>
              <w:rPr>
                <w:sz w:val="20"/>
                <w:szCs w:val="20"/>
                <w:color w:val="auto"/>
              </w:rPr>
            </w:pPr>
            <w:r>
              <w:rPr>
                <w:rFonts w:ascii="Arial" w:cs="Arial" w:eastAsia="Arial" w:hAnsi="Arial"/>
                <w:sz w:val="13"/>
                <w:szCs w:val="13"/>
                <w:color w:val="auto"/>
              </w:rPr>
              <w:t>Long-term investments</w:t>
            </w:r>
          </w:p>
        </w:tc>
        <w:tc>
          <w:tcPr>
            <w:tcW w:w="48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b w:val="1"/>
                <w:bCs w:val="1"/>
                <w:color w:val="auto"/>
              </w:rPr>
              <w:t>268</w:t>
            </w:r>
          </w:p>
        </w:tc>
        <w:tc>
          <w:tcPr>
            <w:tcW w:w="3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235</w:t>
            </w:r>
          </w:p>
        </w:tc>
        <w:tc>
          <w:tcPr>
            <w:tcW w:w="20" w:type="dxa"/>
            <w:vAlign w:val="bottom"/>
          </w:tcPr>
          <w:p>
            <w:pPr>
              <w:spacing w:after="0"/>
              <w:rPr>
                <w:sz w:val="14"/>
                <w:szCs w:val="14"/>
                <w:color w:val="auto"/>
              </w:rPr>
            </w:pPr>
          </w:p>
        </w:tc>
      </w:tr>
      <w:tr>
        <w:trPr>
          <w:trHeight w:val="173"/>
        </w:trPr>
        <w:tc>
          <w:tcPr>
            <w:tcW w:w="3800" w:type="dxa"/>
            <w:vAlign w:val="bottom"/>
          </w:tcPr>
          <w:p>
            <w:pPr>
              <w:spacing w:after="0"/>
              <w:rPr>
                <w:sz w:val="20"/>
                <w:szCs w:val="20"/>
                <w:color w:val="auto"/>
              </w:rPr>
            </w:pPr>
            <w:r>
              <w:rPr>
                <w:rFonts w:ascii="Arial" w:cs="Arial" w:eastAsia="Arial" w:hAnsi="Arial"/>
                <w:sz w:val="13"/>
                <w:szCs w:val="13"/>
                <w:color w:val="auto"/>
              </w:rPr>
              <w:t>Goodwill</w:t>
            </w:r>
          </w:p>
        </w:tc>
        <w:tc>
          <w:tcPr>
            <w:tcW w:w="4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4,362</w:t>
            </w:r>
          </w:p>
        </w:tc>
        <w:tc>
          <w:tcPr>
            <w:tcW w:w="38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4,362</w:t>
            </w:r>
          </w:p>
        </w:tc>
        <w:tc>
          <w:tcPr>
            <w:tcW w:w="20" w:type="dxa"/>
            <w:vAlign w:val="bottom"/>
          </w:tcPr>
          <w:p>
            <w:pPr>
              <w:spacing w:after="0"/>
              <w:rPr>
                <w:sz w:val="15"/>
                <w:szCs w:val="15"/>
                <w:color w:val="auto"/>
              </w:rPr>
            </w:pPr>
          </w:p>
        </w:tc>
      </w:tr>
      <w:tr>
        <w:trPr>
          <w:trHeight w:val="174"/>
        </w:trPr>
        <w:tc>
          <w:tcPr>
            <w:tcW w:w="3800" w:type="dxa"/>
            <w:vAlign w:val="bottom"/>
            <w:shd w:val="clear" w:color="auto" w:fill="CFF0FC"/>
          </w:tcPr>
          <w:p>
            <w:pPr>
              <w:spacing w:after="0"/>
              <w:rPr>
                <w:sz w:val="20"/>
                <w:szCs w:val="20"/>
                <w:color w:val="auto"/>
              </w:rPr>
            </w:pPr>
            <w:r>
              <w:rPr>
                <w:rFonts w:ascii="Arial" w:cs="Arial" w:eastAsia="Arial" w:hAnsi="Arial"/>
                <w:sz w:val="13"/>
                <w:szCs w:val="13"/>
                <w:color w:val="auto"/>
              </w:rPr>
              <w:t>Acquisition-related intangibles</w:t>
            </w:r>
          </w:p>
        </w:tc>
        <w:tc>
          <w:tcPr>
            <w:tcW w:w="48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b w:val="1"/>
                <w:bCs w:val="1"/>
                <w:color w:val="auto"/>
              </w:rPr>
              <w:t>946</w:t>
            </w:r>
          </w:p>
        </w:tc>
        <w:tc>
          <w:tcPr>
            <w:tcW w:w="3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1,264</w:t>
            </w:r>
          </w:p>
        </w:tc>
        <w:tc>
          <w:tcPr>
            <w:tcW w:w="20" w:type="dxa"/>
            <w:vAlign w:val="bottom"/>
          </w:tcPr>
          <w:p>
            <w:pPr>
              <w:spacing w:after="0"/>
              <w:rPr>
                <w:sz w:val="15"/>
                <w:szCs w:val="15"/>
                <w:color w:val="auto"/>
              </w:rPr>
            </w:pPr>
          </w:p>
        </w:tc>
      </w:tr>
      <w:tr>
        <w:trPr>
          <w:trHeight w:val="173"/>
        </w:trPr>
        <w:tc>
          <w:tcPr>
            <w:tcW w:w="3800" w:type="dxa"/>
            <w:vAlign w:val="bottom"/>
          </w:tcPr>
          <w:p>
            <w:pPr>
              <w:spacing w:after="0"/>
              <w:rPr>
                <w:sz w:val="20"/>
                <w:szCs w:val="20"/>
                <w:color w:val="auto"/>
              </w:rPr>
            </w:pPr>
            <w:r>
              <w:rPr>
                <w:rFonts w:ascii="Arial" w:cs="Arial" w:eastAsia="Arial" w:hAnsi="Arial"/>
                <w:sz w:val="13"/>
                <w:szCs w:val="13"/>
                <w:color w:val="auto"/>
              </w:rPr>
              <w:t>Deferred tax assets</w:t>
            </w:r>
          </w:p>
        </w:tc>
        <w:tc>
          <w:tcPr>
            <w:tcW w:w="4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264</w:t>
            </w:r>
          </w:p>
        </w:tc>
        <w:tc>
          <w:tcPr>
            <w:tcW w:w="38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374</w:t>
            </w:r>
          </w:p>
        </w:tc>
        <w:tc>
          <w:tcPr>
            <w:tcW w:w="20" w:type="dxa"/>
            <w:vAlign w:val="bottom"/>
          </w:tcPr>
          <w:p>
            <w:pPr>
              <w:spacing w:after="0"/>
              <w:rPr>
                <w:sz w:val="15"/>
                <w:szCs w:val="15"/>
                <w:color w:val="auto"/>
              </w:rPr>
            </w:pPr>
          </w:p>
        </w:tc>
      </w:tr>
      <w:tr>
        <w:trPr>
          <w:trHeight w:val="174"/>
        </w:trPr>
        <w:tc>
          <w:tcPr>
            <w:tcW w:w="3800" w:type="dxa"/>
            <w:vAlign w:val="bottom"/>
            <w:shd w:val="clear" w:color="auto" w:fill="CFF0FC"/>
          </w:tcPr>
          <w:p>
            <w:pPr>
              <w:spacing w:after="0"/>
              <w:rPr>
                <w:sz w:val="20"/>
                <w:szCs w:val="20"/>
                <w:color w:val="auto"/>
              </w:rPr>
            </w:pPr>
            <w:r>
              <w:rPr>
                <w:rFonts w:ascii="Arial" w:cs="Arial" w:eastAsia="Arial" w:hAnsi="Arial"/>
                <w:sz w:val="13"/>
                <w:szCs w:val="13"/>
                <w:color w:val="auto"/>
              </w:rPr>
              <w:t>Capitalized software licenses</w:t>
            </w:r>
          </w:p>
        </w:tc>
        <w:tc>
          <w:tcPr>
            <w:tcW w:w="48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b w:val="1"/>
                <w:bCs w:val="1"/>
                <w:color w:val="auto"/>
              </w:rPr>
              <w:t>110</w:t>
            </w:r>
          </w:p>
        </w:tc>
        <w:tc>
          <w:tcPr>
            <w:tcW w:w="3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w:t>
            </w:r>
          </w:p>
        </w:tc>
        <w:tc>
          <w:tcPr>
            <w:tcW w:w="12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73"/>
        </w:trPr>
        <w:tc>
          <w:tcPr>
            <w:tcW w:w="3800" w:type="dxa"/>
            <w:vAlign w:val="bottom"/>
          </w:tcPr>
          <w:p>
            <w:pPr>
              <w:spacing w:after="0"/>
              <w:rPr>
                <w:sz w:val="20"/>
                <w:szCs w:val="20"/>
                <w:color w:val="auto"/>
              </w:rPr>
            </w:pPr>
            <w:r>
              <w:rPr>
                <w:rFonts w:ascii="Arial" w:cs="Arial" w:eastAsia="Arial" w:hAnsi="Arial"/>
                <w:sz w:val="13"/>
                <w:szCs w:val="13"/>
                <w:color w:val="auto"/>
              </w:rPr>
              <w:t>Overfunded retirement plans</w:t>
            </w:r>
          </w:p>
        </w:tc>
        <w:tc>
          <w:tcPr>
            <w:tcW w:w="4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208</w:t>
            </w:r>
          </w:p>
        </w:tc>
        <w:tc>
          <w:tcPr>
            <w:tcW w:w="3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96</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4"/>
        </w:trPr>
        <w:tc>
          <w:tcPr>
            <w:tcW w:w="3800" w:type="dxa"/>
            <w:vAlign w:val="bottom"/>
            <w:shd w:val="clear" w:color="auto" w:fill="CFF0FC"/>
          </w:tcPr>
          <w:p>
            <w:pPr>
              <w:spacing w:after="0"/>
              <w:rPr>
                <w:sz w:val="20"/>
                <w:szCs w:val="20"/>
                <w:color w:val="auto"/>
              </w:rPr>
            </w:pPr>
            <w:r>
              <w:rPr>
                <w:rFonts w:ascii="Arial" w:cs="Arial" w:eastAsia="Arial" w:hAnsi="Arial"/>
                <w:sz w:val="13"/>
                <w:szCs w:val="13"/>
                <w:color w:val="auto"/>
              </w:rPr>
              <w:t>Other assets</w:t>
            </w:r>
          </w:p>
        </w:tc>
        <w:tc>
          <w:tcPr>
            <w:tcW w:w="48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b w:val="1"/>
                <w:bCs w:val="1"/>
                <w:color w:val="auto"/>
              </w:rPr>
              <w:t>86</w:t>
            </w:r>
          </w:p>
        </w:tc>
        <w:tc>
          <w:tcPr>
            <w:tcW w:w="3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w:t>
            </w:r>
          </w:p>
        </w:tc>
        <w:tc>
          <w:tcPr>
            <w:tcW w:w="12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38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3800" w:type="dxa"/>
            <w:vAlign w:val="bottom"/>
          </w:tcPr>
          <w:p>
            <w:pPr>
              <w:spacing w:after="0"/>
              <w:rPr>
                <w:sz w:val="20"/>
                <w:szCs w:val="20"/>
                <w:color w:val="auto"/>
              </w:rPr>
            </w:pPr>
            <w:r>
              <w:rPr>
                <w:rFonts w:ascii="Arial" w:cs="Arial" w:eastAsia="Arial" w:hAnsi="Arial"/>
                <w:sz w:val="13"/>
                <w:szCs w:val="13"/>
                <w:color w:val="auto"/>
              </w:rPr>
              <w:t>Total assets</w:t>
            </w:r>
          </w:p>
        </w:tc>
        <w:tc>
          <w:tcPr>
            <w:tcW w:w="4800" w:type="dxa"/>
            <w:vAlign w:val="bottom"/>
          </w:tcPr>
          <w:p>
            <w:pPr>
              <w:spacing w:after="0"/>
              <w:rPr>
                <w:sz w:val="15"/>
                <w:szCs w:val="15"/>
                <w:color w:val="auto"/>
              </w:rPr>
            </w:pPr>
          </w:p>
        </w:tc>
        <w:tc>
          <w:tcPr>
            <w:tcW w:w="820" w:type="dxa"/>
            <w:vAlign w:val="bottom"/>
          </w:tcPr>
          <w:p>
            <w:pPr>
              <w:jc w:val="right"/>
              <w:ind w:right="712"/>
              <w:spacing w:after="0"/>
              <w:rPr>
                <w:sz w:val="20"/>
                <w:szCs w:val="20"/>
                <w:color w:val="auto"/>
              </w:rPr>
            </w:pPr>
            <w:r>
              <w:rPr>
                <w:rFonts w:ascii="Arial" w:cs="Arial" w:eastAsia="Arial" w:hAnsi="Arial"/>
                <w:sz w:val="10"/>
                <w:szCs w:val="10"/>
                <w:b w:val="1"/>
                <w:bCs w:val="1"/>
                <w:color w:val="auto"/>
                <w:w w:val="71"/>
              </w:rPr>
              <w:t>$</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17,642</w:t>
            </w:r>
          </w:p>
        </w:tc>
        <w:tc>
          <w:tcPr>
            <w:tcW w:w="380" w:type="dxa"/>
            <w:vAlign w:val="bottom"/>
          </w:tcPr>
          <w:p>
            <w:pPr>
              <w:jc w:val="right"/>
              <w:ind w:right="272"/>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16,431</w:t>
            </w:r>
          </w:p>
        </w:tc>
        <w:tc>
          <w:tcPr>
            <w:tcW w:w="20" w:type="dxa"/>
            <w:vAlign w:val="bottom"/>
          </w:tcPr>
          <w:p>
            <w:pPr>
              <w:spacing w:after="0"/>
              <w:rPr>
                <w:sz w:val="15"/>
                <w:szCs w:val="15"/>
                <w:color w:val="auto"/>
              </w:rPr>
            </w:pPr>
          </w:p>
        </w:tc>
      </w:tr>
      <w:tr>
        <w:trPr>
          <w:trHeight w:val="174"/>
        </w:trPr>
        <w:tc>
          <w:tcPr>
            <w:tcW w:w="380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4"/>
        </w:trPr>
        <w:tc>
          <w:tcPr>
            <w:tcW w:w="380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Liabilities and stockholders’ equity</w:t>
            </w:r>
          </w:p>
        </w:tc>
        <w:tc>
          <w:tcPr>
            <w:tcW w:w="48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73"/>
        </w:trPr>
        <w:tc>
          <w:tcPr>
            <w:tcW w:w="3800" w:type="dxa"/>
            <w:vAlign w:val="bottom"/>
          </w:tcPr>
          <w:p>
            <w:pPr>
              <w:spacing w:after="0"/>
              <w:rPr>
                <w:sz w:val="20"/>
                <w:szCs w:val="20"/>
                <w:color w:val="auto"/>
              </w:rPr>
            </w:pPr>
            <w:r>
              <w:rPr>
                <w:rFonts w:ascii="Arial" w:cs="Arial" w:eastAsia="Arial" w:hAnsi="Arial"/>
                <w:sz w:val="13"/>
                <w:szCs w:val="13"/>
                <w:color w:val="auto"/>
              </w:rPr>
              <w:t>Current liabilities:</w:t>
            </w:r>
          </w:p>
        </w:tc>
        <w:tc>
          <w:tcPr>
            <w:tcW w:w="4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4"/>
        </w:trPr>
        <w:tc>
          <w:tcPr>
            <w:tcW w:w="38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Current portion of long-term debt</w:t>
            </w:r>
          </w:p>
        </w:tc>
        <w:tc>
          <w:tcPr>
            <w:tcW w:w="5620" w:type="dxa"/>
            <w:vAlign w:val="bottom"/>
            <w:gridSpan w:val="2"/>
            <w:shd w:val="clear" w:color="auto" w:fill="CFF0FC"/>
          </w:tcPr>
          <w:p>
            <w:pPr>
              <w:jc w:val="right"/>
              <w:ind w:right="712"/>
              <w:spacing w:after="0"/>
              <w:rPr>
                <w:sz w:val="20"/>
                <w:szCs w:val="20"/>
                <w:color w:val="auto"/>
              </w:rPr>
            </w:pPr>
            <w:r>
              <w:rPr>
                <w:rFonts w:ascii="Arial" w:cs="Arial" w:eastAsia="Arial" w:hAnsi="Arial"/>
                <w:sz w:val="13"/>
                <w:szCs w:val="13"/>
                <w:b w:val="1"/>
                <w:bCs w:val="1"/>
                <w:color w:val="auto"/>
              </w:rPr>
              <w:t>$</w:t>
            </w: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b w:val="1"/>
                <w:bCs w:val="1"/>
                <w:color w:val="auto"/>
              </w:rPr>
              <w:t>500</w:t>
            </w:r>
          </w:p>
        </w:tc>
        <w:tc>
          <w:tcPr>
            <w:tcW w:w="380" w:type="dxa"/>
            <w:vAlign w:val="bottom"/>
            <w:shd w:val="clear" w:color="auto" w:fill="CFF0FC"/>
          </w:tcPr>
          <w:p>
            <w:pPr>
              <w:jc w:val="right"/>
              <w:ind w:right="272"/>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631</w:t>
            </w:r>
          </w:p>
        </w:tc>
        <w:tc>
          <w:tcPr>
            <w:tcW w:w="20" w:type="dxa"/>
            <w:vAlign w:val="bottom"/>
          </w:tcPr>
          <w:p>
            <w:pPr>
              <w:spacing w:after="0"/>
              <w:rPr>
                <w:sz w:val="15"/>
                <w:szCs w:val="15"/>
                <w:color w:val="auto"/>
              </w:rPr>
            </w:pPr>
          </w:p>
        </w:tc>
      </w:tr>
      <w:tr>
        <w:trPr>
          <w:trHeight w:val="173"/>
        </w:trPr>
        <w:tc>
          <w:tcPr>
            <w:tcW w:w="3800" w:type="dxa"/>
            <w:vAlign w:val="bottom"/>
          </w:tcPr>
          <w:p>
            <w:pPr>
              <w:ind w:left="120"/>
              <w:spacing w:after="0"/>
              <w:rPr>
                <w:sz w:val="20"/>
                <w:szCs w:val="20"/>
                <w:color w:val="auto"/>
              </w:rPr>
            </w:pPr>
            <w:r>
              <w:rPr>
                <w:rFonts w:ascii="Arial" w:cs="Arial" w:eastAsia="Arial" w:hAnsi="Arial"/>
                <w:sz w:val="13"/>
                <w:szCs w:val="13"/>
                <w:color w:val="auto"/>
              </w:rPr>
              <w:t>Accounts payable</w:t>
            </w:r>
          </w:p>
        </w:tc>
        <w:tc>
          <w:tcPr>
            <w:tcW w:w="4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466</w:t>
            </w:r>
          </w:p>
        </w:tc>
        <w:tc>
          <w:tcPr>
            <w:tcW w:w="38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396</w:t>
            </w:r>
          </w:p>
        </w:tc>
        <w:tc>
          <w:tcPr>
            <w:tcW w:w="20" w:type="dxa"/>
            <w:vAlign w:val="bottom"/>
          </w:tcPr>
          <w:p>
            <w:pPr>
              <w:spacing w:after="0"/>
              <w:rPr>
                <w:sz w:val="15"/>
                <w:szCs w:val="15"/>
                <w:color w:val="auto"/>
              </w:rPr>
            </w:pPr>
          </w:p>
        </w:tc>
      </w:tr>
      <w:tr>
        <w:trPr>
          <w:trHeight w:val="174"/>
        </w:trPr>
        <w:tc>
          <w:tcPr>
            <w:tcW w:w="38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Accrued compensation</w:t>
            </w:r>
          </w:p>
        </w:tc>
        <w:tc>
          <w:tcPr>
            <w:tcW w:w="48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b w:val="1"/>
                <w:bCs w:val="1"/>
                <w:color w:val="auto"/>
              </w:rPr>
              <w:t>722</w:t>
            </w:r>
          </w:p>
        </w:tc>
        <w:tc>
          <w:tcPr>
            <w:tcW w:w="3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710</w:t>
            </w:r>
          </w:p>
        </w:tc>
        <w:tc>
          <w:tcPr>
            <w:tcW w:w="20" w:type="dxa"/>
            <w:vAlign w:val="bottom"/>
          </w:tcPr>
          <w:p>
            <w:pPr>
              <w:spacing w:after="0"/>
              <w:rPr>
                <w:sz w:val="15"/>
                <w:szCs w:val="15"/>
                <w:color w:val="auto"/>
              </w:rPr>
            </w:pPr>
          </w:p>
        </w:tc>
      </w:tr>
      <w:tr>
        <w:trPr>
          <w:trHeight w:val="173"/>
        </w:trPr>
        <w:tc>
          <w:tcPr>
            <w:tcW w:w="3800" w:type="dxa"/>
            <w:vAlign w:val="bottom"/>
          </w:tcPr>
          <w:p>
            <w:pPr>
              <w:ind w:left="120"/>
              <w:spacing w:after="0"/>
              <w:rPr>
                <w:sz w:val="20"/>
                <w:szCs w:val="20"/>
                <w:color w:val="auto"/>
              </w:rPr>
            </w:pPr>
            <w:r>
              <w:rPr>
                <w:rFonts w:ascii="Arial" w:cs="Arial" w:eastAsia="Arial" w:hAnsi="Arial"/>
                <w:sz w:val="13"/>
                <w:szCs w:val="13"/>
                <w:color w:val="auto"/>
              </w:rPr>
              <w:t>Income taxes payable</w:t>
            </w:r>
          </w:p>
        </w:tc>
        <w:tc>
          <w:tcPr>
            <w:tcW w:w="4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128</w:t>
            </w:r>
          </w:p>
        </w:tc>
        <w:tc>
          <w:tcPr>
            <w:tcW w:w="38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83</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4"/>
        </w:trPr>
        <w:tc>
          <w:tcPr>
            <w:tcW w:w="38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Accrued expenses and other liabilities</w:t>
            </w:r>
          </w:p>
        </w:tc>
        <w:tc>
          <w:tcPr>
            <w:tcW w:w="48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b w:val="1"/>
                <w:bCs w:val="1"/>
                <w:color w:val="auto"/>
              </w:rPr>
              <w:t>442</w:t>
            </w:r>
          </w:p>
        </w:tc>
        <w:tc>
          <w:tcPr>
            <w:tcW w:w="3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444</w:t>
            </w:r>
          </w:p>
        </w:tc>
        <w:tc>
          <w:tcPr>
            <w:tcW w:w="20" w:type="dxa"/>
            <w:vAlign w:val="bottom"/>
          </w:tcPr>
          <w:p>
            <w:pPr>
              <w:spacing w:after="0"/>
              <w:rPr>
                <w:sz w:val="15"/>
                <w:szCs w:val="15"/>
                <w:color w:val="auto"/>
              </w:rPr>
            </w:pPr>
          </w:p>
        </w:tc>
      </w:tr>
      <w:tr>
        <w:trPr>
          <w:trHeight w:val="20"/>
        </w:trPr>
        <w:tc>
          <w:tcPr>
            <w:tcW w:w="38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3"/>
        </w:trPr>
        <w:tc>
          <w:tcPr>
            <w:tcW w:w="3800" w:type="dxa"/>
            <w:vAlign w:val="bottom"/>
          </w:tcPr>
          <w:p>
            <w:pPr>
              <w:ind w:left="120"/>
              <w:spacing w:after="0"/>
              <w:rPr>
                <w:sz w:val="20"/>
                <w:szCs w:val="20"/>
                <w:color w:val="auto"/>
              </w:rPr>
            </w:pPr>
            <w:r>
              <w:rPr>
                <w:rFonts w:ascii="Arial" w:cs="Arial" w:eastAsia="Arial" w:hAnsi="Arial"/>
                <w:sz w:val="13"/>
                <w:szCs w:val="13"/>
                <w:color w:val="auto"/>
              </w:rPr>
              <w:t>Total current liabilities</w:t>
            </w:r>
          </w:p>
        </w:tc>
        <w:tc>
          <w:tcPr>
            <w:tcW w:w="4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2,258</w:t>
            </w:r>
          </w:p>
        </w:tc>
        <w:tc>
          <w:tcPr>
            <w:tcW w:w="38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2,264</w:t>
            </w:r>
          </w:p>
        </w:tc>
        <w:tc>
          <w:tcPr>
            <w:tcW w:w="20" w:type="dxa"/>
            <w:vAlign w:val="bottom"/>
          </w:tcPr>
          <w:p>
            <w:pPr>
              <w:spacing w:after="0"/>
              <w:rPr>
                <w:sz w:val="14"/>
                <w:szCs w:val="14"/>
                <w:color w:val="auto"/>
              </w:rPr>
            </w:pPr>
          </w:p>
        </w:tc>
      </w:tr>
      <w:tr>
        <w:trPr>
          <w:trHeight w:val="20"/>
        </w:trPr>
        <w:tc>
          <w:tcPr>
            <w:tcW w:w="3800" w:type="dxa"/>
            <w:vAlign w:val="bottom"/>
            <w:shd w:val="clear" w:color="auto" w:fill="CFF0FC"/>
          </w:tcPr>
          <w:p>
            <w:pPr>
              <w:spacing w:after="0" w:line="20" w:lineRule="exact"/>
              <w:rPr>
                <w:sz w:val="1"/>
                <w:szCs w:val="1"/>
                <w:color w:val="auto"/>
              </w:rPr>
            </w:pPr>
          </w:p>
        </w:tc>
        <w:tc>
          <w:tcPr>
            <w:tcW w:w="48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4"/>
        </w:trPr>
        <w:tc>
          <w:tcPr>
            <w:tcW w:w="3800" w:type="dxa"/>
            <w:vAlign w:val="bottom"/>
            <w:shd w:val="clear" w:color="auto" w:fill="CFF0FC"/>
          </w:tcPr>
          <w:p>
            <w:pPr>
              <w:spacing w:after="0"/>
              <w:rPr>
                <w:sz w:val="20"/>
                <w:szCs w:val="20"/>
                <w:color w:val="auto"/>
              </w:rPr>
            </w:pPr>
            <w:r>
              <w:rPr>
                <w:rFonts w:ascii="Arial" w:cs="Arial" w:eastAsia="Arial" w:hAnsi="Arial"/>
                <w:sz w:val="13"/>
                <w:szCs w:val="13"/>
                <w:color w:val="auto"/>
              </w:rPr>
              <w:t>Long-term debt</w:t>
            </w:r>
          </w:p>
        </w:tc>
        <w:tc>
          <w:tcPr>
            <w:tcW w:w="48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b w:val="1"/>
                <w:bCs w:val="1"/>
                <w:color w:val="auto"/>
              </w:rPr>
              <w:t>3,577</w:t>
            </w:r>
          </w:p>
        </w:tc>
        <w:tc>
          <w:tcPr>
            <w:tcW w:w="3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2,978</w:t>
            </w:r>
          </w:p>
        </w:tc>
        <w:tc>
          <w:tcPr>
            <w:tcW w:w="20" w:type="dxa"/>
            <w:vAlign w:val="bottom"/>
          </w:tcPr>
          <w:p>
            <w:pPr>
              <w:spacing w:after="0"/>
              <w:rPr>
                <w:sz w:val="14"/>
                <w:szCs w:val="14"/>
                <w:color w:val="auto"/>
              </w:rPr>
            </w:pPr>
          </w:p>
        </w:tc>
      </w:tr>
      <w:tr>
        <w:trPr>
          <w:trHeight w:val="173"/>
        </w:trPr>
        <w:tc>
          <w:tcPr>
            <w:tcW w:w="3800" w:type="dxa"/>
            <w:vAlign w:val="bottom"/>
          </w:tcPr>
          <w:p>
            <w:pPr>
              <w:spacing w:after="0"/>
              <w:rPr>
                <w:sz w:val="20"/>
                <w:szCs w:val="20"/>
                <w:color w:val="auto"/>
              </w:rPr>
            </w:pPr>
            <w:r>
              <w:rPr>
                <w:rFonts w:ascii="Arial" w:cs="Arial" w:eastAsia="Arial" w:hAnsi="Arial"/>
                <w:sz w:val="13"/>
                <w:szCs w:val="13"/>
                <w:color w:val="auto"/>
              </w:rPr>
              <w:t>Underfunded retirement plans</w:t>
            </w:r>
          </w:p>
        </w:tc>
        <w:tc>
          <w:tcPr>
            <w:tcW w:w="4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89</w:t>
            </w:r>
          </w:p>
        </w:tc>
        <w:tc>
          <w:tcPr>
            <w:tcW w:w="38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129</w:t>
            </w:r>
          </w:p>
        </w:tc>
        <w:tc>
          <w:tcPr>
            <w:tcW w:w="20" w:type="dxa"/>
            <w:vAlign w:val="bottom"/>
          </w:tcPr>
          <w:p>
            <w:pPr>
              <w:spacing w:after="0"/>
              <w:rPr>
                <w:sz w:val="15"/>
                <w:szCs w:val="15"/>
                <w:color w:val="auto"/>
              </w:rPr>
            </w:pPr>
          </w:p>
        </w:tc>
      </w:tr>
      <w:tr>
        <w:trPr>
          <w:trHeight w:val="174"/>
        </w:trPr>
        <w:tc>
          <w:tcPr>
            <w:tcW w:w="3800" w:type="dxa"/>
            <w:vAlign w:val="bottom"/>
            <w:shd w:val="clear" w:color="auto" w:fill="CFF0FC"/>
          </w:tcPr>
          <w:p>
            <w:pPr>
              <w:spacing w:after="0"/>
              <w:rPr>
                <w:sz w:val="20"/>
                <w:szCs w:val="20"/>
                <w:color w:val="auto"/>
              </w:rPr>
            </w:pPr>
            <w:r>
              <w:rPr>
                <w:rFonts w:ascii="Arial" w:cs="Arial" w:eastAsia="Arial" w:hAnsi="Arial"/>
                <w:sz w:val="13"/>
                <w:szCs w:val="13"/>
                <w:color w:val="auto"/>
              </w:rPr>
              <w:t>Deferred tax liabilities</w:t>
            </w:r>
          </w:p>
        </w:tc>
        <w:tc>
          <w:tcPr>
            <w:tcW w:w="48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b w:val="1"/>
                <w:bCs w:val="1"/>
                <w:color w:val="auto"/>
              </w:rPr>
              <w:t>78</w:t>
            </w:r>
          </w:p>
        </w:tc>
        <w:tc>
          <w:tcPr>
            <w:tcW w:w="38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w:t>
            </w:r>
          </w:p>
        </w:tc>
        <w:tc>
          <w:tcPr>
            <w:tcW w:w="12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73"/>
        </w:trPr>
        <w:tc>
          <w:tcPr>
            <w:tcW w:w="3800" w:type="dxa"/>
            <w:vAlign w:val="bottom"/>
          </w:tcPr>
          <w:p>
            <w:pPr>
              <w:spacing w:after="0"/>
              <w:rPr>
                <w:sz w:val="20"/>
                <w:szCs w:val="20"/>
                <w:color w:val="auto"/>
              </w:rPr>
            </w:pPr>
            <w:r>
              <w:rPr>
                <w:rFonts w:ascii="Arial" w:cs="Arial" w:eastAsia="Arial" w:hAnsi="Arial"/>
                <w:sz w:val="13"/>
                <w:szCs w:val="13"/>
                <w:color w:val="auto"/>
              </w:rPr>
              <w:t>Deferred credits and other liabilities</w:t>
            </w:r>
          </w:p>
        </w:tc>
        <w:tc>
          <w:tcPr>
            <w:tcW w:w="4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1,303</w:t>
            </w:r>
          </w:p>
        </w:tc>
        <w:tc>
          <w:tcPr>
            <w:tcW w:w="38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554</w:t>
            </w:r>
          </w:p>
        </w:tc>
        <w:tc>
          <w:tcPr>
            <w:tcW w:w="20" w:type="dxa"/>
            <w:vAlign w:val="bottom"/>
          </w:tcPr>
          <w:p>
            <w:pPr>
              <w:spacing w:after="0"/>
              <w:rPr>
                <w:sz w:val="15"/>
                <w:szCs w:val="15"/>
                <w:color w:val="auto"/>
              </w:rPr>
            </w:pPr>
          </w:p>
        </w:tc>
      </w:tr>
      <w:tr>
        <w:trPr>
          <w:trHeight w:val="20"/>
        </w:trPr>
        <w:tc>
          <w:tcPr>
            <w:tcW w:w="3800" w:type="dxa"/>
            <w:vAlign w:val="bottom"/>
            <w:shd w:val="clear" w:color="auto" w:fill="CFF0FC"/>
          </w:tcPr>
          <w:p>
            <w:pPr>
              <w:spacing w:after="0" w:line="20" w:lineRule="exact"/>
              <w:rPr>
                <w:sz w:val="1"/>
                <w:szCs w:val="1"/>
                <w:color w:val="auto"/>
              </w:rPr>
            </w:pPr>
          </w:p>
        </w:tc>
        <w:tc>
          <w:tcPr>
            <w:tcW w:w="48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4"/>
        </w:trPr>
        <w:tc>
          <w:tcPr>
            <w:tcW w:w="3800" w:type="dxa"/>
            <w:vAlign w:val="bottom"/>
            <w:shd w:val="clear" w:color="auto" w:fill="CFF0FC"/>
          </w:tcPr>
          <w:p>
            <w:pPr>
              <w:spacing w:after="0"/>
              <w:rPr>
                <w:sz w:val="20"/>
                <w:szCs w:val="20"/>
                <w:color w:val="auto"/>
              </w:rPr>
            </w:pPr>
            <w:r>
              <w:rPr>
                <w:rFonts w:ascii="Arial" w:cs="Arial" w:eastAsia="Arial" w:hAnsi="Arial"/>
                <w:sz w:val="13"/>
                <w:szCs w:val="13"/>
                <w:color w:val="auto"/>
              </w:rPr>
              <w:t>Total liabilities</w:t>
            </w:r>
          </w:p>
        </w:tc>
        <w:tc>
          <w:tcPr>
            <w:tcW w:w="48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b w:val="1"/>
                <w:bCs w:val="1"/>
                <w:color w:val="auto"/>
              </w:rPr>
              <w:t>7,305</w:t>
            </w:r>
          </w:p>
        </w:tc>
        <w:tc>
          <w:tcPr>
            <w:tcW w:w="38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5,958</w:t>
            </w:r>
          </w:p>
        </w:tc>
        <w:tc>
          <w:tcPr>
            <w:tcW w:w="20" w:type="dxa"/>
            <w:vAlign w:val="bottom"/>
          </w:tcPr>
          <w:p>
            <w:pPr>
              <w:spacing w:after="0"/>
              <w:rPr>
                <w:sz w:val="14"/>
                <w:szCs w:val="14"/>
                <w:color w:val="auto"/>
              </w:rPr>
            </w:pPr>
          </w:p>
        </w:tc>
      </w:tr>
      <w:tr>
        <w:trPr>
          <w:trHeight w:val="163"/>
        </w:trPr>
        <w:tc>
          <w:tcPr>
            <w:tcW w:w="3800" w:type="dxa"/>
            <w:vAlign w:val="bottom"/>
          </w:tcPr>
          <w:p>
            <w:pPr>
              <w:spacing w:after="0"/>
              <w:rPr>
                <w:sz w:val="20"/>
                <w:szCs w:val="20"/>
                <w:color w:val="auto"/>
              </w:rPr>
            </w:pPr>
            <w:r>
              <w:rPr>
                <w:rFonts w:ascii="Arial" w:cs="Arial" w:eastAsia="Arial" w:hAnsi="Arial"/>
                <w:sz w:val="13"/>
                <w:szCs w:val="13"/>
                <w:color w:val="auto"/>
              </w:rPr>
              <w:t>Stockholders’ equity:</w:t>
            </w:r>
          </w:p>
        </w:tc>
        <w:tc>
          <w:tcPr>
            <w:tcW w:w="480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4"/>
        </w:trPr>
        <w:tc>
          <w:tcPr>
            <w:tcW w:w="38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Preferred stock, $25 par value. Authorized – 10,000,000 shares</w:t>
            </w:r>
          </w:p>
        </w:tc>
        <w:tc>
          <w:tcPr>
            <w:tcW w:w="48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73"/>
        </w:trPr>
        <w:tc>
          <w:tcPr>
            <w:tcW w:w="3800" w:type="dxa"/>
            <w:vAlign w:val="bottom"/>
          </w:tcPr>
          <w:p>
            <w:pPr>
              <w:ind w:left="260"/>
              <w:spacing w:after="0"/>
              <w:rPr>
                <w:sz w:val="20"/>
                <w:szCs w:val="20"/>
                <w:color w:val="auto"/>
              </w:rPr>
            </w:pPr>
            <w:r>
              <w:rPr>
                <w:rFonts w:ascii="Arial" w:cs="Arial" w:eastAsia="Arial" w:hAnsi="Arial"/>
                <w:sz w:val="13"/>
                <w:szCs w:val="13"/>
                <w:color w:val="auto"/>
              </w:rPr>
              <w:t>Participating cumulative preferred – None issued</w:t>
            </w:r>
          </w:p>
        </w:tc>
        <w:tc>
          <w:tcPr>
            <w:tcW w:w="4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r>
      <w:tr>
        <w:trPr>
          <w:trHeight w:val="174"/>
        </w:trPr>
        <w:tc>
          <w:tcPr>
            <w:tcW w:w="3800" w:type="dxa"/>
            <w:vAlign w:val="bottom"/>
            <w:shd w:val="clear" w:color="auto" w:fill="CFF0FC"/>
          </w:tcPr>
          <w:p>
            <w:pPr>
              <w:ind w:left="120"/>
              <w:spacing w:after="0"/>
              <w:rPr>
                <w:sz w:val="20"/>
                <w:szCs w:val="20"/>
                <w:color w:val="auto"/>
              </w:rPr>
            </w:pPr>
            <w:r>
              <w:rPr>
                <w:rFonts w:ascii="Arial" w:cs="Arial" w:eastAsia="Arial" w:hAnsi="Arial"/>
                <w:sz w:val="13"/>
                <w:szCs w:val="13"/>
                <w:color w:val="auto"/>
                <w:w w:val="97"/>
              </w:rPr>
              <w:t>Common stock, $1 par value. Authorized – 2,400,000,000 shares</w:t>
            </w:r>
          </w:p>
        </w:tc>
        <w:tc>
          <w:tcPr>
            <w:tcW w:w="48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73"/>
        </w:trPr>
        <w:tc>
          <w:tcPr>
            <w:tcW w:w="3800" w:type="dxa"/>
            <w:vAlign w:val="bottom"/>
          </w:tcPr>
          <w:p>
            <w:pPr>
              <w:ind w:left="260"/>
              <w:spacing w:after="0"/>
              <w:rPr>
                <w:sz w:val="20"/>
                <w:szCs w:val="20"/>
                <w:color w:val="auto"/>
              </w:rPr>
            </w:pPr>
            <w:r>
              <w:rPr>
                <w:rFonts w:ascii="Arial" w:cs="Arial" w:eastAsia="Arial" w:hAnsi="Arial"/>
                <w:sz w:val="13"/>
                <w:szCs w:val="13"/>
                <w:color w:val="auto"/>
              </w:rPr>
              <w:t>Shares issued – 1,740,815,939</w:t>
            </w:r>
          </w:p>
        </w:tc>
        <w:tc>
          <w:tcPr>
            <w:tcW w:w="4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1,741</w:t>
            </w:r>
          </w:p>
        </w:tc>
        <w:tc>
          <w:tcPr>
            <w:tcW w:w="38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1,741</w:t>
            </w:r>
          </w:p>
        </w:tc>
        <w:tc>
          <w:tcPr>
            <w:tcW w:w="20" w:type="dxa"/>
            <w:vAlign w:val="bottom"/>
          </w:tcPr>
          <w:p>
            <w:pPr>
              <w:spacing w:after="0"/>
              <w:rPr>
                <w:sz w:val="15"/>
                <w:szCs w:val="15"/>
                <w:color w:val="auto"/>
              </w:rPr>
            </w:pPr>
          </w:p>
        </w:tc>
      </w:tr>
      <w:tr>
        <w:trPr>
          <w:trHeight w:val="174"/>
        </w:trPr>
        <w:tc>
          <w:tcPr>
            <w:tcW w:w="38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Paid-in capital</w:t>
            </w:r>
          </w:p>
        </w:tc>
        <w:tc>
          <w:tcPr>
            <w:tcW w:w="48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b w:val="1"/>
                <w:bCs w:val="1"/>
                <w:color w:val="auto"/>
              </w:rPr>
              <w:t>1,776</w:t>
            </w:r>
          </w:p>
        </w:tc>
        <w:tc>
          <w:tcPr>
            <w:tcW w:w="3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1,674</w:t>
            </w:r>
          </w:p>
        </w:tc>
        <w:tc>
          <w:tcPr>
            <w:tcW w:w="20" w:type="dxa"/>
            <w:vAlign w:val="bottom"/>
          </w:tcPr>
          <w:p>
            <w:pPr>
              <w:spacing w:after="0"/>
              <w:rPr>
                <w:sz w:val="15"/>
                <w:szCs w:val="15"/>
                <w:color w:val="auto"/>
              </w:rPr>
            </w:pPr>
          </w:p>
        </w:tc>
      </w:tr>
      <w:tr>
        <w:trPr>
          <w:trHeight w:val="173"/>
        </w:trPr>
        <w:tc>
          <w:tcPr>
            <w:tcW w:w="3800" w:type="dxa"/>
            <w:vAlign w:val="bottom"/>
          </w:tcPr>
          <w:p>
            <w:pPr>
              <w:ind w:left="120"/>
              <w:spacing w:after="0"/>
              <w:rPr>
                <w:sz w:val="20"/>
                <w:szCs w:val="20"/>
                <w:color w:val="auto"/>
              </w:rPr>
            </w:pPr>
            <w:r>
              <w:rPr>
                <w:rFonts w:ascii="Arial" w:cs="Arial" w:eastAsia="Arial" w:hAnsi="Arial"/>
                <w:sz w:val="13"/>
                <w:szCs w:val="13"/>
                <w:color w:val="auto"/>
              </w:rPr>
              <w:t>Retained earnings</w:t>
            </w:r>
          </w:p>
        </w:tc>
        <w:tc>
          <w:tcPr>
            <w:tcW w:w="4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34,662</w:t>
            </w:r>
          </w:p>
        </w:tc>
        <w:tc>
          <w:tcPr>
            <w:tcW w:w="38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33,107</w:t>
            </w:r>
          </w:p>
        </w:tc>
        <w:tc>
          <w:tcPr>
            <w:tcW w:w="20" w:type="dxa"/>
            <w:vAlign w:val="bottom"/>
          </w:tcPr>
          <w:p>
            <w:pPr>
              <w:spacing w:after="0"/>
              <w:rPr>
                <w:sz w:val="15"/>
                <w:szCs w:val="15"/>
                <w:color w:val="auto"/>
              </w:rPr>
            </w:pPr>
          </w:p>
        </w:tc>
      </w:tr>
      <w:tr>
        <w:trPr>
          <w:trHeight w:val="174"/>
        </w:trPr>
        <w:tc>
          <w:tcPr>
            <w:tcW w:w="38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Treasury common stock at cost</w:t>
            </w:r>
          </w:p>
        </w:tc>
        <w:tc>
          <w:tcPr>
            <w:tcW w:w="48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73"/>
        </w:trPr>
        <w:tc>
          <w:tcPr>
            <w:tcW w:w="3800" w:type="dxa"/>
            <w:vAlign w:val="bottom"/>
          </w:tcPr>
          <w:p>
            <w:pPr>
              <w:ind w:left="260"/>
              <w:spacing w:after="0"/>
              <w:rPr>
                <w:sz w:val="20"/>
                <w:szCs w:val="20"/>
                <w:color w:val="auto"/>
              </w:rPr>
            </w:pPr>
            <w:r>
              <w:rPr>
                <w:rFonts w:ascii="Arial" w:cs="Arial" w:eastAsia="Arial" w:hAnsi="Arial"/>
                <w:sz w:val="13"/>
                <w:szCs w:val="13"/>
                <w:color w:val="auto"/>
              </w:rPr>
              <w:t>Shares: 2017 – 757,657,217; 2016 – 744,831,978</w:t>
            </w:r>
          </w:p>
        </w:tc>
        <w:tc>
          <w:tcPr>
            <w:tcW w:w="48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99"/>
              </w:rPr>
              <w:t>(27,458)</w:t>
            </w:r>
          </w:p>
        </w:tc>
        <w:tc>
          <w:tcPr>
            <w:tcW w:w="380" w:type="dxa"/>
            <w:vAlign w:val="bottom"/>
          </w:tcPr>
          <w:p>
            <w:pPr>
              <w:spacing w:after="0"/>
              <w:rPr>
                <w:sz w:val="15"/>
                <w:szCs w:val="15"/>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(25,523)</w:t>
            </w:r>
          </w:p>
        </w:tc>
        <w:tc>
          <w:tcPr>
            <w:tcW w:w="20" w:type="dxa"/>
            <w:vAlign w:val="bottom"/>
          </w:tcPr>
          <w:p>
            <w:pPr>
              <w:spacing w:after="0"/>
              <w:rPr>
                <w:sz w:val="15"/>
                <w:szCs w:val="15"/>
                <w:color w:val="auto"/>
              </w:rPr>
            </w:pPr>
          </w:p>
        </w:tc>
      </w:tr>
      <w:tr>
        <w:trPr>
          <w:trHeight w:val="174"/>
        </w:trPr>
        <w:tc>
          <w:tcPr>
            <w:tcW w:w="3800" w:type="dxa"/>
            <w:vAlign w:val="bottom"/>
            <w:shd w:val="clear" w:color="auto" w:fill="CFF0FC"/>
          </w:tcPr>
          <w:p>
            <w:pPr>
              <w:ind w:left="120"/>
              <w:spacing w:after="0"/>
              <w:rPr>
                <w:sz w:val="20"/>
                <w:szCs w:val="20"/>
                <w:color w:val="auto"/>
              </w:rPr>
            </w:pPr>
            <w:r>
              <w:rPr>
                <w:rFonts w:ascii="Arial" w:cs="Arial" w:eastAsia="Arial" w:hAnsi="Arial"/>
                <w:sz w:val="13"/>
                <w:szCs w:val="13"/>
                <w:color w:val="auto"/>
                <w:w w:val="91"/>
              </w:rPr>
              <w:t>Accumulated other comprehensive income (loss), net of taxes (AOCI)</w:t>
            </w:r>
          </w:p>
        </w:tc>
        <w:tc>
          <w:tcPr>
            <w:tcW w:w="48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68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b w:val="1"/>
                <w:bCs w:val="1"/>
                <w:color w:val="auto"/>
              </w:rPr>
              <w:t>(384)</w:t>
            </w:r>
          </w:p>
        </w:tc>
        <w:tc>
          <w:tcPr>
            <w:tcW w:w="38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(526)</w:t>
            </w:r>
          </w:p>
        </w:tc>
        <w:tc>
          <w:tcPr>
            <w:tcW w:w="20" w:type="dxa"/>
            <w:vAlign w:val="bottom"/>
          </w:tcPr>
          <w:p>
            <w:pPr>
              <w:spacing w:after="0"/>
              <w:rPr>
                <w:sz w:val="15"/>
                <w:szCs w:val="15"/>
                <w:color w:val="auto"/>
              </w:rPr>
            </w:pPr>
          </w:p>
        </w:tc>
      </w:tr>
      <w:tr>
        <w:trPr>
          <w:trHeight w:val="20"/>
        </w:trPr>
        <w:tc>
          <w:tcPr>
            <w:tcW w:w="38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3"/>
        </w:trPr>
        <w:tc>
          <w:tcPr>
            <w:tcW w:w="3800" w:type="dxa"/>
            <w:vAlign w:val="bottom"/>
          </w:tcPr>
          <w:p>
            <w:pPr>
              <w:ind w:left="120"/>
              <w:spacing w:after="0"/>
              <w:rPr>
                <w:sz w:val="20"/>
                <w:szCs w:val="20"/>
                <w:color w:val="auto"/>
              </w:rPr>
            </w:pPr>
            <w:r>
              <w:rPr>
                <w:rFonts w:ascii="Arial" w:cs="Arial" w:eastAsia="Arial" w:hAnsi="Arial"/>
                <w:sz w:val="13"/>
                <w:szCs w:val="13"/>
                <w:color w:val="auto"/>
              </w:rPr>
              <w:t>Total stockholders’ equity</w:t>
            </w:r>
          </w:p>
        </w:tc>
        <w:tc>
          <w:tcPr>
            <w:tcW w:w="4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10,337</w:t>
            </w:r>
          </w:p>
        </w:tc>
        <w:tc>
          <w:tcPr>
            <w:tcW w:w="380" w:type="dxa"/>
            <w:vAlign w:val="bottom"/>
          </w:tcPr>
          <w:p>
            <w:pPr>
              <w:spacing w:after="0"/>
              <w:rPr>
                <w:sz w:val="14"/>
                <w:szCs w:val="14"/>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10,473</w:t>
            </w:r>
          </w:p>
        </w:tc>
        <w:tc>
          <w:tcPr>
            <w:tcW w:w="20" w:type="dxa"/>
            <w:vAlign w:val="bottom"/>
          </w:tcPr>
          <w:p>
            <w:pPr>
              <w:spacing w:after="0"/>
              <w:rPr>
                <w:sz w:val="14"/>
                <w:szCs w:val="14"/>
                <w:color w:val="auto"/>
              </w:rPr>
            </w:pPr>
          </w:p>
        </w:tc>
      </w:tr>
      <w:tr>
        <w:trPr>
          <w:trHeight w:val="20"/>
        </w:trPr>
        <w:tc>
          <w:tcPr>
            <w:tcW w:w="3800" w:type="dxa"/>
            <w:vAlign w:val="bottom"/>
            <w:shd w:val="clear" w:color="auto" w:fill="CFF0FC"/>
          </w:tcPr>
          <w:p>
            <w:pPr>
              <w:spacing w:after="0" w:line="20" w:lineRule="exact"/>
              <w:rPr>
                <w:sz w:val="1"/>
                <w:szCs w:val="1"/>
                <w:color w:val="auto"/>
              </w:rPr>
            </w:pPr>
          </w:p>
        </w:tc>
        <w:tc>
          <w:tcPr>
            <w:tcW w:w="480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3800" w:type="dxa"/>
            <w:vAlign w:val="bottom"/>
            <w:shd w:val="clear" w:color="auto" w:fill="CFF0FC"/>
          </w:tcPr>
          <w:p>
            <w:pPr>
              <w:spacing w:after="0"/>
              <w:rPr>
                <w:sz w:val="20"/>
                <w:szCs w:val="20"/>
                <w:color w:val="auto"/>
              </w:rPr>
            </w:pPr>
            <w:r>
              <w:rPr>
                <w:rFonts w:ascii="Arial" w:cs="Arial" w:eastAsia="Arial" w:hAnsi="Arial"/>
                <w:sz w:val="13"/>
                <w:szCs w:val="13"/>
                <w:color w:val="auto"/>
              </w:rPr>
              <w:t>Total liabilities and stockholders’ equity</w:t>
            </w:r>
          </w:p>
        </w:tc>
        <w:tc>
          <w:tcPr>
            <w:tcW w:w="4800" w:type="dxa"/>
            <w:vAlign w:val="bottom"/>
            <w:shd w:val="clear" w:color="auto" w:fill="CFF0FC"/>
          </w:tcPr>
          <w:p>
            <w:pPr>
              <w:spacing w:after="0"/>
              <w:rPr>
                <w:sz w:val="15"/>
                <w:szCs w:val="15"/>
                <w:color w:val="auto"/>
              </w:rPr>
            </w:pPr>
          </w:p>
        </w:tc>
        <w:tc>
          <w:tcPr>
            <w:tcW w:w="820" w:type="dxa"/>
            <w:vAlign w:val="bottom"/>
            <w:shd w:val="clear" w:color="auto" w:fill="CFF0FC"/>
          </w:tcPr>
          <w:p>
            <w:pPr>
              <w:jc w:val="right"/>
              <w:ind w:right="712"/>
              <w:spacing w:after="0"/>
              <w:rPr>
                <w:sz w:val="20"/>
                <w:szCs w:val="20"/>
                <w:color w:val="auto"/>
              </w:rPr>
            </w:pPr>
            <w:r>
              <w:rPr>
                <w:rFonts w:ascii="Arial" w:cs="Arial" w:eastAsia="Arial" w:hAnsi="Arial"/>
                <w:sz w:val="10"/>
                <w:szCs w:val="10"/>
                <w:b w:val="1"/>
                <w:bCs w:val="1"/>
                <w:color w:val="auto"/>
                <w:w w:val="71"/>
              </w:rPr>
              <w:t>$</w:t>
            </w: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b w:val="1"/>
                <w:bCs w:val="1"/>
                <w:color w:val="auto"/>
              </w:rPr>
              <w:t>17,642</w:t>
            </w:r>
          </w:p>
        </w:tc>
        <w:tc>
          <w:tcPr>
            <w:tcW w:w="380" w:type="dxa"/>
            <w:vAlign w:val="bottom"/>
            <w:shd w:val="clear" w:color="auto" w:fill="CFF0FC"/>
          </w:tcPr>
          <w:p>
            <w:pPr>
              <w:jc w:val="right"/>
              <w:ind w:right="272"/>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16,431</w:t>
            </w:r>
          </w:p>
        </w:tc>
        <w:tc>
          <w:tcPr>
            <w:tcW w:w="20" w:type="dxa"/>
            <w:vAlign w:val="bottom"/>
          </w:tcPr>
          <w:p>
            <w:pPr>
              <w:spacing w:after="0"/>
              <w:rPr>
                <w:sz w:val="15"/>
                <w:szCs w:val="15"/>
                <w:color w:val="auto"/>
              </w:rPr>
            </w:pPr>
          </w:p>
        </w:tc>
      </w:tr>
      <w:tr>
        <w:trPr>
          <w:trHeight w:val="849"/>
        </w:trPr>
        <w:tc>
          <w:tcPr>
            <w:tcW w:w="3800" w:type="dxa"/>
            <w:vAlign w:val="bottom"/>
            <w:tcBorders>
              <w:top w:val="single" w:sz="8" w:color="CFF0FC"/>
              <w:bottom w:val="single" w:sz="8" w:color="9A9A9A"/>
            </w:tcBorders>
          </w:tcPr>
          <w:p>
            <w:pPr>
              <w:spacing w:after="0"/>
              <w:rPr>
                <w:sz w:val="24"/>
                <w:szCs w:val="24"/>
                <w:color w:val="auto"/>
              </w:rPr>
            </w:pPr>
          </w:p>
        </w:tc>
        <w:tc>
          <w:tcPr>
            <w:tcW w:w="4800" w:type="dxa"/>
            <w:vAlign w:val="bottom"/>
            <w:tcBorders>
              <w:top w:val="single" w:sz="8" w:color="CFF0FC"/>
              <w:bottom w:val="single" w:sz="8" w:color="9A9A9A"/>
            </w:tcBorders>
          </w:tcPr>
          <w:p>
            <w:pPr>
              <w:spacing w:after="0"/>
              <w:rPr>
                <w:sz w:val="24"/>
                <w:szCs w:val="24"/>
                <w:color w:val="auto"/>
              </w:rPr>
            </w:pPr>
          </w:p>
        </w:tc>
        <w:tc>
          <w:tcPr>
            <w:tcW w:w="820" w:type="dxa"/>
            <w:vAlign w:val="bottom"/>
            <w:tcBorders>
              <w:top w:val="single" w:sz="8" w:color="auto"/>
              <w:bottom w:val="single" w:sz="8" w:color="9A9A9A"/>
            </w:tcBorders>
          </w:tcPr>
          <w:p>
            <w:pPr>
              <w:spacing w:after="0"/>
              <w:rPr>
                <w:sz w:val="24"/>
                <w:szCs w:val="24"/>
                <w:color w:val="auto"/>
              </w:rPr>
            </w:pPr>
          </w:p>
        </w:tc>
        <w:tc>
          <w:tcPr>
            <w:tcW w:w="440" w:type="dxa"/>
            <w:vAlign w:val="bottom"/>
            <w:tcBorders>
              <w:top w:val="single" w:sz="8" w:color="auto"/>
              <w:bottom w:val="single" w:sz="8" w:color="9A9A9A"/>
            </w:tcBorders>
          </w:tcPr>
          <w:p>
            <w:pPr>
              <w:spacing w:after="0"/>
              <w:rPr>
                <w:sz w:val="24"/>
                <w:szCs w:val="24"/>
                <w:color w:val="auto"/>
              </w:rPr>
            </w:pPr>
          </w:p>
        </w:tc>
        <w:tc>
          <w:tcPr>
            <w:tcW w:w="240" w:type="dxa"/>
            <w:vAlign w:val="bottom"/>
            <w:tcBorders>
              <w:top w:val="single" w:sz="8" w:color="CFF0FC"/>
              <w:bottom w:val="single" w:sz="8" w:color="9A9A9A"/>
            </w:tcBorders>
          </w:tcPr>
          <w:p>
            <w:pPr>
              <w:spacing w:after="0"/>
              <w:rPr>
                <w:sz w:val="24"/>
                <w:szCs w:val="24"/>
                <w:color w:val="auto"/>
              </w:rPr>
            </w:pPr>
          </w:p>
        </w:tc>
        <w:tc>
          <w:tcPr>
            <w:tcW w:w="380" w:type="dxa"/>
            <w:vAlign w:val="bottom"/>
            <w:tcBorders>
              <w:top w:val="single" w:sz="8" w:color="auto"/>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7277100</wp:posOffset>
            </wp:positionH>
            <wp:positionV relativeFrom="paragraph">
              <wp:posOffset>-24130</wp:posOffset>
            </wp:positionV>
            <wp:extent cx="31750" cy="374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1750" cy="3746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-24130</wp:posOffset>
            </wp:positionV>
            <wp:extent cx="31750" cy="374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1750" cy="37465"/>
                    </a:xfrm>
                    <a:prstGeom prst="rect">
                      <a:avLst/>
                    </a:prstGeom>
                    <a:noFill/>
                  </pic:spPr>
                </pic:pic>
              </a:graphicData>
            </a:graphic>
          </wp:anchor>
        </w:drawing>
      </w:r>
    </w:p>
    <w:p>
      <w:pPr>
        <w:sectPr>
          <w:pgSz w:w="11900" w:h="16838" w:orient="portrait"/>
          <w:cols w:equalWidth="0" w:num="1">
            <w:col w:w="11500"/>
          </w:cols>
          <w:pgMar w:left="220" w:top="127" w:right="1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67"/>
        </w:trPr>
        <w:tc>
          <w:tcPr>
            <w:tcW w:w="3780" w:type="dxa"/>
            <w:vAlign w:val="bottom"/>
          </w:tcPr>
          <w:p>
            <w:pPr>
              <w:spacing w:after="0"/>
              <w:rPr>
                <w:sz w:val="20"/>
                <w:szCs w:val="20"/>
                <w:color w:val="auto"/>
              </w:rPr>
            </w:pPr>
            <w:r>
              <w:rPr>
                <w:rFonts w:ascii="Arial" w:cs="Arial" w:eastAsia="Arial" w:hAnsi="Arial"/>
                <w:sz w:val="13"/>
                <w:szCs w:val="13"/>
                <w:b w:val="1"/>
                <w:bCs w:val="1"/>
                <w:color w:val="auto"/>
                <w:w w:val="91"/>
              </w:rPr>
              <w:t>TI reports 4Q17 and 2017 financial results and shareholder returns</w:t>
            </w:r>
          </w:p>
        </w:tc>
        <w:tc>
          <w:tcPr>
            <w:tcW w:w="1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3"/>
                <w:szCs w:val="13"/>
                <w:b w:val="1"/>
                <w:bCs w:val="1"/>
                <w:color w:val="auto"/>
              </w:rPr>
              <w:t>Page 5</w:t>
            </w:r>
          </w:p>
        </w:tc>
        <w:tc>
          <w:tcPr>
            <w:tcW w:w="20" w:type="dxa"/>
            <w:vAlign w:val="bottom"/>
          </w:tcPr>
          <w:p>
            <w:pPr>
              <w:spacing w:after="0"/>
              <w:rPr>
                <w:sz w:val="14"/>
                <w:szCs w:val="14"/>
                <w:color w:val="auto"/>
              </w:rPr>
            </w:pPr>
          </w:p>
        </w:tc>
      </w:tr>
      <w:tr>
        <w:trPr>
          <w:trHeight w:val="297"/>
        </w:trPr>
        <w:tc>
          <w:tcPr>
            <w:tcW w:w="3780" w:type="dxa"/>
            <w:vAlign w:val="bottom"/>
          </w:tcPr>
          <w:p>
            <w:pPr>
              <w:spacing w:after="0"/>
              <w:rPr>
                <w:sz w:val="24"/>
                <w:szCs w:val="24"/>
                <w:color w:val="auto"/>
              </w:rPr>
            </w:pPr>
          </w:p>
        </w:tc>
        <w:tc>
          <w:tcPr>
            <w:tcW w:w="3840" w:type="dxa"/>
            <w:vAlign w:val="bottom"/>
            <w:gridSpan w:val="5"/>
          </w:tcPr>
          <w:p>
            <w:pPr>
              <w:jc w:val="center"/>
              <w:spacing w:after="0"/>
              <w:rPr>
                <w:sz w:val="20"/>
                <w:szCs w:val="20"/>
                <w:color w:val="auto"/>
              </w:rPr>
            </w:pPr>
            <w:r>
              <w:rPr>
                <w:rFonts w:ascii="Arial" w:cs="Arial" w:eastAsia="Arial" w:hAnsi="Arial"/>
                <w:sz w:val="13"/>
                <w:szCs w:val="13"/>
                <w:b w:val="1"/>
                <w:bCs w:val="1"/>
                <w:color w:val="auto"/>
                <w:w w:val="98"/>
              </w:rPr>
              <w:t>TEXAS INSTRUMENTS INCORPORATED AND SUBSIDIARIES</w:t>
            </w: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54"/>
        </w:trPr>
        <w:tc>
          <w:tcPr>
            <w:tcW w:w="3780" w:type="dxa"/>
            <w:vAlign w:val="bottom"/>
          </w:tcPr>
          <w:p>
            <w:pPr>
              <w:spacing w:after="0"/>
              <w:rPr>
                <w:sz w:val="13"/>
                <w:szCs w:val="13"/>
                <w:color w:val="auto"/>
              </w:rPr>
            </w:pPr>
          </w:p>
        </w:tc>
        <w:tc>
          <w:tcPr>
            <w:tcW w:w="3340" w:type="dxa"/>
            <w:vAlign w:val="bottom"/>
            <w:gridSpan w:val="4"/>
          </w:tcPr>
          <w:p>
            <w:pPr>
              <w:jc w:val="center"/>
              <w:ind w:left="516"/>
              <w:spacing w:after="0"/>
              <w:rPr>
                <w:sz w:val="20"/>
                <w:szCs w:val="20"/>
                <w:color w:val="auto"/>
              </w:rPr>
            </w:pPr>
            <w:r>
              <w:rPr>
                <w:rFonts w:ascii="Arial" w:cs="Arial" w:eastAsia="Arial" w:hAnsi="Arial"/>
                <w:sz w:val="13"/>
                <w:szCs w:val="13"/>
                <w:b w:val="1"/>
                <w:bCs w:val="1"/>
                <w:color w:val="auto"/>
                <w:w w:val="87"/>
              </w:rPr>
              <w:t>Consolidated Statements of Cash Flows</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7"/>
        </w:trPr>
        <w:tc>
          <w:tcPr>
            <w:tcW w:w="3780" w:type="dxa"/>
            <w:vAlign w:val="bottom"/>
          </w:tcPr>
          <w:p>
            <w:pPr>
              <w:spacing w:after="0"/>
              <w:rPr>
                <w:sz w:val="14"/>
                <w:szCs w:val="14"/>
                <w:color w:val="auto"/>
              </w:rPr>
            </w:pPr>
          </w:p>
        </w:tc>
        <w:tc>
          <w:tcPr>
            <w:tcW w:w="3340" w:type="dxa"/>
            <w:vAlign w:val="bottom"/>
            <w:gridSpan w:val="4"/>
          </w:tcPr>
          <w:p>
            <w:pPr>
              <w:jc w:val="center"/>
              <w:ind w:left="516"/>
              <w:spacing w:after="0"/>
              <w:rPr>
                <w:sz w:val="20"/>
                <w:szCs w:val="20"/>
                <w:color w:val="auto"/>
              </w:rPr>
            </w:pPr>
            <w:r>
              <w:rPr>
                <w:rFonts w:ascii="Arial" w:cs="Arial" w:eastAsia="Arial" w:hAnsi="Arial"/>
                <w:sz w:val="13"/>
                <w:szCs w:val="13"/>
                <w:b w:val="1"/>
                <w:bCs w:val="1"/>
                <w:color w:val="auto"/>
                <w:w w:val="90"/>
              </w:rPr>
              <w:t>(Millions of dollars)</w:t>
            </w: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28"/>
        </w:trPr>
        <w:tc>
          <w:tcPr>
            <w:tcW w:w="37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20" w:type="dxa"/>
            <w:vAlign w:val="bottom"/>
            <w:gridSpan w:val="5"/>
          </w:tcPr>
          <w:p>
            <w:pPr>
              <w:jc w:val="right"/>
              <w:ind w:right="820"/>
              <w:spacing w:after="0"/>
              <w:rPr>
                <w:sz w:val="20"/>
                <w:szCs w:val="20"/>
                <w:color w:val="auto"/>
              </w:rPr>
            </w:pPr>
            <w:r>
              <w:rPr>
                <w:rFonts w:ascii="Arial" w:cs="Arial" w:eastAsia="Arial" w:hAnsi="Arial"/>
                <w:sz w:val="13"/>
                <w:szCs w:val="13"/>
                <w:b w:val="1"/>
                <w:bCs w:val="1"/>
                <w:color w:val="auto"/>
              </w:rPr>
              <w:t>For Three Months Ended</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40" w:type="dxa"/>
            <w:vAlign w:val="bottom"/>
            <w:gridSpan w:val="3"/>
          </w:tcPr>
          <w:p>
            <w:pPr>
              <w:jc w:val="right"/>
              <w:ind w:right="32"/>
              <w:spacing w:after="0"/>
              <w:rPr>
                <w:sz w:val="20"/>
                <w:szCs w:val="20"/>
                <w:color w:val="auto"/>
              </w:rPr>
            </w:pPr>
            <w:r>
              <w:rPr>
                <w:rFonts w:ascii="Arial" w:cs="Arial" w:eastAsia="Arial" w:hAnsi="Arial"/>
                <w:sz w:val="13"/>
                <w:szCs w:val="13"/>
                <w:b w:val="1"/>
                <w:bCs w:val="1"/>
                <w:color w:val="auto"/>
              </w:rPr>
              <w:t>For Years Ended</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4"/>
        </w:trPr>
        <w:tc>
          <w:tcPr>
            <w:tcW w:w="37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3"/>
                <w:szCs w:val="13"/>
                <w:b w:val="1"/>
                <w:bCs w:val="1"/>
                <w:color w:val="auto"/>
              </w:rPr>
              <w:t>December 31,</w:t>
            </w:r>
          </w:p>
        </w:tc>
        <w:tc>
          <w:tcPr>
            <w:tcW w:w="7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132"/>
              <w:spacing w:after="0"/>
              <w:rPr>
                <w:sz w:val="20"/>
                <w:szCs w:val="20"/>
                <w:color w:val="auto"/>
              </w:rPr>
            </w:pPr>
            <w:r>
              <w:rPr>
                <w:rFonts w:ascii="Arial" w:cs="Arial" w:eastAsia="Arial" w:hAnsi="Arial"/>
                <w:sz w:val="13"/>
                <w:szCs w:val="13"/>
                <w:b w:val="1"/>
                <w:bCs w:val="1"/>
                <w:color w:val="auto"/>
              </w:rPr>
              <w:t>December 31,</w:t>
            </w:r>
          </w:p>
        </w:tc>
        <w:tc>
          <w:tcPr>
            <w:tcW w:w="8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63"/>
        </w:trPr>
        <w:tc>
          <w:tcPr>
            <w:tcW w:w="3780" w:type="dxa"/>
            <w:vAlign w:val="bottom"/>
            <w:tcBorders>
              <w:bottom w:val="single" w:sz="8" w:color="CFF0FC"/>
            </w:tcBorders>
          </w:tcPr>
          <w:p>
            <w:pPr>
              <w:spacing w:after="0"/>
              <w:rPr>
                <w:sz w:val="14"/>
                <w:szCs w:val="14"/>
                <w:color w:val="auto"/>
              </w:rPr>
            </w:pPr>
          </w:p>
        </w:tc>
        <w:tc>
          <w:tcPr>
            <w:tcW w:w="184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2017</w:t>
            </w:r>
          </w:p>
        </w:tc>
        <w:tc>
          <w:tcPr>
            <w:tcW w:w="240" w:type="dxa"/>
            <w:vAlign w:val="bottom"/>
            <w:tcBorders>
              <w:bottom w:val="single" w:sz="8" w:color="CFF0FC"/>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w w:val="82"/>
              </w:rPr>
              <w:t>2016</w:t>
            </w:r>
          </w:p>
        </w:tc>
        <w:tc>
          <w:tcPr>
            <w:tcW w:w="14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2017</w:t>
            </w:r>
          </w:p>
        </w:tc>
        <w:tc>
          <w:tcPr>
            <w:tcW w:w="240" w:type="dxa"/>
            <w:vAlign w:val="bottom"/>
            <w:tcBorders>
              <w:bottom w:val="single" w:sz="8" w:color="CFF0FC"/>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36"/>
              <w:spacing w:after="0"/>
              <w:rPr>
                <w:sz w:val="20"/>
                <w:szCs w:val="20"/>
                <w:color w:val="auto"/>
              </w:rPr>
            </w:pPr>
            <w:r>
              <w:rPr>
                <w:rFonts w:ascii="Arial" w:cs="Arial" w:eastAsia="Arial" w:hAnsi="Arial"/>
                <w:sz w:val="13"/>
                <w:szCs w:val="13"/>
                <w:b w:val="1"/>
                <w:bCs w:val="1"/>
                <w:color w:val="auto"/>
              </w:rPr>
              <w:t>2016</w:t>
            </w:r>
          </w:p>
        </w:tc>
        <w:tc>
          <w:tcPr>
            <w:tcW w:w="12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r>
      <w:tr>
        <w:trPr>
          <w:trHeight w:val="164"/>
        </w:trPr>
        <w:tc>
          <w:tcPr>
            <w:tcW w:w="37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flows from operating activities</w:t>
            </w:r>
          </w:p>
        </w:tc>
        <w:tc>
          <w:tcPr>
            <w:tcW w:w="18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73"/>
        </w:trPr>
        <w:tc>
          <w:tcPr>
            <w:tcW w:w="3780" w:type="dxa"/>
            <w:vAlign w:val="bottom"/>
          </w:tcPr>
          <w:p>
            <w:pPr>
              <w:ind w:left="120"/>
              <w:spacing w:after="0"/>
              <w:rPr>
                <w:sz w:val="20"/>
                <w:szCs w:val="20"/>
                <w:color w:val="auto"/>
              </w:rPr>
            </w:pPr>
            <w:r>
              <w:rPr>
                <w:rFonts w:ascii="Arial" w:cs="Arial" w:eastAsia="Arial" w:hAnsi="Arial"/>
                <w:sz w:val="13"/>
                <w:szCs w:val="13"/>
                <w:color w:val="auto"/>
              </w:rPr>
              <w:t>Net income</w:t>
            </w:r>
          </w:p>
        </w:tc>
        <w:tc>
          <w:tcPr>
            <w:tcW w:w="2120" w:type="dxa"/>
            <w:vAlign w:val="bottom"/>
            <w:gridSpan w:val="2"/>
          </w:tcPr>
          <w:p>
            <w:pPr>
              <w:jc w:val="right"/>
              <w:ind w:right="172"/>
              <w:spacing w:after="0"/>
              <w:rPr>
                <w:sz w:val="20"/>
                <w:szCs w:val="20"/>
                <w:color w:val="auto"/>
              </w:rPr>
            </w:pPr>
            <w:r>
              <w:rPr>
                <w:rFonts w:ascii="Arial" w:cs="Arial" w:eastAsia="Arial" w:hAnsi="Arial"/>
                <w:sz w:val="13"/>
                <w:szCs w:val="13"/>
                <w:b w:val="1"/>
                <w:bCs w:val="1"/>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344</w:t>
            </w:r>
          </w:p>
        </w:tc>
        <w:tc>
          <w:tcPr>
            <w:tcW w:w="500" w:type="dxa"/>
            <w:vAlign w:val="bottom"/>
          </w:tcPr>
          <w:p>
            <w:pPr>
              <w:jc w:val="right"/>
              <w:ind w:right="392"/>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1,047</w:t>
            </w:r>
          </w:p>
        </w:tc>
        <w:tc>
          <w:tcPr>
            <w:tcW w:w="3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3,682</w:t>
            </w:r>
          </w:p>
        </w:tc>
        <w:tc>
          <w:tcPr>
            <w:tcW w:w="420" w:type="dxa"/>
            <w:vAlign w:val="bottom"/>
          </w:tcPr>
          <w:p>
            <w:pPr>
              <w:jc w:val="right"/>
              <w:ind w:right="312"/>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3,595</w:t>
            </w:r>
          </w:p>
        </w:tc>
        <w:tc>
          <w:tcPr>
            <w:tcW w:w="20" w:type="dxa"/>
            <w:vAlign w:val="bottom"/>
          </w:tcPr>
          <w:p>
            <w:pPr>
              <w:spacing w:after="0"/>
              <w:rPr>
                <w:sz w:val="15"/>
                <w:szCs w:val="15"/>
                <w:color w:val="auto"/>
              </w:rPr>
            </w:pPr>
          </w:p>
        </w:tc>
      </w:tr>
      <w:tr>
        <w:trPr>
          <w:trHeight w:val="174"/>
        </w:trPr>
        <w:tc>
          <w:tcPr>
            <w:tcW w:w="37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Adjustments to Net income:</w:t>
            </w:r>
          </w:p>
        </w:tc>
        <w:tc>
          <w:tcPr>
            <w:tcW w:w="18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73"/>
        </w:trPr>
        <w:tc>
          <w:tcPr>
            <w:tcW w:w="3780" w:type="dxa"/>
            <w:vAlign w:val="bottom"/>
          </w:tcPr>
          <w:p>
            <w:pPr>
              <w:ind w:left="260"/>
              <w:spacing w:after="0"/>
              <w:rPr>
                <w:sz w:val="20"/>
                <w:szCs w:val="20"/>
                <w:color w:val="auto"/>
              </w:rPr>
            </w:pPr>
            <w:r>
              <w:rPr>
                <w:rFonts w:ascii="Arial" w:cs="Arial" w:eastAsia="Arial" w:hAnsi="Arial"/>
                <w:sz w:val="13"/>
                <w:szCs w:val="13"/>
                <w:color w:val="auto"/>
              </w:rPr>
              <w:t>Depreciation</w:t>
            </w: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133</w:t>
            </w:r>
          </w:p>
        </w:tc>
        <w:tc>
          <w:tcPr>
            <w:tcW w:w="5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139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539</w:t>
            </w:r>
          </w:p>
        </w:tc>
        <w:tc>
          <w:tcPr>
            <w:tcW w:w="42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605</w:t>
            </w:r>
          </w:p>
        </w:tc>
        <w:tc>
          <w:tcPr>
            <w:tcW w:w="20" w:type="dxa"/>
            <w:vAlign w:val="bottom"/>
          </w:tcPr>
          <w:p>
            <w:pPr>
              <w:spacing w:after="0"/>
              <w:rPr>
                <w:sz w:val="15"/>
                <w:szCs w:val="15"/>
                <w:color w:val="auto"/>
              </w:rPr>
            </w:pPr>
          </w:p>
        </w:tc>
      </w:tr>
      <w:tr>
        <w:trPr>
          <w:trHeight w:val="174"/>
        </w:trPr>
        <w:tc>
          <w:tcPr>
            <w:tcW w:w="37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Amortization of acquisition-related intangibles</w:t>
            </w:r>
          </w:p>
        </w:tc>
        <w:tc>
          <w:tcPr>
            <w:tcW w:w="18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b w:val="1"/>
                <w:bCs w:val="1"/>
                <w:color w:val="auto"/>
              </w:rPr>
              <w:t>79</w:t>
            </w:r>
          </w:p>
        </w:tc>
        <w:tc>
          <w:tcPr>
            <w:tcW w:w="5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80</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b w:val="1"/>
                <w:bCs w:val="1"/>
                <w:color w:val="auto"/>
              </w:rPr>
              <w:t>318</w:t>
            </w:r>
          </w:p>
        </w:tc>
        <w:tc>
          <w:tcPr>
            <w:tcW w:w="4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319</w:t>
            </w:r>
          </w:p>
        </w:tc>
        <w:tc>
          <w:tcPr>
            <w:tcW w:w="20" w:type="dxa"/>
            <w:vAlign w:val="bottom"/>
          </w:tcPr>
          <w:p>
            <w:pPr>
              <w:spacing w:after="0"/>
              <w:rPr>
                <w:sz w:val="15"/>
                <w:szCs w:val="15"/>
                <w:color w:val="auto"/>
              </w:rPr>
            </w:pPr>
          </w:p>
        </w:tc>
      </w:tr>
      <w:tr>
        <w:trPr>
          <w:trHeight w:val="173"/>
        </w:trPr>
        <w:tc>
          <w:tcPr>
            <w:tcW w:w="3780" w:type="dxa"/>
            <w:vAlign w:val="bottom"/>
          </w:tcPr>
          <w:p>
            <w:pPr>
              <w:ind w:left="260"/>
              <w:spacing w:after="0"/>
              <w:rPr>
                <w:sz w:val="20"/>
                <w:szCs w:val="20"/>
                <w:color w:val="auto"/>
              </w:rPr>
            </w:pPr>
            <w:r>
              <w:rPr>
                <w:rFonts w:ascii="Arial" w:cs="Arial" w:eastAsia="Arial" w:hAnsi="Arial"/>
                <w:sz w:val="13"/>
                <w:szCs w:val="13"/>
                <w:color w:val="auto"/>
              </w:rPr>
              <w:t>Amortization of capitalized software</w:t>
            </w: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12</w:t>
            </w:r>
          </w:p>
        </w:tc>
        <w:tc>
          <w:tcPr>
            <w:tcW w:w="5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47</w:t>
            </w: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4"/>
        </w:trPr>
        <w:tc>
          <w:tcPr>
            <w:tcW w:w="37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Stock-based compensation</w:t>
            </w:r>
          </w:p>
        </w:tc>
        <w:tc>
          <w:tcPr>
            <w:tcW w:w="18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b w:val="1"/>
                <w:bCs w:val="1"/>
                <w:color w:val="auto"/>
              </w:rPr>
              <w:t>45</w:t>
            </w:r>
          </w:p>
        </w:tc>
        <w:tc>
          <w:tcPr>
            <w:tcW w:w="5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b w:val="1"/>
                <w:bCs w:val="1"/>
                <w:color w:val="auto"/>
              </w:rPr>
              <w:t>242</w:t>
            </w:r>
          </w:p>
        </w:tc>
        <w:tc>
          <w:tcPr>
            <w:tcW w:w="4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252</w:t>
            </w:r>
          </w:p>
        </w:tc>
        <w:tc>
          <w:tcPr>
            <w:tcW w:w="20" w:type="dxa"/>
            <w:vAlign w:val="bottom"/>
          </w:tcPr>
          <w:p>
            <w:pPr>
              <w:spacing w:after="0"/>
              <w:rPr>
                <w:sz w:val="15"/>
                <w:szCs w:val="15"/>
                <w:color w:val="auto"/>
              </w:rPr>
            </w:pPr>
          </w:p>
        </w:tc>
      </w:tr>
      <w:tr>
        <w:trPr>
          <w:trHeight w:val="173"/>
        </w:trPr>
        <w:tc>
          <w:tcPr>
            <w:tcW w:w="3780" w:type="dxa"/>
            <w:vAlign w:val="bottom"/>
          </w:tcPr>
          <w:p>
            <w:pPr>
              <w:ind w:left="260"/>
              <w:spacing w:after="0"/>
              <w:rPr>
                <w:sz w:val="20"/>
                <w:szCs w:val="20"/>
                <w:color w:val="auto"/>
              </w:rPr>
            </w:pPr>
            <w:r>
              <w:rPr>
                <w:rFonts w:ascii="Arial" w:cs="Arial" w:eastAsia="Arial" w:hAnsi="Arial"/>
                <w:sz w:val="13"/>
                <w:szCs w:val="13"/>
                <w:color w:val="auto"/>
              </w:rPr>
              <w:t>Gains on sales of assets</w:t>
            </w: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w:t>
            </w:r>
          </w:p>
        </w:tc>
        <w:tc>
          <w:tcPr>
            <w:tcW w:w="50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(40)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(40)</w:t>
            </w:r>
          </w:p>
        </w:tc>
        <w:tc>
          <w:tcPr>
            <w:tcW w:w="20" w:type="dxa"/>
            <w:vAlign w:val="bottom"/>
          </w:tcPr>
          <w:p>
            <w:pPr>
              <w:spacing w:after="0"/>
              <w:rPr>
                <w:sz w:val="15"/>
                <w:szCs w:val="15"/>
                <w:color w:val="auto"/>
              </w:rPr>
            </w:pPr>
          </w:p>
        </w:tc>
      </w:tr>
      <w:tr>
        <w:trPr>
          <w:trHeight w:val="174"/>
        </w:trPr>
        <w:tc>
          <w:tcPr>
            <w:tcW w:w="37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Deferred taxes</w:t>
            </w:r>
          </w:p>
        </w:tc>
        <w:tc>
          <w:tcPr>
            <w:tcW w:w="18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b w:val="1"/>
                <w:bCs w:val="1"/>
                <w:color w:val="auto"/>
              </w:rPr>
              <w:t>159</w:t>
            </w:r>
          </w:p>
        </w:tc>
        <w:tc>
          <w:tcPr>
            <w:tcW w:w="5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(42)</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b w:val="1"/>
                <w:bCs w:val="1"/>
                <w:color w:val="auto"/>
              </w:rPr>
              <w:t>112</w:t>
            </w:r>
          </w:p>
        </w:tc>
        <w:tc>
          <w:tcPr>
            <w:tcW w:w="4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(202)</w:t>
            </w:r>
          </w:p>
        </w:tc>
        <w:tc>
          <w:tcPr>
            <w:tcW w:w="20" w:type="dxa"/>
            <w:vAlign w:val="bottom"/>
          </w:tcPr>
          <w:p>
            <w:pPr>
              <w:spacing w:after="0"/>
              <w:rPr>
                <w:sz w:val="15"/>
                <w:szCs w:val="15"/>
                <w:color w:val="auto"/>
              </w:rPr>
            </w:pPr>
          </w:p>
        </w:tc>
      </w:tr>
      <w:tr>
        <w:trPr>
          <w:trHeight w:val="173"/>
        </w:trPr>
        <w:tc>
          <w:tcPr>
            <w:tcW w:w="3780" w:type="dxa"/>
            <w:vAlign w:val="bottom"/>
          </w:tcPr>
          <w:p>
            <w:pPr>
              <w:ind w:left="120"/>
              <w:spacing w:after="0"/>
              <w:rPr>
                <w:sz w:val="20"/>
                <w:szCs w:val="20"/>
                <w:color w:val="auto"/>
              </w:rPr>
            </w:pPr>
            <w:r>
              <w:rPr>
                <w:rFonts w:ascii="Arial" w:cs="Arial" w:eastAsia="Arial" w:hAnsi="Arial"/>
                <w:sz w:val="13"/>
                <w:szCs w:val="13"/>
                <w:color w:val="auto"/>
              </w:rPr>
              <w:t>Increase (decrease) from changes in:</w:t>
            </w: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4"/>
        </w:trPr>
        <w:tc>
          <w:tcPr>
            <w:tcW w:w="37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Accounts receivable</w:t>
            </w:r>
          </w:p>
        </w:tc>
        <w:tc>
          <w:tcPr>
            <w:tcW w:w="18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b w:val="1"/>
                <w:bCs w:val="1"/>
                <w:color w:val="auto"/>
              </w:rPr>
              <w:t>299</w:t>
            </w:r>
          </w:p>
        </w:tc>
        <w:tc>
          <w:tcPr>
            <w:tcW w:w="5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166</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b w:val="1"/>
                <w:bCs w:val="1"/>
                <w:color w:val="auto"/>
              </w:rPr>
              <w:t>(7)</w:t>
            </w:r>
          </w:p>
        </w:tc>
        <w:tc>
          <w:tcPr>
            <w:tcW w:w="4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(108)</w:t>
            </w:r>
          </w:p>
        </w:tc>
        <w:tc>
          <w:tcPr>
            <w:tcW w:w="20" w:type="dxa"/>
            <w:vAlign w:val="bottom"/>
          </w:tcPr>
          <w:p>
            <w:pPr>
              <w:spacing w:after="0"/>
              <w:rPr>
                <w:sz w:val="15"/>
                <w:szCs w:val="15"/>
                <w:color w:val="auto"/>
              </w:rPr>
            </w:pPr>
          </w:p>
        </w:tc>
      </w:tr>
      <w:tr>
        <w:trPr>
          <w:trHeight w:val="173"/>
        </w:trPr>
        <w:tc>
          <w:tcPr>
            <w:tcW w:w="3780" w:type="dxa"/>
            <w:vAlign w:val="bottom"/>
          </w:tcPr>
          <w:p>
            <w:pPr>
              <w:ind w:left="260"/>
              <w:spacing w:after="0"/>
              <w:rPr>
                <w:sz w:val="20"/>
                <w:szCs w:val="20"/>
                <w:color w:val="auto"/>
              </w:rPr>
            </w:pPr>
            <w:r>
              <w:rPr>
                <w:rFonts w:ascii="Arial" w:cs="Arial" w:eastAsia="Arial" w:hAnsi="Arial"/>
                <w:sz w:val="13"/>
                <w:szCs w:val="13"/>
                <w:color w:val="auto"/>
              </w:rPr>
              <w:t>Inventories</w:t>
            </w: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(49)</w:t>
            </w:r>
          </w:p>
        </w:tc>
        <w:tc>
          <w:tcPr>
            <w:tcW w:w="5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18</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(167)</w:t>
            </w:r>
          </w:p>
        </w:tc>
        <w:tc>
          <w:tcPr>
            <w:tcW w:w="42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(99)</w:t>
            </w:r>
          </w:p>
        </w:tc>
        <w:tc>
          <w:tcPr>
            <w:tcW w:w="20" w:type="dxa"/>
            <w:vAlign w:val="bottom"/>
          </w:tcPr>
          <w:p>
            <w:pPr>
              <w:spacing w:after="0"/>
              <w:rPr>
                <w:sz w:val="15"/>
                <w:szCs w:val="15"/>
                <w:color w:val="auto"/>
              </w:rPr>
            </w:pPr>
          </w:p>
        </w:tc>
      </w:tr>
      <w:tr>
        <w:trPr>
          <w:trHeight w:val="174"/>
        </w:trPr>
        <w:tc>
          <w:tcPr>
            <w:tcW w:w="37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Prepaid expenses and other current assets</w:t>
            </w:r>
          </w:p>
        </w:tc>
        <w:tc>
          <w:tcPr>
            <w:tcW w:w="18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b w:val="1"/>
                <w:bCs w:val="1"/>
                <w:color w:val="auto"/>
              </w:rPr>
              <w:t>33</w:t>
            </w:r>
          </w:p>
        </w:tc>
        <w:tc>
          <w:tcPr>
            <w:tcW w:w="5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(211)</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b w:val="1"/>
                <w:bCs w:val="1"/>
                <w:color w:val="auto"/>
              </w:rPr>
              <w:t>76</w:t>
            </w:r>
          </w:p>
        </w:tc>
        <w:tc>
          <w:tcPr>
            <w:tcW w:w="4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(81)</w:t>
            </w:r>
          </w:p>
        </w:tc>
        <w:tc>
          <w:tcPr>
            <w:tcW w:w="20" w:type="dxa"/>
            <w:vAlign w:val="bottom"/>
          </w:tcPr>
          <w:p>
            <w:pPr>
              <w:spacing w:after="0"/>
              <w:rPr>
                <w:sz w:val="15"/>
                <w:szCs w:val="15"/>
                <w:color w:val="auto"/>
              </w:rPr>
            </w:pPr>
          </w:p>
        </w:tc>
      </w:tr>
      <w:tr>
        <w:trPr>
          <w:trHeight w:val="173"/>
        </w:trPr>
        <w:tc>
          <w:tcPr>
            <w:tcW w:w="3780" w:type="dxa"/>
            <w:vAlign w:val="bottom"/>
          </w:tcPr>
          <w:p>
            <w:pPr>
              <w:ind w:left="260"/>
              <w:spacing w:after="0"/>
              <w:rPr>
                <w:sz w:val="20"/>
                <w:szCs w:val="20"/>
                <w:color w:val="auto"/>
              </w:rPr>
            </w:pPr>
            <w:r>
              <w:rPr>
                <w:rFonts w:ascii="Arial" w:cs="Arial" w:eastAsia="Arial" w:hAnsi="Arial"/>
                <w:sz w:val="13"/>
                <w:szCs w:val="13"/>
                <w:color w:val="auto"/>
              </w:rPr>
              <w:t>Accounts payable and accrued expenses</w:t>
            </w: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70</w:t>
            </w:r>
          </w:p>
        </w:tc>
        <w:tc>
          <w:tcPr>
            <w:tcW w:w="5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51</w:t>
            </w: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72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4"/>
        </w:trPr>
        <w:tc>
          <w:tcPr>
            <w:tcW w:w="378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Accrued compensation</w:t>
            </w:r>
          </w:p>
        </w:tc>
        <w:tc>
          <w:tcPr>
            <w:tcW w:w="18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b w:val="1"/>
                <w:bCs w:val="1"/>
                <w:color w:val="auto"/>
              </w:rPr>
              <w:t>82</w:t>
            </w:r>
          </w:p>
        </w:tc>
        <w:tc>
          <w:tcPr>
            <w:tcW w:w="5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w:t>
            </w: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b w:val="1"/>
                <w:bCs w:val="1"/>
                <w:color w:val="auto"/>
              </w:rPr>
              <w:t>(3)</w:t>
            </w:r>
          </w:p>
        </w:tc>
        <w:tc>
          <w:tcPr>
            <w:tcW w:w="4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w:t>
            </w:r>
          </w:p>
        </w:tc>
        <w:tc>
          <w:tcPr>
            <w:tcW w:w="12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73"/>
        </w:trPr>
        <w:tc>
          <w:tcPr>
            <w:tcW w:w="3780" w:type="dxa"/>
            <w:vAlign w:val="bottom"/>
          </w:tcPr>
          <w:p>
            <w:pPr>
              <w:ind w:left="260"/>
              <w:spacing w:after="0"/>
              <w:rPr>
                <w:sz w:val="20"/>
                <w:szCs w:val="20"/>
                <w:color w:val="auto"/>
              </w:rPr>
            </w:pPr>
            <w:r>
              <w:rPr>
                <w:rFonts w:ascii="Arial" w:cs="Arial" w:eastAsia="Arial" w:hAnsi="Arial"/>
                <w:sz w:val="13"/>
                <w:szCs w:val="13"/>
                <w:color w:val="auto"/>
              </w:rPr>
              <w:t>Income taxes payable</w:t>
            </w: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694</w:t>
            </w:r>
          </w:p>
        </w:tc>
        <w:tc>
          <w:tcPr>
            <w:tcW w:w="5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180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468</w:t>
            </w:r>
          </w:p>
        </w:tc>
        <w:tc>
          <w:tcPr>
            <w:tcW w:w="42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333</w:t>
            </w:r>
          </w:p>
        </w:tc>
        <w:tc>
          <w:tcPr>
            <w:tcW w:w="20" w:type="dxa"/>
            <w:vAlign w:val="bottom"/>
          </w:tcPr>
          <w:p>
            <w:pPr>
              <w:spacing w:after="0"/>
              <w:rPr>
                <w:sz w:val="15"/>
                <w:szCs w:val="15"/>
                <w:color w:val="auto"/>
              </w:rPr>
            </w:pPr>
          </w:p>
        </w:tc>
      </w:tr>
      <w:tr>
        <w:trPr>
          <w:trHeight w:val="174"/>
        </w:trPr>
        <w:tc>
          <w:tcPr>
            <w:tcW w:w="37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Changes in funded status of retirement plans</w:t>
            </w:r>
          </w:p>
        </w:tc>
        <w:tc>
          <w:tcPr>
            <w:tcW w:w="18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b w:val="1"/>
                <w:bCs w:val="1"/>
                <w:color w:val="auto"/>
              </w:rPr>
              <w:t>(15)</w:t>
            </w:r>
          </w:p>
        </w:tc>
        <w:tc>
          <w:tcPr>
            <w:tcW w:w="5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(129)</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b w:val="1"/>
                <w:bCs w:val="1"/>
                <w:color w:val="auto"/>
              </w:rPr>
              <w:t>21</w:t>
            </w:r>
          </w:p>
        </w:tc>
        <w:tc>
          <w:tcPr>
            <w:tcW w:w="4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(73)</w:t>
            </w:r>
          </w:p>
        </w:tc>
        <w:tc>
          <w:tcPr>
            <w:tcW w:w="20" w:type="dxa"/>
            <w:vAlign w:val="bottom"/>
          </w:tcPr>
          <w:p>
            <w:pPr>
              <w:spacing w:after="0"/>
              <w:rPr>
                <w:sz w:val="15"/>
                <w:szCs w:val="15"/>
                <w:color w:val="auto"/>
              </w:rPr>
            </w:pPr>
          </w:p>
        </w:tc>
      </w:tr>
      <w:tr>
        <w:trPr>
          <w:trHeight w:val="173"/>
        </w:trPr>
        <w:tc>
          <w:tcPr>
            <w:tcW w:w="3780" w:type="dxa"/>
            <w:vAlign w:val="bottom"/>
          </w:tcPr>
          <w:p>
            <w:pPr>
              <w:ind w:left="120"/>
              <w:spacing w:after="0"/>
              <w:rPr>
                <w:sz w:val="20"/>
                <w:szCs w:val="20"/>
                <w:color w:val="auto"/>
              </w:rPr>
            </w:pPr>
            <w:r>
              <w:rPr>
                <w:rFonts w:ascii="Arial" w:cs="Arial" w:eastAsia="Arial" w:hAnsi="Arial"/>
                <w:sz w:val="13"/>
                <w:szCs w:val="13"/>
                <w:color w:val="auto"/>
              </w:rPr>
              <w:t>Other</w:t>
            </w: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43</w:t>
            </w:r>
          </w:p>
        </w:tc>
        <w:tc>
          <w:tcPr>
            <w:tcW w:w="5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(16)</w:t>
            </w:r>
          </w:p>
        </w:tc>
        <w:tc>
          <w:tcPr>
            <w:tcW w:w="42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(26)</w:t>
            </w:r>
          </w:p>
        </w:tc>
        <w:tc>
          <w:tcPr>
            <w:tcW w:w="20" w:type="dxa"/>
            <w:vAlign w:val="bottom"/>
          </w:tcPr>
          <w:p>
            <w:pPr>
              <w:spacing w:after="0"/>
              <w:rPr>
                <w:sz w:val="15"/>
                <w:szCs w:val="15"/>
                <w:color w:val="auto"/>
              </w:rPr>
            </w:pPr>
          </w:p>
        </w:tc>
      </w:tr>
      <w:tr>
        <w:trPr>
          <w:trHeight w:val="20"/>
        </w:trPr>
        <w:tc>
          <w:tcPr>
            <w:tcW w:w="3780" w:type="dxa"/>
            <w:vAlign w:val="bottom"/>
            <w:shd w:val="clear" w:color="auto" w:fill="CFF0FC"/>
          </w:tcPr>
          <w:p>
            <w:pPr>
              <w:spacing w:after="0" w:line="20" w:lineRule="exact"/>
              <w:rPr>
                <w:sz w:val="1"/>
                <w:szCs w:val="1"/>
                <w:color w:val="auto"/>
              </w:rPr>
            </w:pPr>
          </w:p>
        </w:tc>
        <w:tc>
          <w:tcPr>
            <w:tcW w:w="18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3"/>
        </w:trPr>
        <w:tc>
          <w:tcPr>
            <w:tcW w:w="3780" w:type="dxa"/>
            <w:vAlign w:val="bottom"/>
            <w:shd w:val="clear" w:color="auto" w:fill="CFF0FC"/>
          </w:tcPr>
          <w:p>
            <w:pPr>
              <w:spacing w:after="0"/>
              <w:rPr>
                <w:sz w:val="20"/>
                <w:szCs w:val="20"/>
                <w:color w:val="auto"/>
              </w:rPr>
            </w:pPr>
            <w:r>
              <w:rPr>
                <w:rFonts w:ascii="Arial" w:cs="Arial" w:eastAsia="Arial" w:hAnsi="Arial"/>
                <w:sz w:val="13"/>
                <w:szCs w:val="13"/>
                <w:color w:val="auto"/>
              </w:rPr>
              <w:t>Cash flows from operating activities</w:t>
            </w:r>
          </w:p>
        </w:tc>
        <w:tc>
          <w:tcPr>
            <w:tcW w:w="184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b w:val="1"/>
                <w:bCs w:val="1"/>
                <w:color w:val="auto"/>
              </w:rPr>
              <w:t>1,929</w:t>
            </w:r>
          </w:p>
        </w:tc>
        <w:tc>
          <w:tcPr>
            <w:tcW w:w="50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1,387</w:t>
            </w:r>
          </w:p>
        </w:tc>
        <w:tc>
          <w:tcPr>
            <w:tcW w:w="10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b w:val="1"/>
                <w:bCs w:val="1"/>
                <w:color w:val="auto"/>
              </w:rPr>
              <w:t>5,363</w:t>
            </w:r>
          </w:p>
        </w:tc>
        <w:tc>
          <w:tcPr>
            <w:tcW w:w="4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4,614</w:t>
            </w:r>
          </w:p>
        </w:tc>
        <w:tc>
          <w:tcPr>
            <w:tcW w:w="20" w:type="dxa"/>
            <w:vAlign w:val="bottom"/>
          </w:tcPr>
          <w:p>
            <w:pPr>
              <w:spacing w:after="0"/>
              <w:rPr>
                <w:sz w:val="14"/>
                <w:szCs w:val="14"/>
                <w:color w:val="auto"/>
              </w:rPr>
            </w:pPr>
          </w:p>
        </w:tc>
      </w:tr>
      <w:tr>
        <w:trPr>
          <w:trHeight w:val="164"/>
        </w:trPr>
        <w:tc>
          <w:tcPr>
            <w:tcW w:w="3780" w:type="dxa"/>
            <w:vAlign w:val="bottom"/>
            <w:tcBorders>
              <w:top w:val="single" w:sz="8" w:color="CFF0FC"/>
            </w:tcBorders>
            <w:shd w:val="clear" w:color="auto" w:fill="CFF0FC"/>
          </w:tcPr>
          <w:p>
            <w:pPr>
              <w:spacing w:after="0"/>
              <w:rPr>
                <w:sz w:val="14"/>
                <w:szCs w:val="14"/>
                <w:color w:val="auto"/>
              </w:rPr>
            </w:pPr>
          </w:p>
        </w:tc>
        <w:tc>
          <w:tcPr>
            <w:tcW w:w="1840" w:type="dxa"/>
            <w:vAlign w:val="bottom"/>
            <w:tcBorders>
              <w:top w:val="single" w:sz="8" w:color="CFF0FC"/>
            </w:tcBorders>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500" w:type="dxa"/>
            <w:vAlign w:val="bottom"/>
            <w:tcBorders>
              <w:top w:val="single" w:sz="8" w:color="auto"/>
            </w:tcBorders>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140" w:type="dxa"/>
            <w:vAlign w:val="bottom"/>
            <w:tcBorders>
              <w:top w:val="single" w:sz="8" w:color="CFF0FC"/>
            </w:tcBorders>
            <w:shd w:val="clear" w:color="auto" w:fill="CFF0FC"/>
          </w:tcPr>
          <w:p>
            <w:pPr>
              <w:spacing w:after="0"/>
              <w:rPr>
                <w:sz w:val="14"/>
                <w:szCs w:val="14"/>
                <w:color w:val="auto"/>
              </w:rPr>
            </w:pPr>
          </w:p>
        </w:tc>
        <w:tc>
          <w:tcPr>
            <w:tcW w:w="100" w:type="dxa"/>
            <w:vAlign w:val="bottom"/>
            <w:tcBorders>
              <w:top w:val="single" w:sz="8" w:color="CFF0FC"/>
            </w:tcBorders>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240" w:type="dxa"/>
            <w:vAlign w:val="bottom"/>
            <w:tcBorders>
              <w:top w:val="single" w:sz="8" w:color="CFF0FC"/>
            </w:tcBorders>
            <w:shd w:val="clear" w:color="auto" w:fill="CFF0FC"/>
          </w:tcPr>
          <w:p>
            <w:pPr>
              <w:spacing w:after="0"/>
              <w:rPr>
                <w:sz w:val="14"/>
                <w:szCs w:val="14"/>
                <w:color w:val="auto"/>
              </w:rPr>
            </w:pPr>
          </w:p>
        </w:tc>
        <w:tc>
          <w:tcPr>
            <w:tcW w:w="420" w:type="dxa"/>
            <w:vAlign w:val="bottom"/>
            <w:tcBorders>
              <w:top w:val="single" w:sz="8" w:color="auto"/>
            </w:tcBorders>
            <w:shd w:val="clear" w:color="auto" w:fill="CFF0FC"/>
          </w:tcPr>
          <w:p>
            <w:pPr>
              <w:spacing w:after="0"/>
              <w:rPr>
                <w:sz w:val="14"/>
                <w:szCs w:val="14"/>
                <w:color w:val="auto"/>
              </w:rPr>
            </w:pPr>
          </w:p>
        </w:tc>
        <w:tc>
          <w:tcPr>
            <w:tcW w:w="820" w:type="dxa"/>
            <w:vAlign w:val="bottom"/>
            <w:tcBorders>
              <w:top w:val="single" w:sz="8" w:color="auto"/>
            </w:tcBorders>
            <w:shd w:val="clear" w:color="auto" w:fill="CFF0FC"/>
          </w:tcPr>
          <w:p>
            <w:pPr>
              <w:spacing w:after="0"/>
              <w:rPr>
                <w:sz w:val="14"/>
                <w:szCs w:val="14"/>
                <w:color w:val="auto"/>
              </w:rPr>
            </w:pPr>
          </w:p>
        </w:tc>
        <w:tc>
          <w:tcPr>
            <w:tcW w:w="120" w:type="dxa"/>
            <w:vAlign w:val="bottom"/>
            <w:tcBorders>
              <w:top w:val="single" w:sz="8" w:color="CFF0FC"/>
            </w:tcBorders>
            <w:shd w:val="clear" w:color="auto" w:fill="CFF0FC"/>
          </w:tcPr>
          <w:p>
            <w:pPr>
              <w:spacing w:after="0"/>
              <w:rPr>
                <w:sz w:val="14"/>
                <w:szCs w:val="14"/>
                <w:color w:val="auto"/>
              </w:rPr>
            </w:pPr>
          </w:p>
        </w:tc>
        <w:tc>
          <w:tcPr>
            <w:tcW w:w="20" w:type="dxa"/>
            <w:vAlign w:val="bottom"/>
          </w:tcPr>
          <w:p>
            <w:pPr>
              <w:spacing w:after="0"/>
              <w:rPr>
                <w:sz w:val="14"/>
                <w:szCs w:val="14"/>
                <w:color w:val="auto"/>
              </w:rPr>
            </w:pPr>
          </w:p>
        </w:tc>
      </w:tr>
      <w:tr>
        <w:trPr>
          <w:trHeight w:val="173"/>
        </w:trPr>
        <w:tc>
          <w:tcPr>
            <w:tcW w:w="3780" w:type="dxa"/>
            <w:vAlign w:val="bottom"/>
          </w:tcPr>
          <w:p>
            <w:pPr>
              <w:spacing w:after="0"/>
              <w:rPr>
                <w:sz w:val="20"/>
                <w:szCs w:val="20"/>
                <w:color w:val="auto"/>
              </w:rPr>
            </w:pPr>
            <w:r>
              <w:rPr>
                <w:rFonts w:ascii="Arial" w:cs="Arial" w:eastAsia="Arial" w:hAnsi="Arial"/>
                <w:sz w:val="13"/>
                <w:szCs w:val="13"/>
                <w:b w:val="1"/>
                <w:bCs w:val="1"/>
                <w:color w:val="auto"/>
              </w:rPr>
              <w:t>Cash flows from investing activities</w:t>
            </w: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4"/>
        </w:trPr>
        <w:tc>
          <w:tcPr>
            <w:tcW w:w="37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Capital expenditures</w:t>
            </w:r>
          </w:p>
        </w:tc>
        <w:tc>
          <w:tcPr>
            <w:tcW w:w="18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b w:val="1"/>
                <w:bCs w:val="1"/>
                <w:color w:val="auto"/>
              </w:rPr>
              <w:t>(231)</w:t>
            </w:r>
          </w:p>
        </w:tc>
        <w:tc>
          <w:tcPr>
            <w:tcW w:w="5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(110)</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b w:val="1"/>
                <w:bCs w:val="1"/>
                <w:color w:val="auto"/>
              </w:rPr>
              <w:t>(695)</w:t>
            </w:r>
          </w:p>
        </w:tc>
        <w:tc>
          <w:tcPr>
            <w:tcW w:w="4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(531)</w:t>
            </w:r>
          </w:p>
        </w:tc>
        <w:tc>
          <w:tcPr>
            <w:tcW w:w="20" w:type="dxa"/>
            <w:vAlign w:val="bottom"/>
          </w:tcPr>
          <w:p>
            <w:pPr>
              <w:spacing w:after="0"/>
              <w:rPr>
                <w:sz w:val="15"/>
                <w:szCs w:val="15"/>
                <w:color w:val="auto"/>
              </w:rPr>
            </w:pPr>
          </w:p>
        </w:tc>
      </w:tr>
      <w:tr>
        <w:trPr>
          <w:trHeight w:val="173"/>
        </w:trPr>
        <w:tc>
          <w:tcPr>
            <w:tcW w:w="3780" w:type="dxa"/>
            <w:vAlign w:val="bottom"/>
          </w:tcPr>
          <w:p>
            <w:pPr>
              <w:ind w:left="120"/>
              <w:spacing w:after="0"/>
              <w:rPr>
                <w:sz w:val="20"/>
                <w:szCs w:val="20"/>
                <w:color w:val="auto"/>
              </w:rPr>
            </w:pPr>
            <w:r>
              <w:rPr>
                <w:rFonts w:ascii="Arial" w:cs="Arial" w:eastAsia="Arial" w:hAnsi="Arial"/>
                <w:sz w:val="13"/>
                <w:szCs w:val="13"/>
                <w:color w:val="auto"/>
              </w:rPr>
              <w:t>Proceeds from asset sales</w:t>
            </w: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w:t>
            </w:r>
          </w:p>
        </w:tc>
        <w:tc>
          <w:tcPr>
            <w:tcW w:w="5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40</w:t>
            </w:r>
          </w:p>
        </w:tc>
        <w:tc>
          <w:tcPr>
            <w:tcW w:w="42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r>
      <w:tr>
        <w:trPr>
          <w:trHeight w:val="174"/>
        </w:trPr>
        <w:tc>
          <w:tcPr>
            <w:tcW w:w="37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Purchases of short-term investments</w:t>
            </w:r>
          </w:p>
        </w:tc>
        <w:tc>
          <w:tcPr>
            <w:tcW w:w="18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b w:val="1"/>
                <w:bCs w:val="1"/>
                <w:color w:val="auto"/>
              </w:rPr>
              <w:t>(1,450)</w:t>
            </w:r>
          </w:p>
        </w:tc>
        <w:tc>
          <w:tcPr>
            <w:tcW w:w="5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(1,332)</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b w:val="1"/>
                <w:bCs w:val="1"/>
                <w:color w:val="auto"/>
              </w:rPr>
              <w:t>(4,555)</w:t>
            </w:r>
          </w:p>
        </w:tc>
        <w:tc>
          <w:tcPr>
            <w:tcW w:w="4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(3,503)</w:t>
            </w:r>
          </w:p>
        </w:tc>
        <w:tc>
          <w:tcPr>
            <w:tcW w:w="20" w:type="dxa"/>
            <w:vAlign w:val="bottom"/>
          </w:tcPr>
          <w:p>
            <w:pPr>
              <w:spacing w:after="0"/>
              <w:rPr>
                <w:sz w:val="15"/>
                <w:szCs w:val="15"/>
                <w:color w:val="auto"/>
              </w:rPr>
            </w:pPr>
          </w:p>
        </w:tc>
      </w:tr>
      <w:tr>
        <w:trPr>
          <w:trHeight w:val="173"/>
        </w:trPr>
        <w:tc>
          <w:tcPr>
            <w:tcW w:w="3780" w:type="dxa"/>
            <w:vAlign w:val="bottom"/>
          </w:tcPr>
          <w:p>
            <w:pPr>
              <w:ind w:left="120"/>
              <w:spacing w:after="0"/>
              <w:rPr>
                <w:sz w:val="20"/>
                <w:szCs w:val="20"/>
                <w:color w:val="auto"/>
              </w:rPr>
            </w:pPr>
            <w:r>
              <w:rPr>
                <w:rFonts w:ascii="Arial" w:cs="Arial" w:eastAsia="Arial" w:hAnsi="Arial"/>
                <w:sz w:val="13"/>
                <w:szCs w:val="13"/>
                <w:color w:val="auto"/>
              </w:rPr>
              <w:t>Proceeds from short-term investments</w:t>
            </w: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790</w:t>
            </w:r>
          </w:p>
        </w:tc>
        <w:tc>
          <w:tcPr>
            <w:tcW w:w="5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765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4,095</w:t>
            </w:r>
          </w:p>
        </w:tc>
        <w:tc>
          <w:tcPr>
            <w:tcW w:w="42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3,390</w:t>
            </w:r>
          </w:p>
        </w:tc>
        <w:tc>
          <w:tcPr>
            <w:tcW w:w="20" w:type="dxa"/>
            <w:vAlign w:val="bottom"/>
          </w:tcPr>
          <w:p>
            <w:pPr>
              <w:spacing w:after="0"/>
              <w:rPr>
                <w:sz w:val="15"/>
                <w:szCs w:val="15"/>
                <w:color w:val="auto"/>
              </w:rPr>
            </w:pPr>
          </w:p>
        </w:tc>
      </w:tr>
      <w:tr>
        <w:trPr>
          <w:trHeight w:val="174"/>
        </w:trPr>
        <w:tc>
          <w:tcPr>
            <w:tcW w:w="37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Other</w:t>
            </w:r>
          </w:p>
        </w:tc>
        <w:tc>
          <w:tcPr>
            <w:tcW w:w="18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b w:val="1"/>
                <w:bCs w:val="1"/>
                <w:color w:val="auto"/>
              </w:rPr>
              <w:t>(7)</w:t>
            </w:r>
          </w:p>
        </w:tc>
        <w:tc>
          <w:tcPr>
            <w:tcW w:w="5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(8)</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b w:val="1"/>
                <w:bCs w:val="1"/>
                <w:color w:val="auto"/>
              </w:rPr>
              <w:t>(12)</w:t>
            </w:r>
          </w:p>
        </w:tc>
        <w:tc>
          <w:tcPr>
            <w:tcW w:w="4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(6)</w:t>
            </w:r>
          </w:p>
        </w:tc>
        <w:tc>
          <w:tcPr>
            <w:tcW w:w="20" w:type="dxa"/>
            <w:vAlign w:val="bottom"/>
          </w:tcPr>
          <w:p>
            <w:pPr>
              <w:spacing w:after="0"/>
              <w:rPr>
                <w:sz w:val="15"/>
                <w:szCs w:val="15"/>
                <w:color w:val="auto"/>
              </w:rPr>
            </w:pPr>
          </w:p>
        </w:tc>
      </w:tr>
      <w:tr>
        <w:trPr>
          <w:trHeight w:val="20"/>
        </w:trPr>
        <w:tc>
          <w:tcPr>
            <w:tcW w:w="37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3"/>
        </w:trPr>
        <w:tc>
          <w:tcPr>
            <w:tcW w:w="3780" w:type="dxa"/>
            <w:vAlign w:val="bottom"/>
          </w:tcPr>
          <w:p>
            <w:pPr>
              <w:spacing w:after="0"/>
              <w:rPr>
                <w:sz w:val="20"/>
                <w:szCs w:val="20"/>
                <w:color w:val="auto"/>
              </w:rPr>
            </w:pPr>
            <w:r>
              <w:rPr>
                <w:rFonts w:ascii="Arial" w:cs="Arial" w:eastAsia="Arial" w:hAnsi="Arial"/>
                <w:sz w:val="13"/>
                <w:szCs w:val="13"/>
                <w:color w:val="auto"/>
              </w:rPr>
              <w:t>Cash flows from investing activities</w:t>
            </w:r>
          </w:p>
        </w:tc>
        <w:tc>
          <w:tcPr>
            <w:tcW w:w="1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(898)</w:t>
            </w:r>
          </w:p>
        </w:tc>
        <w:tc>
          <w:tcPr>
            <w:tcW w:w="50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(685)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(1,127)</w:t>
            </w:r>
          </w:p>
        </w:tc>
        <w:tc>
          <w:tcPr>
            <w:tcW w:w="42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(650)</w:t>
            </w:r>
          </w:p>
        </w:tc>
        <w:tc>
          <w:tcPr>
            <w:tcW w:w="20" w:type="dxa"/>
            <w:vAlign w:val="bottom"/>
          </w:tcPr>
          <w:p>
            <w:pPr>
              <w:spacing w:after="0"/>
              <w:rPr>
                <w:sz w:val="14"/>
                <w:szCs w:val="14"/>
                <w:color w:val="auto"/>
              </w:rPr>
            </w:pPr>
          </w:p>
        </w:tc>
      </w:tr>
      <w:tr>
        <w:trPr>
          <w:trHeight w:val="164"/>
        </w:trPr>
        <w:tc>
          <w:tcPr>
            <w:tcW w:w="3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4"/>
        </w:trPr>
        <w:tc>
          <w:tcPr>
            <w:tcW w:w="378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18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73"/>
        </w:trPr>
        <w:tc>
          <w:tcPr>
            <w:tcW w:w="3780" w:type="dxa"/>
            <w:vAlign w:val="bottom"/>
          </w:tcPr>
          <w:p>
            <w:pPr>
              <w:ind w:left="120"/>
              <w:spacing w:after="0"/>
              <w:rPr>
                <w:sz w:val="20"/>
                <w:szCs w:val="20"/>
                <w:color w:val="auto"/>
              </w:rPr>
            </w:pPr>
            <w:r>
              <w:rPr>
                <w:rFonts w:ascii="Arial" w:cs="Arial" w:eastAsia="Arial" w:hAnsi="Arial"/>
                <w:sz w:val="13"/>
                <w:szCs w:val="13"/>
                <w:color w:val="auto"/>
              </w:rPr>
              <w:t>Proceeds from issuance of debt</w:t>
            </w: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494</w:t>
            </w:r>
          </w:p>
        </w:tc>
        <w:tc>
          <w:tcPr>
            <w:tcW w:w="5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1,099</w:t>
            </w:r>
          </w:p>
        </w:tc>
        <w:tc>
          <w:tcPr>
            <w:tcW w:w="42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499</w:t>
            </w:r>
          </w:p>
        </w:tc>
        <w:tc>
          <w:tcPr>
            <w:tcW w:w="20" w:type="dxa"/>
            <w:vAlign w:val="bottom"/>
          </w:tcPr>
          <w:p>
            <w:pPr>
              <w:spacing w:after="0"/>
              <w:rPr>
                <w:sz w:val="15"/>
                <w:szCs w:val="15"/>
                <w:color w:val="auto"/>
              </w:rPr>
            </w:pPr>
          </w:p>
        </w:tc>
      </w:tr>
      <w:tr>
        <w:trPr>
          <w:trHeight w:val="174"/>
        </w:trPr>
        <w:tc>
          <w:tcPr>
            <w:tcW w:w="37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Repayment of debt</w:t>
            </w:r>
          </w:p>
        </w:tc>
        <w:tc>
          <w:tcPr>
            <w:tcW w:w="18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b w:val="1"/>
                <w:bCs w:val="1"/>
                <w:color w:val="auto"/>
              </w:rPr>
              <w:t>—</w:t>
            </w:r>
          </w:p>
        </w:tc>
        <w:tc>
          <w:tcPr>
            <w:tcW w:w="5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b w:val="1"/>
                <w:bCs w:val="1"/>
                <w:color w:val="auto"/>
              </w:rPr>
              <w:t>(625)</w:t>
            </w:r>
          </w:p>
        </w:tc>
        <w:tc>
          <w:tcPr>
            <w:tcW w:w="4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(1,000)</w:t>
            </w:r>
          </w:p>
        </w:tc>
        <w:tc>
          <w:tcPr>
            <w:tcW w:w="20" w:type="dxa"/>
            <w:vAlign w:val="bottom"/>
          </w:tcPr>
          <w:p>
            <w:pPr>
              <w:spacing w:after="0"/>
              <w:rPr>
                <w:sz w:val="15"/>
                <w:szCs w:val="15"/>
                <w:color w:val="auto"/>
              </w:rPr>
            </w:pPr>
          </w:p>
        </w:tc>
      </w:tr>
      <w:tr>
        <w:trPr>
          <w:trHeight w:val="173"/>
        </w:trPr>
        <w:tc>
          <w:tcPr>
            <w:tcW w:w="3780" w:type="dxa"/>
            <w:vAlign w:val="bottom"/>
          </w:tcPr>
          <w:p>
            <w:pPr>
              <w:ind w:left="120"/>
              <w:spacing w:after="0"/>
              <w:rPr>
                <w:sz w:val="20"/>
                <w:szCs w:val="20"/>
                <w:color w:val="auto"/>
              </w:rPr>
            </w:pPr>
            <w:r>
              <w:rPr>
                <w:rFonts w:ascii="Arial" w:cs="Arial" w:eastAsia="Arial" w:hAnsi="Arial"/>
                <w:sz w:val="13"/>
                <w:szCs w:val="13"/>
                <w:color w:val="auto"/>
              </w:rPr>
              <w:t>Dividends paid</w:t>
            </w: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(611)</w:t>
            </w:r>
          </w:p>
        </w:tc>
        <w:tc>
          <w:tcPr>
            <w:tcW w:w="50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(499)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(2,104)</w:t>
            </w:r>
          </w:p>
        </w:tc>
        <w:tc>
          <w:tcPr>
            <w:tcW w:w="42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(1,646)</w:t>
            </w:r>
          </w:p>
        </w:tc>
        <w:tc>
          <w:tcPr>
            <w:tcW w:w="20" w:type="dxa"/>
            <w:vAlign w:val="bottom"/>
          </w:tcPr>
          <w:p>
            <w:pPr>
              <w:spacing w:after="0"/>
              <w:rPr>
                <w:sz w:val="15"/>
                <w:szCs w:val="15"/>
                <w:color w:val="auto"/>
              </w:rPr>
            </w:pPr>
          </w:p>
        </w:tc>
      </w:tr>
      <w:tr>
        <w:trPr>
          <w:trHeight w:val="174"/>
        </w:trPr>
        <w:tc>
          <w:tcPr>
            <w:tcW w:w="37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Stock repurchases</w:t>
            </w:r>
          </w:p>
        </w:tc>
        <w:tc>
          <w:tcPr>
            <w:tcW w:w="18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b w:val="1"/>
                <w:bCs w:val="1"/>
                <w:color w:val="auto"/>
              </w:rPr>
              <w:t>(706)</w:t>
            </w:r>
          </w:p>
        </w:tc>
        <w:tc>
          <w:tcPr>
            <w:tcW w:w="5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(475)</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b w:val="1"/>
                <w:bCs w:val="1"/>
                <w:color w:val="auto"/>
              </w:rPr>
              <w:t>(2,556)</w:t>
            </w:r>
          </w:p>
        </w:tc>
        <w:tc>
          <w:tcPr>
            <w:tcW w:w="4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(2,132)</w:t>
            </w:r>
          </w:p>
        </w:tc>
        <w:tc>
          <w:tcPr>
            <w:tcW w:w="20" w:type="dxa"/>
            <w:vAlign w:val="bottom"/>
          </w:tcPr>
          <w:p>
            <w:pPr>
              <w:spacing w:after="0"/>
              <w:rPr>
                <w:sz w:val="15"/>
                <w:szCs w:val="15"/>
                <w:color w:val="auto"/>
              </w:rPr>
            </w:pPr>
          </w:p>
        </w:tc>
      </w:tr>
      <w:tr>
        <w:trPr>
          <w:trHeight w:val="173"/>
        </w:trPr>
        <w:tc>
          <w:tcPr>
            <w:tcW w:w="3780" w:type="dxa"/>
            <w:vAlign w:val="bottom"/>
          </w:tcPr>
          <w:p>
            <w:pPr>
              <w:ind w:left="120"/>
              <w:spacing w:after="0"/>
              <w:rPr>
                <w:sz w:val="20"/>
                <w:szCs w:val="20"/>
                <w:color w:val="auto"/>
              </w:rPr>
            </w:pPr>
            <w:r>
              <w:rPr>
                <w:rFonts w:ascii="Arial" w:cs="Arial" w:eastAsia="Arial" w:hAnsi="Arial"/>
                <w:sz w:val="13"/>
                <w:szCs w:val="13"/>
                <w:color w:val="auto"/>
              </w:rPr>
              <w:t>Proceeds from common stock transactions</w:t>
            </w: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162</w:t>
            </w:r>
          </w:p>
        </w:tc>
        <w:tc>
          <w:tcPr>
            <w:tcW w:w="5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483</w:t>
            </w:r>
          </w:p>
        </w:tc>
        <w:tc>
          <w:tcPr>
            <w:tcW w:w="42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472</w:t>
            </w:r>
          </w:p>
        </w:tc>
        <w:tc>
          <w:tcPr>
            <w:tcW w:w="20" w:type="dxa"/>
            <w:vAlign w:val="bottom"/>
          </w:tcPr>
          <w:p>
            <w:pPr>
              <w:spacing w:after="0"/>
              <w:rPr>
                <w:sz w:val="15"/>
                <w:szCs w:val="15"/>
                <w:color w:val="auto"/>
              </w:rPr>
            </w:pPr>
          </w:p>
        </w:tc>
      </w:tr>
      <w:tr>
        <w:trPr>
          <w:trHeight w:val="174"/>
        </w:trPr>
        <w:tc>
          <w:tcPr>
            <w:tcW w:w="3780" w:type="dxa"/>
            <w:vAlign w:val="bottom"/>
            <w:shd w:val="clear" w:color="auto" w:fill="CFF0FC"/>
          </w:tcPr>
          <w:p>
            <w:pPr>
              <w:ind w:left="120"/>
              <w:spacing w:after="0"/>
              <w:rPr>
                <w:sz w:val="20"/>
                <w:szCs w:val="20"/>
                <w:color w:val="auto"/>
              </w:rPr>
            </w:pPr>
            <w:r>
              <w:rPr>
                <w:rFonts w:ascii="Arial" w:cs="Arial" w:eastAsia="Arial" w:hAnsi="Arial"/>
                <w:sz w:val="13"/>
                <w:szCs w:val="13"/>
                <w:color w:val="auto"/>
              </w:rPr>
              <w:t>Other</w:t>
            </w:r>
          </w:p>
        </w:tc>
        <w:tc>
          <w:tcPr>
            <w:tcW w:w="18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b w:val="1"/>
                <w:bCs w:val="1"/>
                <w:color w:val="auto"/>
              </w:rPr>
              <w:t>(10)</w:t>
            </w:r>
          </w:p>
        </w:tc>
        <w:tc>
          <w:tcPr>
            <w:tcW w:w="5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b w:val="1"/>
                <w:bCs w:val="1"/>
                <w:color w:val="auto"/>
              </w:rPr>
              <w:t>(31)</w:t>
            </w:r>
          </w:p>
        </w:tc>
        <w:tc>
          <w:tcPr>
            <w:tcW w:w="4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w:t>
            </w:r>
          </w:p>
        </w:tc>
        <w:tc>
          <w:tcPr>
            <w:tcW w:w="20" w:type="dxa"/>
            <w:vAlign w:val="bottom"/>
          </w:tcPr>
          <w:p>
            <w:pPr>
              <w:spacing w:after="0"/>
              <w:rPr>
                <w:sz w:val="15"/>
                <w:szCs w:val="15"/>
                <w:color w:val="auto"/>
              </w:rPr>
            </w:pPr>
          </w:p>
        </w:tc>
      </w:tr>
      <w:tr>
        <w:trPr>
          <w:trHeight w:val="20"/>
        </w:trPr>
        <w:tc>
          <w:tcPr>
            <w:tcW w:w="37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3"/>
        </w:trPr>
        <w:tc>
          <w:tcPr>
            <w:tcW w:w="3780" w:type="dxa"/>
            <w:vAlign w:val="bottom"/>
          </w:tcPr>
          <w:p>
            <w:pPr>
              <w:spacing w:after="0"/>
              <w:rPr>
                <w:sz w:val="20"/>
                <w:szCs w:val="20"/>
                <w:color w:val="auto"/>
              </w:rPr>
            </w:pPr>
            <w:r>
              <w:rPr>
                <w:rFonts w:ascii="Arial" w:cs="Arial" w:eastAsia="Arial" w:hAnsi="Arial"/>
                <w:sz w:val="13"/>
                <w:szCs w:val="13"/>
                <w:color w:val="auto"/>
              </w:rPr>
              <w:t>Cash flows from financing activities</w:t>
            </w:r>
          </w:p>
        </w:tc>
        <w:tc>
          <w:tcPr>
            <w:tcW w:w="1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(671)</w:t>
            </w:r>
          </w:p>
        </w:tc>
        <w:tc>
          <w:tcPr>
            <w:tcW w:w="50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3"/>
                <w:szCs w:val="13"/>
                <w:color w:val="auto"/>
              </w:rPr>
              <w:t>(917)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(3,734)</w:t>
            </w:r>
          </w:p>
        </w:tc>
        <w:tc>
          <w:tcPr>
            <w:tcW w:w="42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(3,810)</w:t>
            </w:r>
          </w:p>
        </w:tc>
        <w:tc>
          <w:tcPr>
            <w:tcW w:w="20" w:type="dxa"/>
            <w:vAlign w:val="bottom"/>
          </w:tcPr>
          <w:p>
            <w:pPr>
              <w:spacing w:after="0"/>
              <w:rPr>
                <w:sz w:val="14"/>
                <w:szCs w:val="14"/>
                <w:color w:val="auto"/>
              </w:rPr>
            </w:pPr>
          </w:p>
        </w:tc>
      </w:tr>
      <w:tr>
        <w:trPr>
          <w:trHeight w:val="164"/>
        </w:trPr>
        <w:tc>
          <w:tcPr>
            <w:tcW w:w="3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4"/>
        </w:trPr>
        <w:tc>
          <w:tcPr>
            <w:tcW w:w="3780" w:type="dxa"/>
            <w:vAlign w:val="bottom"/>
            <w:shd w:val="clear" w:color="auto" w:fill="CFF0FC"/>
          </w:tcPr>
          <w:p>
            <w:pPr>
              <w:spacing w:after="0"/>
              <w:rPr>
                <w:sz w:val="20"/>
                <w:szCs w:val="20"/>
                <w:color w:val="auto"/>
              </w:rPr>
            </w:pPr>
            <w:r>
              <w:rPr>
                <w:rFonts w:ascii="Arial" w:cs="Arial" w:eastAsia="Arial" w:hAnsi="Arial"/>
                <w:sz w:val="13"/>
                <w:szCs w:val="13"/>
                <w:color w:val="auto"/>
              </w:rPr>
              <w:t>Net change in Cash and cash equivalents</w:t>
            </w:r>
          </w:p>
        </w:tc>
        <w:tc>
          <w:tcPr>
            <w:tcW w:w="18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b w:val="1"/>
                <w:bCs w:val="1"/>
                <w:color w:val="auto"/>
              </w:rPr>
              <w:t>360</w:t>
            </w:r>
          </w:p>
        </w:tc>
        <w:tc>
          <w:tcPr>
            <w:tcW w:w="50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(215)</w:t>
            </w:r>
          </w:p>
        </w:tc>
        <w:tc>
          <w:tcPr>
            <w:tcW w:w="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b w:val="1"/>
                <w:bCs w:val="1"/>
                <w:color w:val="auto"/>
              </w:rPr>
              <w:t>502</w:t>
            </w:r>
          </w:p>
        </w:tc>
        <w:tc>
          <w:tcPr>
            <w:tcW w:w="420" w:type="dxa"/>
            <w:vAlign w:val="bottom"/>
            <w:shd w:val="clear" w:color="auto" w:fill="CFF0FC"/>
          </w:tcPr>
          <w:p>
            <w:pPr>
              <w:spacing w:after="0"/>
              <w:rPr>
                <w:sz w:val="15"/>
                <w:szCs w:val="15"/>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154</w:t>
            </w:r>
          </w:p>
        </w:tc>
        <w:tc>
          <w:tcPr>
            <w:tcW w:w="20" w:type="dxa"/>
            <w:vAlign w:val="bottom"/>
          </w:tcPr>
          <w:p>
            <w:pPr>
              <w:spacing w:after="0"/>
              <w:rPr>
                <w:sz w:val="15"/>
                <w:szCs w:val="15"/>
                <w:color w:val="auto"/>
              </w:rPr>
            </w:pPr>
          </w:p>
        </w:tc>
      </w:tr>
      <w:tr>
        <w:trPr>
          <w:trHeight w:val="173"/>
        </w:trPr>
        <w:tc>
          <w:tcPr>
            <w:tcW w:w="3780" w:type="dxa"/>
            <w:vAlign w:val="bottom"/>
          </w:tcPr>
          <w:p>
            <w:pPr>
              <w:spacing w:after="0"/>
              <w:rPr>
                <w:sz w:val="20"/>
                <w:szCs w:val="20"/>
                <w:color w:val="auto"/>
              </w:rPr>
            </w:pPr>
            <w:r>
              <w:rPr>
                <w:rFonts w:ascii="Arial" w:cs="Arial" w:eastAsia="Arial" w:hAnsi="Arial"/>
                <w:sz w:val="13"/>
                <w:szCs w:val="13"/>
                <w:color w:val="auto"/>
              </w:rPr>
              <w:t>Cash and cash equivalents at beginning of period</w:t>
            </w:r>
          </w:p>
        </w:tc>
        <w:tc>
          <w:tcPr>
            <w:tcW w:w="1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1,296</w:t>
            </w:r>
          </w:p>
        </w:tc>
        <w:tc>
          <w:tcPr>
            <w:tcW w:w="5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rPr>
              <w:t>1,369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1,154</w:t>
            </w:r>
          </w:p>
        </w:tc>
        <w:tc>
          <w:tcPr>
            <w:tcW w:w="420" w:type="dxa"/>
            <w:vAlign w:val="bottom"/>
          </w:tcPr>
          <w:p>
            <w:pPr>
              <w:spacing w:after="0"/>
              <w:rPr>
                <w:sz w:val="15"/>
                <w:szCs w:val="15"/>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3"/>
                <w:szCs w:val="13"/>
                <w:color w:val="auto"/>
              </w:rPr>
              <w:t>1,000</w:t>
            </w:r>
          </w:p>
        </w:tc>
        <w:tc>
          <w:tcPr>
            <w:tcW w:w="20" w:type="dxa"/>
            <w:vAlign w:val="bottom"/>
          </w:tcPr>
          <w:p>
            <w:pPr>
              <w:spacing w:after="0"/>
              <w:rPr>
                <w:sz w:val="15"/>
                <w:szCs w:val="15"/>
                <w:color w:val="auto"/>
              </w:rPr>
            </w:pPr>
          </w:p>
        </w:tc>
      </w:tr>
      <w:tr>
        <w:trPr>
          <w:trHeight w:val="20"/>
        </w:trPr>
        <w:tc>
          <w:tcPr>
            <w:tcW w:w="3780" w:type="dxa"/>
            <w:vAlign w:val="bottom"/>
            <w:shd w:val="clear" w:color="auto" w:fill="CFF0FC"/>
          </w:tcPr>
          <w:p>
            <w:pPr>
              <w:spacing w:after="0" w:line="20" w:lineRule="exact"/>
              <w:rPr>
                <w:sz w:val="1"/>
                <w:szCs w:val="1"/>
                <w:color w:val="auto"/>
              </w:rPr>
            </w:pPr>
          </w:p>
        </w:tc>
        <w:tc>
          <w:tcPr>
            <w:tcW w:w="184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3780" w:type="dxa"/>
            <w:vAlign w:val="bottom"/>
            <w:shd w:val="clear" w:color="auto" w:fill="CFF0FC"/>
          </w:tcPr>
          <w:p>
            <w:pPr>
              <w:spacing w:after="0"/>
              <w:rPr>
                <w:sz w:val="20"/>
                <w:szCs w:val="20"/>
                <w:color w:val="auto"/>
              </w:rPr>
            </w:pPr>
            <w:r>
              <w:rPr>
                <w:rFonts w:ascii="Arial" w:cs="Arial" w:eastAsia="Arial" w:hAnsi="Arial"/>
                <w:sz w:val="13"/>
                <w:szCs w:val="13"/>
                <w:color w:val="auto"/>
              </w:rPr>
              <w:t>Cash and cash equivalents at end of period</w:t>
            </w:r>
          </w:p>
        </w:tc>
        <w:tc>
          <w:tcPr>
            <w:tcW w:w="184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72"/>
              <w:spacing w:after="0"/>
              <w:rPr>
                <w:sz w:val="20"/>
                <w:szCs w:val="20"/>
                <w:color w:val="auto"/>
              </w:rPr>
            </w:pPr>
            <w:r>
              <w:rPr>
                <w:rFonts w:ascii="Arial" w:cs="Arial" w:eastAsia="Arial" w:hAnsi="Arial"/>
                <w:sz w:val="10"/>
                <w:szCs w:val="10"/>
                <w:b w:val="1"/>
                <w:bCs w:val="1"/>
                <w:color w:val="auto"/>
                <w:w w:val="71"/>
              </w:rPr>
              <w:t>$</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b w:val="1"/>
                <w:bCs w:val="1"/>
                <w:color w:val="auto"/>
              </w:rPr>
              <w:t>1,656</w:t>
            </w:r>
          </w:p>
        </w:tc>
        <w:tc>
          <w:tcPr>
            <w:tcW w:w="500" w:type="dxa"/>
            <w:vAlign w:val="bottom"/>
            <w:shd w:val="clear" w:color="auto" w:fill="CFF0FC"/>
          </w:tcPr>
          <w:p>
            <w:pPr>
              <w:jc w:val="right"/>
              <w:ind w:right="392"/>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1,154</w:t>
            </w:r>
          </w:p>
        </w:tc>
        <w:tc>
          <w:tcPr>
            <w:tcW w:w="38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b w:val="1"/>
                <w:bCs w:val="1"/>
                <w:color w:val="auto"/>
              </w:rPr>
              <w:t>$</w:t>
            </w:r>
          </w:p>
        </w:tc>
        <w:tc>
          <w:tcPr>
            <w:tcW w:w="12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b w:val="1"/>
                <w:bCs w:val="1"/>
                <w:color w:val="auto"/>
              </w:rPr>
              <w:t>1,656</w:t>
            </w:r>
          </w:p>
        </w:tc>
        <w:tc>
          <w:tcPr>
            <w:tcW w:w="420" w:type="dxa"/>
            <w:vAlign w:val="bottom"/>
            <w:shd w:val="clear" w:color="auto" w:fill="CFF0FC"/>
          </w:tcPr>
          <w:p>
            <w:pPr>
              <w:jc w:val="right"/>
              <w:ind w:right="312"/>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1,154</w:t>
            </w:r>
          </w:p>
        </w:tc>
        <w:tc>
          <w:tcPr>
            <w:tcW w:w="20" w:type="dxa"/>
            <w:vAlign w:val="bottom"/>
          </w:tcPr>
          <w:p>
            <w:pPr>
              <w:spacing w:after="0"/>
              <w:rPr>
                <w:sz w:val="15"/>
                <w:szCs w:val="15"/>
                <w:color w:val="auto"/>
              </w:rPr>
            </w:pPr>
          </w:p>
        </w:tc>
      </w:tr>
      <w:tr>
        <w:trPr>
          <w:trHeight w:val="849"/>
        </w:trPr>
        <w:tc>
          <w:tcPr>
            <w:tcW w:w="3780" w:type="dxa"/>
            <w:vAlign w:val="bottom"/>
            <w:tcBorders>
              <w:top w:val="single" w:sz="8" w:color="CFF0FC"/>
              <w:bottom w:val="single" w:sz="8" w:color="9A9A9A"/>
            </w:tcBorders>
          </w:tcPr>
          <w:p>
            <w:pPr>
              <w:spacing w:after="0"/>
              <w:rPr>
                <w:sz w:val="24"/>
                <w:szCs w:val="24"/>
                <w:color w:val="auto"/>
              </w:rPr>
            </w:pPr>
          </w:p>
        </w:tc>
        <w:tc>
          <w:tcPr>
            <w:tcW w:w="1840" w:type="dxa"/>
            <w:vAlign w:val="bottom"/>
            <w:tcBorders>
              <w:top w:val="single" w:sz="8" w:color="CFF0FC"/>
              <w:bottom w:val="single" w:sz="8" w:color="9A9A9A"/>
            </w:tcBorders>
          </w:tcPr>
          <w:p>
            <w:pPr>
              <w:spacing w:after="0"/>
              <w:rPr>
                <w:sz w:val="24"/>
                <w:szCs w:val="24"/>
                <w:color w:val="auto"/>
              </w:rPr>
            </w:pPr>
          </w:p>
        </w:tc>
        <w:tc>
          <w:tcPr>
            <w:tcW w:w="280" w:type="dxa"/>
            <w:vAlign w:val="bottom"/>
            <w:tcBorders>
              <w:top w:val="single" w:sz="8" w:color="auto"/>
              <w:bottom w:val="single" w:sz="8" w:color="9A9A9A"/>
            </w:tcBorders>
          </w:tcPr>
          <w:p>
            <w:pPr>
              <w:spacing w:after="0"/>
              <w:rPr>
                <w:sz w:val="24"/>
                <w:szCs w:val="24"/>
                <w:color w:val="auto"/>
              </w:rPr>
            </w:pPr>
          </w:p>
        </w:tc>
        <w:tc>
          <w:tcPr>
            <w:tcW w:w="980" w:type="dxa"/>
            <w:vAlign w:val="bottom"/>
            <w:tcBorders>
              <w:top w:val="single" w:sz="8" w:color="auto"/>
              <w:bottom w:val="single" w:sz="8" w:color="9A9A9A"/>
            </w:tcBorders>
          </w:tcPr>
          <w:p>
            <w:pPr>
              <w:spacing w:after="0"/>
              <w:rPr>
                <w:sz w:val="24"/>
                <w:szCs w:val="24"/>
                <w:color w:val="auto"/>
              </w:rPr>
            </w:pPr>
          </w:p>
        </w:tc>
        <w:tc>
          <w:tcPr>
            <w:tcW w:w="240" w:type="dxa"/>
            <w:vAlign w:val="bottom"/>
            <w:tcBorders>
              <w:top w:val="single" w:sz="8" w:color="CFF0FC"/>
              <w:bottom w:val="single" w:sz="8" w:color="9A9A9A"/>
            </w:tcBorders>
          </w:tcPr>
          <w:p>
            <w:pPr>
              <w:spacing w:after="0"/>
              <w:rPr>
                <w:sz w:val="24"/>
                <w:szCs w:val="24"/>
                <w:color w:val="auto"/>
              </w:rPr>
            </w:pPr>
          </w:p>
        </w:tc>
        <w:tc>
          <w:tcPr>
            <w:tcW w:w="500" w:type="dxa"/>
            <w:vAlign w:val="bottom"/>
            <w:tcBorders>
              <w:top w:val="single" w:sz="8" w:color="auto"/>
              <w:bottom w:val="single" w:sz="8" w:color="9A9A9A"/>
            </w:tcBorders>
          </w:tcPr>
          <w:p>
            <w:pPr>
              <w:spacing w:after="0"/>
              <w:rPr>
                <w:sz w:val="24"/>
                <w:szCs w:val="24"/>
                <w:color w:val="auto"/>
              </w:rPr>
            </w:pPr>
          </w:p>
        </w:tc>
        <w:tc>
          <w:tcPr>
            <w:tcW w:w="760" w:type="dxa"/>
            <w:vAlign w:val="bottom"/>
            <w:tcBorders>
              <w:top w:val="single" w:sz="8" w:color="auto"/>
              <w:bottom w:val="single" w:sz="8" w:color="9A9A9A"/>
            </w:tcBorders>
          </w:tcPr>
          <w:p>
            <w:pPr>
              <w:spacing w:after="0"/>
              <w:rPr>
                <w:sz w:val="24"/>
                <w:szCs w:val="24"/>
                <w:color w:val="auto"/>
              </w:rPr>
            </w:pPr>
          </w:p>
        </w:tc>
        <w:tc>
          <w:tcPr>
            <w:tcW w:w="140" w:type="dxa"/>
            <w:vAlign w:val="bottom"/>
            <w:tcBorders>
              <w:top w:val="single" w:sz="8" w:color="CFF0FC"/>
              <w:bottom w:val="single" w:sz="8" w:color="9A9A9A"/>
            </w:tcBorders>
          </w:tcPr>
          <w:p>
            <w:pPr>
              <w:spacing w:after="0"/>
              <w:rPr>
                <w:sz w:val="24"/>
                <w:szCs w:val="24"/>
                <w:color w:val="auto"/>
              </w:rPr>
            </w:pPr>
          </w:p>
        </w:tc>
        <w:tc>
          <w:tcPr>
            <w:tcW w:w="100" w:type="dxa"/>
            <w:vAlign w:val="bottom"/>
            <w:tcBorders>
              <w:top w:val="single" w:sz="8" w:color="CFF0FC"/>
              <w:bottom w:val="single" w:sz="8" w:color="9A9A9A"/>
            </w:tcBorders>
          </w:tcPr>
          <w:p>
            <w:pPr>
              <w:spacing w:after="0"/>
              <w:rPr>
                <w:sz w:val="24"/>
                <w:szCs w:val="24"/>
                <w:color w:val="auto"/>
              </w:rPr>
            </w:pPr>
          </w:p>
        </w:tc>
        <w:tc>
          <w:tcPr>
            <w:tcW w:w="280" w:type="dxa"/>
            <w:vAlign w:val="bottom"/>
            <w:tcBorders>
              <w:top w:val="single" w:sz="8" w:color="auto"/>
              <w:bottom w:val="single" w:sz="8" w:color="9A9A9A"/>
            </w:tcBorders>
          </w:tcPr>
          <w:p>
            <w:pPr>
              <w:spacing w:after="0"/>
              <w:rPr>
                <w:sz w:val="24"/>
                <w:szCs w:val="24"/>
                <w:color w:val="auto"/>
              </w:rPr>
            </w:pPr>
          </w:p>
        </w:tc>
        <w:tc>
          <w:tcPr>
            <w:tcW w:w="980" w:type="dxa"/>
            <w:vAlign w:val="bottom"/>
            <w:tcBorders>
              <w:top w:val="single" w:sz="8" w:color="auto"/>
              <w:bottom w:val="single" w:sz="8" w:color="9A9A9A"/>
            </w:tcBorders>
          </w:tcPr>
          <w:p>
            <w:pPr>
              <w:spacing w:after="0"/>
              <w:rPr>
                <w:sz w:val="24"/>
                <w:szCs w:val="24"/>
                <w:color w:val="auto"/>
              </w:rPr>
            </w:pPr>
          </w:p>
        </w:tc>
        <w:tc>
          <w:tcPr>
            <w:tcW w:w="240" w:type="dxa"/>
            <w:vAlign w:val="bottom"/>
            <w:tcBorders>
              <w:top w:val="single" w:sz="8" w:color="CFF0FC"/>
              <w:bottom w:val="single" w:sz="8" w:color="9A9A9A"/>
            </w:tcBorders>
          </w:tcPr>
          <w:p>
            <w:pPr>
              <w:spacing w:after="0"/>
              <w:rPr>
                <w:sz w:val="24"/>
                <w:szCs w:val="24"/>
                <w:color w:val="auto"/>
              </w:rPr>
            </w:pPr>
          </w:p>
        </w:tc>
        <w:tc>
          <w:tcPr>
            <w:tcW w:w="420" w:type="dxa"/>
            <w:vAlign w:val="bottom"/>
            <w:tcBorders>
              <w:top w:val="single" w:sz="8" w:color="auto"/>
              <w:bottom w:val="single" w:sz="8" w:color="9A9A9A"/>
            </w:tcBorders>
          </w:tcPr>
          <w:p>
            <w:pPr>
              <w:spacing w:after="0"/>
              <w:rPr>
                <w:sz w:val="24"/>
                <w:szCs w:val="24"/>
                <w:color w:val="auto"/>
              </w:rPr>
            </w:pPr>
          </w:p>
        </w:tc>
        <w:tc>
          <w:tcPr>
            <w:tcW w:w="82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FF0FC"/>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7277100</wp:posOffset>
            </wp:positionH>
            <wp:positionV relativeFrom="paragraph">
              <wp:posOffset>-24130</wp:posOffset>
            </wp:positionV>
            <wp:extent cx="31750" cy="37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750" cy="3746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-24130</wp:posOffset>
            </wp:positionV>
            <wp:extent cx="31750" cy="3746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750" cy="37465"/>
                    </a:xfrm>
                    <a:prstGeom prst="rect">
                      <a:avLst/>
                    </a:prstGeom>
                    <a:noFill/>
                  </pic:spPr>
                </pic:pic>
              </a:graphicData>
            </a:graphic>
          </wp:anchor>
        </w:drawing>
      </w:r>
    </w:p>
    <w:p>
      <w:pPr>
        <w:sectPr>
          <w:pgSz w:w="11900" w:h="16838" w:orient="portrait"/>
          <w:cols w:equalWidth="0" w:num="1">
            <w:col w:w="11500"/>
          </w:cols>
          <w:pgMar w:left="220" w:top="127" w:right="179" w:bottom="1440" w:gutter="0" w:footer="0" w:header="0"/>
        </w:sectPr>
      </w:pPr>
    </w:p>
    <w:bookmarkStart w:id="8" w:name="page9"/>
    <w:bookmarkEnd w:id="8"/>
    <w:tbl>
      <w:tblPr>
        <w:tblLayout w:type="fixed"/>
        <w:tblInd w:w="3" w:type="dxa"/>
        <w:tblCellMar>
          <w:top w:w="0" w:type="dxa"/>
          <w:left w:w="0" w:type="dxa"/>
          <w:bottom w:w="0" w:type="dxa"/>
          <w:right w:w="0" w:type="dxa"/>
        </w:tblCellMar>
      </w:tblPr>
      <w:tr>
        <w:trPr>
          <w:trHeight w:val="167"/>
        </w:trPr>
        <w:tc>
          <w:tcPr>
            <w:tcW w:w="6540" w:type="dxa"/>
            <w:vAlign w:val="bottom"/>
            <w:gridSpan w:val="3"/>
          </w:tcPr>
          <w:p>
            <w:pPr>
              <w:spacing w:after="0"/>
              <w:rPr>
                <w:sz w:val="20"/>
                <w:szCs w:val="20"/>
                <w:color w:val="auto"/>
              </w:rPr>
            </w:pPr>
            <w:r>
              <w:rPr>
                <w:rFonts w:ascii="Arial" w:cs="Arial" w:eastAsia="Arial" w:hAnsi="Arial"/>
                <w:sz w:val="13"/>
                <w:szCs w:val="13"/>
                <w:b w:val="1"/>
                <w:bCs w:val="1"/>
                <w:color w:val="auto"/>
              </w:rPr>
              <w:t>TI reports 4Q17 and 2017 financial results and shareholder returns</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ind w:left="800"/>
              <w:spacing w:after="0"/>
              <w:rPr>
                <w:sz w:val="20"/>
                <w:szCs w:val="20"/>
                <w:color w:val="auto"/>
              </w:rPr>
            </w:pPr>
            <w:r>
              <w:rPr>
                <w:rFonts w:ascii="Arial" w:cs="Arial" w:eastAsia="Arial" w:hAnsi="Arial"/>
                <w:sz w:val="13"/>
                <w:szCs w:val="13"/>
                <w:b w:val="1"/>
                <w:bCs w:val="1"/>
                <w:color w:val="auto"/>
                <w:w w:val="81"/>
              </w:rPr>
              <w:t>Page 6</w:t>
            </w:r>
          </w:p>
        </w:tc>
      </w:tr>
      <w:tr>
        <w:trPr>
          <w:trHeight w:val="280"/>
        </w:trPr>
        <w:tc>
          <w:tcPr>
            <w:tcW w:w="6540" w:type="dxa"/>
            <w:vAlign w:val="bottom"/>
            <w:gridSpan w:val="3"/>
          </w:tcPr>
          <w:p>
            <w:pPr>
              <w:spacing w:after="0"/>
              <w:rPr>
                <w:sz w:val="20"/>
                <w:szCs w:val="20"/>
                <w:color w:val="auto"/>
              </w:rPr>
            </w:pPr>
            <w:r>
              <w:rPr>
                <w:rFonts w:ascii="Arial" w:cs="Arial" w:eastAsia="Arial" w:hAnsi="Arial"/>
                <w:sz w:val="13"/>
                <w:szCs w:val="13"/>
                <w:b w:val="1"/>
                <w:bCs w:val="1"/>
                <w:color w:val="auto"/>
              </w:rPr>
              <w:t>Quarterly segment results</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
        </w:trPr>
        <w:tc>
          <w:tcPr>
            <w:tcW w:w="1420" w:type="dxa"/>
            <w:vAlign w:val="bottom"/>
            <w:gridSpan w:val="2"/>
            <w:shd w:val="clear" w:color="auto" w:fill="000000"/>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40"/>
        </w:trPr>
        <w:tc>
          <w:tcPr>
            <w:tcW w:w="6540" w:type="dxa"/>
            <w:vAlign w:val="bottom"/>
            <w:gridSpan w:val="3"/>
          </w:tcPr>
          <w:p>
            <w:pPr>
              <w:spacing w:after="0"/>
              <w:rPr>
                <w:sz w:val="20"/>
                <w:szCs w:val="20"/>
                <w:color w:val="auto"/>
              </w:rPr>
            </w:pPr>
            <w:r>
              <w:rPr>
                <w:rFonts w:ascii="Arial" w:cs="Arial" w:eastAsia="Arial" w:hAnsi="Arial"/>
                <w:sz w:val="13"/>
                <w:szCs w:val="13"/>
                <w:i w:val="1"/>
                <w:iCs w:val="1"/>
                <w:color w:val="auto"/>
              </w:rPr>
              <w:t>Amounts are in millions of dollars.</w:t>
            </w: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19"/>
        </w:trPr>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336"/>
              <w:spacing w:after="0"/>
              <w:rPr>
                <w:sz w:val="20"/>
                <w:szCs w:val="20"/>
                <w:color w:val="auto"/>
              </w:rPr>
            </w:pPr>
            <w:r>
              <w:rPr>
                <w:rFonts w:ascii="Arial" w:cs="Arial" w:eastAsia="Arial" w:hAnsi="Arial"/>
                <w:sz w:val="13"/>
                <w:szCs w:val="13"/>
                <w:color w:val="auto"/>
              </w:rPr>
              <w:t>4Q17</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ind w:left="160"/>
              <w:spacing w:after="0"/>
              <w:rPr>
                <w:sz w:val="20"/>
                <w:szCs w:val="20"/>
                <w:color w:val="auto"/>
              </w:rPr>
            </w:pPr>
            <w:r>
              <w:rPr>
                <w:rFonts w:ascii="Arial" w:cs="Arial" w:eastAsia="Arial" w:hAnsi="Arial"/>
                <w:sz w:val="13"/>
                <w:szCs w:val="13"/>
                <w:color w:val="auto"/>
              </w:rPr>
              <w:t>4Q16</w:t>
            </w:r>
          </w:p>
        </w:tc>
        <w:tc>
          <w:tcPr>
            <w:tcW w:w="2400" w:type="dxa"/>
            <w:vAlign w:val="bottom"/>
            <w:gridSpan w:val="3"/>
          </w:tcPr>
          <w:p>
            <w:pPr>
              <w:ind w:left="320"/>
              <w:spacing w:after="0"/>
              <w:rPr>
                <w:sz w:val="20"/>
                <w:szCs w:val="20"/>
                <w:color w:val="auto"/>
              </w:rPr>
            </w:pPr>
            <w:r>
              <w:rPr>
                <w:rFonts w:ascii="Arial" w:cs="Arial" w:eastAsia="Arial" w:hAnsi="Arial"/>
                <w:sz w:val="13"/>
                <w:szCs w:val="13"/>
                <w:color w:val="auto"/>
              </w:rPr>
              <w:t>Change</w:t>
            </w:r>
          </w:p>
        </w:tc>
      </w:tr>
      <w:tr>
        <w:trPr>
          <w:trHeight w:val="154"/>
        </w:trPr>
        <w:tc>
          <w:tcPr>
            <w:tcW w:w="1140" w:type="dxa"/>
            <w:vAlign w:val="bottom"/>
          </w:tcPr>
          <w:p>
            <w:pPr>
              <w:spacing w:after="0"/>
              <w:rPr>
                <w:sz w:val="13"/>
                <w:szCs w:val="13"/>
                <w:color w:val="auto"/>
              </w:rPr>
            </w:pPr>
          </w:p>
        </w:tc>
        <w:tc>
          <w:tcPr>
            <w:tcW w:w="5400" w:type="dxa"/>
            <w:vAlign w:val="bottom"/>
            <w:tcBorders>
              <w:top w:val="single" w:sz="8" w:color="CFF0FC"/>
            </w:tcBorders>
            <w:gridSpan w:val="2"/>
            <w:shd w:val="clear" w:color="auto" w:fill="CFF0FC"/>
          </w:tcPr>
          <w:p>
            <w:pPr>
              <w:spacing w:after="0" w:line="144" w:lineRule="exact"/>
              <w:rPr>
                <w:sz w:val="20"/>
                <w:szCs w:val="20"/>
                <w:color w:val="auto"/>
              </w:rPr>
            </w:pPr>
            <w:r>
              <w:rPr>
                <w:rFonts w:ascii="Arial" w:cs="Arial" w:eastAsia="Arial" w:hAnsi="Arial"/>
                <w:sz w:val="13"/>
                <w:szCs w:val="13"/>
                <w:color w:val="auto"/>
              </w:rPr>
              <w:t>Analog:</w:t>
            </w:r>
          </w:p>
        </w:tc>
        <w:tc>
          <w:tcPr>
            <w:tcW w:w="22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1160" w:type="dxa"/>
            <w:vAlign w:val="bottom"/>
          </w:tcPr>
          <w:p>
            <w:pPr>
              <w:spacing w:after="0"/>
              <w:rPr>
                <w:sz w:val="13"/>
                <w:szCs w:val="13"/>
                <w:color w:val="auto"/>
              </w:rPr>
            </w:pPr>
          </w:p>
        </w:tc>
      </w:tr>
      <w:tr>
        <w:trPr>
          <w:trHeight w:val="164"/>
        </w:trPr>
        <w:tc>
          <w:tcPr>
            <w:tcW w:w="1140" w:type="dxa"/>
            <w:vAlign w:val="bottom"/>
          </w:tcPr>
          <w:p>
            <w:pPr>
              <w:spacing w:after="0"/>
              <w:rPr>
                <w:sz w:val="14"/>
                <w:szCs w:val="14"/>
                <w:color w:val="auto"/>
              </w:rPr>
            </w:pPr>
          </w:p>
        </w:tc>
        <w:tc>
          <w:tcPr>
            <w:tcW w:w="5400" w:type="dxa"/>
            <w:vAlign w:val="bottom"/>
            <w:gridSpan w:val="2"/>
          </w:tcPr>
          <w:p>
            <w:pPr>
              <w:ind w:left="180"/>
              <w:spacing w:after="0"/>
              <w:rPr>
                <w:sz w:val="20"/>
                <w:szCs w:val="20"/>
                <w:color w:val="auto"/>
              </w:rPr>
            </w:pPr>
            <w:r>
              <w:rPr>
                <w:rFonts w:ascii="Arial" w:cs="Arial" w:eastAsia="Arial" w:hAnsi="Arial"/>
                <w:sz w:val="13"/>
                <w:szCs w:val="13"/>
                <w:color w:val="auto"/>
              </w:rPr>
              <w:t>Revenue</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2,535</w:t>
            </w: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2,290</w:t>
            </w:r>
          </w:p>
        </w:tc>
        <w:tc>
          <w:tcPr>
            <w:tcW w:w="18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11%</w:t>
            </w:r>
          </w:p>
        </w:tc>
        <w:tc>
          <w:tcPr>
            <w:tcW w:w="1160" w:type="dxa"/>
            <w:vAlign w:val="bottom"/>
          </w:tcPr>
          <w:p>
            <w:pPr>
              <w:spacing w:after="0"/>
              <w:rPr>
                <w:sz w:val="14"/>
                <w:szCs w:val="14"/>
                <w:color w:val="auto"/>
              </w:rPr>
            </w:pPr>
          </w:p>
        </w:tc>
      </w:tr>
      <w:tr>
        <w:trPr>
          <w:trHeight w:val="164"/>
        </w:trPr>
        <w:tc>
          <w:tcPr>
            <w:tcW w:w="1140" w:type="dxa"/>
            <w:vAlign w:val="bottom"/>
          </w:tcPr>
          <w:p>
            <w:pPr>
              <w:spacing w:after="0"/>
              <w:rPr>
                <w:sz w:val="14"/>
                <w:szCs w:val="14"/>
                <w:color w:val="auto"/>
              </w:rPr>
            </w:pPr>
          </w:p>
        </w:tc>
        <w:tc>
          <w:tcPr>
            <w:tcW w:w="5400" w:type="dxa"/>
            <w:vAlign w:val="bottom"/>
            <w:gridSpan w:val="2"/>
            <w:shd w:val="clear" w:color="auto" w:fill="CFF0FC"/>
          </w:tcPr>
          <w:p>
            <w:pPr>
              <w:ind w:left="180"/>
              <w:spacing w:after="0"/>
              <w:rPr>
                <w:sz w:val="20"/>
                <w:szCs w:val="20"/>
                <w:color w:val="auto"/>
              </w:rPr>
            </w:pPr>
            <w:r>
              <w:rPr>
                <w:rFonts w:ascii="Arial" w:cs="Arial" w:eastAsia="Arial" w:hAnsi="Arial"/>
                <w:sz w:val="13"/>
                <w:szCs w:val="13"/>
                <w:color w:val="auto"/>
              </w:rPr>
              <w:t>Operating profit</w:t>
            </w:r>
          </w:p>
        </w:tc>
        <w:tc>
          <w:tcPr>
            <w:tcW w:w="220" w:type="dxa"/>
            <w:vAlign w:val="bottom"/>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1,188</w:t>
            </w: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990</w:t>
            </w:r>
          </w:p>
        </w:tc>
        <w:tc>
          <w:tcPr>
            <w:tcW w:w="18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20%</w:t>
            </w:r>
          </w:p>
        </w:tc>
        <w:tc>
          <w:tcPr>
            <w:tcW w:w="1160" w:type="dxa"/>
            <w:vAlign w:val="bottom"/>
          </w:tcPr>
          <w:p>
            <w:pPr>
              <w:spacing w:after="0"/>
              <w:rPr>
                <w:sz w:val="14"/>
                <w:szCs w:val="14"/>
                <w:color w:val="auto"/>
              </w:rPr>
            </w:pPr>
          </w:p>
        </w:tc>
      </w:tr>
      <w:tr>
        <w:trPr>
          <w:trHeight w:val="164"/>
        </w:trPr>
        <w:tc>
          <w:tcPr>
            <w:tcW w:w="1140" w:type="dxa"/>
            <w:vAlign w:val="bottom"/>
          </w:tcPr>
          <w:p>
            <w:pPr>
              <w:spacing w:after="0"/>
              <w:rPr>
                <w:sz w:val="14"/>
                <w:szCs w:val="14"/>
                <w:color w:val="auto"/>
              </w:rPr>
            </w:pPr>
          </w:p>
        </w:tc>
        <w:tc>
          <w:tcPr>
            <w:tcW w:w="5400" w:type="dxa"/>
            <w:vAlign w:val="bottom"/>
            <w:gridSpan w:val="2"/>
          </w:tcPr>
          <w:p>
            <w:pPr>
              <w:spacing w:after="0"/>
              <w:rPr>
                <w:sz w:val="20"/>
                <w:szCs w:val="20"/>
                <w:color w:val="auto"/>
              </w:rPr>
            </w:pPr>
            <w:r>
              <w:rPr>
                <w:rFonts w:ascii="Arial" w:cs="Arial" w:eastAsia="Arial" w:hAnsi="Arial"/>
                <w:sz w:val="13"/>
                <w:szCs w:val="13"/>
                <w:color w:val="auto"/>
              </w:rPr>
              <w:t>Embedded Processing:</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64"/>
        </w:trPr>
        <w:tc>
          <w:tcPr>
            <w:tcW w:w="1140" w:type="dxa"/>
            <w:vAlign w:val="bottom"/>
          </w:tcPr>
          <w:p>
            <w:pPr>
              <w:spacing w:after="0"/>
              <w:rPr>
                <w:sz w:val="14"/>
                <w:szCs w:val="14"/>
                <w:color w:val="auto"/>
              </w:rPr>
            </w:pPr>
          </w:p>
        </w:tc>
        <w:tc>
          <w:tcPr>
            <w:tcW w:w="5400" w:type="dxa"/>
            <w:vAlign w:val="bottom"/>
            <w:gridSpan w:val="2"/>
            <w:shd w:val="clear" w:color="auto" w:fill="CFF0FC"/>
          </w:tcPr>
          <w:p>
            <w:pPr>
              <w:ind w:left="180"/>
              <w:spacing w:after="0"/>
              <w:rPr>
                <w:sz w:val="20"/>
                <w:szCs w:val="20"/>
                <w:color w:val="auto"/>
              </w:rPr>
            </w:pPr>
            <w:r>
              <w:rPr>
                <w:rFonts w:ascii="Arial" w:cs="Arial" w:eastAsia="Arial" w:hAnsi="Arial"/>
                <w:sz w:val="13"/>
                <w:szCs w:val="13"/>
                <w:color w:val="auto"/>
              </w:rPr>
              <w:t>Revenue</w:t>
            </w:r>
          </w:p>
        </w:tc>
        <w:tc>
          <w:tcPr>
            <w:tcW w:w="220" w:type="dxa"/>
            <w:vAlign w:val="bottom"/>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896</w:t>
            </w: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744</w:t>
            </w:r>
          </w:p>
        </w:tc>
        <w:tc>
          <w:tcPr>
            <w:tcW w:w="18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20%</w:t>
            </w:r>
          </w:p>
        </w:tc>
        <w:tc>
          <w:tcPr>
            <w:tcW w:w="1160" w:type="dxa"/>
            <w:vAlign w:val="bottom"/>
          </w:tcPr>
          <w:p>
            <w:pPr>
              <w:spacing w:after="0"/>
              <w:rPr>
                <w:sz w:val="14"/>
                <w:szCs w:val="14"/>
                <w:color w:val="auto"/>
              </w:rPr>
            </w:pPr>
          </w:p>
        </w:tc>
      </w:tr>
      <w:tr>
        <w:trPr>
          <w:trHeight w:val="164"/>
        </w:trPr>
        <w:tc>
          <w:tcPr>
            <w:tcW w:w="1140" w:type="dxa"/>
            <w:vAlign w:val="bottom"/>
          </w:tcPr>
          <w:p>
            <w:pPr>
              <w:spacing w:after="0"/>
              <w:rPr>
                <w:sz w:val="14"/>
                <w:szCs w:val="14"/>
                <w:color w:val="auto"/>
              </w:rPr>
            </w:pPr>
          </w:p>
        </w:tc>
        <w:tc>
          <w:tcPr>
            <w:tcW w:w="5400" w:type="dxa"/>
            <w:vAlign w:val="bottom"/>
            <w:gridSpan w:val="2"/>
          </w:tcPr>
          <w:p>
            <w:pPr>
              <w:ind w:left="180"/>
              <w:spacing w:after="0"/>
              <w:rPr>
                <w:sz w:val="20"/>
                <w:szCs w:val="20"/>
                <w:color w:val="auto"/>
              </w:rPr>
            </w:pPr>
            <w:r>
              <w:rPr>
                <w:rFonts w:ascii="Arial" w:cs="Arial" w:eastAsia="Arial" w:hAnsi="Arial"/>
                <w:sz w:val="13"/>
                <w:szCs w:val="13"/>
                <w:color w:val="auto"/>
              </w:rPr>
              <w:t>Operating profit</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307</w:t>
            </w: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214</w:t>
            </w:r>
          </w:p>
        </w:tc>
        <w:tc>
          <w:tcPr>
            <w:tcW w:w="18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43%</w:t>
            </w:r>
          </w:p>
        </w:tc>
        <w:tc>
          <w:tcPr>
            <w:tcW w:w="1160" w:type="dxa"/>
            <w:vAlign w:val="bottom"/>
          </w:tcPr>
          <w:p>
            <w:pPr>
              <w:spacing w:after="0"/>
              <w:rPr>
                <w:sz w:val="14"/>
                <w:szCs w:val="14"/>
                <w:color w:val="auto"/>
              </w:rPr>
            </w:pPr>
          </w:p>
        </w:tc>
      </w:tr>
      <w:tr>
        <w:trPr>
          <w:trHeight w:val="164"/>
        </w:trPr>
        <w:tc>
          <w:tcPr>
            <w:tcW w:w="1140" w:type="dxa"/>
            <w:vAlign w:val="bottom"/>
          </w:tcPr>
          <w:p>
            <w:pPr>
              <w:spacing w:after="0"/>
              <w:rPr>
                <w:sz w:val="14"/>
                <w:szCs w:val="14"/>
                <w:color w:val="auto"/>
              </w:rPr>
            </w:pPr>
          </w:p>
        </w:tc>
        <w:tc>
          <w:tcPr>
            <w:tcW w:w="540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Other:</w:t>
            </w:r>
          </w:p>
        </w:tc>
        <w:tc>
          <w:tcPr>
            <w:tcW w:w="2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60" w:type="dxa"/>
            <w:vAlign w:val="bottom"/>
          </w:tcPr>
          <w:p>
            <w:pPr>
              <w:spacing w:after="0"/>
              <w:rPr>
                <w:sz w:val="14"/>
                <w:szCs w:val="14"/>
                <w:color w:val="auto"/>
              </w:rPr>
            </w:pPr>
          </w:p>
        </w:tc>
      </w:tr>
      <w:tr>
        <w:trPr>
          <w:trHeight w:val="164"/>
        </w:trPr>
        <w:tc>
          <w:tcPr>
            <w:tcW w:w="1140" w:type="dxa"/>
            <w:vAlign w:val="bottom"/>
          </w:tcPr>
          <w:p>
            <w:pPr>
              <w:spacing w:after="0"/>
              <w:rPr>
                <w:sz w:val="14"/>
                <w:szCs w:val="14"/>
                <w:color w:val="auto"/>
              </w:rPr>
            </w:pPr>
          </w:p>
        </w:tc>
        <w:tc>
          <w:tcPr>
            <w:tcW w:w="5400" w:type="dxa"/>
            <w:vAlign w:val="bottom"/>
            <w:gridSpan w:val="2"/>
          </w:tcPr>
          <w:p>
            <w:pPr>
              <w:ind w:left="180"/>
              <w:spacing w:after="0"/>
              <w:rPr>
                <w:sz w:val="20"/>
                <w:szCs w:val="20"/>
                <w:color w:val="auto"/>
              </w:rPr>
            </w:pPr>
            <w:r>
              <w:rPr>
                <w:rFonts w:ascii="Arial" w:cs="Arial" w:eastAsia="Arial" w:hAnsi="Arial"/>
                <w:sz w:val="13"/>
                <w:szCs w:val="13"/>
                <w:color w:val="auto"/>
              </w:rPr>
              <w:t>Revenue</w:t>
            </w:r>
          </w:p>
        </w:tc>
        <w:tc>
          <w:tcPr>
            <w:tcW w:w="220" w:type="dxa"/>
            <w:vAlign w:val="bottom"/>
          </w:tcPr>
          <w:p>
            <w:pPr>
              <w:jc w:val="right"/>
              <w:ind w:right="11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319</w:t>
            </w:r>
          </w:p>
        </w:tc>
        <w:tc>
          <w:tcPr>
            <w:tcW w:w="4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380</w:t>
            </w:r>
          </w:p>
        </w:tc>
        <w:tc>
          <w:tcPr>
            <w:tcW w:w="180" w:type="dxa"/>
            <w:vAlign w:val="bottom"/>
          </w:tcPr>
          <w:p>
            <w:pPr>
              <w:spacing w:after="0"/>
              <w:rPr>
                <w:sz w:val="14"/>
                <w:szCs w:val="14"/>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3"/>
                <w:szCs w:val="13"/>
                <w:color w:val="auto"/>
              </w:rPr>
              <w:t>-16%</w:t>
            </w:r>
          </w:p>
        </w:tc>
        <w:tc>
          <w:tcPr>
            <w:tcW w:w="1160" w:type="dxa"/>
            <w:vAlign w:val="bottom"/>
          </w:tcPr>
          <w:p>
            <w:pPr>
              <w:spacing w:after="0"/>
              <w:rPr>
                <w:sz w:val="14"/>
                <w:szCs w:val="14"/>
                <w:color w:val="auto"/>
              </w:rPr>
            </w:pPr>
          </w:p>
        </w:tc>
      </w:tr>
      <w:tr>
        <w:trPr>
          <w:trHeight w:val="164"/>
        </w:trPr>
        <w:tc>
          <w:tcPr>
            <w:tcW w:w="1140" w:type="dxa"/>
            <w:vAlign w:val="bottom"/>
          </w:tcPr>
          <w:p>
            <w:pPr>
              <w:spacing w:after="0"/>
              <w:rPr>
                <w:sz w:val="14"/>
                <w:szCs w:val="14"/>
                <w:color w:val="auto"/>
              </w:rPr>
            </w:pPr>
          </w:p>
        </w:tc>
        <w:tc>
          <w:tcPr>
            <w:tcW w:w="5400" w:type="dxa"/>
            <w:vAlign w:val="bottom"/>
            <w:gridSpan w:val="2"/>
            <w:shd w:val="clear" w:color="auto" w:fill="CFF0FC"/>
          </w:tcPr>
          <w:p>
            <w:pPr>
              <w:ind w:left="180"/>
              <w:spacing w:after="0"/>
              <w:rPr>
                <w:sz w:val="20"/>
                <w:szCs w:val="20"/>
                <w:color w:val="auto"/>
              </w:rPr>
            </w:pPr>
            <w:r>
              <w:rPr>
                <w:rFonts w:ascii="Arial" w:cs="Arial" w:eastAsia="Arial" w:hAnsi="Arial"/>
                <w:sz w:val="13"/>
                <w:szCs w:val="13"/>
                <w:color w:val="auto"/>
              </w:rPr>
              <w:t>Operating profit*</w:t>
            </w:r>
          </w:p>
        </w:tc>
        <w:tc>
          <w:tcPr>
            <w:tcW w:w="220" w:type="dxa"/>
            <w:vAlign w:val="bottom"/>
            <w:shd w:val="clear" w:color="auto" w:fill="CFF0FC"/>
          </w:tcPr>
          <w:p>
            <w:pPr>
              <w:jc w:val="right"/>
              <w:ind w:right="11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w:t>
            </w:r>
          </w:p>
        </w:tc>
        <w:tc>
          <w:tcPr>
            <w:tcW w:w="4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w:t>
            </w:r>
          </w:p>
        </w:tc>
        <w:tc>
          <w:tcPr>
            <w:tcW w:w="18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-47%</w:t>
            </w:r>
          </w:p>
        </w:tc>
        <w:tc>
          <w:tcPr>
            <w:tcW w:w="1160" w:type="dxa"/>
            <w:vAlign w:val="bottom"/>
          </w:tcPr>
          <w:p>
            <w:pPr>
              <w:spacing w:after="0"/>
              <w:rPr>
                <w:sz w:val="14"/>
                <w:szCs w:val="14"/>
                <w:color w:val="auto"/>
              </w:rPr>
            </w:pPr>
          </w:p>
        </w:tc>
      </w:tr>
    </w:tbl>
    <w:p>
      <w:pPr>
        <w:spacing w:after="0" w:line="146"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 Includes Acquisition charges and Restructuring charges/other.</w:t>
      </w:r>
    </w:p>
    <w:p>
      <w:pPr>
        <w:spacing w:after="0" w:line="82" w:lineRule="exact"/>
        <w:rPr>
          <w:sz w:val="20"/>
          <w:szCs w:val="20"/>
          <w:color w:val="auto"/>
        </w:rPr>
      </w:pPr>
    </w:p>
    <w:p>
      <w:pPr>
        <w:ind w:left="3"/>
        <w:spacing w:after="0"/>
        <w:rPr>
          <w:sz w:val="20"/>
          <w:szCs w:val="20"/>
          <w:color w:val="auto"/>
        </w:rPr>
      </w:pPr>
      <w:r>
        <w:rPr>
          <w:rFonts w:ascii="Arial" w:cs="Arial" w:eastAsia="Arial" w:hAnsi="Arial"/>
          <w:sz w:val="13"/>
          <w:szCs w:val="13"/>
          <w:color w:val="auto"/>
        </w:rPr>
        <w:t>Compared with the year-ago quarter:</w:t>
      </w:r>
    </w:p>
    <w:p>
      <w:pPr>
        <w:spacing w:after="0" w:line="155"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 xml:space="preserve">Analog: </w:t>
      </w:r>
      <w:r>
        <w:rPr>
          <w:rFonts w:ascii="Arial" w:cs="Arial" w:eastAsia="Arial" w:hAnsi="Arial"/>
          <w:sz w:val="13"/>
          <w:szCs w:val="13"/>
          <w:i w:val="1"/>
          <w:iCs w:val="1"/>
          <w:color w:val="auto"/>
        </w:rPr>
        <w:t>(includes Power, Signal Chain and High Volume)</w:t>
      </w:r>
    </w:p>
    <w:p>
      <w:pPr>
        <w:spacing w:after="0" w:line="86" w:lineRule="exact"/>
        <w:rPr>
          <w:sz w:val="20"/>
          <w:szCs w:val="20"/>
          <w:color w:val="auto"/>
        </w:rPr>
      </w:pPr>
    </w:p>
    <w:p>
      <w:pPr>
        <w:ind w:left="503" w:hanging="503"/>
        <w:spacing w:after="0"/>
        <w:tabs>
          <w:tab w:leader="none" w:pos="503" w:val="left"/>
        </w:tabs>
        <w:numPr>
          <w:ilvl w:val="0"/>
          <w:numId w:val="4"/>
        </w:numPr>
        <w:rPr>
          <w:rFonts w:ascii="Arial" w:cs="Arial" w:eastAsia="Arial" w:hAnsi="Arial"/>
          <w:sz w:val="13"/>
          <w:szCs w:val="13"/>
          <w:color w:val="auto"/>
        </w:rPr>
      </w:pPr>
      <w:r>
        <w:rPr>
          <w:rFonts w:ascii="Arial" w:cs="Arial" w:eastAsia="Arial" w:hAnsi="Arial"/>
          <w:sz w:val="13"/>
          <w:szCs w:val="13"/>
          <w:color w:val="auto"/>
        </w:rPr>
        <w:t>Revenue increased due to Power and Signal Chain. High Volume declined.</w:t>
      </w:r>
    </w:p>
    <w:p>
      <w:pPr>
        <w:spacing w:after="0" w:line="82" w:lineRule="exact"/>
        <w:rPr>
          <w:rFonts w:ascii="Arial" w:cs="Arial" w:eastAsia="Arial" w:hAnsi="Arial"/>
          <w:sz w:val="13"/>
          <w:szCs w:val="13"/>
          <w:color w:val="auto"/>
        </w:rPr>
      </w:pPr>
    </w:p>
    <w:p>
      <w:pPr>
        <w:ind w:left="503" w:hanging="503"/>
        <w:spacing w:after="0"/>
        <w:tabs>
          <w:tab w:leader="none" w:pos="503" w:val="left"/>
        </w:tabs>
        <w:numPr>
          <w:ilvl w:val="0"/>
          <w:numId w:val="4"/>
        </w:numPr>
        <w:rPr>
          <w:rFonts w:ascii="Arial" w:cs="Arial" w:eastAsia="Arial" w:hAnsi="Arial"/>
          <w:sz w:val="13"/>
          <w:szCs w:val="13"/>
          <w:color w:val="auto"/>
        </w:rPr>
      </w:pPr>
      <w:r>
        <w:rPr>
          <w:rFonts w:ascii="Arial" w:cs="Arial" w:eastAsia="Arial" w:hAnsi="Arial"/>
          <w:sz w:val="13"/>
          <w:szCs w:val="13"/>
          <w:color w:val="auto"/>
        </w:rPr>
        <w:t>Operating profit increased primarily due to higher revenue and associated gross profit.</w:t>
      </w:r>
    </w:p>
    <w:p>
      <w:pPr>
        <w:spacing w:after="0" w:line="155"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 xml:space="preserve">Embedded Processing: </w:t>
      </w:r>
      <w:r>
        <w:rPr>
          <w:rFonts w:ascii="Arial" w:cs="Arial" w:eastAsia="Arial" w:hAnsi="Arial"/>
          <w:sz w:val="13"/>
          <w:szCs w:val="13"/>
          <w:i w:val="1"/>
          <w:iCs w:val="1"/>
          <w:color w:val="auto"/>
        </w:rPr>
        <w:t>(includes Connected Microcontrollers and Processors)</w:t>
      </w:r>
    </w:p>
    <w:p>
      <w:pPr>
        <w:spacing w:after="0" w:line="86" w:lineRule="exact"/>
        <w:rPr>
          <w:sz w:val="20"/>
          <w:szCs w:val="20"/>
          <w:color w:val="auto"/>
        </w:rPr>
      </w:pPr>
    </w:p>
    <w:p>
      <w:pPr>
        <w:ind w:left="503" w:hanging="503"/>
        <w:spacing w:after="0"/>
        <w:tabs>
          <w:tab w:leader="none" w:pos="503" w:val="left"/>
        </w:tabs>
        <w:numPr>
          <w:ilvl w:val="0"/>
          <w:numId w:val="5"/>
        </w:numPr>
        <w:rPr>
          <w:rFonts w:ascii="Arial" w:cs="Arial" w:eastAsia="Arial" w:hAnsi="Arial"/>
          <w:sz w:val="13"/>
          <w:szCs w:val="13"/>
          <w:color w:val="auto"/>
        </w:rPr>
      </w:pPr>
      <w:r>
        <w:rPr>
          <w:rFonts w:ascii="Arial" w:cs="Arial" w:eastAsia="Arial" w:hAnsi="Arial"/>
          <w:sz w:val="13"/>
          <w:szCs w:val="13"/>
          <w:color w:val="auto"/>
        </w:rPr>
        <w:t>Revenue increased in both product lines.</w:t>
      </w:r>
    </w:p>
    <w:p>
      <w:pPr>
        <w:spacing w:after="0" w:line="82" w:lineRule="exact"/>
        <w:rPr>
          <w:rFonts w:ascii="Arial" w:cs="Arial" w:eastAsia="Arial" w:hAnsi="Arial"/>
          <w:sz w:val="13"/>
          <w:szCs w:val="13"/>
          <w:color w:val="auto"/>
        </w:rPr>
      </w:pPr>
    </w:p>
    <w:p>
      <w:pPr>
        <w:ind w:left="503" w:hanging="503"/>
        <w:spacing w:after="0"/>
        <w:tabs>
          <w:tab w:leader="none" w:pos="503" w:val="left"/>
        </w:tabs>
        <w:numPr>
          <w:ilvl w:val="0"/>
          <w:numId w:val="5"/>
        </w:numPr>
        <w:rPr>
          <w:rFonts w:ascii="Arial" w:cs="Arial" w:eastAsia="Arial" w:hAnsi="Arial"/>
          <w:sz w:val="13"/>
          <w:szCs w:val="13"/>
          <w:color w:val="auto"/>
        </w:rPr>
      </w:pPr>
      <w:r>
        <w:rPr>
          <w:rFonts w:ascii="Arial" w:cs="Arial" w:eastAsia="Arial" w:hAnsi="Arial"/>
          <w:sz w:val="13"/>
          <w:szCs w:val="13"/>
          <w:color w:val="auto"/>
        </w:rPr>
        <w:t>Operating profit increased due to higher revenue and associated gross profit.</w:t>
      </w:r>
    </w:p>
    <w:p>
      <w:pPr>
        <w:spacing w:after="0" w:line="155" w:lineRule="exact"/>
        <w:rPr>
          <w:sz w:val="20"/>
          <w:szCs w:val="20"/>
          <w:color w:val="auto"/>
        </w:rPr>
      </w:pPr>
    </w:p>
    <w:tbl>
      <w:tblPr>
        <w:tblLayout w:type="fixed"/>
        <w:tblInd w:w="3" w:type="dxa"/>
        <w:tblCellMar>
          <w:top w:w="0" w:type="dxa"/>
          <w:left w:w="0" w:type="dxa"/>
          <w:bottom w:w="0" w:type="dxa"/>
          <w:right w:w="0" w:type="dxa"/>
        </w:tblCellMar>
      </w:tblPr>
      <w:tr>
        <w:trPr>
          <w:trHeight w:val="167"/>
        </w:trPr>
        <w:tc>
          <w:tcPr>
            <w:tcW w:w="5420" w:type="dxa"/>
            <w:vAlign w:val="bottom"/>
            <w:gridSpan w:val="4"/>
          </w:tcPr>
          <w:p>
            <w:pPr>
              <w:spacing w:after="0"/>
              <w:rPr>
                <w:sz w:val="20"/>
                <w:szCs w:val="20"/>
                <w:color w:val="auto"/>
              </w:rPr>
            </w:pPr>
            <w:r>
              <w:rPr>
                <w:rFonts w:ascii="Arial" w:cs="Arial" w:eastAsia="Arial" w:hAnsi="Arial"/>
                <w:sz w:val="13"/>
                <w:szCs w:val="13"/>
                <w:b w:val="1"/>
                <w:bCs w:val="1"/>
                <w:color w:val="auto"/>
              </w:rPr>
              <w:t xml:space="preserve">Other: </w:t>
            </w:r>
            <w:r>
              <w:rPr>
                <w:rFonts w:ascii="Arial" w:cs="Arial" w:eastAsia="Arial" w:hAnsi="Arial"/>
                <w:sz w:val="13"/>
                <w:szCs w:val="13"/>
                <w:i w:val="1"/>
                <w:iCs w:val="1"/>
                <w:color w:val="auto"/>
              </w:rPr>
              <w:t>(includes DLP</w:t>
            </w:r>
            <w:r>
              <w:rPr>
                <w:rFonts w:ascii="Arial" w:cs="Arial" w:eastAsia="Arial" w:hAnsi="Arial"/>
                <w:sz w:val="10"/>
                <w:szCs w:val="10"/>
                <w:i w:val="1"/>
                <w:iCs w:val="1"/>
                <w:color w:val="auto"/>
              </w:rPr>
              <w:t>®</w:t>
            </w:r>
            <w:r>
              <w:rPr>
                <w:rFonts w:ascii="Arial" w:cs="Arial" w:eastAsia="Arial" w:hAnsi="Arial"/>
                <w:sz w:val="13"/>
                <w:szCs w:val="13"/>
                <w:b w:val="1"/>
                <w:bCs w:val="1"/>
                <w:color w:val="auto"/>
              </w:rPr>
              <w:t xml:space="preserve"> </w:t>
            </w:r>
            <w:r>
              <w:rPr>
                <w:rFonts w:ascii="Arial" w:cs="Arial" w:eastAsia="Arial" w:hAnsi="Arial"/>
                <w:sz w:val="13"/>
                <w:szCs w:val="13"/>
                <w:i w:val="1"/>
                <w:iCs w:val="1"/>
                <w:color w:val="auto"/>
              </w:rPr>
              <w:t>products, calculators and custom ASIC products)</w:t>
            </w: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232"/>
        </w:trPr>
        <w:tc>
          <w:tcPr>
            <w:tcW w:w="280" w:type="dxa"/>
            <w:vAlign w:val="bottom"/>
          </w:tcPr>
          <w:p>
            <w:pPr>
              <w:spacing w:after="0"/>
              <w:rPr>
                <w:sz w:val="20"/>
                <w:szCs w:val="20"/>
                <w:color w:val="auto"/>
              </w:rPr>
            </w:pPr>
            <w:r>
              <w:rPr>
                <w:rFonts w:ascii="Arial" w:cs="Arial" w:eastAsia="Arial" w:hAnsi="Arial"/>
                <w:sz w:val="13"/>
                <w:szCs w:val="13"/>
                <w:color w:val="auto"/>
              </w:rPr>
              <w:t>•</w:t>
            </w:r>
          </w:p>
        </w:tc>
        <w:tc>
          <w:tcPr>
            <w:tcW w:w="5140" w:type="dxa"/>
            <w:vAlign w:val="bottom"/>
            <w:gridSpan w:val="3"/>
          </w:tcPr>
          <w:p>
            <w:pPr>
              <w:ind w:left="220"/>
              <w:spacing w:after="0"/>
              <w:rPr>
                <w:sz w:val="20"/>
                <w:szCs w:val="20"/>
                <w:color w:val="auto"/>
              </w:rPr>
            </w:pPr>
            <w:r>
              <w:rPr>
                <w:rFonts w:ascii="Arial" w:cs="Arial" w:eastAsia="Arial" w:hAnsi="Arial"/>
                <w:sz w:val="13"/>
                <w:szCs w:val="13"/>
                <w:color w:val="auto"/>
              </w:rPr>
              <w:t>Revenue decreased $61 million, and operating profit declined $60 million.</w:t>
            </w: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58"/>
        </w:trPr>
        <w:tc>
          <w:tcPr>
            <w:tcW w:w="5420" w:type="dxa"/>
            <w:vAlign w:val="bottom"/>
            <w:gridSpan w:val="4"/>
          </w:tcPr>
          <w:p>
            <w:pPr>
              <w:spacing w:after="0"/>
              <w:rPr>
                <w:sz w:val="20"/>
                <w:szCs w:val="20"/>
                <w:color w:val="auto"/>
              </w:rPr>
            </w:pPr>
            <w:r>
              <w:rPr>
                <w:rFonts w:ascii="Arial" w:cs="Arial" w:eastAsia="Arial" w:hAnsi="Arial"/>
                <w:sz w:val="13"/>
                <w:szCs w:val="13"/>
                <w:b w:val="1"/>
                <w:bCs w:val="1"/>
                <w:color w:val="auto"/>
              </w:rPr>
              <w:t>Annual segment results</w:t>
            </w: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1280" w:type="dxa"/>
            <w:vAlign w:val="bottom"/>
            <w:gridSpan w:val="3"/>
            <w:shd w:val="clear" w:color="auto" w:fill="000000"/>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40"/>
        </w:trPr>
        <w:tc>
          <w:tcPr>
            <w:tcW w:w="5420" w:type="dxa"/>
            <w:vAlign w:val="bottom"/>
            <w:gridSpan w:val="4"/>
          </w:tcPr>
          <w:p>
            <w:pPr>
              <w:spacing w:after="0"/>
              <w:rPr>
                <w:sz w:val="20"/>
                <w:szCs w:val="20"/>
                <w:color w:val="auto"/>
              </w:rPr>
            </w:pPr>
            <w:r>
              <w:rPr>
                <w:rFonts w:ascii="Arial" w:cs="Arial" w:eastAsia="Arial" w:hAnsi="Arial"/>
                <w:sz w:val="13"/>
                <w:szCs w:val="13"/>
                <w:i w:val="1"/>
                <w:iCs w:val="1"/>
                <w:color w:val="auto"/>
              </w:rPr>
              <w:t>Amounts are in millions of dollars.</w:t>
            </w: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319"/>
        </w:trPr>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376"/>
              <w:spacing w:after="0"/>
              <w:rPr>
                <w:sz w:val="20"/>
                <w:szCs w:val="20"/>
                <w:color w:val="auto"/>
              </w:rPr>
            </w:pPr>
            <w:r>
              <w:rPr>
                <w:rFonts w:ascii="Arial" w:cs="Arial" w:eastAsia="Arial" w:hAnsi="Arial"/>
                <w:sz w:val="13"/>
                <w:szCs w:val="13"/>
                <w:color w:val="auto"/>
              </w:rPr>
              <w:t>2017</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ind w:right="356"/>
              <w:spacing w:after="0"/>
              <w:rPr>
                <w:sz w:val="20"/>
                <w:szCs w:val="20"/>
                <w:color w:val="auto"/>
              </w:rPr>
            </w:pPr>
            <w:r>
              <w:rPr>
                <w:rFonts w:ascii="Arial" w:cs="Arial" w:eastAsia="Arial" w:hAnsi="Arial"/>
                <w:sz w:val="13"/>
                <w:szCs w:val="13"/>
                <w:color w:val="auto"/>
              </w:rPr>
              <w:t>2016</w:t>
            </w:r>
          </w:p>
        </w:tc>
        <w:tc>
          <w:tcPr>
            <w:tcW w:w="180" w:type="dxa"/>
            <w:vAlign w:val="bottom"/>
          </w:tcPr>
          <w:p>
            <w:pPr>
              <w:spacing w:after="0"/>
              <w:rPr>
                <w:sz w:val="24"/>
                <w:szCs w:val="2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3"/>
                <w:szCs w:val="13"/>
                <w:color w:val="auto"/>
              </w:rPr>
              <w:t>Change</w:t>
            </w:r>
          </w:p>
        </w:tc>
      </w:tr>
      <w:tr>
        <w:trPr>
          <w:trHeight w:val="154"/>
        </w:trPr>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80" w:type="dxa"/>
            <w:vAlign w:val="bottom"/>
            <w:tcBorders>
              <w:top w:val="single" w:sz="8" w:color="CFF0FC"/>
            </w:tcBorders>
            <w:gridSpan w:val="2"/>
            <w:shd w:val="clear" w:color="auto" w:fill="CFF0FC"/>
          </w:tcPr>
          <w:p>
            <w:pPr>
              <w:spacing w:after="0" w:line="144" w:lineRule="exact"/>
              <w:rPr>
                <w:sz w:val="20"/>
                <w:szCs w:val="20"/>
                <w:color w:val="auto"/>
              </w:rPr>
            </w:pPr>
            <w:r>
              <w:rPr>
                <w:rFonts w:ascii="Arial" w:cs="Arial" w:eastAsia="Arial" w:hAnsi="Arial"/>
                <w:sz w:val="13"/>
                <w:szCs w:val="13"/>
                <w:color w:val="auto"/>
              </w:rPr>
              <w:t>Analog:</w:t>
            </w:r>
          </w:p>
        </w:tc>
        <w:tc>
          <w:tcPr>
            <w:tcW w:w="110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200" w:type="dxa"/>
            <w:vAlign w:val="bottom"/>
            <w:tcBorders>
              <w:top w:val="single" w:sz="8" w:color="CFF0FC"/>
            </w:tcBorders>
            <w:shd w:val="clear" w:color="auto" w:fill="CFF0FC"/>
          </w:tcPr>
          <w:p>
            <w:pPr>
              <w:spacing w:after="0"/>
              <w:rPr>
                <w:sz w:val="13"/>
                <w:szCs w:val="13"/>
                <w:color w:val="auto"/>
              </w:rPr>
            </w:pPr>
          </w:p>
        </w:tc>
        <w:tc>
          <w:tcPr>
            <w:tcW w:w="24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180" w:type="dxa"/>
            <w:vAlign w:val="bottom"/>
            <w:tcBorders>
              <w:top w:val="single" w:sz="8" w:color="CFF0FC"/>
            </w:tcBorders>
            <w:shd w:val="clear" w:color="auto" w:fill="CFF0FC"/>
          </w:tcPr>
          <w:p>
            <w:pPr>
              <w:spacing w:after="0"/>
              <w:rPr>
                <w:sz w:val="13"/>
                <w:szCs w:val="13"/>
                <w:color w:val="auto"/>
              </w:rPr>
            </w:pPr>
          </w:p>
        </w:tc>
      </w:tr>
      <w:tr>
        <w:trPr>
          <w:trHeight w:val="164"/>
        </w:trPr>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140" w:type="dxa"/>
            <w:vAlign w:val="bottom"/>
          </w:tcPr>
          <w:p>
            <w:pPr>
              <w:ind w:left="40"/>
              <w:spacing w:after="0"/>
              <w:rPr>
                <w:sz w:val="20"/>
                <w:szCs w:val="20"/>
                <w:color w:val="auto"/>
              </w:rPr>
            </w:pPr>
            <w:r>
              <w:rPr>
                <w:rFonts w:ascii="Arial" w:cs="Arial" w:eastAsia="Arial" w:hAnsi="Arial"/>
                <w:sz w:val="13"/>
                <w:szCs w:val="13"/>
                <w:color w:val="auto"/>
              </w:rPr>
              <w:t>Revenue</w:t>
            </w:r>
          </w:p>
        </w:tc>
        <w:tc>
          <w:tcPr>
            <w:tcW w:w="1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9,900</w:t>
            </w:r>
          </w:p>
        </w:tc>
        <w:tc>
          <w:tcPr>
            <w:tcW w:w="200" w:type="dxa"/>
            <w:vAlign w:val="bottom"/>
          </w:tcPr>
          <w:p>
            <w:pPr>
              <w:spacing w:after="0"/>
              <w:rPr>
                <w:sz w:val="14"/>
                <w:szCs w:val="14"/>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8,536</w:t>
            </w:r>
          </w:p>
        </w:tc>
        <w:tc>
          <w:tcPr>
            <w:tcW w:w="18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3"/>
                <w:szCs w:val="13"/>
                <w:color w:val="auto"/>
              </w:rPr>
              <w:t>16%</w:t>
            </w:r>
          </w:p>
        </w:tc>
      </w:tr>
      <w:tr>
        <w:trPr>
          <w:trHeight w:val="164"/>
        </w:trPr>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140" w:type="dxa"/>
            <w:vAlign w:val="bottom"/>
            <w:shd w:val="clear" w:color="auto" w:fill="CFF0FC"/>
          </w:tcPr>
          <w:p>
            <w:pPr>
              <w:ind w:left="40"/>
              <w:spacing w:after="0"/>
              <w:rPr>
                <w:sz w:val="20"/>
                <w:szCs w:val="20"/>
                <w:color w:val="auto"/>
              </w:rPr>
            </w:pPr>
            <w:r>
              <w:rPr>
                <w:rFonts w:ascii="Arial" w:cs="Arial" w:eastAsia="Arial" w:hAnsi="Arial"/>
                <w:sz w:val="13"/>
                <w:szCs w:val="13"/>
                <w:color w:val="auto"/>
              </w:rPr>
              <w:t>Operating profit</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4,468</w:t>
            </w: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13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3,416</w:t>
            </w:r>
          </w:p>
        </w:tc>
        <w:tc>
          <w:tcPr>
            <w:tcW w:w="1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31%</w:t>
            </w:r>
          </w:p>
        </w:tc>
      </w:tr>
      <w:tr>
        <w:trPr>
          <w:trHeight w:val="164"/>
        </w:trPr>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80" w:type="dxa"/>
            <w:vAlign w:val="bottom"/>
            <w:gridSpan w:val="2"/>
          </w:tcPr>
          <w:p>
            <w:pPr>
              <w:spacing w:after="0"/>
              <w:rPr>
                <w:sz w:val="20"/>
                <w:szCs w:val="20"/>
                <w:color w:val="auto"/>
              </w:rPr>
            </w:pPr>
            <w:r>
              <w:rPr>
                <w:rFonts w:ascii="Arial" w:cs="Arial" w:eastAsia="Arial" w:hAnsi="Arial"/>
                <w:sz w:val="13"/>
                <w:szCs w:val="13"/>
                <w:color w:val="auto"/>
              </w:rPr>
              <w:t>Embedded Processing:</w:t>
            </w: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4"/>
        </w:trPr>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140" w:type="dxa"/>
            <w:vAlign w:val="bottom"/>
            <w:shd w:val="clear" w:color="auto" w:fill="CFF0FC"/>
          </w:tcPr>
          <w:p>
            <w:pPr>
              <w:ind w:left="40"/>
              <w:spacing w:after="0"/>
              <w:rPr>
                <w:sz w:val="20"/>
                <w:szCs w:val="20"/>
                <w:color w:val="auto"/>
              </w:rPr>
            </w:pPr>
            <w:r>
              <w:rPr>
                <w:rFonts w:ascii="Arial" w:cs="Arial" w:eastAsia="Arial" w:hAnsi="Arial"/>
                <w:sz w:val="13"/>
                <w:szCs w:val="13"/>
                <w:color w:val="auto"/>
              </w:rPr>
              <w:t>Revenue</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3,498</w:t>
            </w: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13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3,023</w:t>
            </w:r>
          </w:p>
        </w:tc>
        <w:tc>
          <w:tcPr>
            <w:tcW w:w="1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16%</w:t>
            </w:r>
          </w:p>
        </w:tc>
      </w:tr>
      <w:tr>
        <w:trPr>
          <w:trHeight w:val="164"/>
        </w:trPr>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140" w:type="dxa"/>
            <w:vAlign w:val="bottom"/>
          </w:tcPr>
          <w:p>
            <w:pPr>
              <w:ind w:left="40"/>
              <w:spacing w:after="0"/>
              <w:rPr>
                <w:sz w:val="20"/>
                <w:szCs w:val="20"/>
                <w:color w:val="auto"/>
              </w:rPr>
            </w:pPr>
            <w:r>
              <w:rPr>
                <w:rFonts w:ascii="Arial" w:cs="Arial" w:eastAsia="Arial" w:hAnsi="Arial"/>
                <w:sz w:val="13"/>
                <w:szCs w:val="13"/>
                <w:color w:val="auto"/>
              </w:rPr>
              <w:t>Operating profit</w:t>
            </w:r>
          </w:p>
        </w:tc>
        <w:tc>
          <w:tcPr>
            <w:tcW w:w="1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1,143</w:t>
            </w:r>
          </w:p>
        </w:tc>
        <w:tc>
          <w:tcPr>
            <w:tcW w:w="200" w:type="dxa"/>
            <w:vAlign w:val="bottom"/>
          </w:tcPr>
          <w:p>
            <w:pPr>
              <w:spacing w:after="0"/>
              <w:rPr>
                <w:sz w:val="14"/>
                <w:szCs w:val="14"/>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817</w:t>
            </w:r>
          </w:p>
        </w:tc>
        <w:tc>
          <w:tcPr>
            <w:tcW w:w="18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3"/>
                <w:szCs w:val="13"/>
                <w:color w:val="auto"/>
              </w:rPr>
              <w:t>40%</w:t>
            </w:r>
          </w:p>
        </w:tc>
      </w:tr>
      <w:tr>
        <w:trPr>
          <w:trHeight w:val="164"/>
        </w:trPr>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80" w:type="dxa"/>
            <w:vAlign w:val="bottom"/>
            <w:gridSpan w:val="2"/>
            <w:shd w:val="clear" w:color="auto" w:fill="CFF0FC"/>
          </w:tcPr>
          <w:p>
            <w:pPr>
              <w:spacing w:after="0"/>
              <w:rPr>
                <w:sz w:val="20"/>
                <w:szCs w:val="20"/>
                <w:color w:val="auto"/>
              </w:rPr>
            </w:pPr>
            <w:r>
              <w:rPr>
                <w:rFonts w:ascii="Arial" w:cs="Arial" w:eastAsia="Arial" w:hAnsi="Arial"/>
                <w:sz w:val="13"/>
                <w:szCs w:val="13"/>
                <w:color w:val="auto"/>
              </w:rPr>
              <w:t>Other:</w:t>
            </w:r>
          </w:p>
        </w:tc>
        <w:tc>
          <w:tcPr>
            <w:tcW w:w="1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r>
      <w:tr>
        <w:trPr>
          <w:trHeight w:val="164"/>
        </w:trPr>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140" w:type="dxa"/>
            <w:vAlign w:val="bottom"/>
          </w:tcPr>
          <w:p>
            <w:pPr>
              <w:ind w:left="40"/>
              <w:spacing w:after="0"/>
              <w:rPr>
                <w:sz w:val="20"/>
                <w:szCs w:val="20"/>
                <w:color w:val="auto"/>
              </w:rPr>
            </w:pPr>
            <w:r>
              <w:rPr>
                <w:rFonts w:ascii="Arial" w:cs="Arial" w:eastAsia="Arial" w:hAnsi="Arial"/>
                <w:sz w:val="13"/>
                <w:szCs w:val="13"/>
                <w:color w:val="auto"/>
              </w:rPr>
              <w:t>Revenue</w:t>
            </w:r>
          </w:p>
        </w:tc>
        <w:tc>
          <w:tcPr>
            <w:tcW w:w="1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1,563</w:t>
            </w:r>
          </w:p>
        </w:tc>
        <w:tc>
          <w:tcPr>
            <w:tcW w:w="200" w:type="dxa"/>
            <w:vAlign w:val="bottom"/>
          </w:tcPr>
          <w:p>
            <w:pPr>
              <w:spacing w:after="0"/>
              <w:rPr>
                <w:sz w:val="14"/>
                <w:szCs w:val="14"/>
                <w:color w:val="auto"/>
              </w:rPr>
            </w:pPr>
          </w:p>
        </w:tc>
        <w:tc>
          <w:tcPr>
            <w:tcW w:w="240" w:type="dxa"/>
            <w:vAlign w:val="bottom"/>
          </w:tcPr>
          <w:p>
            <w:pPr>
              <w:jc w:val="right"/>
              <w:ind w:right="132"/>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1,811</w:t>
            </w:r>
          </w:p>
        </w:tc>
        <w:tc>
          <w:tcPr>
            <w:tcW w:w="180" w:type="dxa"/>
            <w:vAlign w:val="bottom"/>
          </w:tcPr>
          <w:p>
            <w:pPr>
              <w:spacing w:after="0"/>
              <w:rPr>
                <w:sz w:val="14"/>
                <w:szCs w:val="14"/>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3"/>
                <w:szCs w:val="13"/>
                <w:color w:val="auto"/>
              </w:rPr>
              <w:t>-14%</w:t>
            </w:r>
          </w:p>
        </w:tc>
      </w:tr>
      <w:tr>
        <w:trPr>
          <w:trHeight w:val="164"/>
        </w:trPr>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4140" w:type="dxa"/>
            <w:vAlign w:val="bottom"/>
            <w:shd w:val="clear" w:color="auto" w:fill="CFF0FC"/>
          </w:tcPr>
          <w:p>
            <w:pPr>
              <w:ind w:left="40"/>
              <w:spacing w:after="0"/>
              <w:rPr>
                <w:sz w:val="20"/>
                <w:szCs w:val="20"/>
                <w:color w:val="auto"/>
              </w:rPr>
            </w:pPr>
            <w:r>
              <w:rPr>
                <w:rFonts w:ascii="Arial" w:cs="Arial" w:eastAsia="Arial" w:hAnsi="Arial"/>
                <w:sz w:val="13"/>
                <w:szCs w:val="13"/>
                <w:color w:val="auto"/>
              </w:rPr>
              <w:t>Operating profit*</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472</w:t>
            </w: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jc w:val="right"/>
              <w:ind w:right="132"/>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622</w:t>
            </w:r>
          </w:p>
        </w:tc>
        <w:tc>
          <w:tcPr>
            <w:tcW w:w="18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-24%</w:t>
            </w:r>
          </w:p>
        </w:tc>
      </w:tr>
    </w:tbl>
    <w:p>
      <w:pPr>
        <w:spacing w:after="0" w:line="146" w:lineRule="exact"/>
        <w:rPr>
          <w:sz w:val="20"/>
          <w:szCs w:val="20"/>
          <w:color w:val="auto"/>
        </w:rPr>
      </w:pPr>
    </w:p>
    <w:p>
      <w:pPr>
        <w:ind w:left="3"/>
        <w:spacing w:after="0"/>
        <w:rPr>
          <w:sz w:val="20"/>
          <w:szCs w:val="20"/>
          <w:color w:val="auto"/>
        </w:rPr>
      </w:pPr>
      <w:r>
        <w:rPr>
          <w:rFonts w:ascii="Arial" w:cs="Arial" w:eastAsia="Arial" w:hAnsi="Arial"/>
          <w:sz w:val="13"/>
          <w:szCs w:val="13"/>
          <w:i w:val="1"/>
          <w:iCs w:val="1"/>
          <w:color w:val="auto"/>
        </w:rPr>
        <w:t>* Includes Acquisition charges and Restructuring charges/other.</w:t>
      </w:r>
    </w:p>
    <w:p>
      <w:pPr>
        <w:spacing w:after="0" w:line="82" w:lineRule="exact"/>
        <w:rPr>
          <w:sz w:val="20"/>
          <w:szCs w:val="20"/>
          <w:color w:val="auto"/>
        </w:rPr>
      </w:pPr>
    </w:p>
    <w:p>
      <w:pPr>
        <w:ind w:left="3"/>
        <w:spacing w:after="0"/>
        <w:rPr>
          <w:sz w:val="20"/>
          <w:szCs w:val="20"/>
          <w:color w:val="auto"/>
        </w:rPr>
      </w:pPr>
      <w:r>
        <w:rPr>
          <w:rFonts w:ascii="Arial" w:cs="Arial" w:eastAsia="Arial" w:hAnsi="Arial"/>
          <w:sz w:val="13"/>
          <w:szCs w:val="13"/>
          <w:color w:val="auto"/>
        </w:rPr>
        <w:t>Compared with the prior year:</w:t>
      </w:r>
    </w:p>
    <w:p>
      <w:pPr>
        <w:spacing w:after="0" w:line="155"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Analog:</w:t>
      </w:r>
    </w:p>
    <w:p>
      <w:pPr>
        <w:spacing w:after="0" w:line="86" w:lineRule="exact"/>
        <w:rPr>
          <w:sz w:val="20"/>
          <w:szCs w:val="20"/>
          <w:color w:val="auto"/>
        </w:rPr>
      </w:pPr>
    </w:p>
    <w:p>
      <w:pPr>
        <w:ind w:left="503" w:hanging="503"/>
        <w:spacing w:after="0"/>
        <w:tabs>
          <w:tab w:leader="none" w:pos="503" w:val="left"/>
        </w:tabs>
        <w:numPr>
          <w:ilvl w:val="0"/>
          <w:numId w:val="6"/>
        </w:numPr>
        <w:rPr>
          <w:rFonts w:ascii="Arial" w:cs="Arial" w:eastAsia="Arial" w:hAnsi="Arial"/>
          <w:sz w:val="13"/>
          <w:szCs w:val="13"/>
          <w:color w:val="auto"/>
        </w:rPr>
      </w:pPr>
      <w:r>
        <w:rPr>
          <w:rFonts w:ascii="Arial" w:cs="Arial" w:eastAsia="Arial" w:hAnsi="Arial"/>
          <w:sz w:val="13"/>
          <w:szCs w:val="13"/>
          <w:color w:val="auto"/>
        </w:rPr>
        <w:t>Revenue increased due to Power and Signal Chain. High Volume also grew.</w:t>
      </w:r>
    </w:p>
    <w:p>
      <w:pPr>
        <w:spacing w:after="0" w:line="82" w:lineRule="exact"/>
        <w:rPr>
          <w:rFonts w:ascii="Arial" w:cs="Arial" w:eastAsia="Arial" w:hAnsi="Arial"/>
          <w:sz w:val="13"/>
          <w:szCs w:val="13"/>
          <w:color w:val="auto"/>
        </w:rPr>
      </w:pPr>
    </w:p>
    <w:p>
      <w:pPr>
        <w:ind w:left="503" w:hanging="503"/>
        <w:spacing w:after="0"/>
        <w:tabs>
          <w:tab w:leader="none" w:pos="503" w:val="left"/>
        </w:tabs>
        <w:numPr>
          <w:ilvl w:val="0"/>
          <w:numId w:val="6"/>
        </w:numPr>
        <w:rPr>
          <w:rFonts w:ascii="Arial" w:cs="Arial" w:eastAsia="Arial" w:hAnsi="Arial"/>
          <w:sz w:val="13"/>
          <w:szCs w:val="13"/>
          <w:color w:val="auto"/>
        </w:rPr>
      </w:pPr>
      <w:r>
        <w:rPr>
          <w:rFonts w:ascii="Arial" w:cs="Arial" w:eastAsia="Arial" w:hAnsi="Arial"/>
          <w:sz w:val="13"/>
          <w:szCs w:val="13"/>
          <w:color w:val="auto"/>
        </w:rPr>
        <w:t>Operating profit increased primarily due to higher revenue and associated 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241300</wp:posOffset>
            </wp:positionV>
            <wp:extent cx="7323455" cy="37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23455" cy="37465"/>
                    </a:xfrm>
                    <a:prstGeom prst="rect">
                      <a:avLst/>
                    </a:prstGeom>
                    <a:noFill/>
                  </pic:spPr>
                </pic:pic>
              </a:graphicData>
            </a:graphic>
          </wp:anchor>
        </w:drawing>
      </w:r>
    </w:p>
    <w:p>
      <w:pPr>
        <w:sectPr>
          <w:pgSz w:w="11900" w:h="16838" w:orient="portrait"/>
          <w:cols w:equalWidth="0" w:num="1">
            <w:col w:w="11483"/>
          </w:cols>
          <w:pgMar w:left="217" w:top="127" w:right="199" w:bottom="1440" w:gutter="0" w:footer="0" w:header="0"/>
        </w:sectPr>
      </w:pPr>
    </w:p>
    <w:bookmarkStart w:id="9" w:name="page10"/>
    <w:bookmarkEnd w:id="9"/>
    <w:p>
      <w:pPr>
        <w:ind w:left="3"/>
        <w:spacing w:after="0"/>
        <w:tabs>
          <w:tab w:leader="none" w:pos="11102" w:val="left"/>
        </w:tabs>
        <w:rPr>
          <w:sz w:val="20"/>
          <w:szCs w:val="20"/>
          <w:color w:val="auto"/>
        </w:rPr>
      </w:pPr>
      <w:r>
        <w:rPr>
          <w:rFonts w:ascii="Arial" w:cs="Arial" w:eastAsia="Arial" w:hAnsi="Arial"/>
          <w:sz w:val="13"/>
          <w:szCs w:val="13"/>
          <w:b w:val="1"/>
          <w:bCs w:val="1"/>
          <w:color w:val="auto"/>
        </w:rPr>
        <w:t>TI reports 4Q17 and 2017 financial results and shareholder returns</w:t>
      </w:r>
      <w:r>
        <w:rPr>
          <w:sz w:val="20"/>
          <w:szCs w:val="20"/>
          <w:color w:val="auto"/>
        </w:rPr>
        <w:tab/>
      </w:r>
      <w:r>
        <w:rPr>
          <w:rFonts w:ascii="Arial" w:cs="Arial" w:eastAsia="Arial" w:hAnsi="Arial"/>
          <w:sz w:val="11"/>
          <w:szCs w:val="11"/>
          <w:b w:val="1"/>
          <w:bCs w:val="1"/>
          <w:color w:val="auto"/>
        </w:rPr>
        <w:t>Page 7</w:t>
      </w:r>
    </w:p>
    <w:p>
      <w:pPr>
        <w:spacing w:after="0" w:line="314"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Embedded Processing:</w:t>
      </w:r>
    </w:p>
    <w:p>
      <w:pPr>
        <w:spacing w:after="0" w:line="86" w:lineRule="exact"/>
        <w:rPr>
          <w:sz w:val="20"/>
          <w:szCs w:val="20"/>
          <w:color w:val="auto"/>
        </w:rPr>
      </w:pPr>
    </w:p>
    <w:p>
      <w:pPr>
        <w:ind w:left="503" w:hanging="503"/>
        <w:spacing w:after="0"/>
        <w:tabs>
          <w:tab w:leader="none" w:pos="503" w:val="left"/>
        </w:tabs>
        <w:numPr>
          <w:ilvl w:val="0"/>
          <w:numId w:val="7"/>
        </w:numPr>
        <w:rPr>
          <w:rFonts w:ascii="Arial" w:cs="Arial" w:eastAsia="Arial" w:hAnsi="Arial"/>
          <w:sz w:val="13"/>
          <w:szCs w:val="13"/>
          <w:color w:val="auto"/>
        </w:rPr>
      </w:pPr>
      <w:r>
        <w:rPr>
          <w:rFonts w:ascii="Arial" w:cs="Arial" w:eastAsia="Arial" w:hAnsi="Arial"/>
          <w:sz w:val="13"/>
          <w:szCs w:val="13"/>
          <w:color w:val="auto"/>
        </w:rPr>
        <w:t>Revenue increased due to growth in both product lines – Processors and Connected Microcontrollers.</w:t>
      </w:r>
    </w:p>
    <w:p>
      <w:pPr>
        <w:spacing w:after="0" w:line="82" w:lineRule="exact"/>
        <w:rPr>
          <w:rFonts w:ascii="Arial" w:cs="Arial" w:eastAsia="Arial" w:hAnsi="Arial"/>
          <w:sz w:val="13"/>
          <w:szCs w:val="13"/>
          <w:color w:val="auto"/>
        </w:rPr>
      </w:pPr>
    </w:p>
    <w:p>
      <w:pPr>
        <w:ind w:left="503" w:hanging="503"/>
        <w:spacing w:after="0"/>
        <w:tabs>
          <w:tab w:leader="none" w:pos="503" w:val="left"/>
        </w:tabs>
        <w:numPr>
          <w:ilvl w:val="0"/>
          <w:numId w:val="7"/>
        </w:numPr>
        <w:rPr>
          <w:rFonts w:ascii="Arial" w:cs="Arial" w:eastAsia="Arial" w:hAnsi="Arial"/>
          <w:sz w:val="13"/>
          <w:szCs w:val="13"/>
          <w:color w:val="auto"/>
        </w:rPr>
      </w:pPr>
      <w:r>
        <w:rPr>
          <w:rFonts w:ascii="Arial" w:cs="Arial" w:eastAsia="Arial" w:hAnsi="Arial"/>
          <w:sz w:val="13"/>
          <w:szCs w:val="13"/>
          <w:color w:val="auto"/>
        </w:rPr>
        <w:t>Operating profit increased primarily due to higher revenue and associated gross profit.</w:t>
      </w:r>
    </w:p>
    <w:p>
      <w:pPr>
        <w:spacing w:after="0" w:line="78" w:lineRule="exact"/>
        <w:rPr>
          <w:sz w:val="20"/>
          <w:szCs w:val="20"/>
          <w:color w:val="auto"/>
        </w:rPr>
      </w:pPr>
    </w:p>
    <w:p>
      <w:pPr>
        <w:ind w:left="3"/>
        <w:spacing w:after="0"/>
        <w:rPr>
          <w:sz w:val="20"/>
          <w:szCs w:val="20"/>
          <w:color w:val="auto"/>
        </w:rPr>
      </w:pPr>
      <w:r>
        <w:rPr>
          <w:rFonts w:ascii="Arial" w:cs="Arial" w:eastAsia="Arial" w:hAnsi="Arial"/>
          <w:sz w:val="13"/>
          <w:szCs w:val="13"/>
          <w:b w:val="1"/>
          <w:bCs w:val="1"/>
          <w:color w:val="auto"/>
        </w:rPr>
        <w:t>Other:</w:t>
      </w:r>
    </w:p>
    <w:p>
      <w:pPr>
        <w:spacing w:after="0" w:line="86" w:lineRule="exact"/>
        <w:rPr>
          <w:sz w:val="20"/>
          <w:szCs w:val="20"/>
          <w:color w:val="auto"/>
        </w:rPr>
      </w:pPr>
    </w:p>
    <w:p>
      <w:pPr>
        <w:ind w:left="503" w:hanging="503"/>
        <w:spacing w:after="0"/>
        <w:tabs>
          <w:tab w:leader="none" w:pos="503" w:val="left"/>
        </w:tabs>
        <w:numPr>
          <w:ilvl w:val="0"/>
          <w:numId w:val="8"/>
        </w:numPr>
        <w:rPr>
          <w:rFonts w:ascii="Arial" w:cs="Arial" w:eastAsia="Arial" w:hAnsi="Arial"/>
          <w:sz w:val="13"/>
          <w:szCs w:val="13"/>
          <w:color w:val="auto"/>
        </w:rPr>
      </w:pPr>
      <w:r>
        <w:rPr>
          <w:rFonts w:ascii="Arial" w:cs="Arial" w:eastAsia="Arial" w:hAnsi="Arial"/>
          <w:sz w:val="13"/>
          <w:szCs w:val="13"/>
          <w:color w:val="auto"/>
        </w:rPr>
        <w:t>Revenue declined $248 million primarily due to custom ASIC products and the move of royalties from revenue to OI&amp;E, which began in the first quarter of 2017.</w:t>
      </w:r>
    </w:p>
    <w:p>
      <w:pPr>
        <w:spacing w:after="0" w:line="82" w:lineRule="exact"/>
        <w:rPr>
          <w:rFonts w:ascii="Arial" w:cs="Arial" w:eastAsia="Arial" w:hAnsi="Arial"/>
          <w:sz w:val="13"/>
          <w:szCs w:val="13"/>
          <w:color w:val="auto"/>
        </w:rPr>
      </w:pPr>
    </w:p>
    <w:p>
      <w:pPr>
        <w:ind w:left="503" w:hanging="503"/>
        <w:spacing w:after="0"/>
        <w:tabs>
          <w:tab w:leader="none" w:pos="503" w:val="left"/>
        </w:tabs>
        <w:numPr>
          <w:ilvl w:val="0"/>
          <w:numId w:val="8"/>
        </w:numPr>
        <w:rPr>
          <w:rFonts w:ascii="Arial" w:cs="Arial" w:eastAsia="Arial" w:hAnsi="Arial"/>
          <w:sz w:val="13"/>
          <w:szCs w:val="13"/>
          <w:color w:val="auto"/>
        </w:rPr>
      </w:pPr>
      <w:r>
        <w:rPr>
          <w:rFonts w:ascii="Arial" w:cs="Arial" w:eastAsia="Arial" w:hAnsi="Arial"/>
          <w:sz w:val="13"/>
          <w:szCs w:val="13"/>
          <w:color w:val="auto"/>
        </w:rPr>
        <w:t>Operating profit decreased $150 million.</w:t>
      </w:r>
    </w:p>
    <w:p>
      <w:pPr>
        <w:spacing w:after="0" w:line="232" w:lineRule="exact"/>
        <w:rPr>
          <w:sz w:val="20"/>
          <w:szCs w:val="20"/>
          <w:color w:val="auto"/>
        </w:rPr>
      </w:pPr>
    </w:p>
    <w:p>
      <w:pPr>
        <w:ind w:left="3"/>
        <w:spacing w:after="0"/>
        <w:rPr>
          <w:sz w:val="20"/>
          <w:szCs w:val="20"/>
          <w:color w:val="auto"/>
        </w:rPr>
      </w:pPr>
      <w:r>
        <w:rPr>
          <w:rFonts w:ascii="Arial" w:cs="Arial" w:eastAsia="Arial" w:hAnsi="Arial"/>
          <w:sz w:val="13"/>
          <w:szCs w:val="13"/>
          <w:b w:val="1"/>
          <w:bCs w:val="1"/>
          <w:u w:val="single" w:color="auto"/>
          <w:color w:val="auto"/>
        </w:rPr>
        <w:t>Non-GAAP financial information</w:t>
      </w:r>
    </w:p>
    <w:p>
      <w:pPr>
        <w:spacing w:after="0" w:line="86" w:lineRule="exact"/>
        <w:rPr>
          <w:sz w:val="20"/>
          <w:szCs w:val="20"/>
          <w:color w:val="auto"/>
        </w:rPr>
      </w:pPr>
    </w:p>
    <w:p>
      <w:pPr>
        <w:ind w:left="3" w:right="360"/>
        <w:spacing w:after="0" w:line="268" w:lineRule="auto"/>
        <w:rPr>
          <w:sz w:val="20"/>
          <w:szCs w:val="20"/>
          <w:color w:val="auto"/>
        </w:rPr>
      </w:pPr>
      <w:r>
        <w:rPr>
          <w:rFonts w:ascii="Arial" w:cs="Arial" w:eastAsia="Arial" w:hAnsi="Arial"/>
          <w:sz w:val="13"/>
          <w:szCs w:val="13"/>
          <w:color w:val="auto"/>
        </w:rPr>
        <w:t>This release includes references to free cash flow and ratios based on that measure. These are financial measures that were not prepared in accordance with GAAP. Free cash flow was calculated by subtracting Capital expenditures from the most directly comparable GAAP measure, Cash flows from operating activities (also referred to as cash flow from operations).</w:t>
      </w:r>
    </w:p>
    <w:p>
      <w:pPr>
        <w:spacing w:after="0" w:line="129" w:lineRule="exact"/>
        <w:rPr>
          <w:sz w:val="20"/>
          <w:szCs w:val="20"/>
          <w:color w:val="auto"/>
        </w:rPr>
      </w:pPr>
    </w:p>
    <w:p>
      <w:pPr>
        <w:ind w:left="3" w:right="60"/>
        <w:spacing w:after="0" w:line="268" w:lineRule="auto"/>
        <w:rPr>
          <w:sz w:val="20"/>
          <w:szCs w:val="20"/>
          <w:color w:val="auto"/>
        </w:rPr>
      </w:pPr>
      <w:r>
        <w:rPr>
          <w:rFonts w:ascii="Arial" w:cs="Arial" w:eastAsia="Arial" w:hAnsi="Arial"/>
          <w:sz w:val="13"/>
          <w:szCs w:val="13"/>
          <w:color w:val="auto"/>
        </w:rPr>
        <w:t>The company believes that free cash flow and the associated ratios provide insight into its liquidity, its cash-generating capability and the amount of cash potentially available to return to shareholders, as well as insight into its financial performance. These non-GAAP measures are supplemental to the comparable GAAP measures.</w:t>
      </w:r>
    </w:p>
    <w:p>
      <w:pPr>
        <w:spacing w:after="0" w:line="129" w:lineRule="exact"/>
        <w:rPr>
          <w:sz w:val="20"/>
          <w:szCs w:val="20"/>
          <w:color w:val="auto"/>
        </w:rPr>
      </w:pPr>
    </w:p>
    <w:tbl>
      <w:tblPr>
        <w:tblLayout w:type="fixed"/>
        <w:tblInd w:w="3" w:type="dxa"/>
        <w:tblCellMar>
          <w:top w:w="0" w:type="dxa"/>
          <w:left w:w="0" w:type="dxa"/>
          <w:bottom w:w="0" w:type="dxa"/>
          <w:right w:w="0" w:type="dxa"/>
        </w:tblCellMar>
      </w:tblPr>
      <w:tr>
        <w:trPr>
          <w:trHeight w:val="163"/>
        </w:trPr>
        <w:tc>
          <w:tcPr>
            <w:tcW w:w="6560" w:type="dxa"/>
            <w:vAlign w:val="bottom"/>
          </w:tcPr>
          <w:p>
            <w:pPr>
              <w:spacing w:after="0"/>
              <w:rPr>
                <w:sz w:val="20"/>
                <w:szCs w:val="20"/>
                <w:color w:val="auto"/>
              </w:rPr>
            </w:pPr>
            <w:r>
              <w:rPr>
                <w:rFonts w:ascii="Arial" w:cs="Arial" w:eastAsia="Arial" w:hAnsi="Arial"/>
                <w:sz w:val="13"/>
                <w:szCs w:val="13"/>
                <w:color w:val="auto"/>
              </w:rPr>
              <w:t>Reconciliation to the most directly comparable GAAP measures is provided in the table below.</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309"/>
        </w:trPr>
        <w:tc>
          <w:tcPr>
            <w:tcW w:w="6560" w:type="dxa"/>
            <w:vAlign w:val="bottom"/>
          </w:tcPr>
          <w:p>
            <w:pPr>
              <w:spacing w:after="0"/>
              <w:rPr>
                <w:sz w:val="20"/>
                <w:szCs w:val="20"/>
                <w:color w:val="auto"/>
              </w:rPr>
            </w:pPr>
            <w:r>
              <w:rPr>
                <w:rFonts w:ascii="Arial" w:cs="Arial" w:eastAsia="Arial" w:hAnsi="Arial"/>
                <w:sz w:val="13"/>
                <w:szCs w:val="13"/>
                <w:i w:val="1"/>
                <w:iCs w:val="1"/>
                <w:color w:val="auto"/>
              </w:rPr>
              <w:t>Amounts are in millions of dollars.</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16"/>
        </w:trPr>
        <w:tc>
          <w:tcPr>
            <w:tcW w:w="6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80" w:type="dxa"/>
            <w:vAlign w:val="bottom"/>
            <w:gridSpan w:val="4"/>
          </w:tcPr>
          <w:p>
            <w:pPr>
              <w:jc w:val="right"/>
              <w:ind w:right="524"/>
              <w:spacing w:after="0"/>
              <w:rPr>
                <w:sz w:val="20"/>
                <w:szCs w:val="20"/>
                <w:color w:val="auto"/>
              </w:rPr>
            </w:pPr>
            <w:r>
              <w:rPr>
                <w:rFonts w:ascii="Arial" w:cs="Arial" w:eastAsia="Arial" w:hAnsi="Arial"/>
                <w:sz w:val="13"/>
                <w:szCs w:val="13"/>
                <w:b w:val="1"/>
                <w:bCs w:val="1"/>
                <w:color w:val="auto"/>
              </w:rPr>
              <w:t>For Years Ended</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67"/>
        </w:trPr>
        <w:tc>
          <w:tcPr>
            <w:tcW w:w="6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624"/>
              <w:spacing w:after="0"/>
              <w:rPr>
                <w:sz w:val="20"/>
                <w:szCs w:val="20"/>
                <w:color w:val="auto"/>
              </w:rPr>
            </w:pPr>
            <w:r>
              <w:rPr>
                <w:rFonts w:ascii="Arial" w:cs="Arial" w:eastAsia="Arial" w:hAnsi="Arial"/>
                <w:sz w:val="13"/>
                <w:szCs w:val="13"/>
                <w:b w:val="1"/>
                <w:bCs w:val="1"/>
                <w:color w:val="auto"/>
              </w:rPr>
              <w:t>December 31,</w:t>
            </w:r>
          </w:p>
        </w:tc>
        <w:tc>
          <w:tcPr>
            <w:tcW w:w="44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54"/>
        </w:trPr>
        <w:tc>
          <w:tcPr>
            <w:tcW w:w="65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3"/>
                <w:szCs w:val="13"/>
                <w:b w:val="1"/>
                <w:bCs w:val="1"/>
                <w:color w:val="auto"/>
              </w:rPr>
              <w:t>2017</w:t>
            </w:r>
          </w:p>
        </w:tc>
        <w:tc>
          <w:tcPr>
            <w:tcW w:w="46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880" w:type="dxa"/>
            <w:vAlign w:val="bottom"/>
            <w:tcBorders>
              <w:bottom w:val="single" w:sz="8" w:color="auto"/>
            </w:tcBorders>
          </w:tcPr>
          <w:p>
            <w:pPr>
              <w:jc w:val="right"/>
              <w:ind w:right="44"/>
              <w:spacing w:after="0"/>
              <w:rPr>
                <w:sz w:val="20"/>
                <w:szCs w:val="20"/>
                <w:color w:val="auto"/>
              </w:rPr>
            </w:pPr>
            <w:r>
              <w:rPr>
                <w:rFonts w:ascii="Arial" w:cs="Arial" w:eastAsia="Arial" w:hAnsi="Arial"/>
                <w:sz w:val="13"/>
                <w:szCs w:val="13"/>
                <w:b w:val="1"/>
                <w:bCs w:val="1"/>
                <w:color w:val="auto"/>
              </w:rPr>
              <w:t>2016</w:t>
            </w:r>
          </w:p>
        </w:tc>
        <w:tc>
          <w:tcPr>
            <w:tcW w:w="440" w:type="dxa"/>
            <w:vAlign w:val="bottom"/>
            <w:tcBorders>
              <w:bottom w:val="single" w:sz="8" w:color="auto"/>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1260" w:type="dxa"/>
            <w:vAlign w:val="bottom"/>
            <w:tcBorders>
              <w:bottom w:val="single" w:sz="8" w:color="auto"/>
            </w:tcBorders>
          </w:tcPr>
          <w:p>
            <w:pPr>
              <w:ind w:left="420"/>
              <w:spacing w:after="0"/>
              <w:rPr>
                <w:sz w:val="20"/>
                <w:szCs w:val="20"/>
                <w:color w:val="auto"/>
              </w:rPr>
            </w:pPr>
            <w:r>
              <w:rPr>
                <w:rFonts w:ascii="Arial" w:cs="Arial" w:eastAsia="Arial" w:hAnsi="Arial"/>
                <w:sz w:val="13"/>
                <w:szCs w:val="13"/>
                <w:b w:val="1"/>
                <w:bCs w:val="1"/>
                <w:color w:val="auto"/>
              </w:rPr>
              <w:t>Change</w:t>
            </w:r>
          </w:p>
        </w:tc>
        <w:tc>
          <w:tcPr>
            <w:tcW w:w="240" w:type="dxa"/>
            <w:vAlign w:val="bottom"/>
            <w:tcBorders>
              <w:bottom w:val="single" w:sz="8" w:color="CFF0FC"/>
            </w:tcBorders>
          </w:tcPr>
          <w:p>
            <w:pPr>
              <w:spacing w:after="0"/>
              <w:rPr>
                <w:sz w:val="13"/>
                <w:szCs w:val="13"/>
                <w:color w:val="auto"/>
              </w:rPr>
            </w:pPr>
          </w:p>
        </w:tc>
      </w:tr>
      <w:tr>
        <w:trPr>
          <w:trHeight w:val="154"/>
        </w:trPr>
        <w:tc>
          <w:tcPr>
            <w:tcW w:w="6560" w:type="dxa"/>
            <w:vAlign w:val="bottom"/>
            <w:shd w:val="clear" w:color="auto" w:fill="CFF0FC"/>
          </w:tcPr>
          <w:p>
            <w:pPr>
              <w:spacing w:after="0"/>
              <w:rPr>
                <w:sz w:val="20"/>
                <w:szCs w:val="20"/>
                <w:color w:val="auto"/>
              </w:rPr>
            </w:pPr>
            <w:r>
              <w:rPr>
                <w:rFonts w:ascii="Arial" w:cs="Arial" w:eastAsia="Arial" w:hAnsi="Arial"/>
                <w:sz w:val="13"/>
                <w:szCs w:val="13"/>
                <w:color w:val="auto"/>
              </w:rPr>
              <w:t>Cash flow from operations (GAAP)</w:t>
            </w: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jc w:val="right"/>
              <w:ind w:right="748"/>
              <w:spacing w:after="0"/>
              <w:rPr>
                <w:sz w:val="20"/>
                <w:szCs w:val="20"/>
                <w:color w:val="auto"/>
              </w:rPr>
            </w:pPr>
            <w:r>
              <w:rPr>
                <w:rFonts w:ascii="Arial" w:cs="Arial" w:eastAsia="Arial" w:hAnsi="Arial"/>
                <w:sz w:val="10"/>
                <w:szCs w:val="10"/>
                <w:b w:val="1"/>
                <w:bCs w:val="1"/>
                <w:color w:val="auto"/>
                <w:w w:val="71"/>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3"/>
                <w:szCs w:val="13"/>
                <w:b w:val="1"/>
                <w:bCs w:val="1"/>
                <w:color w:val="auto"/>
              </w:rPr>
              <w:t>5,363</w:t>
            </w:r>
          </w:p>
        </w:tc>
        <w:tc>
          <w:tcPr>
            <w:tcW w:w="240" w:type="dxa"/>
            <w:vAlign w:val="bottom"/>
            <w:shd w:val="clear" w:color="auto" w:fill="CFF0FC"/>
          </w:tcPr>
          <w:p>
            <w:pPr>
              <w:spacing w:after="0"/>
              <w:rPr>
                <w:sz w:val="13"/>
                <w:szCs w:val="13"/>
                <w:color w:val="auto"/>
              </w:rPr>
            </w:pPr>
          </w:p>
        </w:tc>
        <w:tc>
          <w:tcPr>
            <w:tcW w:w="980" w:type="dxa"/>
            <w:vAlign w:val="bottom"/>
            <w:gridSpan w:val="2"/>
            <w:shd w:val="clear" w:color="auto" w:fill="CFF0FC"/>
          </w:tcPr>
          <w:p>
            <w:pPr>
              <w:jc w:val="right"/>
              <w:ind w:right="764"/>
              <w:spacing w:after="0"/>
              <w:rPr>
                <w:sz w:val="20"/>
                <w:szCs w:val="20"/>
                <w:color w:val="auto"/>
              </w:rPr>
            </w:pPr>
            <w:r>
              <w:rPr>
                <w:rFonts w:ascii="Arial" w:cs="Arial" w:eastAsia="Arial" w:hAnsi="Arial"/>
                <w:sz w:val="13"/>
                <w:szCs w:val="13"/>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4,614</w:t>
            </w:r>
          </w:p>
        </w:tc>
        <w:tc>
          <w:tcPr>
            <w:tcW w:w="320" w:type="dxa"/>
            <w:vAlign w:val="bottom"/>
            <w:shd w:val="clear" w:color="auto" w:fill="CFF0FC"/>
          </w:tcPr>
          <w:p>
            <w:pPr>
              <w:spacing w:after="0"/>
              <w:rPr>
                <w:sz w:val="13"/>
                <w:szCs w:val="13"/>
                <w:color w:val="auto"/>
              </w:rPr>
            </w:pPr>
          </w:p>
        </w:tc>
        <w:tc>
          <w:tcPr>
            <w:tcW w:w="15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b w:val="1"/>
                <w:bCs w:val="1"/>
                <w:color w:val="auto"/>
              </w:rPr>
              <w:t>16%</w:t>
            </w:r>
          </w:p>
        </w:tc>
      </w:tr>
      <w:tr>
        <w:trPr>
          <w:trHeight w:val="164"/>
        </w:trPr>
        <w:tc>
          <w:tcPr>
            <w:tcW w:w="6560" w:type="dxa"/>
            <w:vAlign w:val="bottom"/>
          </w:tcPr>
          <w:p>
            <w:pPr>
              <w:spacing w:after="0"/>
              <w:rPr>
                <w:sz w:val="20"/>
                <w:szCs w:val="20"/>
                <w:color w:val="auto"/>
              </w:rPr>
            </w:pPr>
            <w:r>
              <w:rPr>
                <w:rFonts w:ascii="Arial" w:cs="Arial" w:eastAsia="Arial" w:hAnsi="Arial"/>
                <w:sz w:val="13"/>
                <w:szCs w:val="13"/>
                <w:color w:val="auto"/>
              </w:rPr>
              <w:t>Capital expenditures</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(695)</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3"/>
                <w:szCs w:val="13"/>
                <w:color w:val="auto"/>
              </w:rPr>
              <w:t>(531)</w:t>
            </w: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3"/>
        </w:trPr>
        <w:tc>
          <w:tcPr>
            <w:tcW w:w="65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3"/>
                <w:szCs w:val="13"/>
                <w:color w:val="auto"/>
              </w:rPr>
              <w:t>Free cash flow (non-GAAP)</w:t>
            </w:r>
          </w:p>
        </w:tc>
        <w:tc>
          <w:tcPr>
            <w:tcW w:w="120" w:type="dxa"/>
            <w:vAlign w:val="bottom"/>
            <w:tcBorders>
              <w:top w:val="single" w:sz="8" w:color="CFF0FC"/>
              <w:bottom w:val="single" w:sz="8" w:color="CFF0FC"/>
            </w:tcBorders>
            <w:shd w:val="clear" w:color="auto" w:fill="CFF0FC"/>
          </w:tcPr>
          <w:p>
            <w:pPr>
              <w:spacing w:after="0"/>
              <w:rPr>
                <w:sz w:val="14"/>
                <w:szCs w:val="14"/>
                <w:color w:val="auto"/>
              </w:rPr>
            </w:pPr>
          </w:p>
        </w:tc>
        <w:tc>
          <w:tcPr>
            <w:tcW w:w="860" w:type="dxa"/>
            <w:vAlign w:val="bottom"/>
            <w:tcBorders>
              <w:top w:val="single" w:sz="8" w:color="auto"/>
              <w:bottom w:val="single" w:sz="8" w:color="auto"/>
            </w:tcBorders>
            <w:shd w:val="clear" w:color="auto" w:fill="CFF0FC"/>
          </w:tcPr>
          <w:p>
            <w:pPr>
              <w:jc w:val="right"/>
              <w:ind w:right="748"/>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b w:val="1"/>
                <w:bCs w:val="1"/>
                <w:color w:val="auto"/>
              </w:rPr>
              <w:t>4,668</w:t>
            </w:r>
          </w:p>
        </w:tc>
        <w:tc>
          <w:tcPr>
            <w:tcW w:w="240" w:type="dxa"/>
            <w:vAlign w:val="bottom"/>
            <w:tcBorders>
              <w:top w:val="single" w:sz="8" w:color="CFF0FC"/>
              <w:bottom w:val="single" w:sz="8" w:color="CFF0FC"/>
            </w:tcBorders>
            <w:shd w:val="clear" w:color="auto" w:fill="CFF0FC"/>
          </w:tcPr>
          <w:p>
            <w:pPr>
              <w:spacing w:after="0"/>
              <w:rPr>
                <w:sz w:val="14"/>
                <w:szCs w:val="14"/>
                <w:color w:val="auto"/>
              </w:rPr>
            </w:pPr>
          </w:p>
        </w:tc>
        <w:tc>
          <w:tcPr>
            <w:tcW w:w="100" w:type="dxa"/>
            <w:vAlign w:val="bottom"/>
            <w:tcBorders>
              <w:top w:val="single" w:sz="8" w:color="CFF0FC"/>
              <w:bottom w:val="single" w:sz="8" w:color="CFF0FC"/>
            </w:tcBorders>
            <w:shd w:val="clear" w:color="auto" w:fill="CFF0FC"/>
          </w:tcPr>
          <w:p>
            <w:pPr>
              <w:spacing w:after="0"/>
              <w:rPr>
                <w:sz w:val="14"/>
                <w:szCs w:val="14"/>
                <w:color w:val="auto"/>
              </w:rPr>
            </w:pPr>
          </w:p>
        </w:tc>
        <w:tc>
          <w:tcPr>
            <w:tcW w:w="880" w:type="dxa"/>
            <w:vAlign w:val="bottom"/>
            <w:tcBorders>
              <w:top w:val="single" w:sz="8" w:color="auto"/>
              <w:bottom w:val="single" w:sz="8" w:color="auto"/>
            </w:tcBorders>
            <w:shd w:val="clear" w:color="auto" w:fill="CFF0FC"/>
          </w:tcPr>
          <w:p>
            <w:pPr>
              <w:jc w:val="right"/>
              <w:ind w:right="764"/>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4,083</w:t>
            </w:r>
          </w:p>
        </w:tc>
        <w:tc>
          <w:tcPr>
            <w:tcW w:w="320" w:type="dxa"/>
            <w:vAlign w:val="bottom"/>
            <w:tcBorders>
              <w:top w:val="single" w:sz="8" w:color="CFF0FC"/>
              <w:bottom w:val="single" w:sz="8" w:color="CFF0FC"/>
            </w:tcBorders>
            <w:shd w:val="clear" w:color="auto" w:fill="CFF0FC"/>
          </w:tcPr>
          <w:p>
            <w:pPr>
              <w:spacing w:after="0"/>
              <w:rPr>
                <w:sz w:val="14"/>
                <w:szCs w:val="14"/>
                <w:color w:val="auto"/>
              </w:rPr>
            </w:pPr>
          </w:p>
        </w:tc>
        <w:tc>
          <w:tcPr>
            <w:tcW w:w="1500" w:type="dxa"/>
            <w:vAlign w:val="bottom"/>
            <w:tcBorders>
              <w:top w:val="single" w:sz="8" w:color="CFF0FC"/>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3"/>
                <w:szCs w:val="13"/>
                <w:b w:val="1"/>
                <w:bCs w:val="1"/>
                <w:color w:val="auto"/>
              </w:rPr>
              <w:t>14%</w:t>
            </w:r>
          </w:p>
        </w:tc>
      </w:tr>
      <w:tr>
        <w:trPr>
          <w:trHeight w:val="164"/>
        </w:trPr>
        <w:tc>
          <w:tcPr>
            <w:tcW w:w="6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spacing w:after="0"/>
              <w:rPr>
                <w:sz w:val="14"/>
                <w:szCs w:val="14"/>
                <w:color w:val="auto"/>
              </w:rPr>
            </w:pPr>
          </w:p>
        </w:tc>
        <w:tc>
          <w:tcPr>
            <w:tcW w:w="440" w:type="dxa"/>
            <w:vAlign w:val="bottom"/>
            <w:tcBorders>
              <w:bottom w:val="single" w:sz="8" w:color="auto"/>
            </w:tcBorders>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r>
      <w:tr>
        <w:trPr>
          <w:trHeight w:val="163"/>
        </w:trPr>
        <w:tc>
          <w:tcPr>
            <w:tcW w:w="6560" w:type="dxa"/>
            <w:vAlign w:val="bottom"/>
          </w:tcPr>
          <w:p>
            <w:pPr>
              <w:spacing w:after="0"/>
              <w:rPr>
                <w:sz w:val="20"/>
                <w:szCs w:val="20"/>
                <w:color w:val="auto"/>
              </w:rPr>
            </w:pPr>
            <w:r>
              <w:rPr>
                <w:rFonts w:ascii="Arial" w:cs="Arial" w:eastAsia="Arial" w:hAnsi="Arial"/>
                <w:sz w:val="13"/>
                <w:szCs w:val="13"/>
                <w:color w:val="auto"/>
              </w:rPr>
              <w:t>Revenue</w:t>
            </w:r>
          </w:p>
        </w:tc>
        <w:tc>
          <w:tcPr>
            <w:tcW w:w="120" w:type="dxa"/>
            <w:vAlign w:val="bottom"/>
          </w:tcPr>
          <w:p>
            <w:pPr>
              <w:spacing w:after="0"/>
              <w:rPr>
                <w:sz w:val="14"/>
                <w:szCs w:val="14"/>
                <w:color w:val="auto"/>
              </w:rPr>
            </w:pPr>
          </w:p>
        </w:tc>
        <w:tc>
          <w:tcPr>
            <w:tcW w:w="860" w:type="dxa"/>
            <w:vAlign w:val="bottom"/>
          </w:tcPr>
          <w:p>
            <w:pPr>
              <w:jc w:val="right"/>
              <w:ind w:right="748"/>
              <w:spacing w:after="0"/>
              <w:rPr>
                <w:sz w:val="20"/>
                <w:szCs w:val="20"/>
                <w:color w:val="auto"/>
              </w:rPr>
            </w:pPr>
            <w:r>
              <w:rPr>
                <w:rFonts w:ascii="Arial" w:cs="Arial" w:eastAsia="Arial" w:hAnsi="Arial"/>
                <w:sz w:val="10"/>
                <w:szCs w:val="10"/>
                <w:b w:val="1"/>
                <w:bCs w:val="1"/>
                <w:color w:val="auto"/>
                <w:w w:val="71"/>
              </w:rPr>
              <w:t>$</w:t>
            </w:r>
          </w:p>
        </w:tc>
        <w:tc>
          <w:tcPr>
            <w:tcW w:w="460" w:type="dxa"/>
            <w:vAlign w:val="bottom"/>
          </w:tcPr>
          <w:p>
            <w:pPr>
              <w:jc w:val="right"/>
              <w:spacing w:after="0"/>
              <w:rPr>
                <w:sz w:val="20"/>
                <w:szCs w:val="20"/>
                <w:color w:val="auto"/>
              </w:rPr>
            </w:pPr>
            <w:r>
              <w:rPr>
                <w:rFonts w:ascii="Arial" w:cs="Arial" w:eastAsia="Arial" w:hAnsi="Arial"/>
                <w:sz w:val="13"/>
                <w:szCs w:val="13"/>
                <w:b w:val="1"/>
                <w:bCs w:val="1"/>
                <w:color w:val="auto"/>
              </w:rPr>
              <w:t>14,961</w:t>
            </w:r>
          </w:p>
        </w:tc>
        <w:tc>
          <w:tcPr>
            <w:tcW w:w="240" w:type="dxa"/>
            <w:vAlign w:val="bottom"/>
          </w:tcPr>
          <w:p>
            <w:pPr>
              <w:spacing w:after="0"/>
              <w:rPr>
                <w:sz w:val="14"/>
                <w:szCs w:val="14"/>
                <w:color w:val="auto"/>
              </w:rPr>
            </w:pPr>
          </w:p>
        </w:tc>
        <w:tc>
          <w:tcPr>
            <w:tcW w:w="980" w:type="dxa"/>
            <w:vAlign w:val="bottom"/>
            <w:gridSpan w:val="2"/>
          </w:tcPr>
          <w:p>
            <w:pPr>
              <w:jc w:val="right"/>
              <w:ind w:right="764"/>
              <w:spacing w:after="0"/>
              <w:rPr>
                <w:sz w:val="20"/>
                <w:szCs w:val="20"/>
                <w:color w:val="auto"/>
              </w:rPr>
            </w:pPr>
            <w:r>
              <w:rPr>
                <w:rFonts w:ascii="Arial" w:cs="Arial" w:eastAsia="Arial" w:hAnsi="Arial"/>
                <w:sz w:val="13"/>
                <w:szCs w:val="13"/>
                <w:color w:val="auto"/>
              </w:rPr>
              <w:t>$</w:t>
            </w:r>
          </w:p>
        </w:tc>
        <w:tc>
          <w:tcPr>
            <w:tcW w:w="440" w:type="dxa"/>
            <w:vAlign w:val="bottom"/>
          </w:tcPr>
          <w:p>
            <w:pPr>
              <w:jc w:val="right"/>
              <w:spacing w:after="0"/>
              <w:rPr>
                <w:sz w:val="20"/>
                <w:szCs w:val="20"/>
                <w:color w:val="auto"/>
              </w:rPr>
            </w:pPr>
            <w:r>
              <w:rPr>
                <w:rFonts w:ascii="Arial" w:cs="Arial" w:eastAsia="Arial" w:hAnsi="Arial"/>
                <w:sz w:val="13"/>
                <w:szCs w:val="13"/>
                <w:color w:val="auto"/>
              </w:rPr>
              <w:t>13,370</w:t>
            </w: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4"/>
        </w:trPr>
        <w:tc>
          <w:tcPr>
            <w:tcW w:w="6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4"/>
        </w:trPr>
        <w:tc>
          <w:tcPr>
            <w:tcW w:w="6560" w:type="dxa"/>
            <w:vAlign w:val="bottom"/>
            <w:shd w:val="clear" w:color="auto" w:fill="CFF0FC"/>
          </w:tcPr>
          <w:p>
            <w:pPr>
              <w:spacing w:after="0"/>
              <w:rPr>
                <w:sz w:val="20"/>
                <w:szCs w:val="20"/>
                <w:color w:val="auto"/>
              </w:rPr>
            </w:pPr>
            <w:r>
              <w:rPr>
                <w:rFonts w:ascii="Arial" w:cs="Arial" w:eastAsia="Arial" w:hAnsi="Arial"/>
                <w:sz w:val="13"/>
                <w:szCs w:val="13"/>
                <w:color w:val="auto"/>
              </w:rPr>
              <w:t>Cash flow from operations as a percent of revenue (GAAP)</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7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b w:val="1"/>
                <w:bCs w:val="1"/>
                <w:color w:val="auto"/>
              </w:rPr>
              <w:t>35.8%</w:t>
            </w: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34.5%</w:t>
            </w:r>
          </w:p>
        </w:tc>
        <w:tc>
          <w:tcPr>
            <w:tcW w:w="1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r>
      <w:tr>
        <w:trPr>
          <w:trHeight w:val="167"/>
        </w:trPr>
        <w:tc>
          <w:tcPr>
            <w:tcW w:w="6560" w:type="dxa"/>
            <w:vAlign w:val="bottom"/>
          </w:tcPr>
          <w:p>
            <w:pPr>
              <w:spacing w:after="0"/>
              <w:rPr>
                <w:sz w:val="20"/>
                <w:szCs w:val="20"/>
                <w:color w:val="auto"/>
              </w:rPr>
            </w:pPr>
            <w:r>
              <w:rPr>
                <w:rFonts w:ascii="Arial" w:cs="Arial" w:eastAsia="Arial" w:hAnsi="Arial"/>
                <w:sz w:val="13"/>
                <w:szCs w:val="13"/>
                <w:color w:val="auto"/>
              </w:rPr>
              <w:t>Free cash flow as a percent of revenue (non-GAAP)</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31.2%</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30.5%</w:t>
            </w: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r>
    </w:tbl>
    <w:p>
      <w:pPr>
        <w:spacing w:after="0" w:line="143" w:lineRule="exact"/>
        <w:rPr>
          <w:sz w:val="20"/>
          <w:szCs w:val="20"/>
          <w:color w:val="auto"/>
        </w:rPr>
      </w:pPr>
    </w:p>
    <w:p>
      <w:pPr>
        <w:ind w:left="3" w:right="100"/>
        <w:spacing w:after="0" w:line="258" w:lineRule="auto"/>
        <w:rPr>
          <w:sz w:val="20"/>
          <w:szCs w:val="20"/>
          <w:color w:val="auto"/>
        </w:rPr>
      </w:pPr>
      <w:r>
        <w:rPr>
          <w:rFonts w:ascii="Arial" w:cs="Arial" w:eastAsia="Arial" w:hAnsi="Arial"/>
          <w:sz w:val="13"/>
          <w:szCs w:val="13"/>
          <w:color w:val="auto"/>
        </w:rPr>
        <w:t>This release also includes references to an annual operating tax rate, a non-GAAP term the company uses to describe the estimated annual effective tax rate, a GAAP measure that by definition does not include discrete tax items. The company believes the term annual operating tax rate more clearly communicates that discrete tax items are excluded from such rate. The term also helps differentiate from the effective tax rate, which includes discrete tax items. No adjustments are made to the estimated annual effective tax rate when using the term annual operating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274955</wp:posOffset>
            </wp:positionV>
            <wp:extent cx="7323455" cy="374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23455" cy="37465"/>
                    </a:xfrm>
                    <a:prstGeom prst="rect">
                      <a:avLst/>
                    </a:prstGeom>
                    <a:noFill/>
                  </pic:spPr>
                </pic:pic>
              </a:graphicData>
            </a:graphic>
          </wp:anchor>
        </w:drawing>
      </w:r>
    </w:p>
    <w:p>
      <w:pPr>
        <w:sectPr>
          <w:pgSz w:w="11900" w:h="16838" w:orient="portrait"/>
          <w:cols w:equalWidth="0" w:num="1">
            <w:col w:w="11483"/>
          </w:cols>
          <w:pgMar w:left="217" w:top="127" w:right="199" w:bottom="1440" w:gutter="0" w:footer="0" w:header="0"/>
        </w:sectPr>
      </w:pPr>
    </w:p>
    <w:bookmarkStart w:id="10" w:name="page11"/>
    <w:bookmarkEnd w:id="10"/>
    <w:p>
      <w:pPr>
        <w:spacing w:after="0"/>
        <w:tabs>
          <w:tab w:leader="none" w:pos="11100" w:val="left"/>
        </w:tabs>
        <w:rPr>
          <w:sz w:val="20"/>
          <w:szCs w:val="20"/>
          <w:color w:val="auto"/>
        </w:rPr>
      </w:pPr>
      <w:r>
        <w:rPr>
          <w:rFonts w:ascii="Arial" w:cs="Arial" w:eastAsia="Arial" w:hAnsi="Arial"/>
          <w:sz w:val="13"/>
          <w:szCs w:val="13"/>
          <w:b w:val="1"/>
          <w:bCs w:val="1"/>
          <w:color w:val="auto"/>
        </w:rPr>
        <w:t>TI reports 4Q17 and 2017 financial results and shareholder returns</w:t>
      </w:r>
      <w:r>
        <w:rPr>
          <w:sz w:val="20"/>
          <w:szCs w:val="20"/>
          <w:color w:val="auto"/>
        </w:rPr>
        <w:tab/>
      </w:r>
      <w:r>
        <w:rPr>
          <w:rFonts w:ascii="Arial" w:cs="Arial" w:eastAsia="Arial" w:hAnsi="Arial"/>
          <w:sz w:val="11"/>
          <w:szCs w:val="11"/>
          <w:b w:val="1"/>
          <w:bCs w:val="1"/>
          <w:color w:val="auto"/>
        </w:rPr>
        <w:t>Page 8</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 #</w:t>
      </w:r>
    </w:p>
    <w:p>
      <w:pPr>
        <w:spacing w:after="0" w:line="2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Notice regarding forward-looking statements</w:t>
      </w:r>
    </w:p>
    <w:p>
      <w:pPr>
        <w:spacing w:after="0" w:line="86" w:lineRule="exact"/>
        <w:rPr>
          <w:sz w:val="20"/>
          <w:szCs w:val="20"/>
          <w:color w:val="auto"/>
        </w:rPr>
      </w:pPr>
    </w:p>
    <w:p>
      <w:pPr>
        <w:ind w:right="60"/>
        <w:spacing w:after="0" w:line="254" w:lineRule="auto"/>
        <w:rPr>
          <w:sz w:val="20"/>
          <w:szCs w:val="20"/>
          <w:color w:val="auto"/>
        </w:rPr>
      </w:pPr>
      <w:r>
        <w:rPr>
          <w:rFonts w:ascii="Arial" w:cs="Arial" w:eastAsia="Arial" w:hAnsi="Arial"/>
          <w:sz w:val="13"/>
          <w:szCs w:val="13"/>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color w:val="auto"/>
        </w:rPr>
        <w:t>We urge you to carefully consider the following important factors that could cause actual results to differ materially from the expectations of TI or our management:</w:t>
      </w:r>
    </w:p>
    <w:p>
      <w:pPr>
        <w:spacing w:after="0" w:line="82" w:lineRule="exact"/>
        <w:rPr>
          <w:sz w:val="20"/>
          <w:szCs w:val="20"/>
          <w:color w:val="auto"/>
        </w:rPr>
      </w:pPr>
    </w:p>
    <w:p>
      <w:pPr>
        <w:ind w:left="880" w:hanging="506"/>
        <w:spacing w:after="0"/>
        <w:tabs>
          <w:tab w:leader="none" w:pos="880" w:val="left"/>
        </w:tabs>
        <w:numPr>
          <w:ilvl w:val="0"/>
          <w:numId w:val="9"/>
        </w:numPr>
        <w:rPr>
          <w:rFonts w:ascii="Arial" w:cs="Arial" w:eastAsia="Arial" w:hAnsi="Arial"/>
          <w:sz w:val="13"/>
          <w:szCs w:val="13"/>
          <w:color w:val="auto"/>
        </w:rPr>
      </w:pPr>
      <w:r>
        <w:rPr>
          <w:rFonts w:ascii="Arial" w:cs="Arial" w:eastAsia="Arial" w:hAnsi="Arial"/>
          <w:sz w:val="13"/>
          <w:szCs w:val="13"/>
          <w:color w:val="auto"/>
        </w:rPr>
        <w:t>Market demand for semiconductors, particularly in TI’s end markets;</w:t>
      </w:r>
    </w:p>
    <w:p>
      <w:pPr>
        <w:spacing w:after="0" w:line="82" w:lineRule="exact"/>
        <w:rPr>
          <w:rFonts w:ascii="Arial" w:cs="Arial" w:eastAsia="Arial" w:hAnsi="Arial"/>
          <w:sz w:val="13"/>
          <w:szCs w:val="13"/>
          <w:color w:val="auto"/>
        </w:rPr>
      </w:pPr>
    </w:p>
    <w:p>
      <w:pPr>
        <w:ind w:left="880" w:hanging="506"/>
        <w:spacing w:after="0"/>
        <w:tabs>
          <w:tab w:leader="none" w:pos="880" w:val="left"/>
        </w:tabs>
        <w:numPr>
          <w:ilvl w:val="0"/>
          <w:numId w:val="9"/>
        </w:numPr>
        <w:rPr>
          <w:rFonts w:ascii="Arial" w:cs="Arial" w:eastAsia="Arial" w:hAnsi="Arial"/>
          <w:sz w:val="13"/>
          <w:szCs w:val="13"/>
          <w:color w:val="auto"/>
        </w:rPr>
      </w:pPr>
      <w:r>
        <w:rPr>
          <w:rFonts w:ascii="Arial" w:cs="Arial" w:eastAsia="Arial" w:hAnsi="Arial"/>
          <w:sz w:val="13"/>
          <w:szCs w:val="13"/>
          <w:color w:val="auto"/>
        </w:rPr>
        <w:t>TI’s ability to compete in products and prices in an intensely competitive industry;</w:t>
      </w:r>
    </w:p>
    <w:p>
      <w:pPr>
        <w:spacing w:after="0" w:line="82" w:lineRule="exact"/>
        <w:rPr>
          <w:rFonts w:ascii="Arial" w:cs="Arial" w:eastAsia="Arial" w:hAnsi="Arial"/>
          <w:sz w:val="13"/>
          <w:szCs w:val="13"/>
          <w:color w:val="auto"/>
        </w:rPr>
      </w:pPr>
    </w:p>
    <w:p>
      <w:pPr>
        <w:ind w:left="880" w:hanging="506"/>
        <w:spacing w:after="0"/>
        <w:tabs>
          <w:tab w:leader="none" w:pos="880" w:val="left"/>
        </w:tabs>
        <w:numPr>
          <w:ilvl w:val="0"/>
          <w:numId w:val="9"/>
        </w:numPr>
        <w:rPr>
          <w:rFonts w:ascii="Arial" w:cs="Arial" w:eastAsia="Arial" w:hAnsi="Arial"/>
          <w:sz w:val="13"/>
          <w:szCs w:val="13"/>
          <w:color w:val="auto"/>
        </w:rPr>
      </w:pPr>
      <w:r>
        <w:rPr>
          <w:rFonts w:ascii="Arial" w:cs="Arial" w:eastAsia="Arial" w:hAnsi="Arial"/>
          <w:sz w:val="13"/>
          <w:szCs w:val="13"/>
          <w:color w:val="auto"/>
        </w:rPr>
        <w:t>Customer demand that differs from forecasts and the financial impact of inadequate or excess TI inventory that results from demand that differs from projections;</w:t>
      </w:r>
    </w:p>
    <w:p>
      <w:pPr>
        <w:spacing w:after="0" w:line="82" w:lineRule="exact"/>
        <w:rPr>
          <w:rFonts w:ascii="Arial" w:cs="Arial" w:eastAsia="Arial" w:hAnsi="Arial"/>
          <w:sz w:val="13"/>
          <w:szCs w:val="13"/>
          <w:color w:val="auto"/>
        </w:rPr>
      </w:pPr>
    </w:p>
    <w:p>
      <w:pPr>
        <w:ind w:left="880" w:hanging="506"/>
        <w:spacing w:after="0"/>
        <w:tabs>
          <w:tab w:leader="none" w:pos="880" w:val="left"/>
        </w:tabs>
        <w:numPr>
          <w:ilvl w:val="0"/>
          <w:numId w:val="9"/>
        </w:numPr>
        <w:rPr>
          <w:rFonts w:ascii="Arial" w:cs="Arial" w:eastAsia="Arial" w:hAnsi="Arial"/>
          <w:sz w:val="13"/>
          <w:szCs w:val="13"/>
          <w:color w:val="auto"/>
        </w:rPr>
      </w:pPr>
      <w:r>
        <w:rPr>
          <w:rFonts w:ascii="Arial" w:cs="Arial" w:eastAsia="Arial" w:hAnsi="Arial"/>
          <w:sz w:val="13"/>
          <w:szCs w:val="13"/>
          <w:color w:val="auto"/>
        </w:rPr>
        <w:t>TI’s ability to develop, manufacture and market innovative products in a rapidly changing technological environment;</w:t>
      </w:r>
    </w:p>
    <w:p>
      <w:pPr>
        <w:spacing w:after="0" w:line="82" w:lineRule="exact"/>
        <w:rPr>
          <w:rFonts w:ascii="Arial" w:cs="Arial" w:eastAsia="Arial" w:hAnsi="Arial"/>
          <w:sz w:val="13"/>
          <w:szCs w:val="13"/>
          <w:color w:val="auto"/>
        </w:rPr>
      </w:pPr>
    </w:p>
    <w:p>
      <w:pPr>
        <w:ind w:left="880" w:right="20" w:hanging="506"/>
        <w:spacing w:after="0" w:line="268" w:lineRule="auto"/>
        <w:tabs>
          <w:tab w:leader="none" w:pos="880" w:val="left"/>
        </w:tabs>
        <w:numPr>
          <w:ilvl w:val="0"/>
          <w:numId w:val="9"/>
        </w:numPr>
        <w:rPr>
          <w:rFonts w:ascii="Arial" w:cs="Arial" w:eastAsia="Arial" w:hAnsi="Arial"/>
          <w:sz w:val="13"/>
          <w:szCs w:val="13"/>
          <w:color w:val="auto"/>
        </w:rPr>
      </w:pPr>
      <w:r>
        <w:rPr>
          <w:rFonts w:ascii="Arial" w:cs="Arial" w:eastAsia="Arial" w:hAnsi="Arial"/>
          <w:sz w:val="13"/>
          <w:szCs w:val="13"/>
          <w:color w:val="auto"/>
        </w:rPr>
        <w:t>Economic, social and political conditions in the countries in which TI, our customers or our suppliers operate, including security risks; global trade policies; political and social instability; health conditions; possible disruptions in transportation, communications and information technology networks; and fluctuations in foreign currency exchange rates;</w:t>
      </w:r>
    </w:p>
    <w:p>
      <w:pPr>
        <w:spacing w:after="0" w:line="52" w:lineRule="exact"/>
        <w:rPr>
          <w:rFonts w:ascii="Arial" w:cs="Arial" w:eastAsia="Arial" w:hAnsi="Arial"/>
          <w:sz w:val="13"/>
          <w:szCs w:val="13"/>
          <w:color w:val="auto"/>
        </w:rPr>
      </w:pPr>
    </w:p>
    <w:p>
      <w:pPr>
        <w:ind w:left="880" w:hanging="506"/>
        <w:spacing w:after="0"/>
        <w:tabs>
          <w:tab w:leader="none" w:pos="880" w:val="left"/>
        </w:tabs>
        <w:numPr>
          <w:ilvl w:val="0"/>
          <w:numId w:val="9"/>
        </w:numPr>
        <w:rPr>
          <w:rFonts w:ascii="Arial" w:cs="Arial" w:eastAsia="Arial" w:hAnsi="Arial"/>
          <w:sz w:val="13"/>
          <w:szCs w:val="13"/>
          <w:color w:val="auto"/>
        </w:rPr>
      </w:pPr>
      <w:r>
        <w:rPr>
          <w:rFonts w:ascii="Arial" w:cs="Arial" w:eastAsia="Arial" w:hAnsi="Arial"/>
          <w:sz w:val="13"/>
          <w:szCs w:val="13"/>
          <w:color w:val="auto"/>
        </w:rPr>
        <w:t>Natural events such as severe weather, geological events or health epidemics in the locations in which TI, our customers or our suppliers operate;</w:t>
      </w:r>
    </w:p>
    <w:p>
      <w:pPr>
        <w:spacing w:after="0" w:line="82" w:lineRule="exact"/>
        <w:rPr>
          <w:rFonts w:ascii="Arial" w:cs="Arial" w:eastAsia="Arial" w:hAnsi="Arial"/>
          <w:sz w:val="13"/>
          <w:szCs w:val="13"/>
          <w:color w:val="auto"/>
        </w:rPr>
      </w:pPr>
    </w:p>
    <w:p>
      <w:pPr>
        <w:ind w:left="880" w:hanging="506"/>
        <w:spacing w:after="0"/>
        <w:tabs>
          <w:tab w:leader="none" w:pos="880" w:val="left"/>
        </w:tabs>
        <w:numPr>
          <w:ilvl w:val="0"/>
          <w:numId w:val="9"/>
        </w:numPr>
        <w:rPr>
          <w:rFonts w:ascii="Arial" w:cs="Arial" w:eastAsia="Arial" w:hAnsi="Arial"/>
          <w:sz w:val="13"/>
          <w:szCs w:val="13"/>
          <w:color w:val="auto"/>
        </w:rPr>
      </w:pPr>
      <w:r>
        <w:rPr>
          <w:rFonts w:ascii="Arial" w:cs="Arial" w:eastAsia="Arial" w:hAnsi="Arial"/>
          <w:sz w:val="13"/>
          <w:szCs w:val="13"/>
          <w:color w:val="auto"/>
        </w:rPr>
        <w:t>Breaches or disruptions of TI’s information technology systems or those of our customers or suppliers;</w:t>
      </w:r>
    </w:p>
    <w:p>
      <w:pPr>
        <w:spacing w:after="0" w:line="82" w:lineRule="exact"/>
        <w:rPr>
          <w:rFonts w:ascii="Arial" w:cs="Arial" w:eastAsia="Arial" w:hAnsi="Arial"/>
          <w:sz w:val="13"/>
          <w:szCs w:val="13"/>
          <w:color w:val="auto"/>
        </w:rPr>
      </w:pPr>
    </w:p>
    <w:p>
      <w:pPr>
        <w:ind w:left="880" w:hanging="506"/>
        <w:spacing w:after="0"/>
        <w:tabs>
          <w:tab w:leader="none" w:pos="880" w:val="left"/>
        </w:tabs>
        <w:numPr>
          <w:ilvl w:val="0"/>
          <w:numId w:val="9"/>
        </w:numPr>
        <w:rPr>
          <w:rFonts w:ascii="Arial" w:cs="Arial" w:eastAsia="Arial" w:hAnsi="Arial"/>
          <w:sz w:val="12"/>
          <w:szCs w:val="12"/>
          <w:color w:val="auto"/>
        </w:rPr>
      </w:pPr>
      <w:r>
        <w:rPr>
          <w:rFonts w:ascii="Arial" w:cs="Arial" w:eastAsia="Arial" w:hAnsi="Arial"/>
          <w:sz w:val="12"/>
          <w:szCs w:val="12"/>
          <w:color w:val="auto"/>
        </w:rPr>
        <w:t>Timely implementation of new manufacturing technologies and installation of manufacturing equipment, or the ability to obtain needed third-party foundry and assembly/test subcontract services;</w:t>
      </w:r>
    </w:p>
    <w:p>
      <w:pPr>
        <w:spacing w:after="0" w:line="93" w:lineRule="exact"/>
        <w:rPr>
          <w:rFonts w:ascii="Arial" w:cs="Arial" w:eastAsia="Arial" w:hAnsi="Arial"/>
          <w:sz w:val="12"/>
          <w:szCs w:val="12"/>
          <w:color w:val="auto"/>
        </w:rPr>
      </w:pPr>
    </w:p>
    <w:p>
      <w:pPr>
        <w:ind w:left="880" w:hanging="506"/>
        <w:spacing w:after="0"/>
        <w:tabs>
          <w:tab w:leader="none" w:pos="880" w:val="left"/>
        </w:tabs>
        <w:numPr>
          <w:ilvl w:val="0"/>
          <w:numId w:val="9"/>
        </w:numPr>
        <w:rPr>
          <w:rFonts w:ascii="Arial" w:cs="Arial" w:eastAsia="Arial" w:hAnsi="Arial"/>
          <w:sz w:val="13"/>
          <w:szCs w:val="13"/>
          <w:color w:val="auto"/>
        </w:rPr>
      </w:pPr>
      <w:r>
        <w:rPr>
          <w:rFonts w:ascii="Arial" w:cs="Arial" w:eastAsia="Arial" w:hAnsi="Arial"/>
          <w:sz w:val="13"/>
          <w:szCs w:val="13"/>
          <w:color w:val="auto"/>
        </w:rPr>
        <w:t>Availability and cost of raw materials, utilities, manufacturing equipment, third-party manufacturing services and manufacturing technology;</w:t>
      </w:r>
    </w:p>
    <w:p>
      <w:pPr>
        <w:spacing w:after="0" w:line="82" w:lineRule="exact"/>
        <w:rPr>
          <w:rFonts w:ascii="Arial" w:cs="Arial" w:eastAsia="Arial" w:hAnsi="Arial"/>
          <w:sz w:val="13"/>
          <w:szCs w:val="13"/>
          <w:color w:val="auto"/>
        </w:rPr>
      </w:pPr>
    </w:p>
    <w:p>
      <w:pPr>
        <w:ind w:left="880" w:right="360" w:hanging="506"/>
        <w:spacing w:after="0" w:line="268" w:lineRule="auto"/>
        <w:tabs>
          <w:tab w:leader="none" w:pos="880" w:val="left"/>
        </w:tabs>
        <w:numPr>
          <w:ilvl w:val="0"/>
          <w:numId w:val="9"/>
        </w:numPr>
        <w:rPr>
          <w:rFonts w:ascii="Arial" w:cs="Arial" w:eastAsia="Arial" w:hAnsi="Arial"/>
          <w:sz w:val="13"/>
          <w:szCs w:val="13"/>
          <w:color w:val="auto"/>
        </w:rPr>
      </w:pPr>
      <w:r>
        <w:rPr>
          <w:rFonts w:ascii="Arial" w:cs="Arial" w:eastAsia="Arial" w:hAnsi="Arial"/>
          <w:sz w:val="13"/>
          <w:szCs w:val="13"/>
          <w:color w:val="auto"/>
        </w:rPr>
        <w:t>Compliance with or changes in the complex laws, rules and regulations to which TI is or may become subject, or actions of enforcement authorities, that restrict TI’s ability to manufacture or ship our products or operate our business, or subject TI to fines, penalties, or other legal liability;</w:t>
      </w:r>
    </w:p>
    <w:p>
      <w:pPr>
        <w:spacing w:after="0" w:line="52" w:lineRule="exact"/>
        <w:rPr>
          <w:rFonts w:ascii="Arial" w:cs="Arial" w:eastAsia="Arial" w:hAnsi="Arial"/>
          <w:sz w:val="13"/>
          <w:szCs w:val="13"/>
          <w:color w:val="auto"/>
        </w:rPr>
      </w:pPr>
    </w:p>
    <w:p>
      <w:pPr>
        <w:ind w:left="880" w:right="100" w:hanging="506"/>
        <w:spacing w:after="0" w:line="268" w:lineRule="auto"/>
        <w:tabs>
          <w:tab w:leader="none" w:pos="880" w:val="left"/>
        </w:tabs>
        <w:numPr>
          <w:ilvl w:val="0"/>
          <w:numId w:val="9"/>
        </w:numPr>
        <w:rPr>
          <w:rFonts w:ascii="Arial" w:cs="Arial" w:eastAsia="Arial" w:hAnsi="Arial"/>
          <w:sz w:val="13"/>
          <w:szCs w:val="13"/>
          <w:color w:val="auto"/>
        </w:rPr>
      </w:pPr>
      <w:r>
        <w:rPr>
          <w:rFonts w:ascii="Arial" w:cs="Arial" w:eastAsia="Arial" w:hAnsi="Arial"/>
          <w:sz w:val="13"/>
          <w:szCs w:val="13"/>
          <w:color w:val="auto"/>
        </w:rPr>
        <w:t>Product liability or warranty claims, claims based on epidemic or delivery failure, or other claims relating to TI products, manufacturing, services, design or communications, or recalls by TI customers for a product containing a TI part;</w:t>
      </w:r>
    </w:p>
    <w:p>
      <w:pPr>
        <w:spacing w:after="0" w:line="52" w:lineRule="exact"/>
        <w:rPr>
          <w:rFonts w:ascii="Arial" w:cs="Arial" w:eastAsia="Arial" w:hAnsi="Arial"/>
          <w:sz w:val="13"/>
          <w:szCs w:val="13"/>
          <w:color w:val="auto"/>
        </w:rPr>
      </w:pPr>
    </w:p>
    <w:p>
      <w:pPr>
        <w:ind w:left="880" w:right="140" w:hanging="506"/>
        <w:spacing w:after="0" w:line="268" w:lineRule="auto"/>
        <w:tabs>
          <w:tab w:leader="none" w:pos="880" w:val="left"/>
        </w:tabs>
        <w:numPr>
          <w:ilvl w:val="0"/>
          <w:numId w:val="9"/>
        </w:numPr>
        <w:rPr>
          <w:rFonts w:ascii="Arial" w:cs="Arial" w:eastAsia="Arial" w:hAnsi="Arial"/>
          <w:sz w:val="13"/>
          <w:szCs w:val="13"/>
          <w:color w:val="auto"/>
        </w:rPr>
      </w:pPr>
      <w:r>
        <w:rPr>
          <w:rFonts w:ascii="Arial" w:cs="Arial" w:eastAsia="Arial" w:hAnsi="Arial"/>
          <w:sz w:val="13"/>
          <w:szCs w:val="13"/>
          <w:color w:val="auto"/>
        </w:rPr>
        <w:t>Changes in the tax rate applicable to TI as the result of changes in tax law, the jurisdictions in which profits are determined to be earned and taxed, adverse resolution of tax audits, increases in tariff rates, and the ability to realize deferred tax assets;</w:t>
      </w:r>
    </w:p>
    <w:p>
      <w:pPr>
        <w:spacing w:after="0" w:line="52" w:lineRule="exact"/>
        <w:rPr>
          <w:rFonts w:ascii="Arial" w:cs="Arial" w:eastAsia="Arial" w:hAnsi="Arial"/>
          <w:sz w:val="13"/>
          <w:szCs w:val="13"/>
          <w:color w:val="auto"/>
        </w:rPr>
      </w:pPr>
    </w:p>
    <w:p>
      <w:pPr>
        <w:ind w:left="880" w:hanging="506"/>
        <w:spacing w:after="0"/>
        <w:tabs>
          <w:tab w:leader="none" w:pos="880" w:val="left"/>
        </w:tabs>
        <w:numPr>
          <w:ilvl w:val="0"/>
          <w:numId w:val="9"/>
        </w:numPr>
        <w:rPr>
          <w:rFonts w:ascii="Arial" w:cs="Arial" w:eastAsia="Arial" w:hAnsi="Arial"/>
          <w:sz w:val="13"/>
          <w:szCs w:val="13"/>
          <w:color w:val="auto"/>
        </w:rPr>
      </w:pPr>
      <w:r>
        <w:rPr>
          <w:rFonts w:ascii="Arial" w:cs="Arial" w:eastAsia="Arial" w:hAnsi="Arial"/>
          <w:sz w:val="13"/>
          <w:szCs w:val="13"/>
          <w:color w:val="auto"/>
        </w:rPr>
        <w:t>A loss suffered by a customer or distributor of TI with respect to TI-consigned inventory;</w:t>
      </w:r>
    </w:p>
    <w:p>
      <w:pPr>
        <w:spacing w:after="0" w:line="82" w:lineRule="exact"/>
        <w:rPr>
          <w:rFonts w:ascii="Arial" w:cs="Arial" w:eastAsia="Arial" w:hAnsi="Arial"/>
          <w:sz w:val="13"/>
          <w:szCs w:val="13"/>
          <w:color w:val="auto"/>
        </w:rPr>
      </w:pPr>
    </w:p>
    <w:p>
      <w:pPr>
        <w:ind w:left="880" w:hanging="506"/>
        <w:spacing w:after="0"/>
        <w:tabs>
          <w:tab w:leader="none" w:pos="880" w:val="left"/>
        </w:tabs>
        <w:numPr>
          <w:ilvl w:val="0"/>
          <w:numId w:val="9"/>
        </w:numPr>
        <w:rPr>
          <w:rFonts w:ascii="Arial" w:cs="Arial" w:eastAsia="Arial" w:hAnsi="Arial"/>
          <w:sz w:val="13"/>
          <w:szCs w:val="13"/>
          <w:color w:val="auto"/>
        </w:rPr>
      </w:pPr>
      <w:r>
        <w:rPr>
          <w:rFonts w:ascii="Arial" w:cs="Arial" w:eastAsia="Arial" w:hAnsi="Arial"/>
          <w:sz w:val="13"/>
          <w:szCs w:val="13"/>
          <w:color w:val="auto"/>
        </w:rPr>
        <w:t>Financial difficulties of distributors or their promotion of competing product lines to TI’s detriment, or the loss of a significant number of distributors;</w:t>
      </w:r>
    </w:p>
    <w:p>
      <w:pPr>
        <w:spacing w:after="0" w:line="82" w:lineRule="exact"/>
        <w:rPr>
          <w:rFonts w:ascii="Arial" w:cs="Arial" w:eastAsia="Arial" w:hAnsi="Arial"/>
          <w:sz w:val="13"/>
          <w:szCs w:val="13"/>
          <w:color w:val="auto"/>
        </w:rPr>
      </w:pPr>
    </w:p>
    <w:p>
      <w:pPr>
        <w:ind w:left="880" w:hanging="506"/>
        <w:spacing w:after="0"/>
        <w:tabs>
          <w:tab w:leader="none" w:pos="880" w:val="left"/>
        </w:tabs>
        <w:numPr>
          <w:ilvl w:val="0"/>
          <w:numId w:val="9"/>
        </w:numPr>
        <w:rPr>
          <w:rFonts w:ascii="Arial" w:cs="Arial" w:eastAsia="Arial" w:hAnsi="Arial"/>
          <w:sz w:val="13"/>
          <w:szCs w:val="13"/>
          <w:color w:val="auto"/>
        </w:rPr>
      </w:pPr>
      <w:r>
        <w:rPr>
          <w:rFonts w:ascii="Arial" w:cs="Arial" w:eastAsia="Arial" w:hAnsi="Arial"/>
          <w:sz w:val="13"/>
          <w:szCs w:val="13"/>
          <w:color w:val="auto"/>
        </w:rPr>
        <w:t>Losses or curtailments of purchases from key customers or the timing and amount of distributor and other customer inventory adjustments;</w:t>
      </w:r>
    </w:p>
    <w:p>
      <w:pPr>
        <w:spacing w:after="0" w:line="82" w:lineRule="exact"/>
        <w:rPr>
          <w:rFonts w:ascii="Arial" w:cs="Arial" w:eastAsia="Arial" w:hAnsi="Arial"/>
          <w:sz w:val="13"/>
          <w:szCs w:val="13"/>
          <w:color w:val="auto"/>
        </w:rPr>
      </w:pPr>
    </w:p>
    <w:p>
      <w:pPr>
        <w:ind w:left="880" w:right="160" w:hanging="506"/>
        <w:spacing w:after="0" w:line="268" w:lineRule="auto"/>
        <w:tabs>
          <w:tab w:leader="none" w:pos="880" w:val="left"/>
        </w:tabs>
        <w:numPr>
          <w:ilvl w:val="0"/>
          <w:numId w:val="9"/>
        </w:numPr>
        <w:rPr>
          <w:rFonts w:ascii="Arial" w:cs="Arial" w:eastAsia="Arial" w:hAnsi="Arial"/>
          <w:sz w:val="13"/>
          <w:szCs w:val="13"/>
          <w:color w:val="auto"/>
        </w:rPr>
      </w:pPr>
      <w:r>
        <w:rPr>
          <w:rFonts w:ascii="Arial" w:cs="Arial" w:eastAsia="Arial" w:hAnsi="Arial"/>
          <w:sz w:val="13"/>
          <w:szCs w:val="13"/>
          <w:color w:val="auto"/>
        </w:rPr>
        <w:t>TI’s ability to maintain or improve profit margins, including our ability to utilize our manufacturing facilities at sufficient levels to cover our fixed operating costs, in an intensely competitive and cyclical industry;</w:t>
      </w:r>
    </w:p>
    <w:p>
      <w:pPr>
        <w:spacing w:after="0" w:line="52" w:lineRule="exact"/>
        <w:rPr>
          <w:rFonts w:ascii="Arial" w:cs="Arial" w:eastAsia="Arial" w:hAnsi="Arial"/>
          <w:sz w:val="13"/>
          <w:szCs w:val="13"/>
          <w:color w:val="auto"/>
        </w:rPr>
      </w:pPr>
    </w:p>
    <w:p>
      <w:pPr>
        <w:ind w:left="880" w:hanging="506"/>
        <w:spacing w:after="0"/>
        <w:tabs>
          <w:tab w:leader="none" w:pos="880" w:val="left"/>
        </w:tabs>
        <w:numPr>
          <w:ilvl w:val="0"/>
          <w:numId w:val="9"/>
        </w:numPr>
        <w:rPr>
          <w:rFonts w:ascii="Arial" w:cs="Arial" w:eastAsia="Arial" w:hAnsi="Arial"/>
          <w:sz w:val="13"/>
          <w:szCs w:val="13"/>
          <w:color w:val="auto"/>
        </w:rPr>
      </w:pPr>
      <w:r>
        <w:rPr>
          <w:rFonts w:ascii="Arial" w:cs="Arial" w:eastAsia="Arial" w:hAnsi="Arial"/>
          <w:sz w:val="13"/>
          <w:szCs w:val="13"/>
          <w:color w:val="auto"/>
        </w:rPr>
        <w:t>TI’s ability to maintain and enforce a strong intellectual property portfolio and maintain freedom of operation; or TI’s exposure to infringement claims;</w:t>
      </w:r>
    </w:p>
    <w:p>
      <w:pPr>
        <w:spacing w:after="0" w:line="82" w:lineRule="exact"/>
        <w:rPr>
          <w:rFonts w:ascii="Arial" w:cs="Arial" w:eastAsia="Arial" w:hAnsi="Arial"/>
          <w:sz w:val="13"/>
          <w:szCs w:val="13"/>
          <w:color w:val="auto"/>
        </w:rPr>
      </w:pPr>
    </w:p>
    <w:p>
      <w:pPr>
        <w:ind w:left="880" w:right="160" w:hanging="506"/>
        <w:spacing w:after="0" w:line="268" w:lineRule="auto"/>
        <w:tabs>
          <w:tab w:leader="none" w:pos="88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Instability in the global credit and financial markets that affects TI’s ability to fund our daily operations, invest in the business, make strategic acquisitions, or make principal and interest payments on our debt;</w:t>
      </w:r>
    </w:p>
    <w:p>
      <w:pPr>
        <w:spacing w:after="0" w:line="52" w:lineRule="exact"/>
        <w:rPr>
          <w:rFonts w:ascii="Arial" w:cs="Arial" w:eastAsia="Arial" w:hAnsi="Arial"/>
          <w:sz w:val="13"/>
          <w:szCs w:val="13"/>
          <w:color w:val="auto"/>
        </w:rPr>
      </w:pPr>
    </w:p>
    <w:p>
      <w:pPr>
        <w:ind w:left="880" w:hanging="506"/>
        <w:spacing w:after="0"/>
        <w:tabs>
          <w:tab w:leader="none" w:pos="88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Increases in health care and pension benefit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241300</wp:posOffset>
            </wp:positionV>
            <wp:extent cx="7323455" cy="374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23455" cy="37465"/>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11" w:name="page12"/>
    <w:bookmarkEnd w:id="11"/>
    <w:p>
      <w:pPr>
        <w:spacing w:after="0"/>
        <w:tabs>
          <w:tab w:leader="none" w:pos="11100" w:val="left"/>
        </w:tabs>
        <w:rPr>
          <w:sz w:val="20"/>
          <w:szCs w:val="20"/>
          <w:color w:val="auto"/>
        </w:rPr>
      </w:pPr>
      <w:r>
        <w:rPr>
          <w:rFonts w:ascii="Arial" w:cs="Arial" w:eastAsia="Arial" w:hAnsi="Arial"/>
          <w:sz w:val="13"/>
          <w:szCs w:val="13"/>
          <w:b w:val="1"/>
          <w:bCs w:val="1"/>
          <w:color w:val="auto"/>
        </w:rPr>
        <w:t>TI reports 4Q17 and 2017 financial results and shareholder returns</w:t>
      </w:r>
      <w:r>
        <w:rPr>
          <w:sz w:val="20"/>
          <w:szCs w:val="20"/>
          <w:color w:val="auto"/>
        </w:rPr>
        <w:tab/>
      </w:r>
      <w:r>
        <w:rPr>
          <w:rFonts w:ascii="Arial" w:cs="Arial" w:eastAsia="Arial" w:hAnsi="Arial"/>
          <w:sz w:val="11"/>
          <w:szCs w:val="11"/>
          <w:b w:val="1"/>
          <w:bCs w:val="1"/>
          <w:color w:val="auto"/>
        </w:rPr>
        <w:t>Page 9</w:t>
      </w:r>
    </w:p>
    <w:p>
      <w:pPr>
        <w:spacing w:after="0" w:line="240" w:lineRule="exact"/>
        <w:rPr>
          <w:sz w:val="20"/>
          <w:szCs w:val="20"/>
          <w:color w:val="auto"/>
        </w:rPr>
      </w:pPr>
    </w:p>
    <w:p>
      <w:pPr>
        <w:ind w:left="880" w:hanging="506"/>
        <w:spacing w:after="0"/>
        <w:tabs>
          <w:tab w:leader="none" w:pos="8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TI’s ability to recruit and retain skilled engineering, management and technical personnel;</w:t>
      </w:r>
    </w:p>
    <w:p>
      <w:pPr>
        <w:spacing w:after="0" w:line="82" w:lineRule="exact"/>
        <w:rPr>
          <w:rFonts w:ascii="Arial" w:cs="Arial" w:eastAsia="Arial" w:hAnsi="Arial"/>
          <w:sz w:val="13"/>
          <w:szCs w:val="13"/>
          <w:color w:val="auto"/>
        </w:rPr>
      </w:pPr>
    </w:p>
    <w:p>
      <w:pPr>
        <w:ind w:left="880" w:right="80" w:hanging="506"/>
        <w:spacing w:after="0" w:line="268" w:lineRule="auto"/>
        <w:tabs>
          <w:tab w:leader="none" w:pos="8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TI’s ability to successfully integrate and realize opportunities for growth from acquisitions, or our ability to realize our expectations regarding the amount and timing of restructuring charges and associated cost savings; and</w:t>
      </w:r>
    </w:p>
    <w:p>
      <w:pPr>
        <w:spacing w:after="0" w:line="52" w:lineRule="exact"/>
        <w:rPr>
          <w:rFonts w:ascii="Arial" w:cs="Arial" w:eastAsia="Arial" w:hAnsi="Arial"/>
          <w:sz w:val="13"/>
          <w:szCs w:val="13"/>
          <w:color w:val="auto"/>
        </w:rPr>
      </w:pPr>
    </w:p>
    <w:p>
      <w:pPr>
        <w:ind w:left="880" w:hanging="506"/>
        <w:spacing w:after="0"/>
        <w:tabs>
          <w:tab w:leader="none" w:pos="8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Impairments of TI’s non-financial assets.</w:t>
      </w:r>
    </w:p>
    <w:p>
      <w:pPr>
        <w:spacing w:after="0" w:line="159" w:lineRule="exact"/>
        <w:rPr>
          <w:sz w:val="20"/>
          <w:szCs w:val="20"/>
          <w:color w:val="auto"/>
        </w:rPr>
      </w:pPr>
    </w:p>
    <w:p>
      <w:pPr>
        <w:ind w:right="40"/>
        <w:spacing w:after="0" w:line="268" w:lineRule="auto"/>
        <w:rPr>
          <w:sz w:val="20"/>
          <w:szCs w:val="20"/>
          <w:color w:val="auto"/>
        </w:rPr>
      </w:pPr>
      <w:r>
        <w:rPr>
          <w:rFonts w:ascii="Arial" w:cs="Arial" w:eastAsia="Arial" w:hAnsi="Arial"/>
          <w:sz w:val="13"/>
          <w:szCs w:val="13"/>
          <w:color w:val="auto"/>
        </w:rPr>
        <w:t>For a more detailed discussion of these factors, see the Risk Factors discussion in Item 1A of TI’s most recent Form 10-K. The forward-looking statements included in this release are made only as of the date of this release, and we undertake no obligation to update the forward-looking statements to reflect subsequent events or circumstances.</w:t>
      </w:r>
    </w:p>
    <w:p>
      <w:pPr>
        <w:spacing w:after="0" w:line="20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Texas Instruments</w:t>
      </w:r>
    </w:p>
    <w:p>
      <w:pPr>
        <w:spacing w:after="0" w:line="86" w:lineRule="exact"/>
        <w:rPr>
          <w:sz w:val="20"/>
          <w:szCs w:val="20"/>
          <w:color w:val="auto"/>
        </w:rPr>
      </w:pPr>
    </w:p>
    <w:p>
      <w:pPr>
        <w:ind w:right="80"/>
        <w:spacing w:after="0" w:line="268" w:lineRule="auto"/>
        <w:rPr>
          <w:sz w:val="20"/>
          <w:szCs w:val="20"/>
          <w:color w:val="auto"/>
        </w:rPr>
      </w:pPr>
      <w:r>
        <w:rPr>
          <w:rFonts w:ascii="Arial" w:cs="Arial" w:eastAsia="Arial" w:hAnsi="Arial"/>
          <w:sz w:val="13"/>
          <w:szCs w:val="13"/>
          <w:color w:val="auto"/>
        </w:rPr>
        <w:t xml:space="preserve">Texas Instruments Incorporated (TI) is a global semiconductor design and manufacturing company that develops analog ICs and embedded processors. By employing the world’s brightest minds, TI creates innovations that shape the future of technology. TI is helping approximately 100,000 customers transform the future, today. Learn more at </w:t>
      </w:r>
      <w:r>
        <w:rPr>
          <w:rFonts w:ascii="Arial" w:cs="Arial" w:eastAsia="Arial" w:hAnsi="Arial"/>
          <w:sz w:val="13"/>
          <w:szCs w:val="13"/>
          <w:u w:val="single" w:color="auto"/>
          <w:color w:val="0000FF"/>
        </w:rPr>
        <w:t>www.ti.com</w:t>
      </w:r>
      <w:r>
        <w:rPr>
          <w:rFonts w:ascii="Arial" w:cs="Arial" w:eastAsia="Arial" w:hAnsi="Arial"/>
          <w:sz w:val="13"/>
          <w:szCs w:val="13"/>
          <w:color w:val="auto"/>
        </w:rPr>
        <w:t>.</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color w:val="auto"/>
        </w:rPr>
        <w:t>TI trademarks:</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DLP</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Other trademarks are the property of their respective owners.</w:t>
      </w:r>
    </w:p>
    <w:sectPr>
      <w:pgSz w:w="11900" w:h="16838" w:orient="portrait"/>
      <w:cols w:equalWidth="0" w:num="1">
        <w:col w:w="11480"/>
      </w:cols>
      <w:pgMar w:left="220" w:top="127"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99"/>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2019-12-29T02:09:15Z</dcterms:created>
  <dcterms:modified xsi:type="dcterms:W3CDTF">2019-12-29T02:09:15Z</dcterms:modified>
</cp:coreProperties>
</file>