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17145</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45085</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24,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30480</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TEXAS INSTRUMENTS INCORPORATED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21590</wp:posOffset>
            </wp:positionV>
            <wp:extent cx="4166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81" w:lineRule="exact"/>
        <w:rPr>
          <w:sz w:val="24"/>
          <w:szCs w:val="24"/>
          <w:color w:val="auto"/>
        </w:rPr>
      </w:pPr>
    </w:p>
    <w:tbl>
      <w:tblPr>
        <w:tblLayout w:type="fixed"/>
        <w:tblInd w:w="940" w:type="dxa"/>
        <w:tblCellMar>
          <w:top w:w="0" w:type="dxa"/>
          <w:left w:w="0" w:type="dxa"/>
          <w:bottom w:w="0" w:type="dxa"/>
          <w:right w:w="0" w:type="dxa"/>
        </w:tblCellMar>
      </w:tblPr>
      <w:tr>
        <w:trPr>
          <w:trHeight w:val="227"/>
        </w:trPr>
        <w:tc>
          <w:tcPr>
            <w:tcW w:w="21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001-03761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75-0289970</w:t>
            </w:r>
          </w:p>
        </w:tc>
      </w:tr>
      <w:tr>
        <w:trPr>
          <w:trHeight w:val="146"/>
        </w:trPr>
        <w:tc>
          <w:tcPr>
            <w:tcW w:w="2140" w:type="dxa"/>
            <w:vAlign w:val="bottom"/>
            <w:gridSpan w:val="2"/>
          </w:tcPr>
          <w:p>
            <w:pPr>
              <w:jc w:val="center"/>
              <w:ind w:right="500"/>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820" w:type="dxa"/>
            <w:vAlign w:val="bottom"/>
          </w:tcPr>
          <w:p>
            <w:pPr>
              <w:jc w:val="center"/>
              <w:ind w:right="640"/>
              <w:spacing w:after="0" w:line="146"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1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03"/>
        </w:trPr>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12500 TI BOULEVARD</w:t>
            </w:r>
          </w:p>
        </w:tc>
        <w:tc>
          <w:tcPr>
            <w:tcW w:w="1120" w:type="dxa"/>
            <w:vAlign w:val="bottom"/>
          </w:tcPr>
          <w:p>
            <w:pPr>
              <w:spacing w:after="0"/>
              <w:rPr>
                <w:sz w:val="24"/>
                <w:szCs w:val="24"/>
                <w:color w:val="auto"/>
              </w:rPr>
            </w:pPr>
          </w:p>
        </w:tc>
      </w:tr>
      <w:tr>
        <w:trPr>
          <w:trHeight w:val="214"/>
        </w:trPr>
        <w:tc>
          <w:tcPr>
            <w:tcW w:w="1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20" w:type="dxa"/>
            <w:vAlign w:val="bottom"/>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DALLAS, TEXAS 75243</w:t>
            </w:r>
          </w:p>
        </w:tc>
        <w:tc>
          <w:tcPr>
            <w:tcW w:w="1120" w:type="dxa"/>
            <w:vAlign w:val="bottom"/>
          </w:tcPr>
          <w:p>
            <w:pPr>
              <w:spacing w:after="0"/>
              <w:rPr>
                <w:sz w:val="18"/>
                <w:szCs w:val="18"/>
                <w:color w:val="auto"/>
              </w:rPr>
            </w:pPr>
          </w:p>
        </w:tc>
      </w:tr>
      <w:tr>
        <w:trPr>
          <w:trHeight w:val="190"/>
        </w:trPr>
        <w:tc>
          <w:tcPr>
            <w:tcW w:w="1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120" w:type="dxa"/>
            <w:vAlign w:val="bottom"/>
          </w:tcPr>
          <w:p>
            <w:pPr>
              <w:spacing w:after="0"/>
              <w:rPr>
                <w:sz w:val="16"/>
                <w:szCs w:val="16"/>
                <w:color w:val="auto"/>
              </w:rPr>
            </w:pPr>
          </w:p>
        </w:tc>
      </w:tr>
      <w:tr>
        <w:trPr>
          <w:trHeight w:val="392"/>
        </w:trPr>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(214) 479-3773</w:t>
            </w:r>
          </w:p>
        </w:tc>
        <w:tc>
          <w:tcPr>
            <w:tcW w:w="1120" w:type="dxa"/>
            <w:vAlign w:val="bottom"/>
          </w:tcPr>
          <w:p>
            <w:pPr>
              <w:spacing w:after="0"/>
              <w:rPr>
                <w:sz w:val="24"/>
                <w:szCs w:val="24"/>
                <w:color w:val="auto"/>
              </w:rPr>
            </w:pPr>
          </w:p>
        </w:tc>
      </w:tr>
      <w:tr>
        <w:trPr>
          <w:trHeight w:val="37"/>
        </w:trPr>
        <w:tc>
          <w:tcPr>
            <w:tcW w:w="140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5820" w:type="dxa"/>
            <w:vAlign w:val="bottom"/>
            <w:tcBorders>
              <w:bottom w:val="single" w:sz="8" w:color="auto"/>
            </w:tcBorders>
          </w:tcPr>
          <w:p>
            <w:pPr>
              <w:spacing w:after="0"/>
              <w:rPr>
                <w:sz w:val="3"/>
                <w:szCs w:val="3"/>
                <w:color w:val="auto"/>
              </w:rPr>
            </w:pPr>
          </w:p>
        </w:tc>
        <w:tc>
          <w:tcPr>
            <w:tcW w:w="1120" w:type="dxa"/>
            <w:vAlign w:val="bottom"/>
          </w:tcPr>
          <w:p>
            <w:pPr>
              <w:spacing w:after="0"/>
              <w:rPr>
                <w:sz w:val="3"/>
                <w:szCs w:val="3"/>
                <w:color w:val="auto"/>
              </w:rPr>
            </w:pPr>
          </w:p>
        </w:tc>
      </w:tr>
    </w:tbl>
    <w:p>
      <w:pPr>
        <w:spacing w:after="0" w:line="346" w:lineRule="exact"/>
        <w:rPr>
          <w:sz w:val="24"/>
          <w:szCs w:val="24"/>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22"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43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60" w:type="dxa"/>
            <w:vAlign w:val="bottom"/>
            <w:gridSpan w:val="2"/>
          </w:tcPr>
          <w:p>
            <w:pPr>
              <w:jc w:val="center"/>
              <w:ind w:right="320"/>
              <w:spacing w:after="0" w:line="202" w:lineRule="exact"/>
              <w:rPr>
                <w:sz w:val="20"/>
                <w:szCs w:val="20"/>
                <w:color w:val="auto"/>
              </w:rPr>
            </w:pPr>
            <w:r>
              <w:rPr>
                <w:rFonts w:ascii="Times New Roman" w:cs="Times New Roman" w:eastAsia="Times New Roman" w:hAnsi="Times New Roman"/>
                <w:sz w:val="18"/>
                <w:szCs w:val="18"/>
                <w:b w:val="1"/>
                <w:bCs w:val="1"/>
                <w:color w:val="auto"/>
                <w:w w:val="98"/>
              </w:rPr>
              <w:t>Trading</w:t>
            </w:r>
          </w:p>
        </w:tc>
        <w:tc>
          <w:tcPr>
            <w:tcW w:w="4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60" w:type="dxa"/>
            <w:vAlign w:val="bottom"/>
            <w:gridSpan w:val="2"/>
            <w:vMerge w:val="continue"/>
          </w:tcPr>
          <w:p>
            <w:pPr>
              <w:spacing w:after="0"/>
              <w:rPr>
                <w:sz w:val="21"/>
                <w:szCs w:val="21"/>
                <w:color w:val="auto"/>
              </w:rPr>
            </w:pPr>
          </w:p>
        </w:tc>
        <w:tc>
          <w:tcPr>
            <w:tcW w:w="2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$1.00</w:t>
            </w:r>
          </w:p>
        </w:tc>
        <w:tc>
          <w:tcPr>
            <w:tcW w:w="320" w:type="dxa"/>
            <w:vAlign w:val="bottom"/>
          </w:tcPr>
          <w:p>
            <w:pPr>
              <w:spacing w:after="0"/>
              <w:rPr>
                <w:sz w:val="20"/>
                <w:szCs w:val="20"/>
                <w:color w:val="auto"/>
              </w:rPr>
            </w:pPr>
          </w:p>
        </w:tc>
        <w:tc>
          <w:tcPr>
            <w:tcW w:w="1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TXN</w:t>
            </w:r>
          </w:p>
        </w:tc>
        <w:tc>
          <w:tcPr>
            <w:tcW w:w="340" w:type="dxa"/>
            <w:vAlign w:val="bottom"/>
          </w:tcPr>
          <w:p>
            <w:pPr>
              <w:spacing w:after="0"/>
              <w:rPr>
                <w:sz w:val="20"/>
                <w:szCs w:val="20"/>
                <w:color w:val="auto"/>
              </w:rPr>
            </w:pPr>
          </w:p>
        </w:tc>
        <w:tc>
          <w:tcPr>
            <w:tcW w:w="4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c>
          <w:tcPr>
            <w:tcW w:w="0" w:type="dxa"/>
            <w:vAlign w:val="bottom"/>
          </w:tcPr>
          <w:p>
            <w:pPr>
              <w:spacing w:after="0"/>
              <w:rPr>
                <w:sz w:val="1"/>
                <w:szCs w:val="1"/>
                <w:color w:val="auto"/>
              </w:rPr>
            </w:pPr>
          </w:p>
        </w:tc>
      </w:tr>
    </w:tbl>
    <w:p>
      <w:pPr>
        <w:spacing w:after="0" w:line="27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695325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133985</wp:posOffset>
            </wp:positionV>
            <wp:extent cx="7089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73660</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ITEM 2.02. Results of Operations and Financial Condition</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Registrant’s news release dated January 24, 2023, regarding its fourth-quarter and 2022 results of operations and financial condition is attached hereto as Exhibit 99.</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attached news release includes references to the following financial measures that were not prepared in accordance with generally accepted accounting principles in the United States (non-GAAP measures): free cash flow and ratios based on free cash flow. The company believes these non-GAAP measures provide insight into its liquidity, cash generating capability and the amount of cash potentially available to return to shareholders, as well as insight into its financial performance. These non-GAAP measures are supplemental to the comparable GAAP measures. Reconciliation to the most directly comparable GAAP measures is included in the “Non-GAAP financial information” section of the news release.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9.01. Exhibits</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Designation</w:t>
      </w:r>
    </w:p>
    <w:p>
      <w:pPr>
        <w:ind w:left="340"/>
        <w:spacing w:after="0" w:line="206" w:lineRule="auto"/>
        <w:rPr>
          <w:sz w:val="20"/>
          <w:szCs w:val="20"/>
          <w:color w:val="auto"/>
        </w:rPr>
      </w:pPr>
      <w:r>
        <w:rPr>
          <w:rFonts w:ascii="Times New Roman" w:cs="Times New Roman" w:eastAsia="Times New Roman" w:hAnsi="Times New Roman"/>
          <w:sz w:val="14"/>
          <w:szCs w:val="14"/>
          <w:color w:val="auto"/>
        </w:rPr>
        <w:t>of Exhibit</w:t>
      </w:r>
    </w:p>
    <w:p>
      <w:pPr>
        <w:ind w:left="440"/>
        <w:spacing w:after="0" w:line="221" w:lineRule="auto"/>
        <w:rPr>
          <w:sz w:val="20"/>
          <w:szCs w:val="20"/>
          <w:color w:val="auto"/>
        </w:rPr>
      </w:pPr>
      <w:r>
        <w:rPr>
          <w:rFonts w:ascii="Times New Roman" w:cs="Times New Roman" w:eastAsia="Times New Roman" w:hAnsi="Times New Roman"/>
          <w:sz w:val="14"/>
          <w:szCs w:val="14"/>
          <w:color w:val="auto"/>
        </w:rPr>
        <w:t>in this</w:t>
      </w:r>
    </w:p>
    <w:p>
      <w:pPr>
        <w:spacing w:after="0" w:line="1" w:lineRule="exact"/>
        <w:rPr>
          <w:sz w:val="20"/>
          <w:szCs w:val="20"/>
          <w:color w:val="auto"/>
        </w:rPr>
      </w:pPr>
    </w:p>
    <w:p>
      <w:pPr>
        <w:ind w:left="420"/>
        <w:spacing w:after="0"/>
        <w:tabs>
          <w:tab w:leader="none" w:pos="1580" w:val="left"/>
        </w:tabs>
        <w:rPr>
          <w:sz w:val="20"/>
          <w:szCs w:val="20"/>
          <w:color w:val="auto"/>
        </w:rPr>
      </w:pPr>
      <w:r>
        <w:rPr>
          <w:rFonts w:ascii="Times New Roman" w:cs="Times New Roman" w:eastAsia="Times New Roman" w:hAnsi="Times New Roman"/>
          <w:sz w:val="14"/>
          <w:szCs w:val="14"/>
          <w:color w:val="auto"/>
        </w:rPr>
        <w:t>Report</w:t>
      </w:r>
      <w:r>
        <w:rPr>
          <w:sz w:val="20"/>
          <w:szCs w:val="20"/>
          <w:color w:val="auto"/>
        </w:rPr>
        <w:tab/>
      </w:r>
      <w:r>
        <w:rPr>
          <w:rFonts w:ascii="Times New Roman" w:cs="Times New Roman" w:eastAsia="Times New Roman" w:hAnsi="Times New Roman"/>
          <w:sz w:val="14"/>
          <w:szCs w:val="14"/>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22225</wp:posOffset>
            </wp:positionV>
            <wp:extent cx="61290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29020" cy="8255"/>
                    </a:xfrm>
                    <a:prstGeom prst="rect">
                      <a:avLst/>
                    </a:prstGeom>
                    <a:noFill/>
                  </pic:spPr>
                </pic:pic>
              </a:graphicData>
            </a:graphic>
          </wp:anchor>
        </w:drawing>
      </w:r>
    </w:p>
    <w:p>
      <w:pPr>
        <w:spacing w:after="0" w:line="280" w:lineRule="exact"/>
        <w:rPr>
          <w:sz w:val="20"/>
          <w:szCs w:val="20"/>
          <w:color w:val="auto"/>
        </w:rPr>
      </w:pPr>
    </w:p>
    <w:p>
      <w:pPr>
        <w:ind w:left="1600" w:hanging="1068"/>
        <w:spacing w:after="0"/>
        <w:tabs>
          <w:tab w:leader="none" w:pos="16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Registrant’s News Release</w:t>
      </w:r>
    </w:p>
    <w:p>
      <w:pPr>
        <w:spacing w:after="0" w:line="27" w:lineRule="exact"/>
        <w:rPr>
          <w:rFonts w:ascii="Times New Roman" w:cs="Times New Roman" w:eastAsia="Times New Roman" w:hAnsi="Times New Roman"/>
          <w:sz w:val="18"/>
          <w:szCs w:val="18"/>
          <w:color w:val="auto"/>
        </w:rPr>
      </w:pPr>
    </w:p>
    <w:p>
      <w:pPr>
        <w:ind w:left="1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Dated January 24, 2023 (furnished pursuant to Item 2.02)</w:t>
      </w:r>
    </w:p>
    <w:p>
      <w:pPr>
        <w:spacing w:after="0" w:line="23" w:lineRule="exact"/>
        <w:rPr>
          <w:sz w:val="20"/>
          <w:szCs w:val="20"/>
          <w:color w:val="auto"/>
        </w:rPr>
      </w:pPr>
    </w:p>
    <w:p>
      <w:pPr>
        <w:ind w:left="480"/>
        <w:spacing w:after="0"/>
        <w:tabs>
          <w:tab w:leader="none" w:pos="1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732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TEXAS INSTRUMENTS INCORPORATED</w:t>
            </w:r>
          </w:p>
        </w:tc>
      </w:tr>
      <w:tr>
        <w:trPr>
          <w:trHeight w:val="45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24, 2023</w:t>
            </w:r>
          </w:p>
        </w:tc>
        <w:tc>
          <w:tcPr>
            <w:tcW w:w="304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Rafael R. Lizardi</w:t>
            </w:r>
          </w:p>
        </w:tc>
      </w:tr>
      <w:tr>
        <w:trPr>
          <w:trHeight w:val="218"/>
        </w:trPr>
        <w:tc>
          <w:tcPr>
            <w:tcW w:w="38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Rafael R. Lizardi</w:t>
            </w:r>
          </w:p>
        </w:tc>
      </w:tr>
      <w:tr>
        <w:trPr>
          <w:trHeight w:val="229"/>
        </w:trPr>
        <w:tc>
          <w:tcPr>
            <w:tcW w:w="38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w:t>
            </w:r>
          </w:p>
        </w:tc>
      </w:tr>
      <w:tr>
        <w:trPr>
          <w:trHeight w:val="234"/>
        </w:trPr>
        <w:tc>
          <w:tcPr>
            <w:tcW w:w="38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320" w:top="891"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reports Q4 2022 and 2022 financial results and shareholder returns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website at 3:30 p.m. Central time today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3A3AFF"/>
        </w:rPr>
        <w:t>www.ti.com/ir</w:t>
      </w:r>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DALLAS (Jan. 24, 2023) – Texas Instruments Incorporated (TI) (Nasdaq: TXN) today reported fourth quarter revenue of $4.67 billion, net income of $1.96 billion and earnings per share of $2.13. Earnings per share included an 11-cent benefit that was not in the company's original guidance.</w:t>
      </w:r>
    </w:p>
    <w:p>
      <w:pPr>
        <w:spacing w:after="0" w:line="17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Regarding the company's performance and returns to shareholders, Rich Templeton, TI's chairman, president and CEO, made the following comments:</w:t>
      </w:r>
    </w:p>
    <w:p>
      <w:pPr>
        <w:spacing w:after="0" w:line="153" w:lineRule="exact"/>
        <w:rPr>
          <w:sz w:val="20"/>
          <w:szCs w:val="20"/>
          <w:color w:val="auto"/>
        </w:rPr>
      </w:pPr>
    </w:p>
    <w:p>
      <w:pPr>
        <w:ind w:left="620" w:right="700" w:hanging="329"/>
        <w:spacing w:after="0" w:line="287"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decreased 11% sequentially and 3% from the same quarter a year ago. As we expected, our results reflect weaker demand in all end markets with the exception of automotive.</w:t>
      </w:r>
    </w:p>
    <w:p>
      <w:pPr>
        <w:spacing w:after="0" w:line="152" w:lineRule="exact"/>
        <w:rPr>
          <w:rFonts w:ascii="Arial" w:cs="Arial" w:eastAsia="Arial" w:hAnsi="Arial"/>
          <w:sz w:val="18"/>
          <w:szCs w:val="18"/>
          <w:color w:val="auto"/>
        </w:rPr>
      </w:pPr>
    </w:p>
    <w:p>
      <w:pPr>
        <w:ind w:left="620" w:right="220" w:hanging="329"/>
        <w:spacing w:after="0" w:line="268"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cash flow from operations of $8.7 billion for the year again underscored the strength of our business model. Free cash flow for the year was $5.9 billion and 30% of revenue. This reflects the quality of our product portfolio, as well as the efficiency of our manufacturing strategy, including the benefit of 300-mm production.</w:t>
      </w:r>
    </w:p>
    <w:p>
      <w:pPr>
        <w:spacing w:after="0" w:line="170" w:lineRule="exact"/>
        <w:rPr>
          <w:rFonts w:ascii="Arial" w:cs="Arial" w:eastAsia="Arial" w:hAnsi="Arial"/>
          <w:sz w:val="18"/>
          <w:szCs w:val="18"/>
          <w:color w:val="auto"/>
        </w:rPr>
      </w:pPr>
    </w:p>
    <w:p>
      <w:pPr>
        <w:ind w:left="620" w:right="180" w:hanging="329"/>
        <w:spacing w:after="0" w:line="287"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"Over the past 12 months we invested $3.4 billion in R&amp;D and SG&amp;A, invested $2.8 billion in capital expenditures and returned $7.9 billion to owners.</w:t>
      </w:r>
    </w:p>
    <w:p>
      <w:pPr>
        <w:spacing w:after="0" w:line="152" w:lineRule="exact"/>
        <w:rPr>
          <w:rFonts w:ascii="Arial" w:cs="Arial" w:eastAsia="Arial" w:hAnsi="Arial"/>
          <w:sz w:val="18"/>
          <w:szCs w:val="18"/>
          <w:color w:val="auto"/>
        </w:rPr>
      </w:pPr>
    </w:p>
    <w:p>
      <w:pPr>
        <w:ind w:left="620" w:right="100" w:hanging="329"/>
        <w:spacing w:after="0" w:line="271"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first quarter outlook is for revenue in the range of $4.17 billion to $4.53 billion and earnings per share between $1.64 and $1.90. We now expect our 2023 annual effective tax rate to be about 13% to 14%."</w:t>
      </w: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2" w:right="339" w:bottom="1440" w:gutter="0" w:footer="0" w:header="0"/>
        </w:sectPr>
      </w:pPr>
    </w:p>
    <w:bookmarkStart w:id="4" w:name="page5"/>
    <w:bookmarkEnd w:id="4"/>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 a non-GAAP financial measure, is cash flow from operations less capital expenditures.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00" w:type="dxa"/>
            <w:vAlign w:val="bottom"/>
            <w:gridSpan w:val="4"/>
          </w:tcPr>
          <w:p>
            <w:pPr>
              <w:spacing w:after="0"/>
              <w:rPr>
                <w:sz w:val="20"/>
                <w:szCs w:val="20"/>
                <w:color w:val="auto"/>
              </w:rPr>
            </w:pPr>
            <w:r>
              <w:rPr>
                <w:rFonts w:ascii="Arial" w:cs="Arial" w:eastAsia="Arial" w:hAnsi="Arial"/>
                <w:sz w:val="18"/>
                <w:szCs w:val="18"/>
                <w:b w:val="1"/>
                <w:bCs w:val="1"/>
                <w:color w:val="auto"/>
              </w:rPr>
              <w:t>Earnings summary</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Q4 2022</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gridSpan w:val="5"/>
            <w:vMerge w:val="restart"/>
          </w:tcPr>
          <w:p>
            <w:pPr>
              <w:ind w:left="120"/>
              <w:spacing w:after="0"/>
              <w:rPr>
                <w:sz w:val="20"/>
                <w:szCs w:val="20"/>
                <w:color w:val="auto"/>
              </w:rPr>
            </w:pPr>
            <w:r>
              <w:rPr>
                <w:rFonts w:ascii="Arial" w:cs="Arial" w:eastAsia="Arial" w:hAnsi="Arial"/>
                <w:sz w:val="18"/>
                <w:szCs w:val="18"/>
                <w:color w:val="auto"/>
              </w:rPr>
              <w:t>Q4 2021</w:t>
            </w:r>
          </w:p>
        </w:tc>
        <w:tc>
          <w:tcPr>
            <w:tcW w:w="1240" w:type="dxa"/>
            <w:vAlign w:val="bottom"/>
            <w:vMerge w:val="restart"/>
          </w:tcPr>
          <w:p>
            <w:pPr>
              <w:ind w:left="18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line="20" w:lineRule="exact"/>
              <w:rPr>
                <w:sz w:val="1"/>
                <w:szCs w:val="1"/>
                <w:color w:val="auto"/>
              </w:rPr>
            </w:pPr>
          </w:p>
        </w:tc>
      </w:tr>
      <w:tr>
        <w:trPr>
          <w:trHeight w:val="547"/>
        </w:trPr>
        <w:tc>
          <w:tcPr>
            <w:tcW w:w="5300" w:type="dxa"/>
            <w:vAlign w:val="bottom"/>
            <w:gridSpan w:val="4"/>
          </w:tcPr>
          <w:p>
            <w:pPr>
              <w:ind w:left="20"/>
              <w:spacing w:after="0"/>
              <w:rPr>
                <w:sz w:val="20"/>
                <w:szCs w:val="20"/>
                <w:color w:val="auto"/>
              </w:rPr>
            </w:pPr>
            <w:r>
              <w:rPr>
                <w:rFonts w:ascii="Arial" w:cs="Arial" w:eastAsia="Arial" w:hAnsi="Arial"/>
                <w:sz w:val="18"/>
                <w:szCs w:val="18"/>
                <w:i w:val="1"/>
                <w:iCs w:val="1"/>
                <w:color w:val="auto"/>
              </w:rPr>
              <w:t>(In millions, except per-share amounts)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5"/>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300" w:type="dxa"/>
            <w:vAlign w:val="bottom"/>
            <w:tcBorders>
              <w:top w:val="single" w:sz="8" w:color="DBDBDB"/>
            </w:tcBorders>
            <w:gridSpan w:val="4"/>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DBDBDB"/>
            </w:tcBorders>
            <w:shd w:val="clear" w:color="auto" w:fill="DBDBDB"/>
          </w:tcPr>
          <w:p>
            <w:pPr>
              <w:spacing w:after="0"/>
              <w:rPr>
                <w:sz w:val="19"/>
                <w:szCs w:val="19"/>
                <w:color w:val="auto"/>
              </w:rPr>
            </w:pPr>
          </w:p>
        </w:tc>
        <w:tc>
          <w:tcPr>
            <w:tcW w:w="86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gridSpan w:val="2"/>
            <w:shd w:val="clear" w:color="auto" w:fill="DBDBDB"/>
          </w:tcPr>
          <w:p>
            <w:pPr>
              <w:jc w:val="right"/>
              <w:ind w:right="40"/>
              <w:spacing w:after="0"/>
              <w:rPr>
                <w:sz w:val="20"/>
                <w:szCs w:val="20"/>
                <w:color w:val="auto"/>
              </w:rPr>
            </w:pPr>
            <w:r>
              <w:rPr>
                <w:rFonts w:ascii="Arial" w:cs="Arial" w:eastAsia="Arial" w:hAnsi="Arial"/>
                <w:sz w:val="18"/>
                <w:szCs w:val="18"/>
                <w:color w:val="auto"/>
              </w:rPr>
              <w:t>4,670</w:t>
            </w:r>
          </w:p>
        </w:tc>
        <w:tc>
          <w:tcPr>
            <w:tcW w:w="20" w:type="dxa"/>
            <w:vAlign w:val="bottom"/>
            <w:tcBorders>
              <w:top w:val="single" w:sz="8" w:color="auto"/>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gridSpan w:val="2"/>
            <w:shd w:val="clear" w:color="auto" w:fill="DBDBDB"/>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4,832</w:t>
            </w:r>
          </w:p>
        </w:tc>
        <w:tc>
          <w:tcPr>
            <w:tcW w:w="20" w:type="dxa"/>
            <w:vAlign w:val="bottom"/>
            <w:tcBorders>
              <w:top w:val="single" w:sz="8" w:color="DBDBDB"/>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40" w:type="dxa"/>
            <w:vAlign w:val="bottom"/>
            <w:tcBorders>
              <w:top w:val="single" w:sz="8" w:color="auto"/>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spacing w:after="0"/>
              <w:rPr>
                <w:sz w:val="19"/>
                <w:szCs w:val="19"/>
                <w:color w:val="auto"/>
              </w:rPr>
            </w:pPr>
          </w:p>
        </w:tc>
        <w:tc>
          <w:tcPr>
            <w:tcW w:w="12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300" w:type="dxa"/>
            <w:vAlign w:val="bottom"/>
            <w:gridSpan w:val="4"/>
          </w:tcPr>
          <w:p>
            <w:pPr>
              <w:ind w:left="20"/>
              <w:spacing w:after="0"/>
              <w:rPr>
                <w:sz w:val="20"/>
                <w:szCs w:val="20"/>
                <w:color w:val="auto"/>
              </w:rPr>
            </w:pPr>
            <w:r>
              <w:rPr>
                <w:rFonts w:ascii="Arial" w:cs="Arial" w:eastAsia="Arial" w:hAnsi="Arial"/>
                <w:sz w:val="18"/>
                <w:szCs w:val="18"/>
                <w:color w:val="auto"/>
              </w:rPr>
              <w:t>Operating profit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2,176</w:t>
            </w:r>
          </w:p>
        </w:tc>
        <w:tc>
          <w:tcPr>
            <w:tcW w:w="340" w:type="dxa"/>
            <w:vAlign w:val="bottom"/>
            <w:gridSpan w:val="5"/>
          </w:tcPr>
          <w:p>
            <w:pPr>
              <w:ind w:lef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30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DBDBDB"/>
          </w:tcPr>
          <w:p>
            <w:pPr>
              <w:jc w:val="right"/>
              <w:ind w:right="40"/>
              <w:spacing w:after="0"/>
              <w:rPr>
                <w:sz w:val="20"/>
                <w:szCs w:val="20"/>
                <w:color w:val="auto"/>
              </w:rPr>
            </w:pPr>
            <w:r>
              <w:rPr>
                <w:rFonts w:ascii="Arial" w:cs="Arial" w:eastAsia="Arial" w:hAnsi="Arial"/>
                <w:sz w:val="18"/>
                <w:szCs w:val="18"/>
                <w:color w:val="auto"/>
              </w:rPr>
              <w:t>1,962</w:t>
            </w:r>
          </w:p>
        </w:tc>
        <w:tc>
          <w:tcPr>
            <w:tcW w:w="340" w:type="dxa"/>
            <w:vAlign w:val="bottom"/>
            <w:gridSpan w:val="5"/>
            <w:shd w:val="clear" w:color="auto" w:fill="DBDBDB"/>
          </w:tcPr>
          <w:p>
            <w:pPr>
              <w:ind w:lef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2,138</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9"/>
        </w:trPr>
        <w:tc>
          <w:tcPr>
            <w:tcW w:w="5300" w:type="dxa"/>
            <w:vAlign w:val="bottom"/>
            <w:gridSpan w:val="4"/>
          </w:tcPr>
          <w:p>
            <w:pPr>
              <w:ind w:left="20"/>
              <w:spacing w:after="0"/>
              <w:rPr>
                <w:sz w:val="20"/>
                <w:szCs w:val="20"/>
                <w:color w:val="auto"/>
              </w:rPr>
            </w:pPr>
            <w:r>
              <w:rPr>
                <w:rFonts w:ascii="Arial" w:cs="Arial" w:eastAsia="Arial" w:hAnsi="Arial"/>
                <w:sz w:val="18"/>
                <w:szCs w:val="18"/>
                <w:color w:val="auto"/>
              </w:rPr>
              <w:t>Earnings per share</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c>
          <w:tcPr>
            <w:tcW w:w="340" w:type="dxa"/>
            <w:vAlign w:val="bottom"/>
            <w:gridSpan w:val="5"/>
          </w:tcPr>
          <w:p>
            <w:pPr>
              <w:ind w:lef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585"/>
        </w:trPr>
        <w:tc>
          <w:tcPr>
            <w:tcW w:w="5300" w:type="dxa"/>
            <w:vAlign w:val="bottom"/>
            <w:gridSpan w:val="4"/>
          </w:tcPr>
          <w:p>
            <w:pPr>
              <w:spacing w:after="0"/>
              <w:rPr>
                <w:sz w:val="20"/>
                <w:szCs w:val="20"/>
                <w:color w:val="auto"/>
              </w:rPr>
            </w:pPr>
            <w:r>
              <w:rPr>
                <w:rFonts w:ascii="Arial" w:cs="Arial" w:eastAsia="Arial" w:hAnsi="Arial"/>
                <w:sz w:val="18"/>
                <w:szCs w:val="18"/>
                <w:b w:val="1"/>
                <w:bCs w:val="1"/>
                <w:color w:val="auto"/>
              </w:rPr>
              <w:t>Cash generation</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10"/>
          </w:tcPr>
          <w:p>
            <w:pPr>
              <w:jc w:val="center"/>
              <w:ind w:right="280"/>
              <w:spacing w:after="0"/>
              <w:rPr>
                <w:sz w:val="20"/>
                <w:szCs w:val="20"/>
                <w:color w:val="auto"/>
              </w:rPr>
            </w:pPr>
            <w:r>
              <w:rPr>
                <w:rFonts w:ascii="Arial" w:cs="Arial" w:eastAsia="Arial" w:hAnsi="Arial"/>
                <w:sz w:val="18"/>
                <w:szCs w:val="18"/>
                <w:color w:val="auto"/>
                <w:w w:val="99"/>
              </w:rPr>
              <w:t>Trailing 12 Months</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300" w:type="dxa"/>
            <w:vAlign w:val="bottom"/>
            <w:gridSpan w:val="4"/>
          </w:tcPr>
          <w:p>
            <w:pPr>
              <w:ind w:left="2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19"/>
                <w:szCs w:val="19"/>
                <w:color w:val="auto"/>
              </w:rPr>
            </w:pPr>
          </w:p>
        </w:tc>
        <w:tc>
          <w:tcPr>
            <w:tcW w:w="1180" w:type="dxa"/>
            <w:vAlign w:val="bottom"/>
            <w:gridSpan w:val="3"/>
          </w:tcPr>
          <w:p>
            <w:pPr>
              <w:ind w:left="80"/>
              <w:spacing w:after="0"/>
              <w:rPr>
                <w:sz w:val="20"/>
                <w:szCs w:val="20"/>
                <w:color w:val="auto"/>
              </w:rPr>
            </w:pPr>
            <w:r>
              <w:rPr>
                <w:rFonts w:ascii="Arial" w:cs="Arial" w:eastAsia="Arial" w:hAnsi="Arial"/>
                <w:sz w:val="18"/>
                <w:szCs w:val="18"/>
                <w:color w:val="auto"/>
              </w:rPr>
              <w:t>Q4 2022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Q4 2022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5"/>
          </w:tcPr>
          <w:p>
            <w:pPr>
              <w:jc w:val="center"/>
              <w:ind w:right="600"/>
              <w:spacing w:after="0"/>
              <w:rPr>
                <w:sz w:val="20"/>
                <w:szCs w:val="20"/>
                <w:color w:val="auto"/>
              </w:rPr>
            </w:pPr>
            <w:r>
              <w:rPr>
                <w:rFonts w:ascii="Arial" w:cs="Arial" w:eastAsia="Arial" w:hAnsi="Arial"/>
                <w:sz w:val="18"/>
                <w:szCs w:val="18"/>
                <w:color w:val="auto"/>
              </w:rPr>
              <w:t>Q4 2021</w:t>
            </w:r>
          </w:p>
        </w:tc>
        <w:tc>
          <w:tcPr>
            <w:tcW w:w="1240" w:type="dxa"/>
            <w:vAlign w:val="bottom"/>
          </w:tcPr>
          <w:p>
            <w:pPr>
              <w:ind w:left="20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23"/>
        </w:trPr>
        <w:tc>
          <w:tcPr>
            <w:tcW w:w="5300" w:type="dxa"/>
            <w:vAlign w:val="bottom"/>
            <w:tcBorders>
              <w:top w:val="single" w:sz="8" w:color="DBDBDB"/>
            </w:tcBorders>
            <w:gridSpan w:val="4"/>
            <w:shd w:val="clear" w:color="auto" w:fill="DBDBDB"/>
          </w:tcPr>
          <w:p>
            <w:pPr>
              <w:ind w:left="20"/>
              <w:spacing w:after="0"/>
              <w:rPr>
                <w:sz w:val="20"/>
                <w:szCs w:val="20"/>
                <w:color w:val="auto"/>
              </w:rPr>
            </w:pPr>
            <w:r>
              <w:rPr>
                <w:rFonts w:ascii="Arial" w:cs="Arial" w:eastAsia="Arial" w:hAnsi="Arial"/>
                <w:sz w:val="18"/>
                <w:szCs w:val="18"/>
                <w:color w:val="auto"/>
              </w:rPr>
              <w:t>Cash flow from operations</w:t>
            </w:r>
          </w:p>
        </w:tc>
        <w:tc>
          <w:tcPr>
            <w:tcW w:w="2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DBDBDB"/>
          </w:tcPr>
          <w:p>
            <w:pPr>
              <w:spacing w:after="0"/>
              <w:rPr>
                <w:sz w:val="19"/>
                <w:szCs w:val="19"/>
                <w:color w:val="auto"/>
              </w:rPr>
            </w:pP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2,042</w:t>
            </w:r>
          </w:p>
        </w:tc>
        <w:tc>
          <w:tcPr>
            <w:tcW w:w="12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DBDBDB"/>
          </w:tcPr>
          <w:p>
            <w:pPr>
              <w:spacing w:after="0"/>
              <w:rPr>
                <w:sz w:val="19"/>
                <w:szCs w:val="19"/>
                <w:color w:val="auto"/>
              </w:rPr>
            </w:pPr>
          </w:p>
        </w:tc>
        <w:tc>
          <w:tcPr>
            <w:tcW w:w="4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spacing w:after="0"/>
              <w:rPr>
                <w:sz w:val="19"/>
                <w:szCs w:val="19"/>
                <w:color w:val="auto"/>
              </w:rPr>
            </w:pPr>
          </w:p>
        </w:tc>
        <w:tc>
          <w:tcPr>
            <w:tcW w:w="1080" w:type="dxa"/>
            <w:vAlign w:val="bottom"/>
            <w:tcBorders>
              <w:top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8,720</w:t>
            </w:r>
          </w:p>
        </w:tc>
        <w:tc>
          <w:tcPr>
            <w:tcW w:w="60" w:type="dxa"/>
            <w:vAlign w:val="bottom"/>
            <w:tcBorders>
              <w:top w:val="single" w:sz="8" w:color="DBDBDB"/>
            </w:tcBorders>
            <w:shd w:val="clear" w:color="auto" w:fill="DBDBDB"/>
          </w:tcPr>
          <w:p>
            <w:pPr>
              <w:spacing w:after="0"/>
              <w:rPr>
                <w:sz w:val="19"/>
                <w:szCs w:val="19"/>
                <w:color w:val="auto"/>
              </w:rPr>
            </w:pPr>
          </w:p>
        </w:tc>
        <w:tc>
          <w:tcPr>
            <w:tcW w:w="40" w:type="dxa"/>
            <w:vAlign w:val="bottom"/>
            <w:tcBorders>
              <w:top w:val="single" w:sz="8" w:color="DBDBDB"/>
            </w:tcBorders>
            <w:gridSpan w:val="2"/>
            <w:shd w:val="clear" w:color="auto" w:fill="DBDBDB"/>
          </w:tcPr>
          <w:p>
            <w:pPr>
              <w:spacing w:after="0"/>
              <w:rPr>
                <w:sz w:val="19"/>
                <w:szCs w:val="19"/>
                <w:color w:val="auto"/>
              </w:rPr>
            </w:pPr>
          </w:p>
        </w:tc>
        <w:tc>
          <w:tcPr>
            <w:tcW w:w="300" w:type="dxa"/>
            <w:vAlign w:val="bottom"/>
            <w:tcBorders>
              <w:top w:val="single" w:sz="8" w:color="auto"/>
            </w:tcBorders>
            <w:gridSpan w:val="3"/>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rPr>
              <w:t>8,756</w:t>
            </w:r>
          </w:p>
        </w:tc>
        <w:tc>
          <w:tcPr>
            <w:tcW w:w="20" w:type="dxa"/>
            <w:vAlign w:val="bottom"/>
            <w:tcBorders>
              <w:top w:val="single" w:sz="8" w:color="auto"/>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4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spacing w:after="0"/>
              <w:rPr>
                <w:sz w:val="19"/>
                <w:szCs w:val="19"/>
                <w:color w:val="auto"/>
              </w:rPr>
            </w:pPr>
          </w:p>
        </w:tc>
        <w:tc>
          <w:tcPr>
            <w:tcW w:w="12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30"/>
        </w:trPr>
        <w:tc>
          <w:tcPr>
            <w:tcW w:w="5300" w:type="dxa"/>
            <w:vAlign w:val="bottom"/>
            <w:gridSpan w:val="4"/>
          </w:tcPr>
          <w:p>
            <w:pPr>
              <w:ind w:left="2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2,797</w:t>
            </w:r>
          </w:p>
        </w:tc>
        <w:tc>
          <w:tcPr>
            <w:tcW w:w="60" w:type="dxa"/>
            <w:vAlign w:val="bottom"/>
          </w:tcPr>
          <w:p>
            <w:pPr>
              <w:spacing w:after="0"/>
              <w:rPr>
                <w:sz w:val="19"/>
                <w:szCs w:val="19"/>
                <w:color w:val="auto"/>
              </w:rPr>
            </w:pPr>
          </w:p>
        </w:tc>
        <w:tc>
          <w:tcPr>
            <w:tcW w:w="340" w:type="dxa"/>
            <w:vAlign w:val="bottom"/>
            <w:gridSpan w:val="5"/>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2,462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9"/>
        </w:trPr>
        <w:tc>
          <w:tcPr>
            <w:tcW w:w="530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Free cash flow</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1,075</w:t>
            </w: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8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5,923</w:t>
            </w:r>
          </w:p>
        </w:tc>
        <w:tc>
          <w:tcPr>
            <w:tcW w:w="60" w:type="dxa"/>
            <w:vAlign w:val="bottom"/>
            <w:shd w:val="clear" w:color="auto" w:fill="DBDBDB"/>
          </w:tcPr>
          <w:p>
            <w:pPr>
              <w:spacing w:after="0"/>
              <w:rPr>
                <w:sz w:val="19"/>
                <w:szCs w:val="19"/>
                <w:color w:val="auto"/>
              </w:rPr>
            </w:pPr>
          </w:p>
        </w:tc>
        <w:tc>
          <w:tcPr>
            <w:tcW w:w="340" w:type="dxa"/>
            <w:vAlign w:val="bottom"/>
            <w:gridSpan w:val="5"/>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6,294</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9"/>
        </w:trPr>
        <w:tc>
          <w:tcPr>
            <w:tcW w:w="5300" w:type="dxa"/>
            <w:vAlign w:val="bottom"/>
            <w:gridSpan w:val="4"/>
          </w:tcPr>
          <w:p>
            <w:pPr>
              <w:ind w:left="20"/>
              <w:spacing w:after="0"/>
              <w:rPr>
                <w:sz w:val="20"/>
                <w:szCs w:val="20"/>
                <w:color w:val="auto"/>
              </w:rPr>
            </w:pPr>
            <w:r>
              <w:rPr>
                <w:rFonts w:ascii="Arial" w:cs="Arial" w:eastAsia="Arial" w:hAnsi="Arial"/>
                <w:sz w:val="18"/>
                <w:szCs w:val="18"/>
                <w:color w:val="auto"/>
              </w:rPr>
              <w:t>Free cash flow % of revenue</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29.6 %</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34.3 %</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1"/>
        </w:trPr>
        <w:tc>
          <w:tcPr>
            <w:tcW w:w="5300" w:type="dxa"/>
            <w:vAlign w:val="bottom"/>
            <w:gridSpan w:val="4"/>
          </w:tcPr>
          <w:p>
            <w:pPr>
              <w:spacing w:after="0"/>
              <w:rPr>
                <w:sz w:val="20"/>
                <w:szCs w:val="20"/>
                <w:color w:val="auto"/>
              </w:rPr>
            </w:pPr>
            <w:r>
              <w:rPr>
                <w:rFonts w:ascii="Arial" w:cs="Arial" w:eastAsia="Arial" w:hAnsi="Arial"/>
                <w:sz w:val="18"/>
                <w:szCs w:val="18"/>
                <w:b w:val="1"/>
                <w:bCs w:val="1"/>
                <w:color w:val="auto"/>
              </w:rPr>
              <w:t>Cash return</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color w:val="auto"/>
              </w:rPr>
              <w:t>Trailing 12 Months</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300" w:type="dxa"/>
            <w:vAlign w:val="bottom"/>
            <w:gridSpan w:val="4"/>
          </w:tcPr>
          <w:p>
            <w:pPr>
              <w:ind w:left="2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Q4 2022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Q4 2022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5"/>
          </w:tcPr>
          <w:p>
            <w:pPr>
              <w:ind w:left="120"/>
              <w:spacing w:after="0"/>
              <w:rPr>
                <w:sz w:val="20"/>
                <w:szCs w:val="20"/>
                <w:color w:val="auto"/>
              </w:rPr>
            </w:pPr>
            <w:r>
              <w:rPr>
                <w:rFonts w:ascii="Arial" w:cs="Arial" w:eastAsia="Arial" w:hAnsi="Arial"/>
                <w:sz w:val="18"/>
                <w:szCs w:val="18"/>
                <w:color w:val="auto"/>
              </w:rPr>
              <w:t>Q4 2021</w:t>
            </w:r>
          </w:p>
        </w:tc>
        <w:tc>
          <w:tcPr>
            <w:tcW w:w="1240" w:type="dxa"/>
            <w:vAlign w:val="bottom"/>
          </w:tcPr>
          <w:p>
            <w:pPr>
              <w:ind w:left="18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23"/>
        </w:trPr>
        <w:tc>
          <w:tcPr>
            <w:tcW w:w="5300" w:type="dxa"/>
            <w:vAlign w:val="bottom"/>
            <w:tcBorders>
              <w:top w:val="single" w:sz="8" w:color="DBDBDB"/>
            </w:tcBorders>
            <w:gridSpan w:val="4"/>
            <w:shd w:val="clear" w:color="auto" w:fill="DBDBDB"/>
          </w:tcPr>
          <w:p>
            <w:pPr>
              <w:ind w:left="20"/>
              <w:spacing w:after="0"/>
              <w:rPr>
                <w:sz w:val="20"/>
                <w:szCs w:val="20"/>
                <w:color w:val="auto"/>
              </w:rPr>
            </w:pPr>
            <w:r>
              <w:rPr>
                <w:rFonts w:ascii="Arial" w:cs="Arial" w:eastAsia="Arial" w:hAnsi="Arial"/>
                <w:sz w:val="18"/>
                <w:szCs w:val="18"/>
                <w:color w:val="auto"/>
              </w:rPr>
              <w:t>Dividends paid</w:t>
            </w:r>
          </w:p>
        </w:tc>
        <w:tc>
          <w:tcPr>
            <w:tcW w:w="22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gridSpan w:val="3"/>
            <w:shd w:val="clear" w:color="auto" w:fill="DBDBDB"/>
          </w:tcPr>
          <w:p>
            <w:pPr>
              <w:jc w:val="right"/>
              <w:spacing w:after="0"/>
              <w:rPr>
                <w:sz w:val="20"/>
                <w:szCs w:val="20"/>
                <w:color w:val="auto"/>
              </w:rPr>
            </w:pPr>
            <w:r>
              <w:rPr>
                <w:rFonts w:ascii="Arial" w:cs="Arial" w:eastAsia="Arial" w:hAnsi="Arial"/>
                <w:sz w:val="18"/>
                <w:szCs w:val="18"/>
                <w:color w:val="auto"/>
              </w:rPr>
              <w:t>1,123</w:t>
            </w:r>
          </w:p>
        </w:tc>
        <w:tc>
          <w:tcPr>
            <w:tcW w:w="80" w:type="dxa"/>
            <w:vAlign w:val="bottom"/>
            <w:tcBorders>
              <w:top w:val="single" w:sz="8" w:color="DBDBDB"/>
            </w:tcBorders>
            <w:shd w:val="clear" w:color="auto" w:fill="DBDBDB"/>
          </w:tcPr>
          <w:p>
            <w:pPr>
              <w:spacing w:after="0"/>
              <w:rPr>
                <w:sz w:val="19"/>
                <w:szCs w:val="19"/>
                <w:color w:val="auto"/>
              </w:rPr>
            </w:pPr>
          </w:p>
        </w:tc>
        <w:tc>
          <w:tcPr>
            <w:tcW w:w="4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gridSpan w:val="2"/>
            <w:shd w:val="clear" w:color="auto" w:fill="DBDBDB"/>
          </w:tcPr>
          <w:p>
            <w:pPr>
              <w:jc w:val="right"/>
              <w:ind w:right="40"/>
              <w:spacing w:after="0"/>
              <w:rPr>
                <w:sz w:val="20"/>
                <w:szCs w:val="20"/>
                <w:color w:val="auto"/>
              </w:rPr>
            </w:pPr>
            <w:r>
              <w:rPr>
                <w:rFonts w:ascii="Arial" w:cs="Arial" w:eastAsia="Arial" w:hAnsi="Arial"/>
                <w:sz w:val="18"/>
                <w:szCs w:val="18"/>
                <w:color w:val="auto"/>
              </w:rPr>
              <w:t>4,297</w:t>
            </w:r>
          </w:p>
        </w:tc>
        <w:tc>
          <w:tcPr>
            <w:tcW w:w="40" w:type="dxa"/>
            <w:vAlign w:val="bottom"/>
            <w:tcBorders>
              <w:top w:val="single" w:sz="8" w:color="auto"/>
            </w:tcBorders>
            <w:gridSpan w:val="2"/>
            <w:shd w:val="clear" w:color="auto" w:fill="DBDBDB"/>
          </w:tcPr>
          <w:p>
            <w:pPr>
              <w:spacing w:after="0"/>
              <w:rPr>
                <w:sz w:val="19"/>
                <w:szCs w:val="19"/>
                <w:color w:val="auto"/>
              </w:rPr>
            </w:pPr>
          </w:p>
        </w:tc>
        <w:tc>
          <w:tcPr>
            <w:tcW w:w="120" w:type="dxa"/>
            <w:vAlign w:val="bottom"/>
            <w:tcBorders>
              <w:top w:val="single" w:sz="8" w:color="DBDBDB"/>
            </w:tcBorders>
            <w:gridSpan w:val="2"/>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3,886</w:t>
            </w:r>
          </w:p>
        </w:tc>
        <w:tc>
          <w:tcPr>
            <w:tcW w:w="20" w:type="dxa"/>
            <w:vAlign w:val="bottom"/>
            <w:tcBorders>
              <w:top w:val="single" w:sz="8" w:color="DBDBDB"/>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40" w:type="dxa"/>
            <w:vAlign w:val="bottom"/>
            <w:tcBorders>
              <w:top w:val="single" w:sz="8" w:color="auto"/>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spacing w:after="0"/>
              <w:rPr>
                <w:sz w:val="19"/>
                <w:szCs w:val="19"/>
                <w:color w:val="auto"/>
              </w:rPr>
            </w:pPr>
          </w:p>
        </w:tc>
        <w:tc>
          <w:tcPr>
            <w:tcW w:w="12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0"/>
        </w:trPr>
        <w:tc>
          <w:tcPr>
            <w:tcW w:w="5300" w:type="dxa"/>
            <w:vAlign w:val="bottom"/>
            <w:gridSpan w:val="4"/>
          </w:tcPr>
          <w:p>
            <w:pPr>
              <w:ind w:left="20"/>
              <w:spacing w:after="0"/>
              <w:rPr>
                <w:sz w:val="20"/>
                <w:szCs w:val="20"/>
                <w:color w:val="auto"/>
              </w:rPr>
            </w:pPr>
            <w:r>
              <w:rPr>
                <w:rFonts w:ascii="Arial" w:cs="Arial" w:eastAsia="Arial" w:hAnsi="Arial"/>
                <w:sz w:val="18"/>
                <w:szCs w:val="18"/>
                <w:color w:val="auto"/>
              </w:rPr>
              <w:t>Stock repurchases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848</w:t>
            </w: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3,615</w:t>
            </w:r>
          </w:p>
        </w:tc>
        <w:tc>
          <w:tcPr>
            <w:tcW w:w="340" w:type="dxa"/>
            <w:vAlign w:val="bottom"/>
            <w:gridSpan w:val="5"/>
          </w:tcPr>
          <w:p>
            <w:pPr>
              <w:ind w:lef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586 %</w:t>
            </w:r>
          </w:p>
        </w:tc>
        <w:tc>
          <w:tcPr>
            <w:tcW w:w="0" w:type="dxa"/>
            <w:vAlign w:val="bottom"/>
          </w:tcPr>
          <w:p>
            <w:pPr>
              <w:spacing w:after="0"/>
              <w:rPr>
                <w:sz w:val="1"/>
                <w:szCs w:val="1"/>
                <w:color w:val="auto"/>
              </w:rPr>
            </w:pPr>
          </w:p>
        </w:tc>
      </w:tr>
      <w:tr>
        <w:trPr>
          <w:trHeight w:val="230"/>
        </w:trPr>
        <w:tc>
          <w:tcPr>
            <w:tcW w:w="530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Total cash returned</w:t>
            </w:r>
          </w:p>
        </w:tc>
        <w:tc>
          <w:tcPr>
            <w:tcW w:w="4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1,971</w:t>
            </w:r>
          </w:p>
        </w:tc>
        <w:tc>
          <w:tcPr>
            <w:tcW w:w="80" w:type="dxa"/>
            <w:vAlign w:val="bottom"/>
            <w:shd w:val="clear" w:color="auto" w:fill="DBDBDB"/>
          </w:tcPr>
          <w:p>
            <w:pPr>
              <w:spacing w:after="0"/>
              <w:rPr>
                <w:sz w:val="19"/>
                <w:szCs w:val="19"/>
                <w:color w:val="auto"/>
              </w:rPr>
            </w:pPr>
          </w:p>
        </w:tc>
        <w:tc>
          <w:tcPr>
            <w:tcW w:w="1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DBDBDB"/>
          </w:tcPr>
          <w:p>
            <w:pPr>
              <w:jc w:val="right"/>
              <w:ind w:right="40"/>
              <w:spacing w:after="0"/>
              <w:rPr>
                <w:sz w:val="20"/>
                <w:szCs w:val="20"/>
                <w:color w:val="auto"/>
              </w:rPr>
            </w:pPr>
            <w:r>
              <w:rPr>
                <w:rFonts w:ascii="Arial" w:cs="Arial" w:eastAsia="Arial" w:hAnsi="Arial"/>
                <w:sz w:val="18"/>
                <w:szCs w:val="18"/>
                <w:color w:val="auto"/>
              </w:rPr>
              <w:t>7,912</w:t>
            </w:r>
          </w:p>
        </w:tc>
        <w:tc>
          <w:tcPr>
            <w:tcW w:w="340" w:type="dxa"/>
            <w:vAlign w:val="bottom"/>
            <w:gridSpan w:val="5"/>
            <w:shd w:val="clear" w:color="auto" w:fill="DBDBDB"/>
          </w:tcPr>
          <w:p>
            <w:pPr>
              <w:ind w:lef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4,413</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47"/>
        </w:trPr>
        <w:tc>
          <w:tcPr>
            <w:tcW w:w="8480" w:type="dxa"/>
            <w:vAlign w:val="bottom"/>
            <w:gridSpan w:val="9"/>
          </w:tcPr>
          <w:p>
            <w:pPr>
              <w:jc w:val="center"/>
              <w:ind w:left="2690"/>
              <w:spacing w:after="0"/>
              <w:rPr>
                <w:sz w:val="20"/>
                <w:szCs w:val="20"/>
                <w:color w:val="auto"/>
              </w:rPr>
            </w:pPr>
            <w:r>
              <w:rPr>
                <w:rFonts w:ascii="Arial" w:cs="Arial" w:eastAsia="Arial" w:hAnsi="Arial"/>
                <w:sz w:val="18"/>
                <w:szCs w:val="18"/>
                <w:b w:val="1"/>
                <w:bCs w:val="1"/>
                <w:color w:val="auto"/>
                <w:w w:val="99"/>
              </w:rPr>
              <w:t>TEXAS INSTRUMENTS INCORPORATED AND SUBSIDIARIES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4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Consolidated Statements of Income</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jc w:val="center"/>
              <w:ind w:right="320"/>
              <w:spacing w:after="0" w:line="190" w:lineRule="exact"/>
              <w:rPr>
                <w:sz w:val="20"/>
                <w:szCs w:val="20"/>
                <w:color w:val="auto"/>
              </w:rPr>
            </w:pPr>
            <w:r>
              <w:rPr>
                <w:rFonts w:ascii="Arial" w:cs="Arial" w:eastAsia="Arial" w:hAnsi="Arial"/>
                <w:sz w:val="18"/>
                <w:szCs w:val="18"/>
                <w:b w:val="1"/>
                <w:bCs w:val="1"/>
                <w:color w:val="auto"/>
                <w:w w:val="99"/>
              </w:rPr>
              <w:t>For Three Months Ended</w:t>
            </w:r>
          </w:p>
        </w:tc>
        <w:tc>
          <w:tcPr>
            <w:tcW w:w="300" w:type="dxa"/>
            <w:vAlign w:val="bottom"/>
          </w:tcPr>
          <w:p>
            <w:pPr>
              <w:spacing w:after="0"/>
              <w:rPr>
                <w:sz w:val="16"/>
                <w:szCs w:val="16"/>
                <w:color w:val="auto"/>
              </w:rPr>
            </w:pPr>
          </w:p>
        </w:tc>
        <w:tc>
          <w:tcPr>
            <w:tcW w:w="2460" w:type="dxa"/>
            <w:vAlign w:val="bottom"/>
            <w:gridSpan w:val="4"/>
          </w:tcPr>
          <w:p>
            <w:pPr>
              <w:jc w:val="right"/>
              <w:ind w:right="570"/>
              <w:spacing w:after="0" w:line="190" w:lineRule="exact"/>
              <w:rPr>
                <w:sz w:val="20"/>
                <w:szCs w:val="20"/>
                <w:color w:val="auto"/>
              </w:rPr>
            </w:pPr>
            <w:r>
              <w:rPr>
                <w:rFonts w:ascii="Arial" w:cs="Arial" w:eastAsia="Arial" w:hAnsi="Arial"/>
                <w:sz w:val="18"/>
                <w:szCs w:val="18"/>
                <w:b w:val="1"/>
                <w:bCs w:val="1"/>
                <w:color w:val="auto"/>
              </w:rPr>
              <w:t>For Years Ended</w:t>
            </w:r>
          </w:p>
        </w:tc>
        <w:tc>
          <w:tcPr>
            <w:tcW w:w="0" w:type="dxa"/>
            <w:vAlign w:val="bottom"/>
          </w:tcPr>
          <w:p>
            <w:pPr>
              <w:spacing w:after="0"/>
              <w:rPr>
                <w:sz w:val="1"/>
                <w:szCs w:val="1"/>
                <w:color w:val="auto"/>
              </w:rPr>
            </w:pPr>
          </w:p>
        </w:tc>
      </w:tr>
      <w:tr>
        <w:trPr>
          <w:trHeight w:val="243"/>
        </w:trPr>
        <w:tc>
          <w:tcPr>
            <w:tcW w:w="4360" w:type="dxa"/>
            <w:vAlign w:val="bottom"/>
            <w:vMerge w:val="continue"/>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December 31,</w:t>
            </w:r>
          </w:p>
        </w:tc>
        <w:tc>
          <w:tcPr>
            <w:tcW w:w="300" w:type="dxa"/>
            <w:vAlign w:val="bottom"/>
          </w:tcPr>
          <w:p>
            <w:pPr>
              <w:spacing w:after="0"/>
              <w:rPr>
                <w:sz w:val="21"/>
                <w:szCs w:val="21"/>
                <w:color w:val="auto"/>
              </w:rPr>
            </w:pPr>
          </w:p>
        </w:tc>
        <w:tc>
          <w:tcPr>
            <w:tcW w:w="246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436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 millions, except per-share amounts)</w:t>
            </w:r>
          </w:p>
        </w:tc>
        <w:tc>
          <w:tcPr>
            <w:tcW w:w="1160" w:type="dxa"/>
            <w:vAlign w:val="bottom"/>
            <w:tcBorders>
              <w:top w:val="single" w:sz="8" w:color="auto"/>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DBDBDB"/>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DBDBDB"/>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DBDBDB"/>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4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11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4,670</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4,832</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20,028</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18,344</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Cost of revenue (COR)</w:t>
            </w:r>
          </w:p>
        </w:tc>
        <w:tc>
          <w:tcPr>
            <w:tcW w:w="116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1,583</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6,257</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5,968</w:t>
            </w:r>
          </w:p>
        </w:tc>
        <w:tc>
          <w:tcPr>
            <w:tcW w:w="0" w:type="dxa"/>
            <w:vAlign w:val="bottom"/>
          </w:tcPr>
          <w:p>
            <w:pPr>
              <w:spacing w:after="0"/>
              <w:rPr>
                <w:sz w:val="1"/>
                <w:szCs w:val="1"/>
                <w:color w:val="auto"/>
              </w:rPr>
            </w:pPr>
          </w:p>
        </w:tc>
      </w:tr>
      <w:tr>
        <w:trPr>
          <w:trHeight w:val="223"/>
        </w:trPr>
        <w:tc>
          <w:tcPr>
            <w:tcW w:w="4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11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3,087</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3,350</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13,771</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12,376</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Research and development (R&amp;D)</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434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1,670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29"/>
        </w:trPr>
        <w:tc>
          <w:tcPr>
            <w:tcW w:w="4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Selling, general and administrative (SG&amp;A)</w:t>
            </w:r>
          </w:p>
        </w:tc>
        <w:tc>
          <w:tcPr>
            <w:tcW w:w="11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429</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1,704</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Acquisition charges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9"/>
        </w:trPr>
        <w:tc>
          <w:tcPr>
            <w:tcW w:w="4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Restructuring charges/other</w:t>
            </w:r>
          </w:p>
        </w:tc>
        <w:tc>
          <w:tcPr>
            <w:tcW w:w="11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48</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257</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2,176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10,140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8,960</w:t>
            </w:r>
          </w:p>
        </w:tc>
        <w:tc>
          <w:tcPr>
            <w:tcW w:w="0" w:type="dxa"/>
            <w:vAlign w:val="bottom"/>
          </w:tcPr>
          <w:p>
            <w:pPr>
              <w:spacing w:after="0"/>
              <w:rPr>
                <w:sz w:val="1"/>
                <w:szCs w:val="1"/>
                <w:color w:val="auto"/>
              </w:rPr>
            </w:pPr>
          </w:p>
        </w:tc>
      </w:tr>
      <w:tr>
        <w:trPr>
          <w:trHeight w:val="229"/>
        </w:trPr>
        <w:tc>
          <w:tcPr>
            <w:tcW w:w="4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income (expense), net (OI&amp;E)</w:t>
            </w:r>
          </w:p>
        </w:tc>
        <w:tc>
          <w:tcPr>
            <w:tcW w:w="11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51</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106</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Interest and debt expense</w:t>
            </w:r>
          </w:p>
        </w:tc>
        <w:tc>
          <w:tcPr>
            <w:tcW w:w="116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3"/>
        </w:trPr>
        <w:tc>
          <w:tcPr>
            <w:tcW w:w="4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Income before income taxes</w:t>
            </w:r>
          </w:p>
        </w:tc>
        <w:tc>
          <w:tcPr>
            <w:tcW w:w="11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2,167</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2,463</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10,032</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8,919</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Provision for income taxes</w:t>
            </w:r>
          </w:p>
        </w:tc>
        <w:tc>
          <w:tcPr>
            <w:tcW w:w="116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1,283</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116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1,962</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2,138</w:t>
            </w: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8,749</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7,769</w:t>
            </w:r>
          </w:p>
        </w:tc>
        <w:tc>
          <w:tcPr>
            <w:tcW w:w="0" w:type="dxa"/>
            <w:vAlign w:val="bottom"/>
          </w:tcPr>
          <w:p>
            <w:pPr>
              <w:spacing w:after="0"/>
              <w:rPr>
                <w:sz w:val="1"/>
                <w:szCs w:val="1"/>
                <w:color w:val="auto"/>
              </w:rPr>
            </w:pPr>
          </w:p>
        </w:tc>
      </w:tr>
      <w:tr>
        <w:trPr>
          <w:trHeight w:val="20"/>
        </w:trPr>
        <w:tc>
          <w:tcPr>
            <w:tcW w:w="4360" w:type="dxa"/>
            <w:vAlign w:val="bottom"/>
            <w:tcBorders>
              <w:top w:val="single" w:sz="8" w:color="DBDBDB"/>
            </w:tcBorders>
          </w:tcPr>
          <w:p>
            <w:pPr>
              <w:spacing w:after="0" w:line="20" w:lineRule="exact"/>
              <w:rPr>
                <w:sz w:val="1"/>
                <w:szCs w:val="1"/>
                <w:color w:val="auto"/>
              </w:rPr>
            </w:pPr>
          </w:p>
        </w:tc>
        <w:tc>
          <w:tcPr>
            <w:tcW w:w="116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Diluted earnings per common share</w:t>
            </w:r>
          </w:p>
        </w:tc>
        <w:tc>
          <w:tcPr>
            <w:tcW w:w="1480" w:type="dxa"/>
            <w:vAlign w:val="bottom"/>
            <w:gridSpan w:val="3"/>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2.13</w:t>
            </w:r>
          </w:p>
        </w:tc>
        <w:tc>
          <w:tcPr>
            <w:tcW w:w="120" w:type="dxa"/>
            <w:vAlign w:val="bottom"/>
            <w:shd w:val="clear" w:color="auto" w:fill="DBDBDB"/>
          </w:tcPr>
          <w:p>
            <w:pPr>
              <w:spacing w:after="0"/>
              <w:rPr>
                <w:sz w:val="21"/>
                <w:szCs w:val="21"/>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DBDBDB"/>
          </w:tcPr>
          <w:p>
            <w:pPr>
              <w:spacing w:after="0"/>
              <w:rPr>
                <w:sz w:val="21"/>
                <w:szCs w:val="21"/>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9.41</w:t>
            </w:r>
          </w:p>
        </w:tc>
        <w:tc>
          <w:tcPr>
            <w:tcW w:w="120" w:type="dxa"/>
            <w:vAlign w:val="bottom"/>
            <w:shd w:val="clear" w:color="auto" w:fill="DBDBDB"/>
          </w:tcPr>
          <w:p>
            <w:pPr>
              <w:spacing w:after="0"/>
              <w:rPr>
                <w:sz w:val="21"/>
                <w:szCs w:val="21"/>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0"/>
        </w:trPr>
        <w:tc>
          <w:tcPr>
            <w:tcW w:w="4360" w:type="dxa"/>
            <w:vAlign w:val="bottom"/>
            <w:tcBorders>
              <w:top w:val="single" w:sz="8" w:color="DBDBDB"/>
            </w:tcBorders>
          </w:tcPr>
          <w:p>
            <w:pPr>
              <w:spacing w:after="0" w:line="20" w:lineRule="exact"/>
              <w:rPr>
                <w:sz w:val="1"/>
                <w:szCs w:val="1"/>
                <w:color w:val="auto"/>
              </w:rPr>
            </w:pPr>
          </w:p>
        </w:tc>
        <w:tc>
          <w:tcPr>
            <w:tcW w:w="116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Average shares outstanding:</w:t>
            </w:r>
          </w:p>
        </w:tc>
        <w:tc>
          <w:tcPr>
            <w:tcW w:w="11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20"/>
              <w:spacing w:after="0"/>
              <w:rPr>
                <w:sz w:val="20"/>
                <w:szCs w:val="20"/>
                <w:color w:val="auto"/>
              </w:rPr>
            </w:pPr>
            <w:r>
              <w:rPr>
                <w:rFonts w:ascii="Arial" w:cs="Arial" w:eastAsia="Arial" w:hAnsi="Arial"/>
                <w:sz w:val="18"/>
                <w:szCs w:val="18"/>
                <w:color w:val="auto"/>
              </w:rPr>
              <w:t>Basic</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906</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916</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0"/>
        </w:trPr>
        <w:tc>
          <w:tcPr>
            <w:tcW w:w="4360" w:type="dxa"/>
            <w:vAlign w:val="bottom"/>
            <w:tcBorders>
              <w:bottom w:val="single" w:sz="8" w:color="DBDBDB"/>
            </w:tcBorders>
          </w:tcPr>
          <w:p>
            <w:pPr>
              <w:spacing w:after="0" w:line="20" w:lineRule="exact"/>
              <w:rPr>
                <w:sz w:val="1"/>
                <w:szCs w:val="1"/>
                <w:color w:val="auto"/>
              </w:rPr>
            </w:pPr>
          </w:p>
        </w:tc>
        <w:tc>
          <w:tcPr>
            <w:tcW w:w="116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36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8"/>
                <w:szCs w:val="18"/>
                <w:color w:val="auto"/>
              </w:rPr>
              <w:t>Diluted</w:t>
            </w:r>
          </w:p>
        </w:tc>
        <w:tc>
          <w:tcPr>
            <w:tcW w:w="116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spacing w:after="0"/>
              <w:rPr>
                <w:sz w:val="21"/>
                <w:szCs w:val="21"/>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916</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spacing w:after="0"/>
              <w:rPr>
                <w:sz w:val="21"/>
                <w:szCs w:val="21"/>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spacing w:after="0"/>
              <w:rPr>
                <w:sz w:val="21"/>
                <w:szCs w:val="21"/>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926</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spacing w:after="0"/>
              <w:rPr>
                <w:sz w:val="21"/>
                <w:szCs w:val="21"/>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0"/>
        </w:trPr>
        <w:tc>
          <w:tcPr>
            <w:tcW w:w="4360" w:type="dxa"/>
            <w:vAlign w:val="bottom"/>
            <w:tcBorders>
              <w:top w:val="single" w:sz="8" w:color="DBDBDB"/>
            </w:tcBorders>
          </w:tcPr>
          <w:p>
            <w:pPr>
              <w:spacing w:after="0" w:line="20" w:lineRule="exact"/>
              <w:rPr>
                <w:sz w:val="1"/>
                <w:szCs w:val="1"/>
                <w:color w:val="auto"/>
              </w:rPr>
            </w:pPr>
          </w:p>
        </w:tc>
        <w:tc>
          <w:tcPr>
            <w:tcW w:w="116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1260" w:type="dxa"/>
            <w:vAlign w:val="bottom"/>
            <w:tcBorders>
              <w:bottom w:val="single" w:sz="8" w:color="DBDBDB"/>
            </w:tcBorders>
            <w:gridSpan w:val="2"/>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1.24</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4.69</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4360" w:type="dxa"/>
            <w:vAlign w:val="bottom"/>
          </w:tcPr>
          <w:p>
            <w:pPr>
              <w:spacing w:after="0"/>
              <w:rPr>
                <w:sz w:val="24"/>
                <w:szCs w:val="24"/>
                <w:color w:val="auto"/>
              </w:rPr>
            </w:pPr>
          </w:p>
        </w:tc>
        <w:tc>
          <w:tcPr>
            <w:tcW w:w="270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9"/>
              </w:rPr>
              <w:t>Supplemental Information</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4360" w:type="dxa"/>
            <w:vAlign w:val="bottom"/>
          </w:tcPr>
          <w:p>
            <w:pPr>
              <w:ind w:left="20"/>
              <w:spacing w:after="0"/>
              <w:rPr>
                <w:sz w:val="20"/>
                <w:szCs w:val="20"/>
                <w:color w:val="auto"/>
              </w:rPr>
            </w:pPr>
            <w:r>
              <w:rPr>
                <w:rFonts w:ascii="Arial" w:cs="Arial" w:eastAsia="Arial" w:hAnsi="Arial"/>
                <w:sz w:val="18"/>
                <w:szCs w:val="18"/>
                <w:color w:val="auto"/>
              </w:rPr>
              <w:t>Provision for income taxes is based on the following:</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840" w:type="dxa"/>
            <w:vAlign w:val="bottom"/>
            <w:gridSpan w:val="4"/>
            <w:shd w:val="clear" w:color="auto" w:fill="DBDBDB"/>
          </w:tcPr>
          <w:p>
            <w:pPr>
              <w:ind w:left="20"/>
              <w:spacing w:after="0" w:line="176" w:lineRule="exact"/>
              <w:rPr>
                <w:sz w:val="20"/>
                <w:szCs w:val="20"/>
                <w:color w:val="auto"/>
              </w:rPr>
            </w:pPr>
            <w:r>
              <w:rPr>
                <w:rFonts w:ascii="Arial" w:cs="Arial" w:eastAsia="Arial" w:hAnsi="Arial"/>
                <w:sz w:val="18"/>
                <w:szCs w:val="18"/>
                <w:color w:val="auto"/>
              </w:rPr>
              <w:t>Operating taxes (calculated using the estimated annual effective tax</w:t>
            </w: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237</w:t>
            </w:r>
          </w:p>
        </w:tc>
        <w:tc>
          <w:tcPr>
            <w:tcW w:w="120" w:type="dxa"/>
            <w:vAlign w:val="bottom"/>
            <w:shd w:val="clear" w:color="auto" w:fill="DBDBDB"/>
          </w:tcPr>
          <w:p>
            <w:pPr>
              <w:spacing w:after="0"/>
              <w:rPr>
                <w:sz w:val="15"/>
                <w:szCs w:val="15"/>
                <w:color w:val="auto"/>
              </w:rPr>
            </w:pPr>
          </w:p>
        </w:tc>
        <w:tc>
          <w:tcPr>
            <w:tcW w:w="280" w:type="dxa"/>
            <w:vAlign w:val="bottom"/>
            <w:vMerge w:val="restart"/>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DBDBDB"/>
          </w:tcPr>
          <w:p>
            <w:pPr>
              <w:spacing w:after="0"/>
              <w:rPr>
                <w:sz w:val="15"/>
                <w:szCs w:val="15"/>
                <w:color w:val="auto"/>
              </w:rPr>
            </w:pPr>
          </w:p>
        </w:tc>
        <w:tc>
          <w:tcPr>
            <w:tcW w:w="300" w:type="dxa"/>
            <w:vAlign w:val="bottom"/>
            <w:vMerge w:val="restart"/>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1,384</w:t>
            </w:r>
          </w:p>
        </w:tc>
        <w:tc>
          <w:tcPr>
            <w:tcW w:w="120" w:type="dxa"/>
            <w:vAlign w:val="bottom"/>
            <w:shd w:val="clear" w:color="auto" w:fill="DBDBDB"/>
          </w:tcPr>
          <w:p>
            <w:pPr>
              <w:spacing w:after="0"/>
              <w:rPr>
                <w:sz w:val="15"/>
                <w:szCs w:val="15"/>
                <w:color w:val="auto"/>
              </w:rPr>
            </w:pPr>
          </w:p>
        </w:tc>
        <w:tc>
          <w:tcPr>
            <w:tcW w:w="280" w:type="dxa"/>
            <w:vAlign w:val="bottom"/>
            <w:vMerge w:val="restart"/>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43"/>
        </w:trPr>
        <w:tc>
          <w:tcPr>
            <w:tcW w:w="4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rate)</w:t>
            </w:r>
          </w:p>
        </w:tc>
        <w:tc>
          <w:tcPr>
            <w:tcW w:w="1480" w:type="dxa"/>
            <w:vAlign w:val="bottom"/>
            <w:gridSpan w:val="3"/>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80" w:type="dxa"/>
            <w:vAlign w:val="bottom"/>
            <w:vMerge w:val="continue"/>
            <w:shd w:val="clear" w:color="auto" w:fill="DBDBDB"/>
          </w:tcPr>
          <w:p>
            <w:pPr>
              <w:spacing w:after="0"/>
              <w:rPr>
                <w:sz w:val="21"/>
                <w:szCs w:val="21"/>
                <w:color w:val="auto"/>
              </w:rPr>
            </w:pPr>
          </w:p>
        </w:tc>
        <w:tc>
          <w:tcPr>
            <w:tcW w:w="104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00" w:type="dxa"/>
            <w:vAlign w:val="bottom"/>
            <w:vMerge w:val="continue"/>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80" w:type="dxa"/>
            <w:vAlign w:val="bottom"/>
            <w:vMerge w:val="continue"/>
            <w:shd w:val="clear" w:color="auto" w:fill="DBDBDB"/>
          </w:tcPr>
          <w:p>
            <w:pPr>
              <w:spacing w:after="0"/>
              <w:rPr>
                <w:sz w:val="21"/>
                <w:szCs w:val="21"/>
                <w:color w:val="auto"/>
              </w:rPr>
            </w:pPr>
          </w:p>
        </w:tc>
        <w:tc>
          <w:tcPr>
            <w:tcW w:w="104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Discrete tax items</w:t>
            </w:r>
          </w:p>
        </w:tc>
        <w:tc>
          <w:tcPr>
            <w:tcW w:w="116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Provision for income taxes (effective taxes)</w:t>
            </w:r>
          </w:p>
        </w:tc>
        <w:tc>
          <w:tcPr>
            <w:tcW w:w="116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205</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1,283</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0"/>
        </w:trPr>
        <w:tc>
          <w:tcPr>
            <w:tcW w:w="4360" w:type="dxa"/>
            <w:vAlign w:val="bottom"/>
            <w:tcBorders>
              <w:top w:val="single" w:sz="8" w:color="DBDBDB"/>
            </w:tcBorders>
          </w:tcPr>
          <w:p>
            <w:pPr>
              <w:spacing w:after="0" w:line="20" w:lineRule="exact"/>
              <w:rPr>
                <w:sz w:val="1"/>
                <w:szCs w:val="1"/>
                <w:color w:val="auto"/>
              </w:rPr>
            </w:pPr>
          </w:p>
        </w:tc>
        <w:tc>
          <w:tcPr>
            <w:tcW w:w="116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20" w:right="800"/>
        <w:spacing w:after="0"/>
        <w:rPr>
          <w:sz w:val="20"/>
          <w:szCs w:val="20"/>
          <w:color w:val="auto"/>
        </w:rPr>
      </w:pPr>
      <w:r>
        <w:rPr>
          <w:rFonts w:ascii="Arial" w:cs="Arial" w:eastAsia="Arial" w:hAnsi="Arial"/>
          <w:sz w:val="18"/>
          <w:szCs w:val="18"/>
          <w:color w:val="auto"/>
        </w:rPr>
        <w:t>A portion of net income is allocated to unvested restricted stock units (RSUs) on which we pay dividend equivalents. Diluted EPS is calculated using the following:</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6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460" w:type="dxa"/>
            <w:vAlign w:val="bottom"/>
            <w:shd w:val="clear" w:color="auto" w:fill="DBDBDB"/>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1,962</w:t>
            </w:r>
          </w:p>
        </w:tc>
        <w:tc>
          <w:tcPr>
            <w:tcW w:w="120" w:type="dxa"/>
            <w:vAlign w:val="bottom"/>
            <w:shd w:val="clear" w:color="auto" w:fill="DBDBDB"/>
          </w:tcPr>
          <w:p>
            <w:pPr>
              <w:spacing w:after="0"/>
              <w:rPr>
                <w:sz w:val="19"/>
                <w:szCs w:val="19"/>
                <w:color w:val="auto"/>
              </w:rPr>
            </w:pPr>
          </w:p>
        </w:tc>
        <w:tc>
          <w:tcPr>
            <w:tcW w:w="460" w:type="dxa"/>
            <w:vAlign w:val="bottom"/>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2,138</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8,749</w:t>
            </w:r>
          </w:p>
        </w:tc>
        <w:tc>
          <w:tcPr>
            <w:tcW w:w="120" w:type="dxa"/>
            <w:vAlign w:val="bottom"/>
            <w:shd w:val="clear" w:color="auto" w:fill="DBDBDB"/>
          </w:tcPr>
          <w:p>
            <w:pPr>
              <w:spacing w:after="0"/>
              <w:rPr>
                <w:sz w:val="19"/>
                <w:szCs w:val="19"/>
                <w:color w:val="auto"/>
              </w:rPr>
            </w:pPr>
          </w:p>
        </w:tc>
        <w:tc>
          <w:tcPr>
            <w:tcW w:w="460" w:type="dxa"/>
            <w:vAlign w:val="bottom"/>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7,769</w:t>
            </w:r>
          </w:p>
        </w:tc>
      </w:tr>
      <w:tr>
        <w:trPr>
          <w:trHeight w:val="229"/>
        </w:trPr>
        <w:tc>
          <w:tcPr>
            <w:tcW w:w="56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Income allocated to RSUs</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w:t>
            </w:r>
          </w:p>
        </w:tc>
        <w:tc>
          <w:tcPr>
            <w:tcW w:w="12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48"/>
        </w:trPr>
        <w:tc>
          <w:tcPr>
            <w:tcW w:w="5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Income allocated to common stock for diluted EPS</w:t>
            </w:r>
          </w:p>
        </w:tc>
        <w:tc>
          <w:tcPr>
            <w:tcW w:w="460" w:type="dxa"/>
            <w:vAlign w:val="bottom"/>
            <w:tcBorders>
              <w:bottom w:val="single" w:sz="8" w:color="auto"/>
            </w:tcBorders>
            <w:shd w:val="clear" w:color="auto" w:fill="DBDBDB"/>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1,953</w:t>
            </w:r>
          </w:p>
        </w:tc>
        <w:tc>
          <w:tcPr>
            <w:tcW w:w="12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2,129</w:t>
            </w:r>
          </w:p>
        </w:tc>
        <w:tc>
          <w:tcPr>
            <w:tcW w:w="10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8,710</w:t>
            </w:r>
          </w:p>
        </w:tc>
        <w:tc>
          <w:tcPr>
            <w:tcW w:w="12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7,736</w:t>
            </w:r>
          </w:p>
        </w:tc>
      </w:tr>
      <w:tr>
        <w:trPr>
          <w:trHeight w:val="20"/>
        </w:trPr>
        <w:tc>
          <w:tcPr>
            <w:tcW w:w="562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89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47"/>
        </w:trPr>
        <w:tc>
          <w:tcPr>
            <w:tcW w:w="8460" w:type="dxa"/>
            <w:vAlign w:val="bottom"/>
            <w:gridSpan w:val="2"/>
          </w:tcPr>
          <w:p>
            <w:pPr>
              <w:ind w:left="3020"/>
              <w:spacing w:after="0"/>
              <w:rPr>
                <w:sz w:val="20"/>
                <w:szCs w:val="20"/>
                <w:color w:val="auto"/>
              </w:rPr>
            </w:pPr>
            <w:r>
              <w:rPr>
                <w:rFonts w:ascii="Arial" w:cs="Arial" w:eastAsia="Arial" w:hAnsi="Arial"/>
                <w:sz w:val="18"/>
                <w:szCs w:val="18"/>
                <w:b w:val="1"/>
                <w:bCs w:val="1"/>
                <w:color w:val="auto"/>
              </w:rPr>
              <w:t>TEXAS INSTRUMENTS INCORPORATED AND SUBSIDIARIES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5"/>
        </w:trPr>
        <w:tc>
          <w:tcPr>
            <w:tcW w:w="8460" w:type="dxa"/>
            <w:vAlign w:val="bottom"/>
            <w:gridSpan w:val="2"/>
          </w:tcPr>
          <w:p>
            <w:pPr>
              <w:ind w:left="20"/>
              <w:spacing w:after="0"/>
              <w:rPr>
                <w:sz w:val="20"/>
                <w:szCs w:val="20"/>
                <w:color w:val="auto"/>
              </w:rPr>
            </w:pPr>
            <w:r>
              <w:rPr>
                <w:rFonts w:ascii="Arial" w:cs="Arial" w:eastAsia="Arial" w:hAnsi="Arial"/>
                <w:sz w:val="18"/>
                <w:szCs w:val="18"/>
                <w:b w:val="1"/>
                <w:bCs w:val="1"/>
                <w:color w:val="auto"/>
              </w:rPr>
              <w:t>Consolidated Balance Sheets</w:t>
            </w:r>
          </w:p>
        </w:tc>
        <w:tc>
          <w:tcPr>
            <w:tcW w:w="300" w:type="dxa"/>
            <w:vAlign w:val="bottom"/>
          </w:tcPr>
          <w:p>
            <w:pPr>
              <w:spacing w:after="0"/>
              <w:rPr>
                <w:sz w:val="21"/>
                <w:szCs w:val="21"/>
                <w:color w:val="auto"/>
              </w:rPr>
            </w:pPr>
          </w:p>
        </w:tc>
        <w:tc>
          <w:tcPr>
            <w:tcW w:w="248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36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 millions, except par value)</w:t>
            </w:r>
          </w:p>
        </w:tc>
        <w:tc>
          <w:tcPr>
            <w:tcW w:w="100" w:type="dxa"/>
            <w:vAlign w:val="bottom"/>
            <w:tcBorders>
              <w:bottom w:val="single" w:sz="8" w:color="DBDBDB"/>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DBDBDB"/>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r>
      <w:tr>
        <w:trPr>
          <w:trHeight w:val="223"/>
        </w:trPr>
        <w:tc>
          <w:tcPr>
            <w:tcW w:w="846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r>
      <w:tr>
        <w:trPr>
          <w:trHeight w:val="229"/>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3,050</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4,631</w:t>
            </w:r>
          </w:p>
        </w:tc>
      </w:tr>
      <w:tr>
        <w:trPr>
          <w:trHeight w:val="229"/>
        </w:trPr>
        <w:tc>
          <w:tcPr>
            <w:tcW w:w="8460" w:type="dxa"/>
            <w:vAlign w:val="bottom"/>
            <w:gridSpan w:val="2"/>
          </w:tcPr>
          <w:p>
            <w:pPr>
              <w:ind w:left="22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6,017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5,108</w:t>
            </w:r>
          </w:p>
        </w:tc>
      </w:tr>
      <w:tr>
        <w:trPr>
          <w:trHeight w:val="229"/>
        </w:trPr>
        <w:tc>
          <w:tcPr>
            <w:tcW w:w="8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Accounts receivable, net of allowances of ($13) and ($8)</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1,895</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1,701</w:t>
            </w:r>
          </w:p>
        </w:tc>
      </w:tr>
      <w:tr>
        <w:trPr>
          <w:trHeight w:val="230"/>
        </w:trPr>
        <w:tc>
          <w:tcPr>
            <w:tcW w:w="8460" w:type="dxa"/>
            <w:vAlign w:val="bottom"/>
            <w:gridSpan w:val="2"/>
          </w:tcPr>
          <w:p>
            <w:pPr>
              <w:ind w:left="480"/>
              <w:spacing w:after="0"/>
              <w:rPr>
                <w:sz w:val="20"/>
                <w:szCs w:val="20"/>
                <w:color w:val="auto"/>
              </w:rPr>
            </w:pPr>
            <w:r>
              <w:rPr>
                <w:rFonts w:ascii="Arial" w:cs="Arial" w:eastAsia="Arial" w:hAnsi="Arial"/>
                <w:sz w:val="18"/>
                <w:szCs w:val="18"/>
                <w:color w:val="auto"/>
              </w:rPr>
              <w:t>Raw materials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29"/>
        </w:trPr>
        <w:tc>
          <w:tcPr>
            <w:tcW w:w="8460" w:type="dxa"/>
            <w:vAlign w:val="bottom"/>
            <w:gridSpan w:val="2"/>
            <w:shd w:val="clear" w:color="auto" w:fill="DBDBDB"/>
          </w:tcPr>
          <w:p>
            <w:pPr>
              <w:ind w:left="480"/>
              <w:spacing w:after="0"/>
              <w:rPr>
                <w:sz w:val="20"/>
                <w:szCs w:val="20"/>
                <w:color w:val="auto"/>
              </w:rPr>
            </w:pPr>
            <w:r>
              <w:rPr>
                <w:rFonts w:ascii="Arial" w:cs="Arial" w:eastAsia="Arial" w:hAnsi="Arial"/>
                <w:sz w:val="18"/>
                <w:szCs w:val="18"/>
                <w:color w:val="auto"/>
              </w:rPr>
              <w:t>Work in process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1,546</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1,067</w:t>
            </w:r>
          </w:p>
        </w:tc>
      </w:tr>
      <w:tr>
        <w:trPr>
          <w:trHeight w:val="230"/>
        </w:trPr>
        <w:tc>
          <w:tcPr>
            <w:tcW w:w="8460" w:type="dxa"/>
            <w:vAlign w:val="bottom"/>
            <w:tcBorders>
              <w:bottom w:val="single" w:sz="8" w:color="DBDBDB"/>
            </w:tcBorders>
            <w:gridSpan w:val="2"/>
          </w:tcPr>
          <w:p>
            <w:pPr>
              <w:ind w:left="48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858</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r>
      <w:tr>
        <w:trPr>
          <w:trHeight w:val="223"/>
        </w:trPr>
        <w:tc>
          <w:tcPr>
            <w:tcW w:w="8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2,757</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1,910</w:t>
            </w:r>
          </w:p>
        </w:tc>
      </w:tr>
      <w:tr>
        <w:trPr>
          <w:trHeight w:val="230"/>
        </w:trPr>
        <w:tc>
          <w:tcPr>
            <w:tcW w:w="846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r>
      <w:tr>
        <w:trPr>
          <w:trHeight w:val="223"/>
        </w:trPr>
        <w:tc>
          <w:tcPr>
            <w:tcW w:w="8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14,021</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13,685</w:t>
            </w:r>
          </w:p>
        </w:tc>
      </w:tr>
      <w:tr>
        <w:trPr>
          <w:trHeight w:val="223"/>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at cost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9,950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7,858</w:t>
            </w:r>
          </w:p>
        </w:tc>
      </w:tr>
      <w:tr>
        <w:trPr>
          <w:trHeight w:val="229"/>
        </w:trPr>
        <w:tc>
          <w:tcPr>
            <w:tcW w:w="8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Accumulated depreciation</w:t>
            </w: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(3,074)</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(2,717)</w:t>
            </w:r>
          </w:p>
        </w:tc>
      </w:tr>
      <w:tr>
        <w:trPr>
          <w:trHeight w:val="223"/>
        </w:trPr>
        <w:tc>
          <w:tcPr>
            <w:tcW w:w="8460" w:type="dxa"/>
            <w:vAlign w:val="bottom"/>
            <w:gridSpan w:val="2"/>
          </w:tcPr>
          <w:p>
            <w:pPr>
              <w:ind w:left="220"/>
              <w:spacing w:after="0"/>
              <w:rPr>
                <w:sz w:val="20"/>
                <w:szCs w:val="20"/>
                <w:color w:val="auto"/>
              </w:rPr>
            </w:pPr>
            <w:r>
              <w:rPr>
                <w:rFonts w:ascii="Arial" w:cs="Arial" w:eastAsia="Arial" w:hAnsi="Arial"/>
                <w:sz w:val="18"/>
                <w:szCs w:val="18"/>
                <w:color w:val="auto"/>
              </w:rPr>
              <w:t>Property, plant and equipment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6,876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5,141</w:t>
            </w:r>
          </w:p>
        </w:tc>
      </w:tr>
      <w:tr>
        <w:trPr>
          <w:trHeight w:val="229"/>
        </w:trPr>
        <w:tc>
          <w:tcPr>
            <w:tcW w:w="8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4,362</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4,362</w:t>
            </w:r>
          </w:p>
        </w:tc>
      </w:tr>
      <w:tr>
        <w:trPr>
          <w:trHeight w:val="229"/>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Deferred tax assets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30"/>
        </w:trPr>
        <w:tc>
          <w:tcPr>
            <w:tcW w:w="8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Capitalized software licenses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152</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Overfunded retirement plans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392</w:t>
            </w:r>
          </w:p>
        </w:tc>
      </w:tr>
      <w:tr>
        <w:trPr>
          <w:trHeight w:val="230"/>
        </w:trPr>
        <w:tc>
          <w:tcPr>
            <w:tcW w:w="8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assets</w:t>
            </w: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1,135</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748</w:t>
            </w:r>
          </w:p>
        </w:tc>
      </w:tr>
      <w:tr>
        <w:trPr>
          <w:trHeight w:val="223"/>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27,207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24,676</w:t>
            </w:r>
          </w:p>
        </w:tc>
      </w:tr>
      <w:tr>
        <w:trPr>
          <w:trHeight w:val="20"/>
        </w:trPr>
        <w:tc>
          <w:tcPr>
            <w:tcW w:w="836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83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r>
      <w:tr>
        <w:trPr>
          <w:trHeight w:val="230"/>
        </w:trPr>
        <w:tc>
          <w:tcPr>
            <w:tcW w:w="846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r>
      <w:tr>
        <w:trPr>
          <w:trHeight w:val="230"/>
        </w:trPr>
        <w:tc>
          <w:tcPr>
            <w:tcW w:w="8460" w:type="dxa"/>
            <w:vAlign w:val="bottom"/>
            <w:gridSpan w:val="2"/>
          </w:tcPr>
          <w:p>
            <w:pPr>
              <w:ind w:left="22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851</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571</w:t>
            </w:r>
          </w:p>
        </w:tc>
      </w:tr>
      <w:tr>
        <w:trPr>
          <w:trHeight w:val="229"/>
        </w:trPr>
        <w:tc>
          <w:tcPr>
            <w:tcW w:w="8460" w:type="dxa"/>
            <w:vAlign w:val="bottom"/>
            <w:gridSpan w:val="2"/>
          </w:tcPr>
          <w:p>
            <w:pPr>
              <w:ind w:left="220"/>
              <w:spacing w:after="0"/>
              <w:rPr>
                <w:sz w:val="20"/>
                <w:szCs w:val="20"/>
                <w:color w:val="auto"/>
              </w:rPr>
            </w:pPr>
            <w:r>
              <w:rPr>
                <w:rFonts w:ascii="Arial" w:cs="Arial" w:eastAsia="Arial" w:hAnsi="Arial"/>
                <w:sz w:val="18"/>
                <w:szCs w:val="18"/>
                <w:color w:val="auto"/>
              </w:rPr>
              <w:t>Accrued compensation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775</w:t>
            </w:r>
          </w:p>
        </w:tc>
      </w:tr>
      <w:tr>
        <w:trPr>
          <w:trHeight w:val="230"/>
        </w:trPr>
        <w:tc>
          <w:tcPr>
            <w:tcW w:w="8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Income taxes payable</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189</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846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Accrued expenses and other liabilities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646</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r>
      <w:tr>
        <w:trPr>
          <w:trHeight w:val="223"/>
        </w:trPr>
        <w:tc>
          <w:tcPr>
            <w:tcW w:w="8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2,985</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2,569</w:t>
            </w:r>
          </w:p>
        </w:tc>
      </w:tr>
      <w:tr>
        <w:trPr>
          <w:trHeight w:val="223"/>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8,235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7,241</w:t>
            </w:r>
          </w:p>
        </w:tc>
      </w:tr>
      <w:tr>
        <w:trPr>
          <w:trHeight w:val="230"/>
        </w:trPr>
        <w:tc>
          <w:tcPr>
            <w:tcW w:w="8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Underfunded retirement plans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118</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29"/>
        </w:trPr>
        <w:tc>
          <w:tcPr>
            <w:tcW w:w="8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1,226</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1,367</w:t>
            </w:r>
          </w:p>
        </w:tc>
      </w:tr>
      <w:tr>
        <w:trPr>
          <w:trHeight w:val="223"/>
        </w:trPr>
        <w:tc>
          <w:tcPr>
            <w:tcW w:w="846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12,630</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11,343</w:t>
            </w:r>
          </w:p>
        </w:tc>
      </w:tr>
      <w:tr>
        <w:trPr>
          <w:trHeight w:val="209"/>
        </w:trPr>
        <w:tc>
          <w:tcPr>
            <w:tcW w:w="8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r>
      <w:tr>
        <w:trPr>
          <w:trHeight w:val="230"/>
        </w:trPr>
        <w:tc>
          <w:tcPr>
            <w:tcW w:w="8460" w:type="dxa"/>
            <w:vAlign w:val="bottom"/>
            <w:gridSpan w:val="2"/>
          </w:tcPr>
          <w:p>
            <w:pPr>
              <w:ind w:left="220"/>
              <w:spacing w:after="0"/>
              <w:rPr>
                <w:sz w:val="20"/>
                <w:szCs w:val="20"/>
                <w:color w:val="auto"/>
              </w:rPr>
            </w:pPr>
            <w:r>
              <w:rPr>
                <w:rFonts w:ascii="Arial" w:cs="Arial" w:eastAsia="Arial" w:hAnsi="Arial"/>
                <w:sz w:val="18"/>
                <w:szCs w:val="18"/>
                <w:color w:val="auto"/>
              </w:rPr>
              <w:t>Preferred stock, $25 par value. Shares authorized – 10; none issued</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Common stock, $1 par value. Shares authorized – 2,400; shares issued – 1,741</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1,741</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1,741</w:t>
            </w:r>
          </w:p>
        </w:tc>
      </w:tr>
      <w:tr>
        <w:trPr>
          <w:trHeight w:val="230"/>
        </w:trPr>
        <w:tc>
          <w:tcPr>
            <w:tcW w:w="8460" w:type="dxa"/>
            <w:vAlign w:val="bottom"/>
            <w:gridSpan w:val="2"/>
          </w:tcPr>
          <w:p>
            <w:pPr>
              <w:ind w:left="220"/>
              <w:spacing w:after="0"/>
              <w:rPr>
                <w:sz w:val="20"/>
                <w:szCs w:val="20"/>
                <w:color w:val="auto"/>
              </w:rPr>
            </w:pPr>
            <w:r>
              <w:rPr>
                <w:rFonts w:ascii="Arial" w:cs="Arial" w:eastAsia="Arial" w:hAnsi="Arial"/>
                <w:sz w:val="18"/>
                <w:szCs w:val="18"/>
                <w:color w:val="auto"/>
              </w:rPr>
              <w:t>Paid-in capital</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2,951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2,630</w:t>
            </w:r>
          </w:p>
        </w:tc>
      </w:tr>
      <w:tr>
        <w:trPr>
          <w:trHeight w:val="229"/>
        </w:trPr>
        <w:tc>
          <w:tcPr>
            <w:tcW w:w="8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50,353</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45,919</w:t>
            </w:r>
          </w:p>
        </w:tc>
      </w:tr>
      <w:tr>
        <w:trPr>
          <w:trHeight w:val="230"/>
        </w:trPr>
        <w:tc>
          <w:tcPr>
            <w:tcW w:w="8460" w:type="dxa"/>
            <w:vAlign w:val="bottom"/>
            <w:gridSpan w:val="2"/>
          </w:tcPr>
          <w:p>
            <w:pPr>
              <w:ind w:left="220"/>
              <w:spacing w:after="0"/>
              <w:rPr>
                <w:sz w:val="20"/>
                <w:szCs w:val="20"/>
                <w:color w:val="auto"/>
              </w:rPr>
            </w:pPr>
            <w:r>
              <w:rPr>
                <w:rFonts w:ascii="Arial" w:cs="Arial" w:eastAsia="Arial" w:hAnsi="Arial"/>
                <w:sz w:val="18"/>
                <w:szCs w:val="18"/>
                <w:color w:val="auto"/>
              </w:rPr>
              <w:t>Treasury common stock at cost</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46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Shares: 2022 – 835; 2021 – 817</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(40,214)</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(36,800)</w:t>
            </w:r>
          </w:p>
        </w:tc>
      </w:tr>
      <w:tr>
        <w:trPr>
          <w:trHeight w:val="230"/>
        </w:trPr>
        <w:tc>
          <w:tcPr>
            <w:tcW w:w="846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Accumulated other comprehensive income (loss), net of taxes (AOCI)</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r>
      <w:tr>
        <w:trPr>
          <w:trHeight w:val="223"/>
        </w:trPr>
        <w:tc>
          <w:tcPr>
            <w:tcW w:w="8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14,577</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13,333</w:t>
            </w:r>
          </w:p>
        </w:tc>
      </w:tr>
      <w:tr>
        <w:trPr>
          <w:trHeight w:val="223"/>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27,207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24,676</w:t>
            </w:r>
          </w:p>
        </w:tc>
      </w:tr>
      <w:tr>
        <w:trPr>
          <w:trHeight w:val="20"/>
        </w:trPr>
        <w:tc>
          <w:tcPr>
            <w:tcW w:w="8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the prior period's balance sheet have been reclassified to conform to the current presentation.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89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47"/>
        </w:trPr>
        <w:tc>
          <w:tcPr>
            <w:tcW w:w="8480" w:type="dxa"/>
            <w:vAlign w:val="bottom"/>
            <w:gridSpan w:val="8"/>
          </w:tcPr>
          <w:p>
            <w:pPr>
              <w:ind w:left="3020"/>
              <w:spacing w:after="0"/>
              <w:rPr>
                <w:sz w:val="20"/>
                <w:szCs w:val="20"/>
                <w:color w:val="auto"/>
              </w:rPr>
            </w:pPr>
            <w:r>
              <w:rPr>
                <w:rFonts w:ascii="Arial" w:cs="Arial" w:eastAsia="Arial" w:hAnsi="Arial"/>
                <w:sz w:val="18"/>
                <w:szCs w:val="18"/>
                <w:b w:val="1"/>
                <w:bCs w:val="1"/>
                <w:color w:val="auto"/>
              </w:rPr>
              <w:t>TEXAS INSTRUMENTS INCORPORATED AND SUBSIDIARIES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56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Consolidated Statements of Cash Flows</w:t>
            </w:r>
          </w:p>
        </w:tc>
        <w:tc>
          <w:tcPr>
            <w:tcW w:w="220" w:type="dxa"/>
            <w:vAlign w:val="bottom"/>
          </w:tcPr>
          <w:p>
            <w:pPr>
              <w:spacing w:after="0"/>
              <w:rPr>
                <w:sz w:val="16"/>
                <w:szCs w:val="16"/>
                <w:color w:val="auto"/>
              </w:rPr>
            </w:pPr>
          </w:p>
        </w:tc>
        <w:tc>
          <w:tcPr>
            <w:tcW w:w="2640" w:type="dxa"/>
            <w:vAlign w:val="bottom"/>
            <w:gridSpan w:val="5"/>
          </w:tcPr>
          <w:p>
            <w:pPr>
              <w:jc w:val="center"/>
              <w:ind w:right="320"/>
              <w:spacing w:after="0" w:line="190" w:lineRule="exact"/>
              <w:rPr>
                <w:sz w:val="20"/>
                <w:szCs w:val="20"/>
                <w:color w:val="auto"/>
              </w:rPr>
            </w:pPr>
            <w:r>
              <w:rPr>
                <w:rFonts w:ascii="Arial" w:cs="Arial" w:eastAsia="Arial" w:hAnsi="Arial"/>
                <w:sz w:val="18"/>
                <w:szCs w:val="18"/>
                <w:b w:val="1"/>
                <w:bCs w:val="1"/>
                <w:color w:val="auto"/>
                <w:w w:val="99"/>
              </w:rPr>
              <w:t>For Three Months Ended</w:t>
            </w:r>
          </w:p>
        </w:tc>
        <w:tc>
          <w:tcPr>
            <w:tcW w:w="300" w:type="dxa"/>
            <w:vAlign w:val="bottom"/>
          </w:tcPr>
          <w:p>
            <w:pPr>
              <w:spacing w:after="0"/>
              <w:rPr>
                <w:sz w:val="16"/>
                <w:szCs w:val="16"/>
                <w:color w:val="auto"/>
              </w:rPr>
            </w:pPr>
          </w:p>
        </w:tc>
        <w:tc>
          <w:tcPr>
            <w:tcW w:w="2460" w:type="dxa"/>
            <w:vAlign w:val="bottom"/>
            <w:gridSpan w:val="4"/>
          </w:tcPr>
          <w:p>
            <w:pPr>
              <w:jc w:val="right"/>
              <w:ind w:right="570"/>
              <w:spacing w:after="0" w:line="190" w:lineRule="exact"/>
              <w:rPr>
                <w:sz w:val="20"/>
                <w:szCs w:val="20"/>
                <w:color w:val="auto"/>
              </w:rPr>
            </w:pPr>
            <w:r>
              <w:rPr>
                <w:rFonts w:ascii="Arial" w:cs="Arial" w:eastAsia="Arial" w:hAnsi="Arial"/>
                <w:sz w:val="18"/>
                <w:szCs w:val="18"/>
                <w:b w:val="1"/>
                <w:bCs w:val="1"/>
                <w:color w:val="auto"/>
              </w:rPr>
              <w:t>For Years Ended</w:t>
            </w:r>
          </w:p>
        </w:tc>
        <w:tc>
          <w:tcPr>
            <w:tcW w:w="0" w:type="dxa"/>
            <w:vAlign w:val="bottom"/>
          </w:tcPr>
          <w:p>
            <w:pPr>
              <w:spacing w:after="0"/>
              <w:rPr>
                <w:sz w:val="1"/>
                <w:szCs w:val="1"/>
                <w:color w:val="auto"/>
              </w:rPr>
            </w:pPr>
          </w:p>
        </w:tc>
      </w:tr>
      <w:tr>
        <w:trPr>
          <w:trHeight w:val="243"/>
        </w:trPr>
        <w:tc>
          <w:tcPr>
            <w:tcW w:w="562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26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December 31,</w:t>
            </w:r>
          </w:p>
        </w:tc>
        <w:tc>
          <w:tcPr>
            <w:tcW w:w="300" w:type="dxa"/>
            <w:vAlign w:val="bottom"/>
          </w:tcPr>
          <w:p>
            <w:pPr>
              <w:spacing w:after="0"/>
              <w:rPr>
                <w:sz w:val="21"/>
                <w:szCs w:val="21"/>
                <w:color w:val="auto"/>
              </w:rPr>
            </w:pPr>
          </w:p>
        </w:tc>
        <w:tc>
          <w:tcPr>
            <w:tcW w:w="246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552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 millions)</w:t>
            </w:r>
          </w:p>
        </w:tc>
        <w:tc>
          <w:tcPr>
            <w:tcW w:w="100" w:type="dxa"/>
            <w:vAlign w:val="bottom"/>
            <w:tcBorders>
              <w:bottom w:val="single" w:sz="8" w:color="DBDBDB"/>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DBDBDB"/>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DBDBDB"/>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DBDBDB"/>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0"/>
        </w:trPr>
        <w:tc>
          <w:tcPr>
            <w:tcW w:w="562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1,962</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2,138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8,749</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7,769</w:t>
            </w: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Adjustments to net income:</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48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DBDBDB"/>
          </w:tcPr>
          <w:p>
            <w:pPr>
              <w:ind w:left="480"/>
              <w:spacing w:after="0"/>
              <w:rPr>
                <w:sz w:val="20"/>
                <w:szCs w:val="20"/>
                <w:color w:val="auto"/>
              </w:rPr>
            </w:pPr>
            <w:r>
              <w:rPr>
                <w:rFonts w:ascii="Arial" w:cs="Arial" w:eastAsia="Arial" w:hAnsi="Arial"/>
                <w:sz w:val="18"/>
                <w:szCs w:val="18"/>
                <w:color w:val="auto"/>
              </w:rPr>
              <w:t>Amortization of acquisition-related intangibles</w:t>
            </w:r>
          </w:p>
        </w:tc>
        <w:tc>
          <w:tcPr>
            <w:tcW w:w="220" w:type="dxa"/>
            <w:vAlign w:val="bottom"/>
            <w:shd w:val="clear" w:color="auto" w:fill="DBDBDB"/>
          </w:tcPr>
          <w:p>
            <w:pPr>
              <w:spacing w:after="0"/>
              <w:rPr>
                <w:sz w:val="19"/>
                <w:szCs w:val="19"/>
                <w:color w:val="auto"/>
              </w:rPr>
            </w:pPr>
          </w:p>
        </w:tc>
        <w:tc>
          <w:tcPr>
            <w:tcW w:w="12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9"/>
        </w:trPr>
        <w:tc>
          <w:tcPr>
            <w:tcW w:w="5620" w:type="dxa"/>
            <w:vAlign w:val="bottom"/>
            <w:gridSpan w:val="2"/>
          </w:tcPr>
          <w:p>
            <w:pPr>
              <w:ind w:left="480"/>
              <w:spacing w:after="0"/>
              <w:rPr>
                <w:sz w:val="20"/>
                <w:szCs w:val="20"/>
                <w:color w:val="auto"/>
              </w:rPr>
            </w:pPr>
            <w:r>
              <w:rPr>
                <w:rFonts w:ascii="Arial" w:cs="Arial" w:eastAsia="Arial" w:hAnsi="Arial"/>
                <w:sz w:val="18"/>
                <w:szCs w:val="18"/>
                <w:color w:val="auto"/>
              </w:rPr>
              <w:t>Amortization of capitalized software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DBDBDB"/>
          </w:tcPr>
          <w:p>
            <w:pPr>
              <w:ind w:left="480"/>
              <w:spacing w:after="0"/>
              <w:rPr>
                <w:sz w:val="20"/>
                <w:szCs w:val="20"/>
                <w:color w:val="auto"/>
              </w:rPr>
            </w:pPr>
            <w:r>
              <w:rPr>
                <w:rFonts w:ascii="Arial" w:cs="Arial" w:eastAsia="Arial" w:hAnsi="Arial"/>
                <w:sz w:val="18"/>
                <w:szCs w:val="18"/>
                <w:color w:val="auto"/>
              </w:rPr>
              <w:t>Stock compensation</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62</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289</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9"/>
        </w:trPr>
        <w:tc>
          <w:tcPr>
            <w:tcW w:w="5620" w:type="dxa"/>
            <w:vAlign w:val="bottom"/>
            <w:gridSpan w:val="2"/>
          </w:tcPr>
          <w:p>
            <w:pPr>
              <w:ind w:left="480"/>
              <w:spacing w:after="0"/>
              <w:rPr>
                <w:sz w:val="20"/>
                <w:szCs w:val="20"/>
                <w:color w:val="auto"/>
              </w:rPr>
            </w:pPr>
            <w:r>
              <w:rPr>
                <w:rFonts w:ascii="Arial" w:cs="Arial" w:eastAsia="Arial" w:hAnsi="Arial"/>
                <w:sz w:val="18"/>
                <w:szCs w:val="18"/>
                <w:color w:val="auto"/>
              </w:rPr>
              <w:t>Gains on sales of assets</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DBDBDB"/>
          </w:tcPr>
          <w:p>
            <w:pPr>
              <w:ind w:left="480"/>
              <w:spacing w:after="0"/>
              <w:rPr>
                <w:sz w:val="20"/>
                <w:szCs w:val="20"/>
                <w:color w:val="auto"/>
              </w:rPr>
            </w:pPr>
            <w:r>
              <w:rPr>
                <w:rFonts w:ascii="Arial" w:cs="Arial" w:eastAsia="Arial" w:hAnsi="Arial"/>
                <w:sz w:val="18"/>
                <w:szCs w:val="18"/>
                <w:color w:val="auto"/>
              </w:rPr>
              <w:t>Deferred taxes</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(173)</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(191)</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5620" w:type="dxa"/>
            <w:vAlign w:val="bottom"/>
            <w:gridSpan w:val="2"/>
          </w:tcPr>
          <w:p>
            <w:pPr>
              <w:ind w:left="220"/>
              <w:spacing w:after="0"/>
              <w:rPr>
                <w:sz w:val="20"/>
                <w:szCs w:val="20"/>
                <w:color w:val="auto"/>
              </w:rPr>
            </w:pPr>
            <w:r>
              <w:rPr>
                <w:rFonts w:ascii="Arial" w:cs="Arial" w:eastAsia="Arial" w:hAnsi="Arial"/>
                <w:sz w:val="18"/>
                <w:szCs w:val="18"/>
                <w:color w:val="auto"/>
              </w:rPr>
              <w:t>Increase (decrease) from changes in:</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DBDBDB"/>
          </w:tcPr>
          <w:p>
            <w:pPr>
              <w:ind w:left="48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145</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(194)</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30"/>
        </w:trPr>
        <w:tc>
          <w:tcPr>
            <w:tcW w:w="5620" w:type="dxa"/>
            <w:vAlign w:val="bottom"/>
            <w:gridSpan w:val="2"/>
          </w:tcPr>
          <w:p>
            <w:pPr>
              <w:ind w:left="48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DBDBDB"/>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(39)</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5620" w:type="dxa"/>
            <w:vAlign w:val="bottom"/>
            <w:gridSpan w:val="2"/>
          </w:tcPr>
          <w:p>
            <w:pPr>
              <w:ind w:left="48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DBDBDB"/>
          </w:tcPr>
          <w:p>
            <w:pPr>
              <w:ind w:left="480"/>
              <w:spacing w:after="0"/>
              <w:rPr>
                <w:sz w:val="20"/>
                <w:szCs w:val="20"/>
                <w:color w:val="auto"/>
              </w:rPr>
            </w:pPr>
            <w:r>
              <w:rPr>
                <w:rFonts w:ascii="Arial" w:cs="Arial" w:eastAsia="Arial" w:hAnsi="Arial"/>
                <w:sz w:val="18"/>
                <w:szCs w:val="18"/>
                <w:color w:val="auto"/>
              </w:rPr>
              <w:t>Accrued compensation</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136</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5620" w:type="dxa"/>
            <w:vAlign w:val="bottom"/>
            <w:gridSpan w:val="2"/>
          </w:tcPr>
          <w:p>
            <w:pPr>
              <w:ind w:left="48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Changes in funded status of retirement plans</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114</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(404)</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2,042</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2,357</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8,720</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8,756</w:t>
            </w:r>
          </w:p>
        </w:tc>
        <w:tc>
          <w:tcPr>
            <w:tcW w:w="0" w:type="dxa"/>
            <w:vAlign w:val="bottom"/>
          </w:tcPr>
          <w:p>
            <w:pPr>
              <w:spacing w:after="0"/>
              <w:rPr>
                <w:sz w:val="1"/>
                <w:szCs w:val="1"/>
                <w:color w:val="auto"/>
              </w:rPr>
            </w:pPr>
          </w:p>
        </w:tc>
      </w:tr>
      <w:tr>
        <w:trPr>
          <w:trHeight w:val="236"/>
        </w:trPr>
        <w:tc>
          <w:tcPr>
            <w:tcW w:w="5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22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(967)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(2,797)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(2,462)</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Proceeds from asset sales</w:t>
            </w:r>
          </w:p>
        </w:tc>
        <w:tc>
          <w:tcPr>
            <w:tcW w:w="220" w:type="dxa"/>
            <w:vAlign w:val="bottom"/>
            <w:shd w:val="clear" w:color="auto" w:fill="DBDBDB"/>
          </w:tcPr>
          <w:p>
            <w:pPr>
              <w:spacing w:after="0"/>
              <w:rPr>
                <w:sz w:val="19"/>
                <w:szCs w:val="19"/>
                <w:color w:val="auto"/>
              </w:rPr>
            </w:pPr>
          </w:p>
        </w:tc>
        <w:tc>
          <w:tcPr>
            <w:tcW w:w="12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5620" w:type="dxa"/>
            <w:vAlign w:val="bottom"/>
            <w:gridSpan w:val="2"/>
          </w:tcPr>
          <w:p>
            <w:pPr>
              <w:ind w:left="220"/>
              <w:spacing w:after="0"/>
              <w:rPr>
                <w:sz w:val="20"/>
                <w:szCs w:val="20"/>
                <w:color w:val="auto"/>
              </w:rPr>
            </w:pPr>
            <w:r>
              <w:rPr>
                <w:rFonts w:ascii="Arial" w:cs="Arial" w:eastAsia="Arial" w:hAnsi="Arial"/>
                <w:sz w:val="18"/>
                <w:szCs w:val="18"/>
                <w:color w:val="auto"/>
              </w:rPr>
              <w:t>Purchases of short-term investments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(3,688)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(14,483)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(10,124)</w:t>
            </w: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Proceeds from short-term investments</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3,650</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2,708</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13,657</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8,478</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(1,027)</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(2,229)</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(3,583)</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(4,095)</w:t>
            </w:r>
          </w:p>
        </w:tc>
        <w:tc>
          <w:tcPr>
            <w:tcW w:w="0" w:type="dxa"/>
            <w:vAlign w:val="bottom"/>
          </w:tcPr>
          <w:p>
            <w:pPr>
              <w:spacing w:after="0"/>
              <w:rPr>
                <w:sz w:val="1"/>
                <w:szCs w:val="1"/>
                <w:color w:val="auto"/>
              </w:rPr>
            </w:pPr>
          </w:p>
        </w:tc>
      </w:tr>
      <w:tr>
        <w:trPr>
          <w:trHeight w:val="237"/>
        </w:trPr>
        <w:tc>
          <w:tcPr>
            <w:tcW w:w="5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gridSpan w:val="2"/>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Repayment of debt</w:t>
            </w:r>
          </w:p>
        </w:tc>
        <w:tc>
          <w:tcPr>
            <w:tcW w:w="220" w:type="dxa"/>
            <w:vAlign w:val="bottom"/>
            <w:shd w:val="clear" w:color="auto" w:fill="DBDBDB"/>
          </w:tcPr>
          <w:p>
            <w:pPr>
              <w:spacing w:after="0"/>
              <w:rPr>
                <w:sz w:val="19"/>
                <w:szCs w:val="19"/>
                <w:color w:val="auto"/>
              </w:rPr>
            </w:pPr>
          </w:p>
        </w:tc>
        <w:tc>
          <w:tcPr>
            <w:tcW w:w="12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30"/>
        </w:trPr>
        <w:tc>
          <w:tcPr>
            <w:tcW w:w="5620" w:type="dxa"/>
            <w:vAlign w:val="bottom"/>
            <w:gridSpan w:val="2"/>
          </w:tcPr>
          <w:p>
            <w:pPr>
              <w:ind w:left="220"/>
              <w:spacing w:after="0"/>
              <w:rPr>
                <w:sz w:val="20"/>
                <w:szCs w:val="20"/>
                <w:color w:val="auto"/>
              </w:rPr>
            </w:pPr>
            <w:r>
              <w:rPr>
                <w:rFonts w:ascii="Arial" w:cs="Arial" w:eastAsia="Arial" w:hAnsi="Arial"/>
                <w:sz w:val="18"/>
                <w:szCs w:val="18"/>
                <w:color w:val="auto"/>
              </w:rPr>
              <w:t>Dividends paid</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(4,297)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(3,886)</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Stock repurchases</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(848)</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(3,615)</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29"/>
        </w:trPr>
        <w:tc>
          <w:tcPr>
            <w:tcW w:w="5620" w:type="dxa"/>
            <w:vAlign w:val="bottom"/>
            <w:gridSpan w:val="2"/>
          </w:tcPr>
          <w:p>
            <w:pPr>
              <w:ind w:left="220"/>
              <w:spacing w:after="0"/>
              <w:rPr>
                <w:sz w:val="20"/>
                <w:szCs w:val="20"/>
                <w:color w:val="auto"/>
              </w:rPr>
            </w:pPr>
            <w:r>
              <w:rPr>
                <w:rFonts w:ascii="Arial" w:cs="Arial" w:eastAsia="Arial" w:hAnsi="Arial"/>
                <w:sz w:val="18"/>
                <w:szCs w:val="18"/>
                <w:color w:val="auto"/>
              </w:rPr>
              <w:t>Proceeds from common stock transactions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241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(41)</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(1,134)</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(6,718)</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(3,137)</w:t>
            </w:r>
          </w:p>
        </w:tc>
        <w:tc>
          <w:tcPr>
            <w:tcW w:w="0" w:type="dxa"/>
            <w:vAlign w:val="bottom"/>
          </w:tcPr>
          <w:p>
            <w:pPr>
              <w:spacing w:after="0"/>
              <w:rPr>
                <w:sz w:val="1"/>
                <w:szCs w:val="1"/>
                <w:color w:val="auto"/>
              </w:rPr>
            </w:pPr>
          </w:p>
        </w:tc>
      </w:tr>
      <w:tr>
        <w:trPr>
          <w:trHeight w:val="237"/>
        </w:trPr>
        <w:tc>
          <w:tcPr>
            <w:tcW w:w="55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10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00" w:type="dxa"/>
            <w:vAlign w:val="bottom"/>
            <w:shd w:val="clear" w:color="auto" w:fill="DBDBDB"/>
          </w:tcPr>
          <w:p>
            <w:pPr>
              <w:spacing w:after="0"/>
              <w:rPr>
                <w:sz w:val="20"/>
                <w:szCs w:val="20"/>
                <w:color w:val="auto"/>
              </w:rPr>
            </w:pPr>
          </w:p>
        </w:tc>
        <w:tc>
          <w:tcPr>
            <w:tcW w:w="10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104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(1,581)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3,169</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5,663</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4,631</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3,107</w:t>
            </w:r>
          </w:p>
        </w:tc>
        <w:tc>
          <w:tcPr>
            <w:tcW w:w="0" w:type="dxa"/>
            <w:vAlign w:val="bottom"/>
          </w:tcPr>
          <w:p>
            <w:pPr>
              <w:spacing w:after="0"/>
              <w:rPr>
                <w:sz w:val="1"/>
                <w:szCs w:val="1"/>
                <w:color w:val="auto"/>
              </w:rPr>
            </w:pPr>
          </w:p>
        </w:tc>
      </w:tr>
      <w:tr>
        <w:trPr>
          <w:trHeight w:val="223"/>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3,050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3,050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4,631</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9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2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Quarterly segment results</w:t>
            </w:r>
          </w:p>
        </w:tc>
        <w:tc>
          <w:tcPr>
            <w:tcW w:w="4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385"/>
        </w:trPr>
        <w:tc>
          <w:tcPr>
            <w:tcW w:w="6900" w:type="dxa"/>
            <w:vAlign w:val="bottom"/>
            <w:gridSpan w:val="3"/>
          </w:tcPr>
          <w:p>
            <w:pPr>
              <w:ind w:left="2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rPr>
              <w:t>Q4 2022</w:t>
            </w:r>
          </w:p>
        </w:tc>
        <w:tc>
          <w:tcPr>
            <w:tcW w:w="22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Q4 2021</w:t>
            </w:r>
          </w:p>
        </w:tc>
        <w:tc>
          <w:tcPr>
            <w:tcW w:w="1480" w:type="dxa"/>
            <w:vAlign w:val="bottom"/>
          </w:tcPr>
          <w:p>
            <w:pPr>
              <w:jc w:val="right"/>
              <w:ind w:right="330"/>
              <w:spacing w:after="0"/>
              <w:rPr>
                <w:sz w:val="20"/>
                <w:szCs w:val="20"/>
                <w:color w:val="auto"/>
              </w:rPr>
            </w:pPr>
            <w:r>
              <w:rPr>
                <w:rFonts w:ascii="Arial" w:cs="Arial" w:eastAsia="Arial" w:hAnsi="Arial"/>
                <w:sz w:val="18"/>
                <w:szCs w:val="18"/>
                <w:color w:val="auto"/>
              </w:rPr>
              <w:t>Change</w:t>
            </w:r>
          </w:p>
        </w:tc>
      </w:tr>
      <w:tr>
        <w:trPr>
          <w:trHeight w:val="223"/>
        </w:trPr>
        <w:tc>
          <w:tcPr>
            <w:tcW w:w="6900" w:type="dxa"/>
            <w:vAlign w:val="bottom"/>
            <w:tcBorders>
              <w:top w:val="single" w:sz="8" w:color="DBDBDB"/>
            </w:tcBorders>
            <w:gridSpan w:val="3"/>
            <w:shd w:val="clear" w:color="auto" w:fill="DBDBDB"/>
          </w:tcPr>
          <w:p>
            <w:pPr>
              <w:ind w:left="20"/>
              <w:spacing w:after="0"/>
              <w:rPr>
                <w:sz w:val="20"/>
                <w:szCs w:val="20"/>
                <w:color w:val="auto"/>
              </w:rPr>
            </w:pPr>
            <w:r>
              <w:rPr>
                <w:rFonts w:ascii="Arial" w:cs="Arial" w:eastAsia="Arial" w:hAnsi="Arial"/>
                <w:sz w:val="18"/>
                <w:szCs w:val="18"/>
                <w:color w:val="auto"/>
              </w:rPr>
              <w:t>Analog:</w:t>
            </w:r>
          </w:p>
        </w:tc>
        <w:tc>
          <w:tcPr>
            <w:tcW w:w="220" w:type="dxa"/>
            <w:vAlign w:val="bottom"/>
            <w:tcBorders>
              <w:top w:val="single" w:sz="8" w:color="auto"/>
            </w:tcBorders>
            <w:shd w:val="clear" w:color="auto" w:fill="DBDBDB"/>
          </w:tcPr>
          <w:p>
            <w:pPr>
              <w:spacing w:after="0"/>
              <w:rPr>
                <w:sz w:val="19"/>
                <w:szCs w:val="19"/>
                <w:color w:val="auto"/>
              </w:rPr>
            </w:pPr>
          </w:p>
        </w:tc>
        <w:tc>
          <w:tcPr>
            <w:tcW w:w="110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spacing w:after="0"/>
              <w:rPr>
                <w:sz w:val="19"/>
                <w:szCs w:val="19"/>
                <w:color w:val="auto"/>
              </w:rPr>
            </w:pPr>
          </w:p>
        </w:tc>
        <w:tc>
          <w:tcPr>
            <w:tcW w:w="110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480" w:type="dxa"/>
            <w:vAlign w:val="bottom"/>
            <w:tcBorders>
              <w:top w:val="single" w:sz="8" w:color="auto"/>
            </w:tcBorders>
            <w:shd w:val="clear" w:color="auto" w:fill="DBDBDB"/>
          </w:tcPr>
          <w:p>
            <w:pPr>
              <w:spacing w:after="0"/>
              <w:rPr>
                <w:sz w:val="19"/>
                <w:szCs w:val="19"/>
                <w:color w:val="auto"/>
              </w:rPr>
            </w:pPr>
          </w:p>
        </w:tc>
      </w:tr>
      <w:tr>
        <w:trPr>
          <w:trHeight w:val="229"/>
        </w:trPr>
        <w:tc>
          <w:tcPr>
            <w:tcW w:w="6900" w:type="dxa"/>
            <w:vAlign w:val="bottom"/>
            <w:gridSpan w:val="3"/>
          </w:tcPr>
          <w:p>
            <w:pPr>
              <w:ind w:left="22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3,558</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3,758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6900" w:type="dxa"/>
            <w:vAlign w:val="bottom"/>
            <w:gridSpan w:val="3"/>
            <w:shd w:val="clear" w:color="auto" w:fill="DBDBDB"/>
          </w:tcPr>
          <w:p>
            <w:pPr>
              <w:ind w:left="220"/>
              <w:spacing w:after="0"/>
              <w:rPr>
                <w:sz w:val="20"/>
                <w:szCs w:val="20"/>
                <w:color w:val="auto"/>
              </w:rPr>
            </w:pPr>
            <w:r>
              <w:rPr>
                <w:rFonts w:ascii="Arial" w:cs="Arial" w:eastAsia="Arial" w:hAnsi="Arial"/>
                <w:sz w:val="18"/>
                <w:szCs w:val="18"/>
                <w:color w:val="auto"/>
              </w:rPr>
              <w:t>Operating profit</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1,798</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2,098</w:t>
            </w:r>
          </w:p>
        </w:tc>
        <w:tc>
          <w:tcPr>
            <w:tcW w:w="10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6900" w:type="dxa"/>
            <w:vAlign w:val="bottom"/>
            <w:gridSpan w:val="3"/>
          </w:tcPr>
          <w:p>
            <w:pPr>
              <w:ind w:left="20"/>
              <w:spacing w:after="0"/>
              <w:rPr>
                <w:sz w:val="20"/>
                <w:szCs w:val="20"/>
                <w:color w:val="auto"/>
              </w:rPr>
            </w:pPr>
            <w:r>
              <w:rPr>
                <w:rFonts w:ascii="Arial" w:cs="Arial" w:eastAsia="Arial" w:hAnsi="Arial"/>
                <w:sz w:val="18"/>
                <w:szCs w:val="18"/>
                <w:color w:val="auto"/>
              </w:rPr>
              <w:t>Embedded Processing:</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6900" w:type="dxa"/>
            <w:vAlign w:val="bottom"/>
            <w:gridSpan w:val="3"/>
            <w:shd w:val="clear" w:color="auto" w:fill="DBDBDB"/>
          </w:tcPr>
          <w:p>
            <w:pPr>
              <w:ind w:left="2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837</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10 %</w:t>
            </w:r>
          </w:p>
        </w:tc>
      </w:tr>
      <w:tr>
        <w:trPr>
          <w:trHeight w:val="229"/>
        </w:trPr>
        <w:tc>
          <w:tcPr>
            <w:tcW w:w="6900" w:type="dxa"/>
            <w:vAlign w:val="bottom"/>
            <w:gridSpan w:val="3"/>
          </w:tcPr>
          <w:p>
            <w:pPr>
              <w:ind w:left="220"/>
              <w:spacing w:after="0"/>
              <w:rPr>
                <w:sz w:val="20"/>
                <w:szCs w:val="20"/>
                <w:color w:val="auto"/>
              </w:rPr>
            </w:pPr>
            <w:r>
              <w:rPr>
                <w:rFonts w:ascii="Arial" w:cs="Arial" w:eastAsia="Arial" w:hAnsi="Arial"/>
                <w:sz w:val="18"/>
                <w:szCs w:val="18"/>
                <w:color w:val="auto"/>
              </w:rPr>
              <w:t>Operating profit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0 %</w:t>
            </w:r>
          </w:p>
        </w:tc>
      </w:tr>
      <w:tr>
        <w:trPr>
          <w:trHeight w:val="229"/>
        </w:trPr>
        <w:tc>
          <w:tcPr>
            <w:tcW w:w="690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80" w:type="dxa"/>
            <w:vAlign w:val="bottom"/>
            <w:shd w:val="clear" w:color="auto" w:fill="DBDBDB"/>
          </w:tcPr>
          <w:p>
            <w:pPr>
              <w:spacing w:after="0"/>
              <w:rPr>
                <w:sz w:val="19"/>
                <w:szCs w:val="19"/>
                <w:color w:val="auto"/>
              </w:rPr>
            </w:pPr>
          </w:p>
        </w:tc>
      </w:tr>
      <w:tr>
        <w:trPr>
          <w:trHeight w:val="230"/>
        </w:trPr>
        <w:tc>
          <w:tcPr>
            <w:tcW w:w="6900" w:type="dxa"/>
            <w:vAlign w:val="bottom"/>
            <w:gridSpan w:val="3"/>
          </w:tcPr>
          <w:p>
            <w:pPr>
              <w:ind w:left="22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6900" w:type="dxa"/>
            <w:vAlign w:val="bottom"/>
            <w:gridSpan w:val="3"/>
            <w:shd w:val="clear" w:color="auto" w:fill="DBDBDB"/>
          </w:tcPr>
          <w:p>
            <w:pPr>
              <w:ind w:left="220"/>
              <w:spacing w:after="0"/>
              <w:rPr>
                <w:sz w:val="20"/>
                <w:szCs w:val="20"/>
                <w:color w:val="auto"/>
              </w:rPr>
            </w:pPr>
            <w:r>
              <w:rPr>
                <w:rFonts w:ascii="Arial" w:cs="Arial" w:eastAsia="Arial" w:hAnsi="Arial"/>
                <w:sz w:val="18"/>
                <w:szCs w:val="18"/>
                <w:color w:val="auto"/>
              </w:rPr>
              <w:t>Operating profit*</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w:t>
            </w:r>
          </w:p>
        </w:tc>
      </w:tr>
      <w:tr>
        <w:trPr>
          <w:trHeight w:val="531"/>
        </w:trPr>
        <w:tc>
          <w:tcPr>
            <w:tcW w:w="6900" w:type="dxa"/>
            <w:vAlign w:val="bottom"/>
            <w:gridSpan w:val="3"/>
          </w:tcPr>
          <w:p>
            <w:pPr>
              <w:spacing w:after="0"/>
              <w:rPr>
                <w:sz w:val="20"/>
                <w:szCs w:val="20"/>
                <w:color w:val="auto"/>
              </w:rPr>
            </w:pPr>
            <w:r>
              <w:rPr>
                <w:rFonts w:ascii="Arial" w:cs="Arial" w:eastAsia="Arial" w:hAnsi="Arial"/>
                <w:sz w:val="18"/>
                <w:szCs w:val="18"/>
                <w:i w:val="1"/>
                <w:iCs w:val="1"/>
                <w:color w:val="auto"/>
              </w:rPr>
              <w:t>* Includes acquisition charges and restructuring charges/other.</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95"/>
        </w:trPr>
        <w:tc>
          <w:tcPr>
            <w:tcW w:w="6900" w:type="dxa"/>
            <w:vAlign w:val="bottom"/>
            <w:gridSpan w:val="3"/>
          </w:tcPr>
          <w:p>
            <w:pPr>
              <w:spacing w:after="0"/>
              <w:rPr>
                <w:sz w:val="20"/>
                <w:szCs w:val="20"/>
                <w:color w:val="auto"/>
              </w:rPr>
            </w:pPr>
            <w:r>
              <w:rPr>
                <w:rFonts w:ascii="Arial" w:cs="Arial" w:eastAsia="Arial" w:hAnsi="Arial"/>
                <w:sz w:val="18"/>
                <w:szCs w:val="18"/>
                <w:b w:val="1"/>
                <w:bCs w:val="1"/>
                <w:color w:val="auto"/>
              </w:rPr>
              <w:t>Annual segment results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85"/>
        </w:trPr>
        <w:tc>
          <w:tcPr>
            <w:tcW w:w="204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4860" w:type="dxa"/>
            <w:vAlign w:val="bottom"/>
            <w:tcBorders>
              <w:bottom w:val="single" w:sz="8" w:color="DBDBDB"/>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DBDBDB"/>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DBDBDB"/>
            </w:tcBorders>
          </w:tcPr>
          <w:p>
            <w:pPr>
              <w:spacing w:after="0"/>
              <w:rPr>
                <w:sz w:val="24"/>
                <w:szCs w:val="24"/>
                <w:color w:val="auto"/>
              </w:rPr>
            </w:pPr>
          </w:p>
        </w:tc>
        <w:tc>
          <w:tcPr>
            <w:tcW w:w="14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Change</w:t>
            </w:r>
          </w:p>
        </w:tc>
      </w:tr>
      <w:tr>
        <w:trPr>
          <w:trHeight w:val="223"/>
        </w:trPr>
        <w:tc>
          <w:tcPr>
            <w:tcW w:w="690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Analog:</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80" w:type="dxa"/>
            <w:vAlign w:val="bottom"/>
            <w:shd w:val="clear" w:color="auto" w:fill="DBDBDB"/>
          </w:tcPr>
          <w:p>
            <w:pPr>
              <w:spacing w:after="0"/>
              <w:rPr>
                <w:sz w:val="19"/>
                <w:szCs w:val="19"/>
                <w:color w:val="auto"/>
              </w:rPr>
            </w:pPr>
          </w:p>
        </w:tc>
      </w:tr>
      <w:tr>
        <w:trPr>
          <w:trHeight w:val="229"/>
        </w:trPr>
        <w:tc>
          <w:tcPr>
            <w:tcW w:w="6900" w:type="dxa"/>
            <w:vAlign w:val="bottom"/>
            <w:gridSpan w:val="3"/>
          </w:tcPr>
          <w:p>
            <w:pPr>
              <w:ind w:left="22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15,359</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14,050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29"/>
        </w:trPr>
        <w:tc>
          <w:tcPr>
            <w:tcW w:w="6900" w:type="dxa"/>
            <w:vAlign w:val="bottom"/>
            <w:gridSpan w:val="3"/>
            <w:shd w:val="clear" w:color="auto" w:fill="DBDBDB"/>
          </w:tcPr>
          <w:p>
            <w:pPr>
              <w:ind w:left="220"/>
              <w:spacing w:after="0"/>
              <w:rPr>
                <w:sz w:val="20"/>
                <w:szCs w:val="20"/>
                <w:color w:val="auto"/>
              </w:rPr>
            </w:pPr>
            <w:r>
              <w:rPr>
                <w:rFonts w:ascii="Arial" w:cs="Arial" w:eastAsia="Arial" w:hAnsi="Arial"/>
                <w:sz w:val="18"/>
                <w:szCs w:val="18"/>
                <w:color w:val="auto"/>
              </w:rPr>
              <w:t>Operating profit</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8,359</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7,393</w:t>
            </w:r>
          </w:p>
        </w:tc>
        <w:tc>
          <w:tcPr>
            <w:tcW w:w="10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6900" w:type="dxa"/>
            <w:vAlign w:val="bottom"/>
            <w:gridSpan w:val="3"/>
          </w:tcPr>
          <w:p>
            <w:pPr>
              <w:ind w:left="20"/>
              <w:spacing w:after="0"/>
              <w:rPr>
                <w:sz w:val="20"/>
                <w:szCs w:val="20"/>
                <w:color w:val="auto"/>
              </w:rPr>
            </w:pPr>
            <w:r>
              <w:rPr>
                <w:rFonts w:ascii="Arial" w:cs="Arial" w:eastAsia="Arial" w:hAnsi="Arial"/>
                <w:sz w:val="18"/>
                <w:szCs w:val="18"/>
                <w:color w:val="auto"/>
              </w:rPr>
              <w:t>Embedded Processing:</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6900" w:type="dxa"/>
            <w:vAlign w:val="bottom"/>
            <w:gridSpan w:val="3"/>
            <w:shd w:val="clear" w:color="auto" w:fill="DBDBDB"/>
          </w:tcPr>
          <w:p>
            <w:pPr>
              <w:ind w:left="2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3,261</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3,049</w:t>
            </w:r>
          </w:p>
        </w:tc>
        <w:tc>
          <w:tcPr>
            <w:tcW w:w="10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7 %</w:t>
            </w:r>
          </w:p>
        </w:tc>
      </w:tr>
      <w:tr>
        <w:trPr>
          <w:trHeight w:val="230"/>
        </w:trPr>
        <w:tc>
          <w:tcPr>
            <w:tcW w:w="6900" w:type="dxa"/>
            <w:vAlign w:val="bottom"/>
            <w:gridSpan w:val="3"/>
          </w:tcPr>
          <w:p>
            <w:pPr>
              <w:ind w:left="220"/>
              <w:spacing w:after="0"/>
              <w:rPr>
                <w:sz w:val="20"/>
                <w:szCs w:val="20"/>
                <w:color w:val="auto"/>
              </w:rPr>
            </w:pPr>
            <w:r>
              <w:rPr>
                <w:rFonts w:ascii="Arial" w:cs="Arial" w:eastAsia="Arial" w:hAnsi="Arial"/>
                <w:sz w:val="18"/>
                <w:szCs w:val="18"/>
                <w:color w:val="auto"/>
              </w:rPr>
              <w:t>Operating profit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1,253</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29"/>
        </w:trPr>
        <w:tc>
          <w:tcPr>
            <w:tcW w:w="690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80" w:type="dxa"/>
            <w:vAlign w:val="bottom"/>
            <w:shd w:val="clear" w:color="auto" w:fill="DBDBDB"/>
          </w:tcPr>
          <w:p>
            <w:pPr>
              <w:spacing w:after="0"/>
              <w:rPr>
                <w:sz w:val="19"/>
                <w:szCs w:val="19"/>
                <w:color w:val="auto"/>
              </w:rPr>
            </w:pPr>
          </w:p>
        </w:tc>
      </w:tr>
      <w:tr>
        <w:trPr>
          <w:trHeight w:val="230"/>
        </w:trPr>
        <w:tc>
          <w:tcPr>
            <w:tcW w:w="6900" w:type="dxa"/>
            <w:vAlign w:val="bottom"/>
            <w:gridSpan w:val="3"/>
          </w:tcPr>
          <w:p>
            <w:pPr>
              <w:ind w:left="22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1,408</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29"/>
        </w:trPr>
        <w:tc>
          <w:tcPr>
            <w:tcW w:w="6900" w:type="dxa"/>
            <w:vAlign w:val="bottom"/>
            <w:gridSpan w:val="3"/>
            <w:shd w:val="clear" w:color="auto" w:fill="DBDBDB"/>
          </w:tcPr>
          <w:p>
            <w:pPr>
              <w:ind w:left="220"/>
              <w:spacing w:after="0"/>
              <w:rPr>
                <w:sz w:val="20"/>
                <w:szCs w:val="20"/>
                <w:color w:val="auto"/>
              </w:rPr>
            </w:pPr>
            <w:r>
              <w:rPr>
                <w:rFonts w:ascii="Arial" w:cs="Arial" w:eastAsia="Arial" w:hAnsi="Arial"/>
                <w:sz w:val="18"/>
                <w:szCs w:val="18"/>
                <w:color w:val="auto"/>
              </w:rPr>
              <w:t>Operating profit*</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528</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34 %</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Includes acquisition charges and restructuring charges/other.</w:t>
      </w: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7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Non-GAAP financial information</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release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17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For Years Ended</w:t>
            </w: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43"/>
        </w:trPr>
        <w:tc>
          <w:tcPr>
            <w:tcW w:w="66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23"/>
        </w:trPr>
        <w:tc>
          <w:tcPr>
            <w:tcW w:w="6660" w:type="dxa"/>
            <w:vAlign w:val="bottom"/>
            <w:tcBorders>
              <w:bottom w:val="single" w:sz="8" w:color="DBDBDB"/>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DBDBDB"/>
            </w:tcBorders>
          </w:tcPr>
          <w:p>
            <w:pPr>
              <w:spacing w:after="0"/>
              <w:rPr>
                <w:sz w:val="19"/>
                <w:szCs w:val="19"/>
                <w:color w:val="auto"/>
              </w:rPr>
            </w:pPr>
          </w:p>
        </w:tc>
        <w:tc>
          <w:tcPr>
            <w:tcW w:w="14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r>
      <w:tr>
        <w:trPr>
          <w:trHeight w:val="223"/>
        </w:trPr>
        <w:tc>
          <w:tcPr>
            <w:tcW w:w="6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(GAAP)</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8,720</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8,756</w:t>
            </w:r>
          </w:p>
        </w:tc>
        <w:tc>
          <w:tcPr>
            <w:tcW w:w="12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0 %</w:t>
            </w:r>
          </w:p>
        </w:tc>
      </w:tr>
      <w:tr>
        <w:trPr>
          <w:trHeight w:val="229"/>
        </w:trPr>
        <w:tc>
          <w:tcPr>
            <w:tcW w:w="66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Capital expenditures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(2,797)</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(2,462)</w:t>
            </w:r>
          </w:p>
        </w:tc>
        <w:tc>
          <w:tcPr>
            <w:tcW w:w="120" w:type="dxa"/>
            <w:vAlign w:val="bottom"/>
            <w:tcBorders>
              <w:bottom w:val="single" w:sz="8" w:color="DBDBDB"/>
            </w:tcBorders>
          </w:tcPr>
          <w:p>
            <w:pPr>
              <w:spacing w:after="0"/>
              <w:rPr>
                <w:sz w:val="19"/>
                <w:szCs w:val="19"/>
                <w:color w:val="auto"/>
              </w:rPr>
            </w:pPr>
          </w:p>
        </w:tc>
        <w:tc>
          <w:tcPr>
            <w:tcW w:w="1440" w:type="dxa"/>
            <w:vAlign w:val="bottom"/>
            <w:tcBorders>
              <w:bottom w:val="single" w:sz="8" w:color="DBDBDB"/>
            </w:tcBorders>
          </w:tcPr>
          <w:p>
            <w:pPr>
              <w:spacing w:after="0"/>
              <w:rPr>
                <w:sz w:val="19"/>
                <w:szCs w:val="19"/>
                <w:color w:val="auto"/>
              </w:rPr>
            </w:pPr>
          </w:p>
        </w:tc>
      </w:tr>
      <w:tr>
        <w:trPr>
          <w:trHeight w:val="248"/>
        </w:trPr>
        <w:tc>
          <w:tcPr>
            <w:tcW w:w="6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Free cash flow (non-GAAP)</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5,923</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6,294</w:t>
            </w:r>
          </w:p>
        </w:tc>
        <w:tc>
          <w:tcPr>
            <w:tcW w:w="156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666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40" w:type="dxa"/>
            <w:vAlign w:val="bottom"/>
            <w:tcBorders>
              <w:top w:val="single" w:sz="8" w:color="DBDBDB"/>
            </w:tcBorders>
          </w:tcPr>
          <w:p>
            <w:pPr>
              <w:spacing w:after="0" w:line="20" w:lineRule="exact"/>
              <w:rPr>
                <w:sz w:val="1"/>
                <w:szCs w:val="1"/>
                <w:color w:val="auto"/>
              </w:rPr>
            </w:pPr>
          </w:p>
        </w:tc>
      </w:tr>
      <w:tr>
        <w:trPr>
          <w:trHeight w:val="203"/>
        </w:trPr>
        <w:tc>
          <w:tcPr>
            <w:tcW w:w="6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54"/>
        </w:trPr>
        <w:tc>
          <w:tcPr>
            <w:tcW w:w="6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20,028</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18,344</w:t>
            </w:r>
          </w:p>
        </w:tc>
        <w:tc>
          <w:tcPr>
            <w:tcW w:w="120" w:type="dxa"/>
            <w:vAlign w:val="bottom"/>
            <w:tcBorders>
              <w:bottom w:val="single" w:sz="8" w:color="DBDBDB"/>
            </w:tcBorders>
            <w:shd w:val="clear" w:color="auto" w:fill="DBDBDB"/>
          </w:tcPr>
          <w:p>
            <w:pPr>
              <w:spacing w:after="0"/>
              <w:rPr>
                <w:sz w:val="21"/>
                <w:szCs w:val="21"/>
                <w:color w:val="auto"/>
              </w:rPr>
            </w:pPr>
          </w:p>
        </w:tc>
        <w:tc>
          <w:tcPr>
            <w:tcW w:w="1440" w:type="dxa"/>
            <w:vAlign w:val="bottom"/>
            <w:tcBorders>
              <w:bottom w:val="single" w:sz="8" w:color="DBDBDB"/>
            </w:tcBorders>
            <w:shd w:val="clear" w:color="auto" w:fill="DBDBDB"/>
          </w:tcPr>
          <w:p>
            <w:pPr>
              <w:spacing w:after="0"/>
              <w:rPr>
                <w:sz w:val="21"/>
                <w:szCs w:val="21"/>
                <w:color w:val="auto"/>
              </w:rPr>
            </w:pPr>
          </w:p>
        </w:tc>
      </w:tr>
      <w:tr>
        <w:trPr>
          <w:trHeight w:val="20"/>
        </w:trPr>
        <w:tc>
          <w:tcPr>
            <w:tcW w:w="666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40" w:type="dxa"/>
            <w:vAlign w:val="bottom"/>
            <w:tcBorders>
              <w:top w:val="single" w:sz="8" w:color="DBDBDB"/>
            </w:tcBorders>
          </w:tcPr>
          <w:p>
            <w:pPr>
              <w:spacing w:after="0" w:line="20" w:lineRule="exact"/>
              <w:rPr>
                <w:sz w:val="1"/>
                <w:szCs w:val="1"/>
                <w:color w:val="auto"/>
              </w:rPr>
            </w:pPr>
          </w:p>
        </w:tc>
      </w:tr>
      <w:tr>
        <w:trPr>
          <w:trHeight w:val="204"/>
        </w:trPr>
        <w:tc>
          <w:tcPr>
            <w:tcW w:w="6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9"/>
        </w:trPr>
        <w:tc>
          <w:tcPr>
            <w:tcW w:w="6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as a percentage of revenue (GAAP)</w:t>
            </w: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43.5 %</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47.7 %</w:t>
            </w:r>
          </w:p>
        </w:tc>
        <w:tc>
          <w:tcPr>
            <w:tcW w:w="120" w:type="dxa"/>
            <w:vAlign w:val="bottom"/>
            <w:shd w:val="clear" w:color="auto" w:fill="DBDBDB"/>
          </w:tcPr>
          <w:p>
            <w:pPr>
              <w:spacing w:after="0"/>
              <w:rPr>
                <w:sz w:val="19"/>
                <w:szCs w:val="19"/>
                <w:color w:val="auto"/>
              </w:rPr>
            </w:pPr>
          </w:p>
        </w:tc>
        <w:tc>
          <w:tcPr>
            <w:tcW w:w="1440" w:type="dxa"/>
            <w:vAlign w:val="bottom"/>
            <w:shd w:val="clear" w:color="auto" w:fill="DBDBDB"/>
          </w:tcPr>
          <w:p>
            <w:pPr>
              <w:spacing w:after="0"/>
              <w:rPr>
                <w:sz w:val="19"/>
                <w:szCs w:val="19"/>
                <w:color w:val="auto"/>
              </w:rPr>
            </w:pPr>
          </w:p>
        </w:tc>
      </w:tr>
      <w:tr>
        <w:trPr>
          <w:trHeight w:val="247"/>
        </w:trPr>
        <w:tc>
          <w:tcPr>
            <w:tcW w:w="6660" w:type="dxa"/>
            <w:vAlign w:val="bottom"/>
          </w:tcPr>
          <w:p>
            <w:pPr>
              <w:ind w:left="20"/>
              <w:spacing w:after="0"/>
              <w:rPr>
                <w:sz w:val="20"/>
                <w:szCs w:val="20"/>
                <w:color w:val="auto"/>
              </w:rPr>
            </w:pPr>
            <w:r>
              <w:rPr>
                <w:rFonts w:ascii="Arial" w:cs="Arial" w:eastAsia="Arial" w:hAnsi="Arial"/>
                <w:sz w:val="18"/>
                <w:szCs w:val="18"/>
                <w:color w:val="auto"/>
              </w:rPr>
              <w:t>Free cash flow as a percentage of revenue (non-GAAP)</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29.6 %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34.3 %</w:t>
            </w: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bl>
    <w:p>
      <w:pPr>
        <w:spacing w:after="0" w:line="27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This release also includes references to operating taxes, a non-GAAP term we use to describe taxes calculated using the estimated annual effective tax rate, a GAAP measure that by definition does not include discrete tax items. We believe the term operating taxes helps to differentiate from effective taxes, which include discrete tax items.</w:t>
      </w:r>
    </w:p>
    <w:p>
      <w:pPr>
        <w:spacing w:after="0" w:line="200" w:lineRule="exact"/>
        <w:rPr>
          <w:sz w:val="20"/>
          <w:szCs w:val="20"/>
          <w:color w:val="auto"/>
        </w:rPr>
      </w:pPr>
    </w:p>
    <w:p>
      <w:pPr>
        <w:spacing w:after="0" w:line="295"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121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5"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153" w:lineRule="exact"/>
        <w:rPr>
          <w:sz w:val="20"/>
          <w:szCs w:val="20"/>
          <w:color w:val="auto"/>
        </w:rPr>
      </w:pPr>
    </w:p>
    <w:p>
      <w:pPr>
        <w:ind w:left="620" w:right="160" w:hanging="329"/>
        <w:spacing w:after="0" w:line="26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duration and scope of the COVID-19 pandemic, government and other third-party responses to it and the consequences for the global economy, including to our business and the businesses of our suppliers, customers and distributors;</w:t>
      </w:r>
    </w:p>
    <w:p>
      <w:pPr>
        <w:spacing w:after="0" w:line="1" w:lineRule="exact"/>
        <w:rPr>
          <w:rFonts w:ascii="Arial" w:cs="Arial" w:eastAsia="Arial" w:hAnsi="Arial"/>
          <w:sz w:val="18"/>
          <w:szCs w:val="18"/>
          <w:color w:val="auto"/>
        </w:rPr>
      </w:pPr>
    </w:p>
    <w:p>
      <w:pPr>
        <w:ind w:left="620" w:right="34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ind w:left="620" w:right="42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the industrial and automotive markets, and customer demand that differs from forecasts;</w:t>
      </w: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9" w:lineRule="exact"/>
        <w:rPr>
          <w:rFonts w:ascii="Arial" w:cs="Arial" w:eastAsia="Arial" w:hAnsi="Arial"/>
          <w:sz w:val="18"/>
          <w:szCs w:val="18"/>
          <w:color w:val="auto"/>
        </w:rPr>
      </w:pPr>
    </w:p>
    <w:p>
      <w:pPr>
        <w:ind w:left="620" w:right="6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vendors and other third parties;</w:t>
      </w:r>
    </w:p>
    <w:p>
      <w:pPr>
        <w:ind w:left="620" w:right="22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ind w:left="620" w:right="26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1" w:lineRule="exact"/>
        <w:rPr>
          <w:rFonts w:ascii="Arial" w:cs="Arial" w:eastAsia="Arial" w:hAnsi="Arial"/>
          <w:sz w:val="18"/>
          <w:szCs w:val="18"/>
          <w:color w:val="auto"/>
        </w:rPr>
      </w:pPr>
    </w:p>
    <w:p>
      <w:pPr>
        <w:ind w:left="620" w:right="60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ind w:left="620" w:right="120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software, manufacturing, delivery, services, design or communications, or recalls by our customers for a product containing one of our parts;</w:t>
      </w:r>
    </w:p>
    <w:p>
      <w:pPr>
        <w:jc w:val="both"/>
        <w:ind w:left="620" w:right="68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ind w:left="620" w:right="32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1" w:lineRule="exact"/>
        <w:rPr>
          <w:rFonts w:ascii="Arial" w:cs="Arial" w:eastAsia="Arial" w:hAnsi="Arial"/>
          <w:sz w:val="18"/>
          <w:szCs w:val="18"/>
          <w:color w:val="auto"/>
        </w:rPr>
      </w:pPr>
    </w:p>
    <w:p>
      <w:pPr>
        <w:ind w:left="620" w:right="66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and amount of customer inventory adjustments;</w:t>
      </w:r>
    </w:p>
    <w:p>
      <w:pPr>
        <w:spacing w:after="0" w:line="9" w:lineRule="exact"/>
        <w:rPr>
          <w:rFonts w:ascii="Arial" w:cs="Arial" w:eastAsia="Arial" w:hAnsi="Arial"/>
          <w:sz w:val="18"/>
          <w:szCs w:val="18"/>
          <w:color w:val="auto"/>
        </w:rPr>
      </w:pPr>
    </w:p>
    <w:p>
      <w:pPr>
        <w:ind w:left="620" w:right="16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ind w:left="620" w:right="14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 and</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0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release are made only as of the date of this release,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0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About Texas Instruments</w:t>
      </w:r>
    </w:p>
    <w:p>
      <w:pPr>
        <w:spacing w:after="0" w:line="22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 xml:space="preserve">Texas Instruments Incorporated (Nasdaq: TXN) is a global semiconductor company that designs, manufactures, tests and sells analog and embedded processing chips for markets such as industrial, automotive, personal electronics, communications equipment and enterprise systems. Our passion to create a better world by making electronics more affordable through semiconductors is alive today, as each generation of innovation builds upon the last to make our technology smaller, more efficient, more reliable and more affordable – making it possible for semiconductors to go into electronics everywhere. We think of this as Engineering Progress. It's what we do and have been doing for decades. Learn more at </w:t>
      </w:r>
      <w:r>
        <w:rPr>
          <w:rFonts w:ascii="Arial" w:cs="Arial" w:eastAsia="Arial" w:hAnsi="Arial"/>
          <w:sz w:val="18"/>
          <w:szCs w:val="18"/>
          <w:u w:val="single" w:color="auto"/>
          <w:color w:val="3A3AFF"/>
        </w:rPr>
        <w:t>TI.com</w:t>
      </w:r>
      <w:r>
        <w:rPr>
          <w:rFonts w:ascii="Arial" w:cs="Arial" w:eastAsia="Arial" w:hAnsi="Arial"/>
          <w:sz w:val="18"/>
          <w:szCs w:val="18"/>
          <w:color w:val="auto"/>
        </w:rPr>
        <w:t>.</w:t>
      </w: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sectPr>
      <w:pgSz w:w="11900" w:h="16838" w:orient="portrait"/>
      <w:cols w:equalWidth="0" w:num="1">
        <w:col w:w="11240"/>
      </w:cols>
      <w:pgMar w:left="320" w:top="11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99"/>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2023-01-24T15:05:21Z</dcterms:created>
  <dcterms:modified xsi:type="dcterms:W3CDTF">2023-01-24T15:05:21Z</dcterms:modified>
</cp:coreProperties>
</file>