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Pursuant to Section 13 or 15(d)</w:t>
      </w:r>
    </w:p>
    <w:p>
      <w:pPr>
        <w:spacing w:after="0" w:line="3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Date of Report: July 2, 1998</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spacing w:after="0" w:line="3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6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11"/>
        </w:trPr>
        <w:tc>
          <w:tcPr>
            <w:tcW w:w="46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Delaware</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1-3761</w:t>
            </w:r>
          </w:p>
        </w:tc>
        <w:tc>
          <w:tcPr>
            <w:tcW w:w="2200" w:type="dxa"/>
            <w:vAlign w:val="bottom"/>
          </w:tcPr>
          <w:p>
            <w:pPr>
              <w:ind w:left="620"/>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460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(Commission</w:t>
            </w:r>
          </w:p>
        </w:tc>
        <w:tc>
          <w:tcPr>
            <w:tcW w:w="22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(IRS Employer</w:t>
            </w:r>
          </w:p>
        </w:tc>
      </w:tr>
      <w:tr>
        <w:trPr>
          <w:trHeight w:val="296"/>
        </w:trPr>
        <w:tc>
          <w:tcPr>
            <w:tcW w:w="460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8"/>
              </w:rPr>
              <w:t>of incorporation)</w:t>
            </w:r>
          </w:p>
        </w:tc>
        <w:tc>
          <w:tcPr>
            <w:tcW w:w="1420" w:type="dxa"/>
            <w:vAlign w:val="bottom"/>
          </w:tcPr>
          <w:p>
            <w:pPr>
              <w:jc w:val="center"/>
              <w:ind w:right="92"/>
              <w:spacing w:after="0"/>
              <w:rPr>
                <w:sz w:val="20"/>
                <w:szCs w:val="20"/>
                <w:color w:val="auto"/>
              </w:rPr>
            </w:pPr>
            <w:r>
              <w:rPr>
                <w:rFonts w:ascii="Courier New" w:cs="Courier New" w:eastAsia="Courier New" w:hAnsi="Courier New"/>
                <w:sz w:val="18"/>
                <w:szCs w:val="18"/>
                <w:color w:val="auto"/>
                <w:w w:val="98"/>
              </w:rPr>
              <w:t>File No.)</w:t>
            </w:r>
          </w:p>
        </w:tc>
        <w:tc>
          <w:tcPr>
            <w:tcW w:w="220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Identification No.)</w:t>
            </w:r>
          </w:p>
        </w:tc>
      </w:tr>
      <w:tr>
        <w:trPr>
          <w:trHeight w:val="311"/>
        </w:trPr>
        <w:tc>
          <w:tcPr>
            <w:tcW w:w="46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8505 Forest Lane</w:t>
            </w:r>
          </w:p>
        </w:tc>
        <w:tc>
          <w:tcPr>
            <w:tcW w:w="1420" w:type="dxa"/>
            <w:vAlign w:val="bottom"/>
          </w:tcPr>
          <w:p>
            <w:pPr>
              <w:spacing w:after="0"/>
              <w:rPr>
                <w:sz w:val="24"/>
                <w:szCs w:val="24"/>
                <w:color w:val="auto"/>
              </w:rPr>
            </w:pPr>
          </w:p>
        </w:tc>
        <w:tc>
          <w:tcPr>
            <w:tcW w:w="2200" w:type="dxa"/>
            <w:vAlign w:val="bottom"/>
          </w:tcPr>
          <w:p>
            <w:pPr>
              <w:ind w:left="620"/>
              <w:spacing w:after="0"/>
              <w:rPr>
                <w:sz w:val="20"/>
                <w:szCs w:val="20"/>
                <w:color w:val="auto"/>
              </w:rPr>
            </w:pPr>
            <w:r>
              <w:rPr>
                <w:rFonts w:ascii="Courier New" w:cs="Courier New" w:eastAsia="Courier New" w:hAnsi="Courier New"/>
                <w:sz w:val="18"/>
                <w:szCs w:val="18"/>
                <w:color w:val="auto"/>
              </w:rPr>
              <w:t>75266-0199</w:t>
            </w:r>
          </w:p>
        </w:tc>
      </w:tr>
      <w:tr>
        <w:trPr>
          <w:trHeight w:val="203"/>
        </w:trPr>
        <w:tc>
          <w:tcPr>
            <w:tcW w:w="460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P.O. Box 660199</w:t>
            </w:r>
          </w:p>
        </w:tc>
        <w:tc>
          <w:tcPr>
            <w:tcW w:w="1420" w:type="dxa"/>
            <w:vAlign w:val="bottom"/>
          </w:tcPr>
          <w:p>
            <w:pPr>
              <w:spacing w:after="0"/>
              <w:rPr>
                <w:sz w:val="17"/>
                <w:szCs w:val="17"/>
                <w:color w:val="auto"/>
              </w:rPr>
            </w:pPr>
          </w:p>
        </w:tc>
        <w:tc>
          <w:tcPr>
            <w:tcW w:w="2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460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6"/>
              </w:rPr>
              <w:t>Dallas, Texas</w:t>
            </w:r>
          </w:p>
        </w:tc>
        <w:tc>
          <w:tcPr>
            <w:tcW w:w="14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96"/>
        </w:trPr>
        <w:tc>
          <w:tcPr>
            <w:tcW w:w="460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(Address of principal executive offices)</w:t>
            </w: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109"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972-995-3773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(Former name or former address, if changed since last report.)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See the attached press release dated June 19,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4"/>
          <w:szCs w:val="24"/>
          <w:color w:val="auto"/>
        </w:rPr>
      </w:pPr>
    </w:p>
    <w:p>
      <w:pPr>
        <w:ind w:right="1999" w:firstLine="1580"/>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By: /s/ William A. Aylesworth</w:t>
      </w:r>
    </w:p>
    <w:p>
      <w:pPr>
        <w:spacing w:after="0" w:line="29"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4640"/>
        <w:spacing w:after="0" w:line="238" w:lineRule="auto"/>
        <w:rPr>
          <w:sz w:val="20"/>
          <w:szCs w:val="20"/>
          <w:color w:val="auto"/>
        </w:rPr>
      </w:pPr>
      <w:r>
        <w:rPr>
          <w:rFonts w:ascii="Courier New" w:cs="Courier New" w:eastAsia="Courier New" w:hAnsi="Courier New"/>
          <w:sz w:val="18"/>
          <w:szCs w:val="18"/>
          <w:color w:val="auto"/>
        </w:rPr>
        <w:t>William A. Aylesworth</w:t>
      </w:r>
    </w:p>
    <w:p>
      <w:pPr>
        <w:ind w:left="4640"/>
        <w:spacing w:after="0"/>
        <w:rPr>
          <w:sz w:val="20"/>
          <w:szCs w:val="20"/>
          <w:color w:val="auto"/>
        </w:rPr>
      </w:pPr>
      <w:r>
        <w:rPr>
          <w:rFonts w:ascii="Courier New" w:cs="Courier New" w:eastAsia="Courier New" w:hAnsi="Courier New"/>
          <w:sz w:val="18"/>
          <w:szCs w:val="18"/>
          <w:color w:val="auto"/>
        </w:rPr>
        <w:t>Senior Vice President,</w:t>
      </w:r>
    </w:p>
    <w:p>
      <w:pPr>
        <w:ind w:left="4640"/>
        <w:spacing w:after="0" w:line="238" w:lineRule="auto"/>
        <w:rPr>
          <w:sz w:val="20"/>
          <w:szCs w:val="20"/>
          <w:color w:val="auto"/>
        </w:rPr>
      </w:pPr>
      <w:r>
        <w:rPr>
          <w:rFonts w:ascii="Courier New" w:cs="Courier New" w:eastAsia="Courier New" w:hAnsi="Courier New"/>
          <w:sz w:val="18"/>
          <w:szCs w:val="18"/>
          <w:color w:val="auto"/>
        </w:rPr>
        <w:t>Treasurer and Chief Financial</w:t>
      </w:r>
    </w:p>
    <w:p>
      <w:pPr>
        <w:ind w:left="4640"/>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2, 1998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PRESS RELEASE</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Texas Instruments Adopts New Stockholder Rights Plan</w:t>
      </w:r>
    </w:p>
    <w:p>
      <w:pPr>
        <w:spacing w:after="0" w:line="201" w:lineRule="exact"/>
        <w:rPr>
          <w:sz w:val="24"/>
          <w:szCs w:val="24"/>
          <w:color w:val="auto"/>
        </w:rPr>
      </w:pPr>
    </w:p>
    <w:p>
      <w:pPr>
        <w:ind w:right="2519"/>
        <w:spacing w:after="0" w:line="344" w:lineRule="auto"/>
        <w:rPr>
          <w:sz w:val="20"/>
          <w:szCs w:val="20"/>
          <w:color w:val="auto"/>
        </w:rPr>
      </w:pPr>
      <w:r>
        <w:rPr>
          <w:rFonts w:ascii="Courier New" w:cs="Courier New" w:eastAsia="Courier New" w:hAnsi="Courier New"/>
          <w:sz w:val="16"/>
          <w:szCs w:val="16"/>
          <w:color w:val="auto"/>
        </w:rPr>
        <w:t>Dallas (June 19, 1998) -- Texas Instruments Incorporated (NYSE:TXN) announced today that its Board of Directors has adopted a new Stockholder Rights Plan to replace the rights plan that expired on June 17, 1998.</w:t>
      </w:r>
    </w:p>
    <w:p>
      <w:pPr>
        <w:sectPr>
          <w:pgSz w:w="11900" w:h="16999" w:orient="portrait"/>
          <w:cols w:equalWidth="0" w:num="1">
            <w:col w:w="10219"/>
          </w:cols>
          <w:pgMar w:left="240" w:top="420" w:right="1440" w:bottom="0" w:gutter="0" w:footer="0" w:header="0"/>
        </w:sectPr>
      </w:pPr>
    </w:p>
    <w:bookmarkStart w:id="1" w:name="page2"/>
    <w:bookmarkEnd w:id="1"/>
    <w:p>
      <w:pPr>
        <w:ind w:right="2319"/>
        <w:spacing w:after="0" w:line="260" w:lineRule="auto"/>
        <w:rPr>
          <w:sz w:val="20"/>
          <w:szCs w:val="20"/>
          <w:color w:val="auto"/>
        </w:rPr>
      </w:pPr>
      <w:r>
        <w:rPr>
          <w:rFonts w:ascii="Courier New" w:cs="Courier New" w:eastAsia="Courier New" w:hAnsi="Courier New"/>
          <w:sz w:val="18"/>
          <w:szCs w:val="18"/>
          <w:color w:val="auto"/>
        </w:rPr>
        <w:t>Under the new plan, which is substantially similar to the expired plan, Rights will be distributed as a dividend at the rate of one Right for each share of common stock of the company held by stockholders of record at the close of business on June 30, 1998. Each Right will entitle stockholders to buy, upon occurrence of certain events, one unit of a share of preferred stock for $200.</w:t>
      </w:r>
    </w:p>
    <w:p>
      <w:pPr>
        <w:spacing w:after="0" w:line="93" w:lineRule="exact"/>
        <w:rPr>
          <w:sz w:val="20"/>
          <w:szCs w:val="20"/>
          <w:color w:val="auto"/>
        </w:rPr>
      </w:pPr>
    </w:p>
    <w:p>
      <w:pPr>
        <w:ind w:right="2319"/>
        <w:spacing w:after="0" w:line="265" w:lineRule="auto"/>
        <w:rPr>
          <w:sz w:val="20"/>
          <w:szCs w:val="20"/>
          <w:color w:val="auto"/>
        </w:rPr>
      </w:pPr>
      <w:r>
        <w:rPr>
          <w:rFonts w:ascii="Courier New" w:cs="Courier New" w:eastAsia="Courier New" w:hAnsi="Courier New"/>
          <w:sz w:val="18"/>
          <w:szCs w:val="18"/>
          <w:color w:val="auto"/>
        </w:rPr>
        <w:t>The Rights generally will be exercisable only if a person or group acquires beneficial ownership of 20 percent or more of the company's common stock, or commences a tender or exchange offer that, upon consummation, would result in a person or group owning 20 percent or more of the company's common stock.</w:t>
      </w:r>
    </w:p>
    <w:p>
      <w:pPr>
        <w:spacing w:after="0" w:line="90"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Under certain circumstances the new Rights are redeemable at a price of 1 cent per Right and will expire on June 18, 2008.</w:t>
      </w:r>
    </w:p>
    <w:p>
      <w:pPr>
        <w:spacing w:after="0" w:line="221" w:lineRule="exact"/>
        <w:rPr>
          <w:sz w:val="20"/>
          <w:szCs w:val="20"/>
          <w:color w:val="auto"/>
        </w:rPr>
      </w:pPr>
    </w:p>
    <w:p>
      <w:pPr>
        <w:ind w:left="3380"/>
        <w:spacing w:after="0"/>
        <w:tabs>
          <w:tab w:leader="none" w:pos="3680" w:val="left"/>
          <w:tab w:leader="none" w:pos="4000" w:val="left"/>
          <w:tab w:leader="none" w:pos="4300" w:val="left"/>
        </w:tabs>
        <w:rPr>
          <w:sz w:val="20"/>
          <w:szCs w:val="20"/>
          <w:color w:val="auto"/>
        </w:rPr>
      </w:pPr>
      <w:r>
        <w:rPr>
          <w:rFonts w:ascii="Courier New" w:cs="Courier New" w:eastAsia="Courier New" w:hAnsi="Courier New"/>
          <w:sz w:val="18"/>
          <w:szCs w:val="18"/>
          <w:color w:val="auto"/>
        </w:rPr>
        <w:t>#</w:t>
        <w:tab/>
        <w:t>#</w:t>
        <w:tab/>
        <w:t>#</w:t>
        <w:tab/>
        <w: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2019-12-13T07:45:25Z</dcterms:created>
  <dcterms:modified xsi:type="dcterms:W3CDTF">2019-12-13T07:45:25Z</dcterms:modified>
</cp:coreProperties>
</file>