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DATE OF REPORT (DATE OF EARLIEST EVENT REPORTED): January 26,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1540"/>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5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345"/>
        </w:trPr>
        <w:tc>
          <w:tcPr>
            <w:tcW w:w="2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57"/>
        </w:trPr>
        <w:tc>
          <w:tcPr>
            <w:tcW w:w="2080" w:type="dxa"/>
            <w:vAlign w:val="bottom"/>
          </w:tcPr>
          <w:p>
            <w:pPr>
              <w:jc w:val="center"/>
              <w:ind w:right="342"/>
              <w:spacing w:after="0"/>
              <w:rPr>
                <w:sz w:val="20"/>
                <w:szCs w:val="20"/>
                <w:color w:val="auto"/>
              </w:rPr>
            </w:pPr>
            <w:r>
              <w:rPr>
                <w:rFonts w:ascii="Arial" w:cs="Arial" w:eastAsia="Arial" w:hAnsi="Arial"/>
                <w:sz w:val="18"/>
                <w:szCs w:val="18"/>
                <w:b w:val="1"/>
                <w:bCs w:val="1"/>
                <w:color w:val="auto"/>
                <w:w w:val="98"/>
              </w:rPr>
              <w:t>DELAWARE</w:t>
            </w:r>
          </w:p>
        </w:tc>
        <w:tc>
          <w:tcPr>
            <w:tcW w:w="3700" w:type="dxa"/>
            <w:vAlign w:val="bottom"/>
            <w:gridSpan w:val="2"/>
          </w:tcPr>
          <w:p>
            <w:pPr>
              <w:ind w:left="2260"/>
              <w:spacing w:after="0"/>
              <w:rPr>
                <w:sz w:val="20"/>
                <w:szCs w:val="20"/>
                <w:color w:val="auto"/>
              </w:rPr>
            </w:pPr>
            <w:r>
              <w:rPr>
                <w:rFonts w:ascii="Arial" w:cs="Arial" w:eastAsia="Arial" w:hAnsi="Arial"/>
                <w:sz w:val="18"/>
                <w:szCs w:val="18"/>
                <w:b w:val="1"/>
                <w:bCs w:val="1"/>
                <w:color w:val="auto"/>
              </w:rPr>
              <w:t>001-03761</w:t>
            </w:r>
          </w:p>
        </w:tc>
        <w:tc>
          <w:tcPr>
            <w:tcW w:w="152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080" w:type="dxa"/>
            <w:vAlign w:val="bottom"/>
          </w:tcPr>
          <w:p>
            <w:pPr>
              <w:jc w:val="center"/>
              <w:ind w:right="3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320" w:type="dxa"/>
            <w:vAlign w:val="bottom"/>
          </w:tcPr>
          <w:p>
            <w:pPr>
              <w:spacing w:after="0"/>
              <w:rPr>
                <w:sz w:val="12"/>
                <w:szCs w:val="12"/>
                <w:color w:val="auto"/>
              </w:rPr>
            </w:pPr>
          </w:p>
        </w:tc>
        <w:tc>
          <w:tcPr>
            <w:tcW w:w="3900" w:type="dxa"/>
            <w:vAlign w:val="bottom"/>
            <w:gridSpan w:val="2"/>
          </w:tcPr>
          <w:p>
            <w:pPr>
              <w:ind w:left="92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080" w:type="dxa"/>
            <w:vAlign w:val="bottom"/>
          </w:tcPr>
          <w:p>
            <w:pPr>
              <w:jc w:val="center"/>
              <w:ind w:right="342"/>
              <w:spacing w:after="0"/>
              <w:rPr>
                <w:sz w:val="20"/>
                <w:szCs w:val="20"/>
                <w:color w:val="auto"/>
              </w:rPr>
            </w:pPr>
            <w:r>
              <w:rPr>
                <w:rFonts w:ascii="Arial" w:cs="Arial" w:eastAsia="Arial" w:hAnsi="Arial"/>
                <w:sz w:val="14"/>
                <w:szCs w:val="14"/>
                <w:b w:val="1"/>
                <w:bCs w:val="1"/>
                <w:color w:val="auto"/>
                <w:w w:val="94"/>
              </w:rPr>
              <w:t>of incorporation)</w:t>
            </w:r>
          </w:p>
        </w:tc>
        <w:tc>
          <w:tcPr>
            <w:tcW w:w="1320" w:type="dxa"/>
            <w:vAlign w:val="bottom"/>
          </w:tcPr>
          <w:p>
            <w:pPr>
              <w:spacing w:after="0"/>
              <w:rPr>
                <w:sz w:val="16"/>
                <w:szCs w:val="16"/>
                <w:color w:val="auto"/>
              </w:rPr>
            </w:pPr>
          </w:p>
        </w:tc>
        <w:tc>
          <w:tcPr>
            <w:tcW w:w="3900" w:type="dxa"/>
            <w:vAlign w:val="bottom"/>
            <w:gridSpan w:val="2"/>
          </w:tcPr>
          <w:p>
            <w:pPr>
              <w:ind w:left="94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412"/>
        </w:trPr>
        <w:tc>
          <w:tcPr>
            <w:tcW w:w="2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90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6"/>
        </w:trPr>
        <w:tc>
          <w:tcPr>
            <w:tcW w:w="2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90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92"/>
              </w:rPr>
              <w:t>P.O. BOX 660199</w:t>
            </w:r>
          </w:p>
        </w:tc>
        <w:tc>
          <w:tcPr>
            <w:tcW w:w="1720" w:type="dxa"/>
            <w:vAlign w:val="bottom"/>
          </w:tcPr>
          <w:p>
            <w:pPr>
              <w:spacing w:after="0"/>
              <w:rPr>
                <w:sz w:val="18"/>
                <w:szCs w:val="18"/>
                <w:color w:val="auto"/>
              </w:rPr>
            </w:pPr>
          </w:p>
        </w:tc>
      </w:tr>
      <w:tr>
        <w:trPr>
          <w:trHeight w:val="212"/>
        </w:trPr>
        <w:tc>
          <w:tcPr>
            <w:tcW w:w="2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90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95"/>
              </w:rPr>
              <w:t>DALLAS, TEXAS 75266-0199</w:t>
            </w:r>
          </w:p>
        </w:tc>
        <w:tc>
          <w:tcPr>
            <w:tcW w:w="1720" w:type="dxa"/>
            <w:vAlign w:val="bottom"/>
          </w:tcPr>
          <w:p>
            <w:pPr>
              <w:spacing w:after="0"/>
              <w:rPr>
                <w:sz w:val="18"/>
                <w:szCs w:val="18"/>
                <w:color w:val="auto"/>
              </w:rPr>
            </w:pPr>
          </w:p>
        </w:tc>
      </w:tr>
      <w:tr>
        <w:trPr>
          <w:trHeight w:val="186"/>
        </w:trPr>
        <w:tc>
          <w:tcPr>
            <w:tcW w:w="2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900" w:type="dxa"/>
            <w:vAlign w:val="bottom"/>
            <w:gridSpan w:val="2"/>
          </w:tcPr>
          <w:p>
            <w:pPr>
              <w:jc w:val="center"/>
              <w:ind w:right="15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080" w:type="dxa"/>
            <w:vAlign w:val="bottom"/>
          </w:tcPr>
          <w:p>
            <w:pPr>
              <w:spacing w:after="0"/>
              <w:rPr>
                <w:sz w:val="24"/>
                <w:szCs w:val="24"/>
                <w:color w:val="auto"/>
              </w:rPr>
            </w:pPr>
          </w:p>
        </w:tc>
        <w:tc>
          <w:tcPr>
            <w:tcW w:w="5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Registrant’s news release dated January 26, 2015, regarding its fourth-quarter and 2014 results of operations and financial condition is attached hereto as Exhibit 99.</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attached news release includes references to the following financial measures that were not prepared in accordance with generally accepted accounting principles in the United States (non-GAAP measures): free cash flow, ratios based on free cash flow, and earnings per share, excluding two items, compared with previously issued guidance. The company believes these non-GAAP measures provide insight into its liquidity, its cash generating capability and the amount of cash potentially available to return to investors, as well as insight into its financial performance and underlying results. These non-GAAP measures are supplemental to the comparable GAAP measures. Reconciliation to the most directly comparable GAAP measures is included in the “Non-GAAP financial information” section of the news release.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center"/>
              <w:spacing w:after="0"/>
              <w:rPr>
                <w:sz w:val="20"/>
                <w:szCs w:val="20"/>
                <w:color w:val="auto"/>
              </w:rPr>
            </w:pPr>
            <w:r>
              <w:rPr>
                <w:rFonts w:ascii="Arial" w:cs="Arial" w:eastAsia="Arial" w:hAnsi="Arial"/>
                <w:sz w:val="14"/>
                <w:szCs w:val="14"/>
                <w:color w:val="auto"/>
                <w:w w:val="91"/>
              </w:rPr>
              <w:t>Designation</w:t>
            </w: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149"/>
        </w:trPr>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rPr>
              <w:t>of Exhibit</w:t>
            </w: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40" w:type="dxa"/>
            <w:vAlign w:val="bottom"/>
          </w:tcPr>
          <w:p>
            <w:pPr>
              <w:spacing w:after="0"/>
              <w:rPr>
                <w:sz w:val="12"/>
                <w:szCs w:val="12"/>
                <w:color w:val="auto"/>
              </w:rPr>
            </w:pPr>
          </w:p>
        </w:tc>
      </w:tr>
      <w:tr>
        <w:trPr>
          <w:trHeight w:val="149"/>
        </w:trPr>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8"/>
              </w:rPr>
              <w:t>in this</w:t>
            </w: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40" w:type="dxa"/>
            <w:vAlign w:val="bottom"/>
          </w:tcPr>
          <w:p>
            <w:pPr>
              <w:spacing w:after="0"/>
              <w:rPr>
                <w:sz w:val="12"/>
                <w:szCs w:val="12"/>
                <w:color w:val="auto"/>
              </w:rPr>
            </w:pPr>
          </w:p>
        </w:tc>
      </w:tr>
      <w:tr>
        <w:trPr>
          <w:trHeight w:val="167"/>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Report</w:t>
            </w:r>
          </w:p>
        </w:tc>
        <w:tc>
          <w:tcPr>
            <w:tcW w:w="940" w:type="dxa"/>
            <w:vAlign w:val="bottom"/>
          </w:tcPr>
          <w:p>
            <w:pPr>
              <w:spacing w:after="0"/>
              <w:rPr>
                <w:sz w:val="14"/>
                <w:szCs w:val="1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Description of Exhibit</w:t>
            </w:r>
          </w:p>
        </w:tc>
        <w:tc>
          <w:tcPr>
            <w:tcW w:w="2840" w:type="dxa"/>
            <w:vAlign w:val="bottom"/>
          </w:tcPr>
          <w:p>
            <w:pPr>
              <w:spacing w:after="0"/>
              <w:rPr>
                <w:sz w:val="14"/>
                <w:szCs w:val="14"/>
                <w:color w:val="auto"/>
              </w:rPr>
            </w:pPr>
          </w:p>
        </w:tc>
      </w:tr>
      <w:tr>
        <w:trPr>
          <w:trHeight w:val="303"/>
        </w:trPr>
        <w:tc>
          <w:tcPr>
            <w:tcW w:w="720" w:type="dxa"/>
            <w:vAlign w:val="bottom"/>
          </w:tcPr>
          <w:p>
            <w:pPr>
              <w:jc w:val="right"/>
              <w:ind w:right="464"/>
              <w:spacing w:after="0"/>
              <w:rPr>
                <w:sz w:val="20"/>
                <w:szCs w:val="20"/>
                <w:color w:val="auto"/>
              </w:rPr>
            </w:pPr>
            <w:r>
              <w:rPr>
                <w:rFonts w:ascii="Arial" w:cs="Arial" w:eastAsia="Arial" w:hAnsi="Arial"/>
                <w:sz w:val="18"/>
                <w:szCs w:val="18"/>
                <w:color w:val="auto"/>
                <w:w w:val="79"/>
              </w:rPr>
              <w:t>99</w:t>
            </w:r>
          </w:p>
        </w:tc>
        <w:tc>
          <w:tcPr>
            <w:tcW w:w="94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Registrant’s News Release</w:t>
            </w:r>
          </w:p>
        </w:tc>
      </w:tr>
      <w:tr>
        <w:trPr>
          <w:trHeight w:val="230"/>
        </w:trPr>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w w:val="89"/>
              </w:rPr>
              <w:t>Dated January 26, 2015 (furnished pursuant to Item 2.02)</w:t>
            </w:r>
          </w:p>
        </w:tc>
      </w:tr>
    </w:tbl>
    <w:p>
      <w:pPr>
        <w:sectPr>
          <w:pgSz w:w="11900" w:h="16838" w:orient="portrait"/>
          <w:cols w:equalWidth="0" w:num="1">
            <w:col w:w="11380"/>
          </w:cols>
          <w:pgMar w:left="240" w:top="274" w:right="27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January 26, 2015</w:t>
      </w:r>
      <w:r>
        <w:rPr>
          <w:sz w:val="20"/>
          <w:szCs w:val="20"/>
          <w:color w:val="auto"/>
        </w:rPr>
        <w:tab/>
      </w:r>
      <w:r>
        <w:rPr>
          <w:rFonts w:ascii="Arial" w:cs="Arial" w:eastAsia="Arial" w:hAnsi="Arial"/>
          <w:sz w:val="16"/>
          <w:szCs w:val="16"/>
          <w:color w:val="auto"/>
        </w:rPr>
        <w:t>By:  /s/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27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4Q14 and 2014 financial results and shareholder returns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www.ti.com/ir</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DALLAS (Jan. 26, 2015) – Texas Instruments Incorporated (TI) (NASDAQ: TXN) today reported fourth-quarter revenue of $3.27 billion, net income of $825 million and earnings per share of 76 cents. Earnings per share included 7 cents for two items that were not in guidance for the quarter.</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Regarding the company’s performance and returns to shareholders, Rich Templeton, TI’s chairman, president and CEO, made the following comments:</w:t>
      </w:r>
    </w:p>
    <w:p>
      <w:pPr>
        <w:spacing w:after="0" w:line="142" w:lineRule="exact"/>
        <w:rPr>
          <w:sz w:val="20"/>
          <w:szCs w:val="20"/>
          <w:color w:val="auto"/>
        </w:rPr>
      </w:pPr>
    </w:p>
    <w:p>
      <w:pPr>
        <w:ind w:left="460" w:right="32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growth of 8 percent year-over-year was consistent with our expectations, as were earnings per share, excluding the two items. Strength in both of these came from another quarter of strong execution.</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“Analog and Embedded Processing drove revenue growth in the quarter, and combined, they comprised 85 percent of fourth-quarter revenue.</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“Gross margin of 58.0 percent reflects the diversity and longevity of our product portfolio, as well as the efficiency of our manufacturing strategy.</w:t>
      </w:r>
    </w:p>
    <w:p>
      <w:pPr>
        <w:spacing w:after="0" w:line="142" w:lineRule="exact"/>
        <w:rPr>
          <w:rFonts w:ascii="Arial" w:cs="Arial" w:eastAsia="Arial" w:hAnsi="Arial"/>
          <w:sz w:val="17"/>
          <w:szCs w:val="17"/>
          <w:color w:val="auto"/>
        </w:rPr>
      </w:pPr>
    </w:p>
    <w:p>
      <w:pPr>
        <w:ind w:left="460" w:right="40" w:hanging="452"/>
        <w:spacing w:after="0" w:line="26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cash flow from operations once again underscores the strength of our business model. Free cash flow for the year was up 18 percent from a year ago to $3.5 billion or 27 percent of revenue. This represents an increase of 3 percentage points from a year ago and is consistent with our targeted range of 20-30 percent of revenue.</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returned $4.2 billion to shareholders in the year through stock repurchases and dividends.</w:t>
      </w:r>
    </w:p>
    <w:p>
      <w:pPr>
        <w:spacing w:after="0" w:line="130"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strategy to return to shareholders 100 percent of free cash flow plus proceeds from exercises of equity compensation minus net debt retirement reflects our confidence in the long-term sustainability of our business model.</w:t>
      </w:r>
    </w:p>
    <w:p>
      <w:pPr>
        <w:spacing w:after="0" w:line="75"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balance sheet remains strong, with $3.5 billion of cash and short-term investments at the end of the quarter, 82 percent of which was owned by the company’s U.S. entities. Inventory ended the quarter at 117 days.</w:t>
      </w:r>
    </w:p>
    <w:p>
      <w:pPr>
        <w:spacing w:after="0" w:line="75" w:lineRule="exact"/>
        <w:rPr>
          <w:rFonts w:ascii="Arial" w:cs="Arial" w:eastAsia="Arial" w:hAnsi="Arial"/>
          <w:sz w:val="18"/>
          <w:szCs w:val="18"/>
          <w:color w:val="auto"/>
        </w:rPr>
      </w:pPr>
    </w:p>
    <w:p>
      <w:pPr>
        <w:ind w:left="460" w:right="20" w:hanging="452"/>
        <w:spacing w:after="0" w:line="26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outlook for the first quarter of 2015 is for revenue in the range of $3.07 billion to $3.33 billion and earnings per share between $0.57 and $0.67. At the midpoint of our range, revenue would increase 7 percent from the year-ago quarter. The annual effective tax rate for 2015 is expected to be about 30 percent, which does not assume the reinstatement of the R&amp;D tax credit.”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is a non-GAAP financial measure. Free cash flow is cash flow from operations less capital expenditures.</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4Q14</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4Q13</w:t>
            </w:r>
          </w:p>
        </w:tc>
        <w:tc>
          <w:tcPr>
            <w:tcW w:w="5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Change</w:t>
            </w:r>
          </w:p>
        </w:tc>
        <w:tc>
          <w:tcPr>
            <w:tcW w:w="200" w:type="dxa"/>
            <w:vAlign w:val="bottom"/>
            <w:tcBorders>
              <w:bottom w:val="single" w:sz="8" w:color="CCEEFF"/>
            </w:tcBorders>
          </w:tcPr>
          <w:p>
            <w:pPr>
              <w:spacing w:after="0"/>
              <w:rPr>
                <w:sz w:val="14"/>
                <w:szCs w:val="14"/>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3,269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3,028</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Operating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1,100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687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0.76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0.46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Earnings per share for the fourth quarter of 2014 included two items that were not in our guidance for the quarter: a 5-cent benefit for the reinstatement in December 2014 of the federal research tax credit and a 2-cent benefit from gains on sales of assets.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generation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4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w w:val="87"/>
              </w:rPr>
              <w:t>4Q14</w:t>
            </w:r>
          </w:p>
        </w:tc>
        <w:tc>
          <w:tcPr>
            <w:tcW w:w="4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780"/>
              <w:spacing w:after="0"/>
              <w:rPr>
                <w:sz w:val="20"/>
                <w:szCs w:val="20"/>
                <w:color w:val="auto"/>
              </w:rPr>
            </w:pPr>
            <w:r>
              <w:rPr>
                <w:rFonts w:ascii="Arial" w:cs="Arial" w:eastAsia="Arial" w:hAnsi="Arial"/>
                <w:sz w:val="14"/>
                <w:szCs w:val="14"/>
                <w:color w:val="auto"/>
              </w:rPr>
              <w:t>Trailing 12 Months</w:t>
            </w:r>
          </w:p>
        </w:tc>
        <w:tc>
          <w:tcPr>
            <w:tcW w:w="440" w:type="dxa"/>
            <w:vAlign w:val="bottom"/>
            <w:vMerge w:val="restart"/>
          </w:tcPr>
          <w:p>
            <w:pPr>
              <w:spacing w:after="0"/>
              <w:rPr>
                <w:sz w:val="20"/>
                <w:szCs w:val="20"/>
                <w:color w:val="auto"/>
              </w:rPr>
            </w:pPr>
            <w:r>
              <w:rPr>
                <w:rFonts w:ascii="Arial" w:cs="Arial" w:eastAsia="Arial" w:hAnsi="Arial"/>
                <w:sz w:val="14"/>
                <w:szCs w:val="14"/>
                <w:color w:val="auto"/>
                <w:w w:val="85"/>
              </w:rPr>
              <w:t>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Borders>
              <w:bottom w:val="single" w:sz="8" w:color="CCEEFF"/>
            </w:tcBorders>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7"/>
              </w:rPr>
              <w:t>4Q14</w:t>
            </w:r>
          </w:p>
        </w:tc>
        <w:tc>
          <w:tcPr>
            <w:tcW w:w="5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7"/>
              </w:rPr>
              <w:t>4Q13</w:t>
            </w:r>
          </w:p>
        </w:tc>
        <w:tc>
          <w:tcPr>
            <w:tcW w:w="5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3,892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3,384</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Capital expenditures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385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412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1,147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3,507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2,972</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Free cash flow % of revenue</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year were 3 percent of revenue. Our long-term expectation is about 4 percent.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return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restart"/>
          </w:tcPr>
          <w:p>
            <w:pPr>
              <w:jc w:val="right"/>
              <w:ind w:right="14"/>
              <w:spacing w:after="0"/>
              <w:rPr>
                <w:sz w:val="20"/>
                <w:szCs w:val="20"/>
                <w:color w:val="auto"/>
              </w:rPr>
            </w:pPr>
            <w:r>
              <w:rPr>
                <w:rFonts w:ascii="Arial" w:cs="Arial" w:eastAsia="Arial" w:hAnsi="Arial"/>
                <w:sz w:val="14"/>
                <w:szCs w:val="14"/>
                <w:color w:val="auto"/>
                <w:w w:val="87"/>
              </w:rPr>
              <w:t>4Q14</w:t>
            </w:r>
          </w:p>
        </w:tc>
        <w:tc>
          <w:tcPr>
            <w:tcW w:w="460" w:type="dxa"/>
            <w:vAlign w:val="bottom"/>
            <w:vMerge w:val="restart"/>
          </w:tcPr>
          <w:p>
            <w:pPr>
              <w:spacing w:after="0"/>
              <w:rPr>
                <w:sz w:val="14"/>
                <w:szCs w:val="14"/>
                <w:color w:val="auto"/>
              </w:rPr>
            </w:pPr>
          </w:p>
        </w:tc>
        <w:tc>
          <w:tcPr>
            <w:tcW w:w="1960" w:type="dxa"/>
            <w:vAlign w:val="bottom"/>
            <w:gridSpan w:val="4"/>
          </w:tcPr>
          <w:p>
            <w:pPr>
              <w:ind w:left="180"/>
              <w:spacing w:after="0"/>
              <w:rPr>
                <w:sz w:val="20"/>
                <w:szCs w:val="20"/>
                <w:color w:val="auto"/>
              </w:rPr>
            </w:pPr>
            <w:r>
              <w:rPr>
                <w:rFonts w:ascii="Arial" w:cs="Arial" w:eastAsia="Arial" w:hAnsi="Arial"/>
                <w:sz w:val="14"/>
                <w:szCs w:val="14"/>
                <w:color w:val="auto"/>
              </w:rPr>
              <w:t>Trailing 12 Months</w:t>
            </w:r>
          </w:p>
        </w:tc>
        <w:tc>
          <w:tcPr>
            <w:tcW w:w="440" w:type="dxa"/>
            <w:vAlign w:val="bottom"/>
            <w:vMerge w:val="restart"/>
          </w:tcPr>
          <w:p>
            <w:pPr>
              <w:spacing w:after="0"/>
              <w:rPr>
                <w:sz w:val="20"/>
                <w:szCs w:val="20"/>
                <w:color w:val="auto"/>
              </w:rPr>
            </w:pPr>
            <w:r>
              <w:rPr>
                <w:rFonts w:ascii="Arial" w:cs="Arial" w:eastAsia="Arial" w:hAnsi="Arial"/>
                <w:sz w:val="14"/>
                <w:szCs w:val="14"/>
                <w:color w:val="auto"/>
                <w:w w:val="85"/>
              </w:rPr>
              <w:t>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CCEEFF"/>
            </w:tcBorders>
            <w:vMerge w:val="continue"/>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4Q14</w:t>
            </w:r>
          </w:p>
        </w:tc>
        <w:tc>
          <w:tcPr>
            <w:tcW w:w="4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7"/>
              </w:rPr>
              <w:t>4Q13</w:t>
            </w:r>
          </w:p>
        </w:tc>
        <w:tc>
          <w:tcPr>
            <w:tcW w:w="4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$1,323</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$1,175</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Stock repurchases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698</w:t>
            </w:r>
          </w:p>
        </w:tc>
        <w:tc>
          <w:tcPr>
            <w:tcW w:w="980" w:type="dxa"/>
            <w:vAlign w:val="bottom"/>
            <w:gridSpan w:val="2"/>
          </w:tcPr>
          <w:p>
            <w:pPr>
              <w:spacing w:after="0"/>
              <w:rPr>
                <w:sz w:val="20"/>
                <w:szCs w:val="20"/>
                <w:color w:val="auto"/>
              </w:rPr>
            </w:pPr>
            <w:r>
              <w:rPr>
                <w:rFonts w:ascii="Arial" w:cs="Arial" w:eastAsia="Arial" w:hAnsi="Arial"/>
                <w:sz w:val="18"/>
                <w:szCs w:val="18"/>
                <w:color w:val="auto"/>
              </w:rPr>
              <w:t>$2,831</w:t>
            </w:r>
          </w:p>
        </w:tc>
        <w:tc>
          <w:tcPr>
            <w:tcW w:w="98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$2,868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cash returned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1,054</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$4,154</w:t>
            </w:r>
          </w:p>
        </w:tc>
        <w:tc>
          <w:tcPr>
            <w:tcW w:w="98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0"/>
              </w:rPr>
              <w:t>$4,043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company’s targeted cash return is 100 percent of free cash flow plus proceeds from exercises of equity compensation minus net debt retirement.</w:t>
      </w:r>
    </w:p>
    <w:p>
      <w:pPr>
        <w:sectPr>
          <w:pgSz w:w="11900" w:h="16838" w:orient="portrait"/>
          <w:cols w:equalWidth="0" w:num="1">
            <w:col w:w="11080"/>
          </w:cols>
          <w:pgMar w:left="240" w:top="270" w:right="5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86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4"/>
              </w:rPr>
              <w:t>For 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For Years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13,045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Cost of revenue (COR)</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1,374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5,618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7,427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1,843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Acquisition charges</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charges/other</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(27)</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 (OI&amp;E)</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3,874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262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Average diluted shares outstanding (millions)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a result of accounting rule ASC 260, which requires a portion of Net income to be allocated to unvested restricted stock units (RSUs), on which we pay dividend equivalents, diluted EPS is calculated using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825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7"/>
              </w:rPr>
              <w:t>2,821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Income allocated to RSUs</w:t>
            </w:r>
          </w:p>
        </w:tc>
        <w:tc>
          <w:tcPr>
            <w:tcW w:w="2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w:t>
            </w:r>
          </w:p>
        </w:tc>
        <w:tc>
          <w:tcPr>
            <w:tcW w:w="2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Income allocated to common stock for diluted EPS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7"/>
              </w:rPr>
              <w:t>2,778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2,342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allowances of ($12) and ($22)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700"/>
              <w:spacing w:after="0"/>
              <w:rPr>
                <w:sz w:val="20"/>
                <w:szCs w:val="20"/>
                <w:color w:val="auto"/>
              </w:rPr>
            </w:pPr>
            <w:r>
              <w:rPr>
                <w:rFonts w:ascii="Arial" w:cs="Arial" w:eastAsia="Arial" w:hAnsi="Arial"/>
                <w:sz w:val="18"/>
                <w:szCs w:val="18"/>
                <w:color w:val="auto"/>
              </w:rPr>
              <w:t>Raw materials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Work in process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896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700"/>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850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7,768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6,266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Accumulated depreciation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(3,426)</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60" w:type="dxa"/>
            <w:vAlign w:val="bottom"/>
            <w:gridSpan w:val="2"/>
          </w:tcPr>
          <w:p>
            <w:pPr>
              <w:spacing w:after="0"/>
              <w:rPr>
                <w:sz w:val="20"/>
                <w:szCs w:val="20"/>
                <w:color w:val="auto"/>
              </w:rPr>
            </w:pPr>
            <w:r>
              <w:rPr>
                <w:rFonts w:ascii="Arial" w:cs="Arial" w:eastAsia="Arial" w:hAnsi="Arial"/>
                <w:sz w:val="18"/>
                <w:szCs w:val="18"/>
                <w:color w:val="auto"/>
              </w:rPr>
              <w:t>Long-term investments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224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Acquisition-related intangibles,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1,902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8"/>
              </w:rPr>
              <w:t>17,722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18,938</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1,001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651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498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3,641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399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7,332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223"/>
        </w:trPr>
        <w:tc>
          <w:tcPr>
            <w:tcW w:w="96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Preferred stock, $25 par value. Authorized – 10,000,000 shares.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3"/>
            <w:vMerge w:val="restart"/>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Participating cumulative preferred. None issued.</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3"/>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40" w:type="dxa"/>
            <w:vAlign w:val="bottom"/>
          </w:tcPr>
          <w:p>
            <w:pPr>
              <w:ind w:left="340"/>
              <w:spacing w:after="0" w:line="201" w:lineRule="exact"/>
              <w:rPr>
                <w:sz w:val="20"/>
                <w:szCs w:val="20"/>
                <w:color w:val="auto"/>
              </w:rPr>
            </w:pPr>
            <w:r>
              <w:rPr>
                <w:rFonts w:ascii="Arial" w:cs="Arial" w:eastAsia="Arial" w:hAnsi="Arial"/>
                <w:sz w:val="18"/>
                <w:szCs w:val="18"/>
                <w:color w:val="auto"/>
              </w:rPr>
              <w:t>Common stock, $1 par value. Authorized – 2,400,000,000 shares.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1,741</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40" w:type="dxa"/>
            <w:vAlign w:val="bottom"/>
          </w:tcPr>
          <w:p>
            <w:pPr>
              <w:ind w:left="520"/>
              <w:spacing w:after="0"/>
              <w:rPr>
                <w:sz w:val="20"/>
                <w:szCs w:val="20"/>
                <w:color w:val="auto"/>
              </w:rPr>
            </w:pPr>
            <w:r>
              <w:rPr>
                <w:rFonts w:ascii="Arial" w:cs="Arial" w:eastAsia="Arial" w:hAnsi="Arial"/>
                <w:sz w:val="18"/>
                <w:szCs w:val="18"/>
                <w:color w:val="auto"/>
              </w:rPr>
              <w:t>Shares issued – 1,740,815,939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8"/>
              </w:rPr>
              <w:t>29,653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28,173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Treasury common stock at cost.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9"/>
              </w:rPr>
              <w:t>(21,840)</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Shares: 2014 – 694,189,127; 2013 – 658,012,970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3"/>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(19,790)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Accumulated other comprehensive income (loss), net of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(532)</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10,390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17,722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88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6"/>
              </w:rPr>
              <w:t>For Three Months Ended</w:t>
            </w:r>
          </w:p>
        </w:tc>
        <w:tc>
          <w:tcPr>
            <w:tcW w:w="120" w:type="dxa"/>
            <w:vAlign w:val="bottom"/>
          </w:tcPr>
          <w:p>
            <w:pPr>
              <w:spacing w:after="0"/>
              <w:rPr>
                <w:sz w:val="14"/>
                <w:szCs w:val="14"/>
                <w:color w:val="auto"/>
              </w:rPr>
            </w:pPr>
          </w:p>
        </w:tc>
        <w:tc>
          <w:tcPr>
            <w:tcW w:w="15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For Years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5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825</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511</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$ 2,821</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$ 2,162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Net income:</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70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213</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850</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acquisition-related intangibles</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321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700"/>
              <w:spacing w:after="0"/>
              <w:rPr>
                <w:sz w:val="20"/>
                <w:szCs w:val="20"/>
                <w:color w:val="auto"/>
              </w:rPr>
            </w:pPr>
            <w:r>
              <w:rPr>
                <w:rFonts w:ascii="Arial" w:cs="Arial" w:eastAsia="Arial" w:hAnsi="Arial"/>
                <w:sz w:val="18"/>
                <w:szCs w:val="18"/>
                <w:color w:val="auto"/>
              </w:rPr>
              <w:t>Amortization of capitalized software</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59</w:t>
            </w: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277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700"/>
              <w:spacing w:after="0"/>
              <w:rPr>
                <w:sz w:val="20"/>
                <w:szCs w:val="20"/>
                <w:color w:val="auto"/>
              </w:rPr>
            </w:pPr>
            <w:r>
              <w:rPr>
                <w:rFonts w:ascii="Arial" w:cs="Arial" w:eastAsia="Arial" w:hAnsi="Arial"/>
                <w:sz w:val="18"/>
                <w:szCs w:val="18"/>
                <w:color w:val="auto"/>
              </w:rPr>
              <w:t>Gains on sales of assets</w:t>
            </w:r>
          </w:p>
        </w:tc>
        <w:tc>
          <w:tcPr>
            <w:tcW w:w="14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(29)</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(73)</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Increase (decrease) from changes in:</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(49)</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(33)</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(53)</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(194)</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70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(81)</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funded status of retirement plans</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(32)</w:t>
            </w: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(21)</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(385)</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Proceeds from asset sales</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142</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short-term investments</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(937)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(3,107)</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Proceeds from short-term investments</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685</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2,966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(491)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(377)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Proceeds from issuance of debt</w:t>
            </w:r>
          </w:p>
        </w:tc>
        <w:tc>
          <w:tcPr>
            <w:tcW w:w="140" w:type="dxa"/>
            <w:vAlign w:val="bottom"/>
          </w:tcPr>
          <w:p>
            <w:pPr>
              <w:spacing w:after="0"/>
              <w:rPr>
                <w:sz w:val="18"/>
                <w:szCs w:val="18"/>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498</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debt</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(1,000)</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Dividends paid</w:t>
            </w:r>
          </w:p>
        </w:tc>
        <w:tc>
          <w:tcPr>
            <w:tcW w:w="14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(356)</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(1,323)</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repurchases</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(698)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(2,831)</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Proceeds from common stock transactions</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168</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616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share-based payments</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(888)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(884)</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(3,943)</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1,306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1,435</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1,627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$ 1,199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4Q14 segment results</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14"/>
                <w:szCs w:val="14"/>
                <w:color w:val="auto"/>
                <w:w w:val="87"/>
              </w:rPr>
              <w:t>4Q14</w:t>
            </w:r>
          </w:p>
        </w:tc>
        <w:tc>
          <w:tcPr>
            <w:tcW w:w="100" w:type="dxa"/>
            <w:vAlign w:val="bottom"/>
          </w:tcPr>
          <w:p>
            <w:pPr>
              <w:spacing w:after="0"/>
              <w:rPr>
                <w:sz w:val="14"/>
                <w:szCs w:val="14"/>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4"/>
                <w:szCs w:val="14"/>
                <w:color w:val="auto"/>
                <w:w w:val="87"/>
              </w:rPr>
              <w:t>4Q13</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Change</w:t>
            </w:r>
          </w:p>
        </w:tc>
      </w:tr>
      <w:tr>
        <w:trPr>
          <w:trHeight w:val="196"/>
        </w:trPr>
        <w:tc>
          <w:tcPr>
            <w:tcW w:w="68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Analog:</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220" w:type="dxa"/>
            <w:vAlign w:val="bottom"/>
          </w:tcPr>
          <w:p>
            <w:pPr>
              <w:spacing w:after="0"/>
              <w:rPr>
                <w:sz w:val="18"/>
                <w:szCs w:val="18"/>
                <w:color w:val="auto"/>
              </w:rPr>
            </w:pPr>
          </w:p>
        </w:tc>
        <w:tc>
          <w:tcPr>
            <w:tcW w:w="6660" w:type="dxa"/>
            <w:vAlign w:val="bottom"/>
          </w:tcPr>
          <w:p>
            <w:pPr>
              <w:ind w:left="14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2,123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1,869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220" w:type="dxa"/>
            <w:vAlign w:val="bottom"/>
            <w:shd w:val="clear" w:color="auto" w:fill="CCEEFF"/>
          </w:tcPr>
          <w:p>
            <w:pPr>
              <w:spacing w:after="0"/>
              <w:rPr>
                <w:sz w:val="18"/>
                <w:szCs w:val="18"/>
                <w:color w:val="auto"/>
              </w:rPr>
            </w:pPr>
          </w:p>
        </w:tc>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Embedded Processing:</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220" w:type="dxa"/>
            <w:vAlign w:val="bottom"/>
          </w:tcPr>
          <w:p>
            <w:pPr>
              <w:spacing w:after="0"/>
              <w:rPr>
                <w:sz w:val="18"/>
                <w:szCs w:val="18"/>
                <w:color w:val="auto"/>
              </w:rPr>
            </w:pPr>
          </w:p>
        </w:tc>
        <w:tc>
          <w:tcPr>
            <w:tcW w:w="6660" w:type="dxa"/>
            <w:vAlign w:val="bottom"/>
          </w:tcPr>
          <w:p>
            <w:pPr>
              <w:ind w:left="140"/>
              <w:spacing w:after="0"/>
              <w:rPr>
                <w:sz w:val="20"/>
                <w:szCs w:val="20"/>
                <w:color w:val="auto"/>
              </w:rPr>
            </w:pPr>
            <w:r>
              <w:rPr>
                <w:rFonts w:ascii="Arial" w:cs="Arial" w:eastAsia="Arial" w:hAnsi="Arial"/>
                <w:sz w:val="18"/>
                <w:szCs w:val="18"/>
                <w:color w:val="auto"/>
              </w:rPr>
              <w:t>Operating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114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6660" w:type="dxa"/>
            <w:vAlign w:val="bottom"/>
          </w:tcPr>
          <w:p>
            <w:pPr>
              <w:ind w:left="14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476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555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220" w:type="dxa"/>
            <w:vAlign w:val="bottom"/>
            <w:shd w:val="clear" w:color="auto" w:fill="CCEEFF"/>
          </w:tcPr>
          <w:p>
            <w:pPr>
              <w:spacing w:after="0"/>
              <w:rPr>
                <w:sz w:val="18"/>
                <w:szCs w:val="18"/>
                <w:color w:val="auto"/>
              </w:rPr>
            </w:pPr>
          </w:p>
        </w:tc>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r>
      <w:tr>
        <w:trPr>
          <w:trHeight w:val="459"/>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6660" w:type="dxa"/>
            <w:vAlign w:val="bottom"/>
          </w:tcPr>
          <w:p>
            <w:pPr>
              <w:ind w:left="340"/>
              <w:spacing w:after="0"/>
              <w:rPr>
                <w:sz w:val="20"/>
                <w:szCs w:val="20"/>
                <w:color w:val="auto"/>
              </w:rPr>
            </w:pPr>
            <w:r>
              <w:rPr>
                <w:rFonts w:ascii="Arial" w:cs="Arial" w:eastAsia="Arial" w:hAnsi="Arial"/>
                <w:sz w:val="18"/>
                <w:szCs w:val="18"/>
                <w:i w:val="1"/>
                <w:iCs w:val="1"/>
                <w:color w:val="auto"/>
              </w:rPr>
              <w:t>Includes Acquisition charges and Restructuring charges/other.</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year-ago quarter: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High Volume Analog &amp; Logic, Power Management, High Performance Analog and Silicon Valley Analog)</w:t>
      </w:r>
    </w:p>
    <w:p>
      <w:pPr>
        <w:spacing w:after="0" w:line="13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increased in all product lines, led by Power Management.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profit increased primarily due to higher revenue and associated gross profit.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Processor, Microcontrollers and Connectivity)</w:t>
      </w:r>
    </w:p>
    <w:p>
      <w:pPr>
        <w:spacing w:after="0" w:line="13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increased in all product lines, each of which grew by about the same amount.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profit increased due to higher revenue and associated gross profit, and lower operating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15"/>
          <w:szCs w:val="15"/>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custom ASIC products, calculators, royalties and legacy wireless products)</w:t>
      </w:r>
    </w:p>
    <w:p>
      <w:pPr>
        <w:spacing w:after="0" w:line="13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declined due to legacy wireless and custom ASIC products.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increased due to lower Restructuring charges/other, which included the gains on sales of assets.</w:t>
      </w:r>
    </w:p>
    <w:p>
      <w:pPr>
        <w:sectPr>
          <w:pgSz w:w="11900" w:h="16838" w:orient="portrait"/>
          <w:cols w:equalWidth="0" w:num="1">
            <w:col w:w="10500"/>
          </w:cols>
          <w:pgMar w:left="240" w:top="270" w:right="11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 2014 segment results</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3"/>
              <w:spacing w:after="0"/>
              <w:rPr>
                <w:sz w:val="20"/>
                <w:szCs w:val="20"/>
                <w:color w:val="auto"/>
              </w:rPr>
            </w:pPr>
            <w:r>
              <w:rPr>
                <w:rFonts w:ascii="Arial" w:cs="Arial" w:eastAsia="Arial" w:hAnsi="Arial"/>
                <w:sz w:val="14"/>
                <w:szCs w:val="14"/>
                <w:color w:val="auto"/>
                <w:w w:val="89"/>
              </w:rPr>
              <w:t>2014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3"/>
              <w:spacing w:after="0"/>
              <w:rPr>
                <w:sz w:val="20"/>
                <w:szCs w:val="20"/>
                <w:color w:val="auto"/>
              </w:rPr>
            </w:pPr>
            <w:r>
              <w:rPr>
                <w:rFonts w:ascii="Arial" w:cs="Arial" w:eastAsia="Arial" w:hAnsi="Arial"/>
                <w:sz w:val="14"/>
                <w:szCs w:val="14"/>
                <w:color w:val="auto"/>
                <w:w w:val="89"/>
              </w:rPr>
              <w:t>2013</w:t>
            </w:r>
          </w:p>
        </w:tc>
        <w:tc>
          <w:tcPr>
            <w:tcW w:w="54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Change</w:t>
            </w:r>
          </w:p>
        </w:tc>
      </w:tr>
      <w:tr>
        <w:trPr>
          <w:trHeight w:val="196"/>
        </w:trPr>
        <w:tc>
          <w:tcPr>
            <w:tcW w:w="6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Analog:</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8,104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7,194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2,786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1,859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Embedded Processing:</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2,740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2,450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Operating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384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185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2,201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2,561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bl>
    <w:p>
      <w:pPr>
        <w:spacing w:after="0" w:line="229" w:lineRule="exact"/>
        <w:rPr>
          <w:sz w:val="20"/>
          <w:szCs w:val="20"/>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Includes Acquisition charges and Restructuring charges/other.</w:t>
      </w:r>
    </w:p>
    <w:p>
      <w:pPr>
        <w:spacing w:after="0" w:line="130"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Analog revenue increased as all products lines grew, led by Power Management. Operating profit increased primarily due to higher revenue and associated gross profit.</w:t>
      </w:r>
    </w:p>
    <w:p>
      <w:pPr>
        <w:spacing w:after="0" w:line="75" w:lineRule="exact"/>
        <w:rPr>
          <w:rFonts w:ascii="Arial" w:cs="Arial" w:eastAsia="Arial" w:hAnsi="Arial"/>
          <w:sz w:val="18"/>
          <w:szCs w:val="18"/>
          <w:color w:val="auto"/>
        </w:rPr>
      </w:pPr>
    </w:p>
    <w:p>
      <w:pPr>
        <w:ind w:left="460" w:right="38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Embedded Processing revenue increased primarily due to Microcontrollers and Processor. Connectivity also increased. Operating profit increased primarily due to higher revenue and associated gross profit.</w:t>
      </w:r>
    </w:p>
    <w:p>
      <w:pPr>
        <w:spacing w:after="0" w:line="75"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revenue declined due to legacy wireless products. Operating profit was about even as reductions in operating expenses were offset by changes in Restructuring charges/other.</w:t>
      </w:r>
    </w:p>
    <w:p>
      <w:pPr>
        <w:sectPr>
          <w:pgSz w:w="11900" w:h="16838" w:orient="portrait"/>
          <w:cols w:equalWidth="0" w:num="1">
            <w:col w:w="11320"/>
          </w:cols>
          <w:pgMar w:left="240" w:top="27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 excluding two items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This release includes a reference to earnings per share, excluding two items, compared with previously issued guidance. The company believes this measure, which was not prepared in accordance with generally accepted accounting principles in the United States (GAAP) and is supplemental to the comparable GAAP measure, provides investors with insight into TI’s underlying business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 is provided in the table below.</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680" w:type="dxa"/>
            <w:vAlign w:val="bottom"/>
            <w:gridSpan w:val="4"/>
          </w:tcPr>
          <w:p>
            <w:pPr>
              <w:spacing w:after="0"/>
              <w:rPr>
                <w:sz w:val="20"/>
                <w:szCs w:val="20"/>
                <w:color w:val="auto"/>
              </w:rPr>
            </w:pPr>
            <w:r>
              <w:rPr>
                <w:rFonts w:ascii="Arial" w:cs="Arial" w:eastAsia="Arial" w:hAnsi="Arial"/>
                <w:sz w:val="14"/>
                <w:szCs w:val="14"/>
                <w:b w:val="1"/>
                <w:bCs w:val="1"/>
                <w:color w:val="auto"/>
              </w:rPr>
              <w:t>For Three Months Ended</w:t>
            </w:r>
          </w:p>
        </w:tc>
      </w:tr>
      <w:tr>
        <w:trPr>
          <w:trHeight w:val="171"/>
        </w:trPr>
        <w:tc>
          <w:tcPr>
            <w:tcW w:w="7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December 31, 2014</w:t>
            </w:r>
          </w:p>
        </w:tc>
      </w:tr>
      <w:tr>
        <w:trPr>
          <w:trHeight w:val="210"/>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per common share (GAAP)</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Federal research tax credit</w:t>
            </w:r>
          </w:p>
        </w:tc>
        <w:tc>
          <w:tcPr>
            <w:tcW w:w="16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(0.05)</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Gains on sales of assets</w:t>
            </w: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(0.02)</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Earnings per common share, excluding two items (non-GAAP)</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TI’s fourth-quarter 2014 outlook for earnings per share between $0.64 and $0.74 was included in the company’s third-quarter earnings release.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Free cash flow and associated ratios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release also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believes that free cash flow and the associated ratios provide insight into its liquidity, its cash-generating capability and the amount of cash potentially available to return to investors, as well as insight into its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GAAP-based measures is provided in the table below.</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7"/>
          </w:tcPr>
          <w:p>
            <w:pPr>
              <w:jc w:val="right"/>
              <w:ind w:right="1100"/>
              <w:spacing w:after="0"/>
              <w:rPr>
                <w:sz w:val="20"/>
                <w:szCs w:val="20"/>
                <w:color w:val="auto"/>
              </w:rPr>
            </w:pPr>
            <w:r>
              <w:rPr>
                <w:rFonts w:ascii="Arial" w:cs="Arial" w:eastAsia="Arial" w:hAnsi="Arial"/>
                <w:sz w:val="14"/>
                <w:szCs w:val="14"/>
                <w:b w:val="1"/>
                <w:bCs w:val="1"/>
                <w:color w:val="auto"/>
              </w:rPr>
              <w:t>For Years Ended</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 (GAAP)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6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(385)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(412)</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2,972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13,045</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12,205</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920" w:type="dxa"/>
        <w:tblCellMar>
          <w:top w:w="0" w:type="dxa"/>
          <w:left w:w="0" w:type="dxa"/>
          <w:bottom w:w="0" w:type="dxa"/>
          <w:right w:w="0" w:type="dxa"/>
        </w:tblCellMar>
      </w:tblP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 as a percent of revenue (GAAP)</w:t>
            </w:r>
          </w:p>
        </w:tc>
        <w:tc>
          <w:tcPr>
            <w:tcW w:w="206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30%</w:t>
            </w:r>
          </w:p>
        </w:tc>
        <w:tc>
          <w:tcPr>
            <w:tcW w:w="20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28%</w:t>
            </w:r>
          </w:p>
        </w:tc>
      </w:tr>
      <w:tr>
        <w:trPr>
          <w:trHeight w:val="234"/>
        </w:trPr>
        <w:tc>
          <w:tcPr>
            <w:tcW w:w="5500" w:type="dxa"/>
            <w:vAlign w:val="bottom"/>
          </w:tcPr>
          <w:p>
            <w:pPr>
              <w:spacing w:after="0"/>
              <w:rPr>
                <w:sz w:val="20"/>
                <w:szCs w:val="20"/>
                <w:color w:val="auto"/>
              </w:rPr>
            </w:pPr>
            <w:r>
              <w:rPr>
                <w:rFonts w:ascii="Arial" w:cs="Arial" w:eastAsia="Arial" w:hAnsi="Arial"/>
                <w:sz w:val="18"/>
                <w:szCs w:val="18"/>
                <w:color w:val="auto"/>
              </w:rPr>
              <w:t>Free cash flow as a percent of revenue (non-GAAP)</w:t>
            </w:r>
          </w:p>
        </w:tc>
        <w:tc>
          <w:tcPr>
            <w:tcW w:w="2060" w:type="dxa"/>
            <w:vAlign w:val="bottom"/>
          </w:tcPr>
          <w:p>
            <w:pPr>
              <w:jc w:val="right"/>
              <w:ind w:right="390"/>
              <w:spacing w:after="0"/>
              <w:rPr>
                <w:sz w:val="20"/>
                <w:szCs w:val="20"/>
                <w:color w:val="auto"/>
              </w:rPr>
            </w:pPr>
            <w:r>
              <w:rPr>
                <w:rFonts w:ascii="Arial" w:cs="Arial" w:eastAsia="Arial" w:hAnsi="Arial"/>
                <w:sz w:val="18"/>
                <w:szCs w:val="18"/>
                <w:b w:val="1"/>
                <w:bCs w:val="1"/>
                <w:color w:val="auto"/>
              </w:rPr>
              <w:t>27%</w:t>
            </w:r>
          </w:p>
        </w:tc>
        <w:tc>
          <w:tcPr>
            <w:tcW w:w="2020" w:type="dxa"/>
            <w:vAlign w:val="bottom"/>
          </w:tcPr>
          <w:p>
            <w:pPr>
              <w:jc w:val="right"/>
              <w:ind w:right="1130"/>
              <w:spacing w:after="0"/>
              <w:rPr>
                <w:sz w:val="20"/>
                <w:szCs w:val="20"/>
                <w:color w:val="auto"/>
              </w:rPr>
            </w:pPr>
            <w:r>
              <w:rPr>
                <w:rFonts w:ascii="Arial" w:cs="Arial" w:eastAsia="Arial" w:hAnsi="Arial"/>
                <w:sz w:val="18"/>
                <w:szCs w:val="18"/>
                <w:color w:val="auto"/>
              </w:rPr>
              <w:t>24%</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w:t>
      </w:r>
    </w:p>
    <w:p>
      <w:pPr>
        <w:sectPr>
          <w:pgSz w:w="11900" w:h="16838" w:orient="portrait"/>
          <w:cols w:equalWidth="0" w:num="1">
            <w:col w:w="11420"/>
          </w:cols>
          <w:pgMar w:left="240" w:top="27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Statement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7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Market demand for semiconductors, particularly in markets such as personal electronics, especially the mobile phone sector, and industrial;</w:t>
      </w:r>
    </w:p>
    <w:p>
      <w:pPr>
        <w:spacing w:after="0" w:line="142" w:lineRule="exact"/>
        <w:rPr>
          <w:rFonts w:ascii="Arial" w:cs="Arial" w:eastAsia="Arial" w:hAnsi="Arial"/>
          <w:sz w:val="17"/>
          <w:szCs w:val="17"/>
          <w:color w:val="auto"/>
        </w:rPr>
      </w:pPr>
    </w:p>
    <w:p>
      <w:pPr>
        <w:ind w:left="460" w:right="54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130" w:lineRule="exact"/>
        <w:rPr>
          <w:rFonts w:ascii="Arial" w:cs="Arial" w:eastAsia="Arial" w:hAnsi="Arial"/>
          <w:sz w:val="18"/>
          <w:szCs w:val="18"/>
          <w:color w:val="auto"/>
        </w:rPr>
      </w:pPr>
    </w:p>
    <w:p>
      <w:pPr>
        <w:ind w:left="460" w:right="220" w:hanging="452"/>
        <w:spacing w:after="0" w:line="286"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Violations of or changes in the complex laws, regulations and policies to which our global operations are subject, and 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70" w:lineRule="exact"/>
        <w:rPr>
          <w:rFonts w:ascii="Arial" w:cs="Arial" w:eastAsia="Arial" w:hAnsi="Arial"/>
          <w:sz w:val="17"/>
          <w:szCs w:val="17"/>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Natural events such as health epidemics, severe weather and earthquakes in the locations in which TI, its customers or its suppliers operate;</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42" w:lineRule="exact"/>
        <w:rPr>
          <w:rFonts w:ascii="Arial" w:cs="Arial" w:eastAsia="Arial" w:hAnsi="Arial"/>
          <w:sz w:val="17"/>
          <w:szCs w:val="17"/>
          <w:color w:val="auto"/>
        </w:rPr>
      </w:pPr>
    </w:p>
    <w:p>
      <w:pPr>
        <w:ind w:left="460" w:right="4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75" w:lineRule="exact"/>
        <w:rPr>
          <w:rFonts w:ascii="Arial" w:cs="Arial" w:eastAsia="Arial" w:hAnsi="Arial"/>
          <w:sz w:val="18"/>
          <w:szCs w:val="18"/>
          <w:color w:val="auto"/>
        </w:rPr>
      </w:pPr>
    </w:p>
    <w:p>
      <w:pPr>
        <w:ind w:left="460" w:right="100" w:hanging="452"/>
        <w:spacing w:after="0" w:line="34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29"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TI’s detriment;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ectPr>
          <w:pgSz w:w="11900" w:h="16838" w:orient="portrait"/>
          <w:cols w:equalWidth="0" w:num="1">
            <w:col w:w="11320"/>
          </w:cols>
          <w:pgMar w:left="240" w:top="270" w:right="339" w:bottom="1440" w:gutter="0" w:footer="0" w:header="0"/>
        </w:sectPr>
      </w:pPr>
    </w:p>
    <w:bookmarkStart w:id="12" w:name="page13"/>
    <w:bookmarkEnd w:id="12"/>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financial impact of inadequate or excess TI inventory that results from demand that differs from projections;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130"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130"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10-Q for the quarter ended September 30, 2014. The forward-looking statements included in this release are made only as of the date of this release, and TI undertakes no obligation to update the forward-looking statements to reflect subsequent events or circumstances.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www.ti.com.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2019-12-05T15:45:17Z</dcterms:created>
  <dcterms:modified xsi:type="dcterms:W3CDTF">2019-12-05T15:45:17Z</dcterms:modified>
</cp:coreProperties>
</file>