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6</w:t>
      </w:r>
    </w:p>
    <w:p>
      <w:pPr>
        <w:spacing w:after="0" w:line="238" w:lineRule="auto"/>
        <w:rPr>
          <w:sz w:val="20"/>
          <w:szCs w:val="20"/>
          <w:color w:val="auto"/>
        </w:rPr>
      </w:pPr>
      <w:r>
        <w:rPr>
          <w:rFonts w:ascii="Courier New" w:cs="Courier New" w:eastAsia="Courier New" w:hAnsi="Courier New"/>
          <w:sz w:val="18"/>
          <w:szCs w:val="18"/>
          <w:color w:val="auto"/>
        </w:rPr>
        <w:t>Texas Instruments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 882508104</w:t>
      </w:r>
    </w:p>
    <w:p>
      <w:pPr>
        <w:spacing w:after="0" w:line="238" w:lineRule="auto"/>
        <w:rPr>
          <w:sz w:val="20"/>
          <w:szCs w:val="20"/>
          <w:color w:val="auto"/>
        </w:rPr>
      </w:pPr>
      <w:r>
        <w:rPr>
          <w:rFonts w:ascii="Courier New" w:cs="Courier New" w:eastAsia="Courier New" w:hAnsi="Courier New"/>
          <w:sz w:val="18"/>
          <w:szCs w:val="18"/>
          <w:color w:val="auto"/>
        </w:rPr>
        <w:t>Filing Fee: No</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882508104</w:t>
      </w:r>
    </w:p>
    <w:p>
      <w:pPr>
        <w:spacing w:after="0"/>
        <w:tabs>
          <w:tab w:leader="none" w:pos="5140" w:val="left"/>
        </w:tabs>
        <w:rPr>
          <w:sz w:val="20"/>
          <w:szCs w:val="20"/>
          <w:color w:val="auto"/>
        </w:rPr>
      </w:pPr>
      <w:r>
        <w:rPr>
          <w:rFonts w:ascii="Courier New" w:cs="Courier New" w:eastAsia="Courier New" w:hAnsi="Courier New"/>
          <w:sz w:val="18"/>
          <w:szCs w:val="18"/>
          <w:color w:val="auto"/>
        </w:rPr>
        <w:t>Item 1: Reporting Person - FMR Corp. - (Tax ID:</w:t>
      </w:r>
      <w:r>
        <w:rPr>
          <w:sz w:val="20"/>
          <w:szCs w:val="20"/>
          <w:color w:val="auto"/>
        </w:rPr>
        <w:tab/>
      </w:r>
      <w:r>
        <w:rPr>
          <w:rFonts w:ascii="Courier New" w:cs="Courier New" w:eastAsia="Courier New" w:hAnsi="Courier New"/>
          <w:sz w:val="16"/>
          <w:szCs w:val="16"/>
          <w:color w:val="auto"/>
        </w:rPr>
        <w:t>04-2507163)</w:t>
      </w:r>
    </w:p>
    <w:p>
      <w:pPr>
        <w:spacing w:after="0"/>
        <w:rPr>
          <w:sz w:val="20"/>
          <w:szCs w:val="20"/>
          <w:color w:val="auto"/>
        </w:rPr>
      </w:pPr>
      <w:r>
        <w:rPr>
          <w:rFonts w:ascii="Courier New" w:cs="Courier New" w:eastAsia="Courier New" w:hAnsi="Courier New"/>
          <w:sz w:val="18"/>
          <w:szCs w:val="18"/>
          <w:color w:val="auto"/>
        </w:rPr>
        <w:t>Item 4: Commonwealth of Massachusetts</w:t>
      </w:r>
    </w:p>
    <w:p>
      <w:pPr>
        <w:sectPr>
          <w:pgSz w:w="11900" w:h="16838" w:orient="portrait"/>
          <w:cols w:equalWidth="0" w:num="1">
            <w:col w:w="10219"/>
          </w:cols>
          <w:pgMar w:left="240" w:top="852" w:right="1440" w:bottom="0" w:gutter="0" w:footer="0" w:header="0"/>
        </w:sectPr>
      </w:pPr>
    </w:p>
    <w:p>
      <w:pPr>
        <w:spacing w:after="0" w:line="3" w:lineRule="exact"/>
        <w:rPr>
          <w:sz w:val="24"/>
          <w:szCs w:val="24"/>
          <w:color w:val="auto"/>
        </w:rPr>
      </w:pPr>
    </w:p>
    <w:p>
      <w:pPr>
        <w:spacing w:after="0" w:line="271" w:lineRule="auto"/>
        <w:rPr>
          <w:sz w:val="20"/>
          <w:szCs w:val="20"/>
          <w:color w:val="auto"/>
        </w:rPr>
      </w:pPr>
      <w:r>
        <w:rPr>
          <w:rFonts w:ascii="Courier New" w:cs="Courier New" w:eastAsia="Courier New" w:hAnsi="Courier New"/>
          <w:sz w:val="16"/>
          <w:szCs w:val="16"/>
          <w:color w:val="auto"/>
        </w:rPr>
        <w:t>Item 5: 44,164 Item 6: None Item 7: 490,696 Item 8: None Item 9: 490,696 Item 11: 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0.26%</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HC</w:t>
      </w:r>
    </w:p>
    <w:p>
      <w:pPr>
        <w:spacing w:after="0" w:line="218" w:lineRule="exact"/>
        <w:rPr>
          <w:sz w:val="24"/>
          <w:szCs w:val="24"/>
          <w:color w:val="auto"/>
        </w:rPr>
      </w:pPr>
    </w:p>
    <w:p>
      <w:pPr>
        <w:sectPr>
          <w:pgSz w:w="11900" w:h="16838" w:orient="portrait"/>
          <w:cols w:equalWidth="0" w:num="2">
            <w:col w:w="1580" w:space="120"/>
            <w:col w:w="8519"/>
          </w:cols>
          <w:pgMar w:left="240" w:top="852" w:right="1440" w:bottom="0" w:gutter="0" w:footer="0" w:header="0"/>
          <w:type w:val="continuous"/>
        </w:sectPr>
      </w:pP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882508104</w:t>
      </w:r>
    </w:p>
    <w:p>
      <w:pPr>
        <w:spacing w:after="0"/>
        <w:tabs>
          <w:tab w:leader="none" w:pos="6300" w:val="left"/>
        </w:tabs>
        <w:rPr>
          <w:sz w:val="20"/>
          <w:szCs w:val="20"/>
          <w:color w:val="auto"/>
        </w:rPr>
      </w:pPr>
      <w:r>
        <w:rPr>
          <w:rFonts w:ascii="Courier New" w:cs="Courier New" w:eastAsia="Courier New" w:hAnsi="Courier New"/>
          <w:sz w:val="18"/>
          <w:szCs w:val="18"/>
          <w:color w:val="auto"/>
        </w:rPr>
        <w:t>Item 1: Reporting Person - Edward C. Johnson 3d - (Tax ID:</w:t>
      </w:r>
      <w:r>
        <w:rPr>
          <w:sz w:val="20"/>
          <w:szCs w:val="20"/>
          <w:color w:val="auto"/>
        </w:rPr>
        <w:tab/>
      </w: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8"/>
          <w:szCs w:val="18"/>
          <w:color w:val="auto"/>
        </w:rPr>
        <w:t>Item 4: United States of America</w:t>
      </w:r>
    </w:p>
    <w:p>
      <w:pPr>
        <w:sectPr>
          <w:pgSz w:w="11900" w:h="16838" w:orient="portrait"/>
          <w:cols w:equalWidth="0" w:num="1">
            <w:col w:w="10219"/>
          </w:cols>
          <w:pgMar w:left="240" w:top="852" w:right="1440" w:bottom="0" w:gutter="0" w:footer="0" w:header="0"/>
          <w:type w:val="continuous"/>
        </w:sectPr>
      </w:pPr>
    </w:p>
    <w:p>
      <w:pPr>
        <w:spacing w:after="0" w:line="3" w:lineRule="exact"/>
        <w:rPr>
          <w:sz w:val="24"/>
          <w:szCs w:val="24"/>
          <w:color w:val="auto"/>
        </w:rPr>
      </w:pPr>
    </w:p>
    <w:p>
      <w:pPr>
        <w:spacing w:after="0" w:line="271" w:lineRule="auto"/>
        <w:rPr>
          <w:sz w:val="20"/>
          <w:szCs w:val="20"/>
          <w:color w:val="auto"/>
        </w:rPr>
      </w:pPr>
      <w:r>
        <w:rPr>
          <w:rFonts w:ascii="Courier New" w:cs="Courier New" w:eastAsia="Courier New" w:hAnsi="Courier New"/>
          <w:sz w:val="16"/>
          <w:szCs w:val="16"/>
          <w:color w:val="auto"/>
        </w:rPr>
        <w:t>Item 5: None Item 6: None Item 7: 490,696 Item 8: None Item 9: 490,696 Item 11: 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0.26%</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w:t>
      </w:r>
    </w:p>
    <w:p>
      <w:pPr>
        <w:spacing w:after="0" w:line="218" w:lineRule="exact"/>
        <w:rPr>
          <w:sz w:val="24"/>
          <w:szCs w:val="24"/>
          <w:color w:val="auto"/>
        </w:rPr>
      </w:pPr>
    </w:p>
    <w:p>
      <w:pPr>
        <w:sectPr>
          <w:pgSz w:w="11900" w:h="16838" w:orient="portrait"/>
          <w:cols w:equalWidth="0" w:num="2">
            <w:col w:w="1580" w:space="120"/>
            <w:col w:w="8519"/>
          </w:cols>
          <w:pgMar w:left="240" w:top="852" w:right="1440" w:bottom="0" w:gutter="0" w:footer="0" w:header="0"/>
          <w:type w:val="continuous"/>
        </w:sectPr>
      </w:pPr>
    </w:p>
    <w:p>
      <w:pPr>
        <w:spacing w:after="0" w:line="38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882508104</w:t>
      </w:r>
    </w:p>
    <w:p>
      <w:pPr>
        <w:spacing w:after="0"/>
        <w:tabs>
          <w:tab w:leader="none" w:pos="6100" w:val="left"/>
        </w:tabs>
        <w:rPr>
          <w:sz w:val="20"/>
          <w:szCs w:val="20"/>
          <w:color w:val="auto"/>
        </w:rPr>
      </w:pPr>
      <w:r>
        <w:rPr>
          <w:rFonts w:ascii="Courier New" w:cs="Courier New" w:eastAsia="Courier New" w:hAnsi="Courier New"/>
          <w:sz w:val="18"/>
          <w:szCs w:val="18"/>
          <w:color w:val="auto"/>
        </w:rPr>
        <w:t>Item 1: Reporting Person - Abigail P. Johnson - (Tax ID:</w:t>
      </w:r>
      <w:r>
        <w:rPr>
          <w:sz w:val="20"/>
          <w:szCs w:val="20"/>
          <w:color w:val="auto"/>
        </w:rPr>
        <w:tab/>
      </w: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8"/>
          <w:szCs w:val="18"/>
          <w:color w:val="auto"/>
        </w:rPr>
        <w:t>Item 4: United States of America</w:t>
      </w:r>
    </w:p>
    <w:p>
      <w:pPr>
        <w:sectPr>
          <w:pgSz w:w="11900" w:h="16838" w:orient="portrait"/>
          <w:cols w:equalWidth="0" w:num="1">
            <w:col w:w="10219"/>
          </w:cols>
          <w:pgMar w:left="240" w:top="852" w:right="1440" w:bottom="0" w:gutter="0" w:footer="0" w:header="0"/>
          <w:type w:val="continuous"/>
        </w:sectPr>
      </w:pPr>
    </w:p>
    <w:p>
      <w:pPr>
        <w:spacing w:after="0" w:line="3" w:lineRule="exact"/>
        <w:rPr>
          <w:sz w:val="24"/>
          <w:szCs w:val="24"/>
          <w:color w:val="auto"/>
        </w:rPr>
      </w:pPr>
    </w:p>
    <w:p>
      <w:pPr>
        <w:spacing w:after="0" w:line="271" w:lineRule="auto"/>
        <w:rPr>
          <w:sz w:val="20"/>
          <w:szCs w:val="20"/>
          <w:color w:val="auto"/>
        </w:rPr>
      </w:pPr>
      <w:r>
        <w:rPr>
          <w:rFonts w:ascii="Courier New" w:cs="Courier New" w:eastAsia="Courier New" w:hAnsi="Courier New"/>
          <w:sz w:val="16"/>
          <w:szCs w:val="16"/>
          <w:color w:val="auto"/>
        </w:rPr>
        <w:t>Item 5: None Item 6: None Item 7: 490,696 Item 8: None Item 9: 490,696 Item 11: 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0.26%</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w:t>
      </w:r>
    </w:p>
    <w:p>
      <w:pPr>
        <w:spacing w:after="0" w:line="218" w:lineRule="exact"/>
        <w:rPr>
          <w:sz w:val="24"/>
          <w:szCs w:val="24"/>
          <w:color w:val="auto"/>
        </w:rPr>
      </w:pPr>
    </w:p>
    <w:p>
      <w:pPr>
        <w:sectPr>
          <w:pgSz w:w="11900" w:h="16838" w:orient="portrait"/>
          <w:cols w:equalWidth="0" w:num="2">
            <w:col w:w="1580" w:space="120"/>
            <w:col w:w="8519"/>
          </w:cols>
          <w:pgMar w:left="240" w:top="852" w:right="1440" w:bottom="0" w:gutter="0" w:footer="0" w:header="0"/>
          <w:type w:val="continuous"/>
        </w:sectPr>
      </w:pPr>
    </w:p>
    <w:p>
      <w:pPr>
        <w:spacing w:after="0" w:line="38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jc w:val="center"/>
        <w:ind w:right="3679"/>
        <w:spacing w:after="0"/>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13500 North Central Expressway, P.O. Box 655474</w:t>
      </w:r>
    </w:p>
    <w:p>
      <w:pPr>
        <w:ind w:left="1700"/>
        <w:spacing w:after="0"/>
        <w:tabs>
          <w:tab w:leader="none" w:pos="2940" w:val="left"/>
        </w:tabs>
        <w:rPr>
          <w:sz w:val="20"/>
          <w:szCs w:val="20"/>
          <w:color w:val="auto"/>
        </w:rPr>
      </w:pPr>
      <w:r>
        <w:rPr>
          <w:rFonts w:ascii="Courier New" w:cs="Courier New" w:eastAsia="Courier New" w:hAnsi="Courier New"/>
          <w:sz w:val="18"/>
          <w:szCs w:val="18"/>
          <w:color w:val="auto"/>
        </w:rPr>
        <w:t>Dallas, TX</w:t>
      </w:r>
      <w:r>
        <w:rPr>
          <w:sz w:val="20"/>
          <w:szCs w:val="20"/>
          <w:color w:val="auto"/>
        </w:rPr>
        <w:tab/>
      </w:r>
      <w:r>
        <w:rPr>
          <w:rFonts w:ascii="Courier New" w:cs="Courier New" w:eastAsia="Courier New" w:hAnsi="Courier New"/>
          <w:sz w:val="16"/>
          <w:szCs w:val="16"/>
          <w:color w:val="auto"/>
        </w:rPr>
        <w:t>75265-5474</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or Principal Business Office or, if None, Residence:</w:t>
      </w:r>
    </w:p>
    <w:p>
      <w:pPr>
        <w:spacing w:after="0" w:line="201" w:lineRule="exact"/>
        <w:rPr>
          <w:sz w:val="24"/>
          <w:szCs w:val="24"/>
          <w:color w:val="auto"/>
        </w:rPr>
      </w:pPr>
    </w:p>
    <w:p>
      <w:pPr>
        <w:ind w:left="1700"/>
        <w:spacing w:after="0"/>
        <w:tabs>
          <w:tab w:leader="none" w:pos="6420" w:val="left"/>
        </w:tabs>
        <w:rPr>
          <w:sz w:val="20"/>
          <w:szCs w:val="20"/>
          <w:color w:val="auto"/>
        </w:rPr>
      </w:pPr>
      <w:r>
        <w:rPr>
          <w:rFonts w:ascii="Courier New" w:cs="Courier New" w:eastAsia="Courier New" w:hAnsi="Courier New"/>
          <w:sz w:val="18"/>
          <w:szCs w:val="18"/>
          <w:color w:val="auto"/>
        </w:rPr>
        <w:t>82 Devonshire Street, Boston, Massachusetts</w:t>
      </w:r>
      <w:r>
        <w:rPr>
          <w:sz w:val="20"/>
          <w:szCs w:val="20"/>
          <w:color w:val="auto"/>
        </w:rPr>
        <w:tab/>
      </w:r>
      <w:r>
        <w:rPr>
          <w:rFonts w:ascii="Courier New" w:cs="Courier New" w:eastAsia="Courier New" w:hAnsi="Courier New"/>
          <w:sz w:val="16"/>
          <w:szCs w:val="16"/>
          <w:color w:val="auto"/>
        </w:rPr>
        <w:t>02109</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ectPr>
          <w:pgSz w:w="11900" w:h="16838" w:orient="portrait"/>
          <w:cols w:equalWidth="0" w:num="1">
            <w:col w:w="10219"/>
          </w:cols>
          <w:pgMar w:left="240" w:top="852" w:right="1440" w:bottom="0" w:gutter="0" w:footer="0" w:header="0"/>
          <w:type w:val="continuous"/>
        </w:sectPr>
      </w:pPr>
    </w:p>
    <w:bookmarkStart w:id="1" w:name="page2"/>
    <w:bookmarkEnd w:id="1"/>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882508104</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490,696</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spacing w:after="0" w:line="238" w:lineRule="auto"/>
        <w:rPr>
          <w:sz w:val="20"/>
          <w:szCs w:val="20"/>
          <w:color w:val="auto"/>
        </w:rPr>
      </w:pPr>
      <w:r>
        <w:rPr>
          <w:rFonts w:ascii="Courier New" w:cs="Courier New" w:eastAsia="Courier New" w:hAnsi="Courier New"/>
          <w:sz w:val="18"/>
          <w:szCs w:val="18"/>
          <w:color w:val="auto"/>
        </w:rPr>
        <w:t>0.26%</w:t>
      </w:r>
    </w:p>
    <w:p>
      <w:pPr>
        <w:spacing w:after="0" w:line="202"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44,164</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490,696</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2839" w:firstLine="843"/>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and 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839" w:firstLine="843"/>
        <w:spacing w:after="0" w:line="237" w:lineRule="auto"/>
        <w:rPr>
          <w:sz w:val="20"/>
          <w:szCs w:val="20"/>
          <w:color w:val="auto"/>
        </w:rPr>
      </w:pPr>
      <w:r>
        <w:rPr>
          <w:rFonts w:ascii="Courier New" w:cs="Courier New" w:eastAsia="Courier New" w:hAnsi="Courier New"/>
          <w:sz w:val="18"/>
          <w:szCs w:val="18"/>
          <w:color w:val="auto"/>
        </w:rPr>
        <w:t>Inasmuch as the reporting persons are no longer the beneficial owners of more than five percent of the number of shares outstanding, the reporting persons have no further reporting obligation under section 13(d) of the Securities and Exchange Commission thereunder, and the reporting persons have no</w:t>
      </w:r>
    </w:p>
    <w:p>
      <w:pPr>
        <w:spacing w:after="0" w:line="6"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obligation to amend this Statement if any material change occurs in the facts set forth herein.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5"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w:t>
      </w:r>
    </w:p>
    <w:p>
      <w:pPr>
        <w:spacing w:after="0" w:line="6" w:lineRule="exact"/>
        <w:rPr>
          <w:sz w:val="20"/>
          <w:szCs w:val="20"/>
          <w:color w:val="auto"/>
        </w:rPr>
      </w:pPr>
    </w:p>
    <w:p>
      <w:pPr>
        <w:ind w:right="3579"/>
        <w:spacing w:after="0" w:line="279" w:lineRule="auto"/>
        <w:rPr>
          <w:sz w:val="20"/>
          <w:szCs w:val="20"/>
          <w:color w:val="auto"/>
        </w:rPr>
      </w:pPr>
      <w:r>
        <w:rPr>
          <w:rFonts w:ascii="Courier New" w:cs="Courier New" w:eastAsia="Courier New" w:hAnsi="Courier New"/>
          <w:sz w:val="16"/>
          <w:szCs w:val="16"/>
          <w:color w:val="auto"/>
        </w:rPr>
        <w:t>Schedule 13G in connection with FMR Corp's beneficial ownership of the common stock of Texas Instruments Incorporated at December 31, 1995 is true, complete and correct.</w:t>
      </w:r>
    </w:p>
    <w:p>
      <w:pPr>
        <w:spacing w:after="0" w:line="200" w:lineRule="exact"/>
        <w:rPr>
          <w:sz w:val="20"/>
          <w:szCs w:val="20"/>
          <w:color w:val="auto"/>
        </w:rPr>
      </w:pPr>
    </w:p>
    <w:p>
      <w:pPr>
        <w:spacing w:after="0" w:line="37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January 10, 1996</w:t>
      </w:r>
    </w:p>
    <w:p>
      <w:pPr>
        <w:spacing w:after="0" w:line="238" w:lineRule="auto"/>
        <w:rPr>
          <w:sz w:val="20"/>
          <w:szCs w:val="20"/>
          <w:color w:val="auto"/>
        </w:rPr>
      </w:pPr>
      <w:r>
        <w:rPr>
          <w:rFonts w:ascii="Courier New" w:cs="Courier New" w:eastAsia="Courier New" w:hAnsi="Courier New"/>
          <w:sz w:val="18"/>
          <w:szCs w:val="18"/>
          <w:color w:val="auto"/>
        </w:rPr>
        <w:t>Date</w:t>
      </w:r>
    </w:p>
    <w:p>
      <w:pPr>
        <w:sectPr>
          <w:pgSz w:w="11900" w:h="16838" w:orient="portrait"/>
          <w:cols w:equalWidth="0" w:num="1">
            <w:col w:w="10219"/>
          </w:cols>
          <w:pgMar w:left="240" w:top="136" w:right="1440" w:bottom="0" w:gutter="0" w:footer="0" w:header="0"/>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Arthur S. Loring, Vice</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427,532 shares or 0.23% of the common stock outstanding of Texas Instruments Incorporated ("the Company") as a result of acting as investment adviser to various investment companies registered under Section 8 of the Investment Company Act of 1940.</w:t>
      </w:r>
    </w:p>
    <w:p>
      <w:pPr>
        <w:spacing w:after="0" w:line="212" w:lineRule="exact"/>
        <w:rPr>
          <w:sz w:val="20"/>
          <w:szCs w:val="20"/>
          <w:color w:val="auto"/>
        </w:rPr>
      </w:pPr>
    </w:p>
    <w:p>
      <w:pPr>
        <w:ind w:right="1679" w:firstLine="843"/>
        <w:spacing w:after="0" w:line="290" w:lineRule="auto"/>
        <w:rPr>
          <w:sz w:val="20"/>
          <w:szCs w:val="20"/>
          <w:color w:val="auto"/>
        </w:rPr>
      </w:pPr>
      <w:r>
        <w:rPr>
          <w:rFonts w:ascii="Courier New" w:cs="Courier New" w:eastAsia="Courier New" w:hAnsi="Courier New"/>
          <w:sz w:val="16"/>
          <w:szCs w:val="16"/>
          <w:color w:val="auto"/>
        </w:rPr>
        <w:t>Edward C. Johnson 3d, FMR Corp., through its control of Fidelity, and the Funds each has sole power to dispose of the 427,532 shares owned by the Funds.</w:t>
      </w:r>
    </w:p>
    <w:p>
      <w:pPr>
        <w:spacing w:after="0" w:line="170"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09"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63,164 shares or 0.03% of the common stock outstanding of the Company as a result of its serving as investment manager of the institutional account(s).</w:t>
      </w:r>
    </w:p>
    <w:p>
      <w:pPr>
        <w:spacing w:after="0" w:line="210" w:lineRule="exact"/>
        <w:rPr>
          <w:sz w:val="20"/>
          <w:szCs w:val="20"/>
          <w:color w:val="auto"/>
        </w:rPr>
      </w:pPr>
    </w:p>
    <w:p>
      <w:pPr>
        <w:ind w:right="187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and trusts for their benefit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7" w:lineRule="exact"/>
        <w:rPr>
          <w:sz w:val="20"/>
          <w:szCs w:val="20"/>
          <w:color w:val="auto"/>
        </w:rPr>
      </w:pPr>
    </w:p>
    <w:p>
      <w:pPr>
        <w:ind w:right="2199" w:firstLine="843"/>
        <w:spacing w:after="0" w:line="237" w:lineRule="auto"/>
        <w:rPr>
          <w:sz w:val="20"/>
          <w:szCs w:val="20"/>
          <w:color w:val="auto"/>
        </w:rPr>
      </w:pPr>
      <w:r>
        <w:rPr>
          <w:rFonts w:ascii="Courier New" w:cs="Courier New" w:eastAsia="Courier New" w:hAnsi="Courier New"/>
          <w:sz w:val="18"/>
          <w:szCs w:val="18"/>
          <w:color w:val="auto"/>
        </w:rPr>
        <w:t>Edward C. Johnson 3d and FMR Corp., through its control of Fidelity Management Trust Company, has sole dispositive power over 63,164 shares and sole power to vote or to direct the voting of 44,164 shares, and no power to vote or to direct the voting of 19,000 Shares of common stock owned by the institutional account(s) as reported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The undersigned persons, on January 10, 1996, agree and consent to the joint filing on their behalf of this Schedule 13G in connection with their beneficial ownership of the common stock of Texas Instruments Incorporated at December 31, 1995.</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ind w:left="860"/>
        <w:spacing w:after="0" w:line="238" w:lineRule="auto"/>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rPr>
          <w:sz w:val="20"/>
          <w:szCs w:val="20"/>
          <w:color w:val="auto"/>
        </w:rPr>
      </w:pPr>
      <w:r>
        <w:rPr>
          <w:rFonts w:ascii="Courier New" w:cs="Courier New" w:eastAsia="Courier New" w:hAnsi="Courier New"/>
          <w:sz w:val="18"/>
          <w:szCs w:val="18"/>
          <w:color w:val="auto"/>
        </w:rPr>
        <w:t>Arthur S. Loring</w:t>
      </w:r>
    </w:p>
    <w:p>
      <w:pPr>
        <w:spacing w:after="0" w:line="237" w:lineRule="auto"/>
        <w:rPr>
          <w:sz w:val="20"/>
          <w:szCs w:val="20"/>
          <w:color w:val="auto"/>
        </w:rPr>
      </w:pPr>
      <w:r>
        <w:rPr>
          <w:rFonts w:ascii="Courier New" w:cs="Courier New" w:eastAsia="Courier New" w:hAnsi="Courier New"/>
          <w:sz w:val="18"/>
          <w:szCs w:val="18"/>
          <w:color w:val="auto"/>
        </w:rPr>
        <w:t>Vice President - Legal</w:t>
      </w:r>
    </w:p>
    <w:p>
      <w:pPr>
        <w:ind w:left="860"/>
        <w:spacing w:after="0" w:line="238" w:lineRule="auto"/>
        <w:rPr>
          <w:sz w:val="20"/>
          <w:szCs w:val="20"/>
          <w:color w:val="auto"/>
        </w:rPr>
      </w:pPr>
      <w:r>
        <w:rPr>
          <w:rFonts w:ascii="Courier New" w:cs="Courier New" w:eastAsia="Courier New" w:hAnsi="Courier New"/>
          <w:sz w:val="18"/>
          <w:szCs w:val="18"/>
          <w:color w:val="auto"/>
        </w:rPr>
        <w:t>Edward C. Johnson 3d</w:t>
      </w: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ectPr>
          <w:pgSz w:w="11900" w:h="16838" w:orient="portrait"/>
          <w:cols w:equalWidth="0" w:num="1">
            <w:col w:w="10219"/>
          </w:cols>
          <w:pgMar w:left="240" w:top="541"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Arthur S. Loring</w:t>
      </w:r>
    </w:p>
    <w:p>
      <w:pPr>
        <w:spacing w:after="0" w:line="238" w:lineRule="auto"/>
        <w:rPr>
          <w:sz w:val="20"/>
          <w:szCs w:val="20"/>
          <w:color w:val="auto"/>
        </w:rPr>
      </w:pPr>
      <w:r>
        <w:rPr>
          <w:rFonts w:ascii="Courier New" w:cs="Courier New" w:eastAsia="Courier New" w:hAnsi="Courier New"/>
          <w:sz w:val="18"/>
          <w:szCs w:val="18"/>
          <w:color w:val="auto"/>
        </w:rPr>
        <w:t>Under Power of Attorney dated</w:t>
      </w:r>
    </w:p>
    <w:p>
      <w:pPr>
        <w:spacing w:after="0"/>
        <w:rPr>
          <w:sz w:val="20"/>
          <w:szCs w:val="20"/>
          <w:color w:val="auto"/>
        </w:rPr>
      </w:pPr>
      <w:r>
        <w:rPr>
          <w:rFonts w:ascii="Courier New" w:cs="Courier New" w:eastAsia="Courier New" w:hAnsi="Courier New"/>
          <w:sz w:val="18"/>
          <w:szCs w:val="18"/>
          <w:color w:val="auto"/>
        </w:rPr>
        <w:t>5/17/89</w:t>
      </w:r>
    </w:p>
    <w:p>
      <w:pPr>
        <w:spacing w:after="0" w:line="237" w:lineRule="auto"/>
        <w:rPr>
          <w:sz w:val="20"/>
          <w:szCs w:val="20"/>
          <w:color w:val="auto"/>
        </w:rPr>
      </w:pPr>
      <w:r>
        <w:rPr>
          <w:rFonts w:ascii="Courier New" w:cs="Courier New" w:eastAsia="Courier New" w:hAnsi="Courier New"/>
          <w:sz w:val="18"/>
          <w:szCs w:val="18"/>
          <w:color w:val="auto"/>
        </w:rPr>
        <w:t>On File with Schedule 13G for</w:t>
      </w:r>
    </w:p>
    <w:p>
      <w:pPr>
        <w:spacing w:after="0" w:line="238" w:lineRule="auto"/>
        <w:rPr>
          <w:sz w:val="20"/>
          <w:szCs w:val="20"/>
          <w:color w:val="auto"/>
        </w:rPr>
      </w:pPr>
      <w:r>
        <w:rPr>
          <w:rFonts w:ascii="Courier New" w:cs="Courier New" w:eastAsia="Courier New" w:hAnsi="Courier New"/>
          <w:sz w:val="18"/>
          <w:szCs w:val="18"/>
          <w:color w:val="auto"/>
        </w:rPr>
        <w:t>Airborne Freight Corp. 9/10/91</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0" w:lineRule="exact"/>
        <w:rPr>
          <w:sz w:val="20"/>
          <w:szCs w:val="20"/>
          <w:color w:val="auto"/>
        </w:rPr>
      </w:pPr>
    </w:p>
    <w:p>
      <w:pPr>
        <w:spacing w:after="0" w:line="204"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Under Power of Attorney dated</w:t>
      </w:r>
    </w:p>
    <w:p>
      <w:pPr>
        <w:spacing w:after="0" w:line="237" w:lineRule="auto"/>
        <w:rPr>
          <w:sz w:val="20"/>
          <w:szCs w:val="20"/>
          <w:color w:val="auto"/>
        </w:rPr>
      </w:pPr>
      <w:r>
        <w:rPr>
          <w:rFonts w:ascii="Courier New" w:cs="Courier New" w:eastAsia="Courier New" w:hAnsi="Courier New"/>
          <w:sz w:val="18"/>
          <w:szCs w:val="18"/>
          <w:color w:val="auto"/>
        </w:rPr>
        <w:t>1/5/96</w:t>
      </w:r>
    </w:p>
    <w:p>
      <w:pPr>
        <w:spacing w:after="0" w:line="238" w:lineRule="auto"/>
        <w:rPr>
          <w:sz w:val="20"/>
          <w:szCs w:val="20"/>
          <w:color w:val="auto"/>
        </w:rPr>
      </w:pPr>
      <w:r>
        <w:rPr>
          <w:rFonts w:ascii="Courier New" w:cs="Courier New" w:eastAsia="Courier New" w:hAnsi="Courier New"/>
          <w:sz w:val="18"/>
          <w:szCs w:val="18"/>
          <w:color w:val="auto"/>
        </w:rPr>
        <w:t>On File with Schedule 13G for</w:t>
      </w:r>
    </w:p>
    <w:p>
      <w:pPr>
        <w:spacing w:after="0"/>
        <w:rPr>
          <w:sz w:val="20"/>
          <w:szCs w:val="20"/>
          <w:color w:val="auto"/>
        </w:rPr>
      </w:pPr>
      <w:r>
        <w:rPr>
          <w:rFonts w:ascii="Courier New" w:cs="Courier New" w:eastAsia="Courier New" w:hAnsi="Courier New"/>
          <w:sz w:val="18"/>
          <w:szCs w:val="18"/>
          <w:color w:val="auto"/>
        </w:rPr>
        <w:t>Acclaim Entertainment Inc.</w:t>
      </w:r>
    </w:p>
    <w:p>
      <w:pPr>
        <w:spacing w:after="0" w:line="237" w:lineRule="auto"/>
        <w:rPr>
          <w:sz w:val="20"/>
          <w:szCs w:val="20"/>
          <w:color w:val="auto"/>
        </w:rPr>
      </w:pPr>
      <w:r>
        <w:rPr>
          <w:rFonts w:ascii="Courier New" w:cs="Courier New" w:eastAsia="Courier New" w:hAnsi="Courier New"/>
          <w:sz w:val="18"/>
          <w:szCs w:val="18"/>
          <w:color w:val="auto"/>
        </w:rPr>
        <w:t>1/10/96</w:t>
      </w:r>
    </w:p>
    <w:p>
      <w:pPr>
        <w:spacing w:after="0" w:line="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Fidelity Management &amp; Research Company</w:t>
      </w:r>
    </w:p>
    <w:p>
      <w:pPr>
        <w:spacing w:after="0" w:line="16"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Sr. V.P. and General Counsel</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2019-12-13T07:36:20Z</dcterms:created>
  <dcterms:modified xsi:type="dcterms:W3CDTF">2019-12-13T07:36:20Z</dcterms:modified>
</cp:coreProperties>
</file>