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22,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2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July 22, 2013, regarding its second-quarter 2013 results of operations and financial condition is attached hereto as Exhibit 99.</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various ratios based on free cash flow, and revenue without legacy wireless results. The company believes these non-GAAP measures provide insight into its liquidity, cash generating capability and the amount of cash available to return to investors, as well as insight into its financial performance and underlying business results. These non-GAAP measures are supplemental to the comparable GAAP measures. Reconciliation to the most directly comparable GAAP measures is included in the “Non-GAAP financial information” section of the news release.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00"/>
          </w:cols>
          <w:pgMar w:left="240" w:top="517" w:right="259" w:bottom="1440" w:gutter="0" w:footer="0" w:header="0"/>
        </w:sectPr>
      </w:pPr>
    </w:p>
    <w:p>
      <w:pPr>
        <w:spacing w:after="0" w:line="225"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893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715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1515"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620" w:space="720"/>
            <w:col w:w="9060"/>
          </w:cols>
          <w:pgMar w:left="240" w:top="517" w:right="259" w:bottom="1440" w:gutter="0" w:footer="0" w:header="0"/>
          <w:type w:val="continuous"/>
        </w:sectPr>
      </w:pPr>
    </w:p>
    <w:p>
      <w:pPr>
        <w:ind w:left="2340" w:hanging="1328"/>
        <w:spacing w:after="0"/>
        <w:tabs>
          <w:tab w:leader="none" w:pos="2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6"/>
          <w:szCs w:val="16"/>
          <w:color w:val="auto"/>
        </w:rPr>
        <w:t>Dated July 22, 2013 (furnished pursuant to Item 2.02)</w:t>
      </w:r>
    </w:p>
    <w:p>
      <w:pPr>
        <w:sectPr>
          <w:pgSz w:w="11900" w:h="16838" w:orient="portrait"/>
          <w:cols w:equalWidth="0" w:num="1">
            <w:col w:w="11400"/>
          </w:cols>
          <w:pgMar w:left="240" w:top="517" w:right="25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July 22,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760" w:right="379" w:bottom="1440" w:gutter="0" w:footer="0" w:header="0"/>
        </w:sectPr>
      </w:pPr>
    </w:p>
    <w:bookmarkStart w:id="3" w:name="page4"/>
    <w:bookmarkEnd w:id="3"/>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2Q13 financial results and shareholder returns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DALLAS (July 22, 2013) – Texas Instruments Incorporated (TI) (NASDAQ: TXN) today reported second-quarter revenue of $3.05 billion, net income of $660 million and earnings per share of 58 cents. Results include a gain associated with the transfer of wireless connectivity technology to a customer and higher-than-expected charges associated with previously announced restructuring. The net impact of these items was a benefit of 16 cents to EPS.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64" w:lineRule="exact"/>
        <w:rPr>
          <w:sz w:val="20"/>
          <w:szCs w:val="20"/>
          <w:color w:val="auto"/>
        </w:rPr>
      </w:pPr>
    </w:p>
    <w:p>
      <w:pPr>
        <w:jc w:val="both"/>
        <w:ind w:left="660" w:hanging="13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ended the quarter as expected, up 6 percent sequentially. Excluding legacy wireless, revenue grew 8 percent; our positions in industrial and automotive markets were important contributors to the sequential growth in revenue. Additionally, backlog increased, and with it, visibility into the second half improved.</w:t>
      </w:r>
    </w:p>
    <w:p>
      <w:pPr>
        <w:spacing w:after="0" w:line="208"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“Analog and Embedded Processing are now 78 percent of revenue, 6 points higher than a year ago. Our legacy wireless products declined to less than 5 percent of revenue and should be below 2 percent in the third quarter. Silicon Valley Analog (formerly National Semiconductor) led our Analog growth and is gaining share, one year ahead of plan.</w:t>
      </w:r>
    </w:p>
    <w:p>
      <w:pPr>
        <w:spacing w:after="0" w:line="208" w:lineRule="exact"/>
        <w:rPr>
          <w:rFonts w:ascii="Arial" w:cs="Arial" w:eastAsia="Arial" w:hAnsi="Arial"/>
          <w:sz w:val="18"/>
          <w:szCs w:val="18"/>
          <w:color w:val="auto"/>
        </w:rPr>
      </w:pPr>
    </w:p>
    <w:p>
      <w:pPr>
        <w:ind w:left="660" w:hanging="139"/>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model continues to generate strong cash flow from operations. Free cash flow for the trailing 12 months was almost $3 billion, up 10 percent compared with a year ago. Free cash flow comprised 24 percent of revenue, which is consistent with our target of 20-25 percent.</w:t>
      </w:r>
    </w:p>
    <w:p>
      <w:pPr>
        <w:spacing w:after="0" w:line="173" w:lineRule="exact"/>
        <w:rPr>
          <w:rFonts w:ascii="Arial" w:cs="Arial" w:eastAsia="Arial" w:hAnsi="Arial"/>
          <w:sz w:val="17"/>
          <w:szCs w:val="17"/>
          <w:color w:val="auto"/>
        </w:rPr>
      </w:pPr>
    </w:p>
    <w:p>
      <w:pPr>
        <w:jc w:val="both"/>
        <w:ind w:left="660" w:hanging="139"/>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returned $1.0 billion to shareholders through dividends and stock repurchases in the second quarter. For the trailing 12 months, the return to shareholders totaled $3.6 billion, or 123 percent of free cash flow. Our strategy to return to shareholders all of our free cash flow not needed for debt repayment reflects our confidence in the long-term sustainability of our Analog and Embedded Processing business model.</w:t>
      </w:r>
    </w:p>
    <w:p>
      <w:pPr>
        <w:spacing w:after="0" w:line="192" w:lineRule="exact"/>
        <w:rPr>
          <w:rFonts w:ascii="Arial" w:cs="Arial" w:eastAsia="Arial" w:hAnsi="Arial"/>
          <w:sz w:val="17"/>
          <w:szCs w:val="17"/>
          <w:color w:val="auto"/>
        </w:rPr>
      </w:pPr>
    </w:p>
    <w:p>
      <w:pPr>
        <w:jc w:val="both"/>
        <w:ind w:left="660" w:hanging="13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$3.2 billion of cash and short-term investments at the end of the quarter, 82 percent of which is owned by the company’s U.S. entities, even after reducing debt by $500 million. Inventory days were 105, up from 101 a year ago, and consistent with our model of 105-115.”</w:t>
      </w:r>
    </w:p>
    <w:p>
      <w:pPr>
        <w:spacing w:after="0" w:line="20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Free cash flow and revenue excluding legacy wireless are non-GAAP financial measures. Free cash flow is Cash flow from operations less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2Q13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2Q12</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1"/>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3,047</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3,335</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660</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8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color w:val="auto"/>
                <w:w w:val="95"/>
              </w:rPr>
              <w:t>Trailing 12 months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2Q13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2Q13</w:t>
            </w: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2Q12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674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4"/>
          </w:tcPr>
          <w:p>
            <w:pPr>
              <w:ind w:left="200"/>
              <w:spacing w:after="0"/>
              <w:rPr>
                <w:sz w:val="20"/>
                <w:szCs w:val="20"/>
                <w:color w:val="auto"/>
              </w:rPr>
            </w:pPr>
            <w:r>
              <w:rPr>
                <w:rFonts w:ascii="Arial" w:cs="Arial" w:eastAsia="Arial" w:hAnsi="Arial"/>
                <w:sz w:val="18"/>
                <w:szCs w:val="18"/>
                <w:color w:val="auto"/>
              </w:rPr>
              <w:t>3,323</w:t>
            </w:r>
          </w:p>
        </w:tc>
        <w:tc>
          <w:tcPr>
            <w:tcW w:w="4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3,234</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427</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4"/>
          </w:tcPr>
          <w:p>
            <w:pPr>
              <w:ind w:left="200"/>
              <w:spacing w:after="0"/>
              <w:rPr>
                <w:sz w:val="20"/>
                <w:szCs w:val="20"/>
                <w:color w:val="auto"/>
              </w:rPr>
            </w:pPr>
            <w:r>
              <w:rPr>
                <w:rFonts w:ascii="Arial" w:cs="Arial" w:eastAsia="Arial" w:hAnsi="Arial"/>
                <w:sz w:val="18"/>
                <w:szCs w:val="18"/>
                <w:color w:val="auto"/>
              </w:rPr>
              <w:t>2,896</w:t>
            </w:r>
          </w:p>
        </w:tc>
        <w:tc>
          <w:tcPr>
            <w:tcW w:w="4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trailing 12 months were 3 percent of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Cash return</w:t>
            </w:r>
          </w:p>
        </w:tc>
        <w:tc>
          <w:tcPr>
            <w:tcW w:w="1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92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Trailing 12 months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4"/>
              </w:rPr>
              <w:t>Percentage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2Q13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2Q13</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Free Cash Flow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971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Total cash returned</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3,571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2013, TI expects:</w:t>
      </w:r>
    </w:p>
    <w:p>
      <w:pPr>
        <w:sectPr>
          <w:pgSz w:w="11900" w:h="16847" w:orient="portrait"/>
          <w:cols w:equalWidth="0" w:num="1">
            <w:col w:w="11420"/>
          </w:cols>
          <w:pgMar w:left="240" w:top="125" w:right="239" w:bottom="0" w:gutter="0" w:footer="0" w:header="0"/>
        </w:sectPr>
      </w:pPr>
    </w:p>
    <w:bookmarkStart w:id="4" w:name="page5"/>
    <w:bookmarkEnd w:id="4"/>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$3.09 – 3.35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per share: $0.49 – 0.57</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legacy wireless products is expected to decline about $90 million sequentially at the middle of this range as the company winds down these product lines.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third-quarter outlook on September 10,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2013,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R&amp;D expense: $1.5 billion, unchanged</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$0.5 billion, unchanged</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$0.9 billion, unchanged</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effective tax rate: 24 percent, up from the prior estimate of 22 percent</w:t>
      </w:r>
    </w:p>
    <w:p>
      <w:pPr>
        <w:sectPr>
          <w:pgSz w:w="11900" w:h="16838" w:orient="portrait"/>
          <w:cols w:equalWidth="0" w:num="1">
            <w:col w:w="11120"/>
          </w:cols>
          <w:pgMar w:left="240" w:top="368" w:right="5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4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4"/>
              </w:rPr>
              <w:t>Jun. 30, 2013</w:t>
            </w:r>
          </w:p>
        </w:tc>
        <w:tc>
          <w:tcPr>
            <w:tcW w:w="14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Jun. 30, 2012</w:t>
            </w:r>
          </w:p>
        </w:tc>
        <w:tc>
          <w:tcPr>
            <w:tcW w:w="13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6"/>
              </w:rPr>
              <w:t>Mar.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3,047</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3,335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1,477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1,570</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1,651</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389</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471</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456</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86</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charges/other</w:t>
            </w:r>
          </w:p>
        </w:tc>
        <w:tc>
          <w:tcPr>
            <w:tcW w:w="4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(282)</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906</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882</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576</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222</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660</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.59</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1,103</w:t>
            </w:r>
          </w:p>
        </w:tc>
        <w:tc>
          <w:tcPr>
            <w:tcW w:w="4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1,140</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1,117</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1,154</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29.7%</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4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$11 million, $8 million and $7 million for the quarters ending June 30, 2013, June 30, 2012, and March 31, 2013, respectively.</w:t>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4"/>
              </w:rPr>
              <w:t>Jun. 30, 2013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Jun. 30, 2012</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Mar.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1,192</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($31), ($22) and ($26)</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6,679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6,840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(3,068)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 net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4,362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253</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19,398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19,521</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Commercial paper borrowings</w:t>
            </w: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682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8,330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Common stock, $1 par value. Authorized – 2,400,000,000 shares. Shares issued – 1,740,815,939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27,677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Shares: Jun. 30, 2013 – 639,643,135; Jun. 30, 2012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(18,877)</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603,058,077; Mar. 31, 2013 – 631,661,551</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(17,598)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11,068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11,158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19,398</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19,521</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4"/>
              </w:rPr>
              <w:t>Jun. 30, 2013</w:t>
            </w: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4"/>
              </w:rPr>
              <w:t>Jun. 30, 2012</w:t>
            </w:r>
          </w:p>
        </w:tc>
        <w:tc>
          <w:tcPr>
            <w:tcW w:w="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4"/>
              </w:rPr>
              <w:t>Mar.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on sales of assets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(160)</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(304)</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Changes in funded status of retirement plans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asset sales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(1,866)</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short-term investments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2,268</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long-term investments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986</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 and commercial paper borrowings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(309)</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343</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(1,197)</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1,393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w:t>
            </w:r>
          </w:p>
        </w:tc>
        <w:tc>
          <w:tcPr>
            <w:tcW w:w="4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27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2Q13 segment results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703"/>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2Q13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2Q12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1Q13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Change</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1,745</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1,648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7" w:lineRule="exact"/>
        <w:rPr>
          <w:sz w:val="20"/>
          <w:szCs w:val="20"/>
          <w:color w:val="auto"/>
        </w:rPr>
      </w:pP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a year ago, revenue decreased primarily due to lower Power Management revenue. High Performance Analog revenue also declined, while Silicon Valley Analog and High Volume Analog &amp; Logic revenue were about even.</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grew due to higher revenue from Silicon Valley Analog, High Volume Analog &amp; Logic and High Performance Analog. Revenue from Power Management was about even.</w:t>
      </w: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decreased from a year ago primarily due to lower revenue and associated gross profit. Operating profit increased from the prior quarter due to higher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Processors, Microcontrollers and Connectivity</w:t>
      </w:r>
      <w:r>
        <w:rPr>
          <w:rFonts w:ascii="Arial" w:cs="Arial" w:eastAsia="Arial" w:hAnsi="Arial"/>
          <w:sz w:val="18"/>
          <w:szCs w:val="18"/>
          <w:color w:val="auto"/>
        </w:rPr>
        <w:t>)</w:t>
      </w:r>
    </w:p>
    <w:p>
      <w:pPr>
        <w:spacing w:after="0" w:line="27" w:lineRule="exact"/>
        <w:rPr>
          <w:sz w:val="20"/>
          <w:szCs w:val="20"/>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the increase in revenue was primarily due to higher Microcontrollers revenue. Revenue from Connectivity also increased, while Processors revenue was about even.</w:t>
      </w:r>
    </w:p>
    <w:p>
      <w:pPr>
        <w:ind w:left="340" w:hanging="228"/>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Compared with the prior quarter, revenue increased primarily due to Processors. Revenue from Microcontrollers and Connectivity also increased.</w:t>
      </w:r>
    </w:p>
    <w:p>
      <w:pPr>
        <w:spacing w:after="0" w:line="20" w:lineRule="exact"/>
        <w:rPr>
          <w:rFonts w:ascii="Arial" w:cs="Arial" w:eastAsia="Arial" w:hAnsi="Arial"/>
          <w:sz w:val="17"/>
          <w:szCs w:val="17"/>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increased from a year ago and from the prior quarter due to higher gross profit.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ind w:left="340" w:right="20" w:hanging="228"/>
        <w:spacing w:after="0" w:line="24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primarily due to lower revenue from legacy wireless products. Revenue from custom ASIC products, DLP products and calculators also declined, while royalties increased.</w:t>
      </w:r>
    </w:p>
    <w:p>
      <w:pPr>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prior quarter, revenue was about even. Revenue from calculators and DLP products increased. Custom ASIC revenue was about even, and revenue from legacy wireless products and royalties declined.</w:t>
      </w:r>
    </w:p>
    <w:p>
      <w:pPr>
        <w:ind w:left="340" w:hanging="228"/>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Operating profit increased from both a year ago and the prior quarter due to a gain associated with the transfer of wireless connectivity technology.</w:t>
      </w:r>
    </w:p>
    <w:p>
      <w:pPr>
        <w:sectPr>
          <w:pgSz w:w="11900" w:h="16838" w:orient="portrait"/>
          <w:cols w:equalWidth="0" w:num="1">
            <w:col w:w="11420"/>
          </w:cols>
          <w:pgMar w:left="240" w:top="25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release includes a reference to TI’s revenue excluding revenue from legacy wireless products. This measure, which was not prepared in accordance with generally accepted accounting principles in the United States (GAAP), provides investors with insight into TI’s underlying business results and is supplemental to the comparable GAAP measure.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580" w:type="dxa"/>
            <w:vAlign w:val="bottom"/>
            <w:gridSpan w:val="7"/>
          </w:tcPr>
          <w:p>
            <w:pPr>
              <w:jc w:val="right"/>
              <w:ind w:right="60"/>
              <w:spacing w:after="0"/>
              <w:rPr>
                <w:sz w:val="20"/>
                <w:szCs w:val="20"/>
                <w:color w:val="auto"/>
              </w:rPr>
            </w:pPr>
            <w:r>
              <w:rPr>
                <w:rFonts w:ascii="Arial" w:cs="Arial" w:eastAsia="Arial" w:hAnsi="Arial"/>
                <w:sz w:val="18"/>
                <w:szCs w:val="18"/>
                <w:b w:val="1"/>
                <w:bCs w:val="1"/>
                <w:color w:val="auto"/>
              </w:rPr>
              <w:t>TEXAS INSTRUMENTS INCORPORATED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58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(Millions of dollars)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2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4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4"/>
              </w:rPr>
              <w:t>For Three Months Ended</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Jun. 30,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color w:val="auto"/>
                <w:w w:val="87"/>
              </w:rPr>
              <w:t>Mar. 31,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2013</w:t>
            </w:r>
          </w:p>
        </w:tc>
        <w:tc>
          <w:tcPr>
            <w:tcW w:w="3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(GAAP)</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legacy wireless revenue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TI Revenue less legacy wireless revenue (non-GAAP)</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2,899</w:t>
            </w: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release also includes references to free cash flow and various ratios based on that measure. These are financial measures that were not prepared in accordance with GAAP. Free cash flow was calculated by subtracting Capital expenditures from the most directly comparable GAAP measure of Cash flows from operating activities (also referred to as Cash flow from operations).</w:t>
      </w:r>
    </w:p>
    <w:p>
      <w:pPr>
        <w:spacing w:after="0" w:line="181"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release: Revenue, Dividends paid and Stock repurchases. Reconciliation to the most directly comparable GAAP-based ratios is provided in the table below.</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believes these non-GAAP measures provide insight into its liquidity, its cash-generating capability and the amount of cash available to return to investors as well as insight into its financial performance. These non-GAAP measures are supplemental to the comparable GAAP measures.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4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TEXAS INSTRUMENTS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4"/>
          </w:tcPr>
          <w:p>
            <w:pPr>
              <w:jc w:val="right"/>
              <w:ind w:right="1280"/>
              <w:spacing w:after="0"/>
              <w:rPr>
                <w:sz w:val="20"/>
                <w:szCs w:val="20"/>
                <w:color w:val="auto"/>
              </w:rPr>
            </w:pPr>
            <w:r>
              <w:rPr>
                <w:rFonts w:ascii="Arial" w:cs="Arial" w:eastAsia="Arial" w:hAnsi="Arial"/>
                <w:sz w:val="18"/>
                <w:szCs w:val="18"/>
                <w:b w:val="1"/>
                <w:bCs w:val="1"/>
                <w:color w:val="auto"/>
                <w:w w:val="94"/>
              </w:rPr>
              <w:t>(Millions of dollars)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840"/>
              <w:spacing w:after="0" w:line="198" w:lineRule="exact"/>
              <w:rPr>
                <w:sz w:val="20"/>
                <w:szCs w:val="20"/>
                <w:color w:val="auto"/>
              </w:rPr>
            </w:pPr>
            <w:r>
              <w:rPr>
                <w:rFonts w:ascii="Arial" w:cs="Arial" w:eastAsia="Arial" w:hAnsi="Arial"/>
                <w:sz w:val="18"/>
                <w:szCs w:val="18"/>
                <w:b w:val="1"/>
                <w:bCs w:val="1"/>
                <w:color w:val="auto"/>
                <w:w w:val="91"/>
              </w:rPr>
              <w:t>For the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b w:val="1"/>
                <w:bCs w:val="1"/>
                <w:color w:val="auto"/>
                <w:w w:val="89"/>
              </w:rPr>
              <w:t>Twelve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b w:val="1"/>
                <w:bCs w:val="1"/>
                <w:color w:val="auto"/>
                <w:w w:val="90"/>
              </w:rPr>
              <w:t>Months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b w:val="1"/>
                <w:bCs w:val="1"/>
                <w:color w:val="auto"/>
                <w:w w:val="90"/>
              </w:rPr>
              <w:t>Ended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b w:val="1"/>
                <w:bCs w:val="1"/>
                <w:color w:val="auto"/>
                <w:w w:val="89"/>
              </w:rPr>
              <w:t>Jun. 30,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Percentage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7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12,301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(GAAP)</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3,323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427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2,896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1"/>
              </w:rPr>
              <w:t>For the</w:t>
            </w: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89"/>
              </w:rPr>
              <w:t>Twelve</w:t>
            </w:r>
          </w:p>
        </w:tc>
        <w:tc>
          <w:tcPr>
            <w:tcW w:w="15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7"/>
              </w:rPr>
              <w:t>Percentage of</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93"/>
              </w:rPr>
              <w:t>Months</w:t>
            </w:r>
          </w:p>
        </w:tc>
        <w:tc>
          <w:tcPr>
            <w:tcW w:w="15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8"/>
              </w:rPr>
              <w:t>Cash Flow</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b w:val="1"/>
                <w:bCs w:val="1"/>
                <w:color w:val="auto"/>
                <w:w w:val="90"/>
              </w:rPr>
              <w:t>Ended</w:t>
            </w:r>
          </w:p>
        </w:tc>
        <w:tc>
          <w:tcPr>
            <w:tcW w:w="15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89"/>
              </w:rPr>
              <w:t>from</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of Free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9"/>
              </w:rPr>
              <w:t>Jun. 30,</w:t>
            </w:r>
          </w:p>
        </w:tc>
        <w:tc>
          <w:tcPr>
            <w:tcW w:w="15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Operations</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1"/>
              </w:rPr>
              <w:t>Cash Flow</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4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b w:val="1"/>
                <w:bCs w:val="1"/>
                <w:color w:val="auto"/>
                <w:w w:val="99"/>
              </w:rPr>
              <w:t>(GAAP)</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7"/>
              </w:rPr>
              <w:t>(Non-GAAP)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971</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Stock repurchases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2,600</w:t>
            </w:r>
          </w:p>
        </w:tc>
        <w:tc>
          <w:tcPr>
            <w:tcW w:w="4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returned to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3,571</w:t>
            </w:r>
          </w:p>
        </w:tc>
        <w:tc>
          <w:tcPr>
            <w:tcW w:w="4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Dividends paid and Stock repurchases as a percentage of free cash flow provided in the above chart do not sum to total cash returned to shareholders as a percentage of free cash flow due to rounding.</w:t>
      </w:r>
    </w:p>
    <w:p>
      <w:pPr>
        <w:sectPr>
          <w:pgSz w:w="11900" w:h="16838" w:orient="portrait"/>
          <w:cols w:equalWidth="0" w:num="1">
            <w:col w:w="11380"/>
          </w:cols>
          <w:pgMar w:left="240" w:top="270"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Ÿ"/>
      <w:numFmt w:val="bullet"/>
      <w:start w:val="1"/>
    </w:lvl>
  </w:abstractNum>
  <w:abstractNum w:abstractNumId="4">
    <w:nsid w:val="41B71EFB"/>
    <w:multiLevelType w:val="hybridMultilevel"/>
    <w:lvl w:ilvl="0">
      <w:lvlJc w:val="left"/>
      <w:lvlText w:val="Ÿ"/>
      <w:numFmt w:val="bullet"/>
      <w:start w:val="1"/>
    </w:lvl>
  </w:abstractNum>
  <w:abstractNum w:abstractNumId="5">
    <w:nsid w:val="79E2A9E3"/>
    <w:multiLevelType w:val="hybridMultilevel"/>
    <w:lvl w:ilvl="0">
      <w:lvlJc w:val="left"/>
      <w:lvlText w:val="Ÿ"/>
      <w:numFmt w:val="bullet"/>
      <w:start w:val="1"/>
    </w:lvl>
  </w:abstractNum>
  <w:abstractNum w:abstractNumId="6">
    <w:nsid w:val="7545E146"/>
    <w:multiLevelType w:val="hybridMultilevel"/>
    <w:lvl w:ilvl="0">
      <w:lvlJc w:val="left"/>
      <w:lvlText w:val="Ÿ"/>
      <w:numFmt w:val="bullet"/>
      <w:start w:val="1"/>
    </w:lvl>
  </w:abstractNum>
  <w:abstractNum w:abstractNumId="7">
    <w:nsid w:val="515F007C"/>
    <w:multiLevelType w:val="hybridMultilevel"/>
    <w:lvl w:ilvl="0">
      <w:lvlJc w:val="left"/>
      <w:lvlText w:val="Ÿ"/>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2019-12-05T15:59:48Z</dcterms:created>
  <dcterms:modified xsi:type="dcterms:W3CDTF">2019-12-05T15:59:48Z</dcterms:modified>
</cp:coreProperties>
</file>