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363220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1487805</wp:posOffset>
            </wp:positionH>
            <wp:positionV relativeFrom="paragraph">
              <wp:posOffset>49530</wp:posOffset>
            </wp:positionV>
            <wp:extent cx="41662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166235" cy="8255"/>
                    </a:xfrm>
                    <a:prstGeom prst="rect">
                      <a:avLst/>
                    </a:prstGeom>
                    <a:noFill/>
                  </pic:spPr>
                </pic:pic>
              </a:graphicData>
            </a:graphic>
          </wp:anchor>
        </w:drawing>
      </w:r>
    </w:p>
    <w:p>
      <w:pPr>
        <w:spacing w:after="0" w:line="23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1487805</wp:posOffset>
            </wp:positionH>
            <wp:positionV relativeFrom="paragraph">
              <wp:posOffset>51435</wp:posOffset>
            </wp:positionV>
            <wp:extent cx="41662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166235" cy="8255"/>
                    </a:xfrm>
                    <a:prstGeom prst="rect">
                      <a:avLst/>
                    </a:prstGeom>
                    <a:noFill/>
                  </pic:spPr>
                </pic:pic>
              </a:graphicData>
            </a:graphic>
          </wp:anchor>
        </w:drawing>
      </w:r>
    </w:p>
    <w:p>
      <w:pPr>
        <w:spacing w:after="0" w:line="221" w:lineRule="exact"/>
        <w:rPr>
          <w:sz w:val="24"/>
          <w:szCs w:val="24"/>
          <w:color w:val="auto"/>
        </w:rPr>
      </w:pPr>
    </w:p>
    <w:p>
      <w:pPr>
        <w:ind w:left="740" w:right="320" w:hanging="714"/>
        <w:spacing w:after="0" w:line="247" w:lineRule="auto"/>
        <w:tabs>
          <w:tab w:leader="none" w:pos="74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4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March 31, 2026</w:t>
      </w:r>
    </w:p>
    <w:p>
      <w:pPr>
        <w:spacing w:after="0" w:line="40" w:lineRule="exact"/>
        <w:rPr>
          <w:sz w:val="24"/>
          <w:szCs w:val="24"/>
          <w:color w:val="auto"/>
        </w:rPr>
      </w:pPr>
    </w:p>
    <w:p>
      <w:pPr>
        <w:ind w:left="760" w:right="320" w:hanging="721"/>
        <w:spacing w:after="0" w:line="247" w:lineRule="auto"/>
        <w:tabs>
          <w:tab w:leader="none" w:pos="7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10" w:lineRule="exact"/>
        <w:rPr>
          <w:sz w:val="24"/>
          <w:szCs w:val="24"/>
          <w:color w:val="auto"/>
        </w:rPr>
      </w:pPr>
    </w:p>
    <w:p>
      <w:pPr>
        <w:ind w:left="3100"/>
        <w:spacing w:after="0"/>
        <w:rPr>
          <w:sz w:val="20"/>
          <w:szCs w:val="20"/>
          <w:color w:val="auto"/>
        </w:rPr>
      </w:pPr>
      <w:r>
        <w:rPr>
          <w:rFonts w:ascii="Arial" w:cs="Arial" w:eastAsia="Arial" w:hAnsi="Arial"/>
          <w:sz w:val="18"/>
          <w:szCs w:val="18"/>
          <w:b w:val="1"/>
          <w:bCs w:val="1"/>
          <w:color w:val="auto"/>
        </w:rPr>
        <w:t>For the transition period from ___________ to ___________</w:t>
      </w:r>
    </w:p>
    <w:p>
      <w:pPr>
        <w:spacing w:after="0" w:line="11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001-03761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1487805</wp:posOffset>
            </wp:positionH>
            <wp:positionV relativeFrom="paragraph">
              <wp:posOffset>34925</wp:posOffset>
            </wp:positionV>
            <wp:extent cx="41662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166235" cy="8255"/>
                    </a:xfrm>
                    <a:prstGeom prst="rect">
                      <a:avLst/>
                    </a:prstGeom>
                    <a:noFill/>
                  </pic:spPr>
                </pic:pic>
              </a:graphicData>
            </a:graphic>
          </wp:anchor>
        </w:drawing>
      </w:r>
    </w:p>
    <w:p>
      <w:pPr>
        <w:spacing w:after="0" w:line="153"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TEXAS INSTRUMENTS INCORPORATED</w:t>
      </w:r>
    </w:p>
    <w:p>
      <w:pPr>
        <w:spacing w:after="0" w:line="4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1487805</wp:posOffset>
            </wp:positionH>
            <wp:positionV relativeFrom="paragraph">
              <wp:posOffset>23495</wp:posOffset>
            </wp:positionV>
            <wp:extent cx="41662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166235" cy="8255"/>
                    </a:xfrm>
                    <a:prstGeom prst="rect">
                      <a:avLst/>
                    </a:prstGeom>
                    <a:noFill/>
                  </pic:spPr>
                </pic:pic>
              </a:graphicData>
            </a:graphic>
          </wp:anchor>
        </w:drawing>
      </w:r>
    </w:p>
    <w:p>
      <w:pPr>
        <w:spacing w:after="0" w:line="187" w:lineRule="exact"/>
        <w:rPr>
          <w:sz w:val="24"/>
          <w:szCs w:val="24"/>
          <w:color w:val="auto"/>
        </w:rPr>
      </w:pPr>
    </w:p>
    <w:tbl>
      <w:tblPr>
        <w:tblLayout w:type="fixed"/>
        <w:tblInd w:w="1400" w:type="dxa"/>
        <w:tblCellMar>
          <w:top w:w="0" w:type="dxa"/>
          <w:left w:w="0" w:type="dxa"/>
          <w:bottom w:w="0" w:type="dxa"/>
          <w:right w:w="0" w:type="dxa"/>
        </w:tblCellMar>
      </w:tblPr>
      <w:tr>
        <w:trPr>
          <w:trHeight w:val="239"/>
        </w:trPr>
        <w:tc>
          <w:tcPr>
            <w:tcW w:w="4340" w:type="dxa"/>
            <w:vAlign w:val="bottom"/>
          </w:tcPr>
          <w:p>
            <w:pPr>
              <w:jc w:val="center"/>
              <w:ind w:right="1379"/>
              <w:spacing w:after="0"/>
              <w:rPr>
                <w:sz w:val="20"/>
                <w:szCs w:val="20"/>
                <w:color w:val="auto"/>
              </w:rPr>
            </w:pPr>
            <w:r>
              <w:rPr>
                <w:rFonts w:ascii="Arial" w:cs="Arial" w:eastAsia="Arial" w:hAnsi="Arial"/>
                <w:sz w:val="18"/>
                <w:szCs w:val="18"/>
                <w:b w:val="1"/>
                <w:bCs w:val="1"/>
                <w:color w:val="auto"/>
              </w:rPr>
              <w:t>Delaware</w:t>
            </w:r>
          </w:p>
        </w:tc>
        <w:tc>
          <w:tcPr>
            <w:tcW w:w="3840" w:type="dxa"/>
            <w:vAlign w:val="bottom"/>
          </w:tcPr>
          <w:p>
            <w:pPr>
              <w:jc w:val="right"/>
              <w:ind w:right="619"/>
              <w:spacing w:after="0"/>
              <w:rPr>
                <w:sz w:val="20"/>
                <w:szCs w:val="20"/>
                <w:color w:val="auto"/>
              </w:rPr>
            </w:pPr>
            <w:r>
              <w:rPr>
                <w:rFonts w:ascii="Arial" w:cs="Arial" w:eastAsia="Arial" w:hAnsi="Arial"/>
                <w:sz w:val="18"/>
                <w:szCs w:val="18"/>
                <w:b w:val="1"/>
                <w:bCs w:val="1"/>
                <w:color w:val="auto"/>
              </w:rPr>
              <w:t>75-0289970</w:t>
            </w:r>
          </w:p>
        </w:tc>
      </w:tr>
      <w:tr>
        <w:trPr>
          <w:trHeight w:val="196"/>
        </w:trPr>
        <w:tc>
          <w:tcPr>
            <w:tcW w:w="4340" w:type="dxa"/>
            <w:vAlign w:val="bottom"/>
          </w:tcPr>
          <w:p>
            <w:pPr>
              <w:jc w:val="center"/>
              <w:ind w:right="1379"/>
              <w:spacing w:after="0"/>
              <w:rPr>
                <w:sz w:val="20"/>
                <w:szCs w:val="20"/>
                <w:color w:val="auto"/>
              </w:rPr>
            </w:pPr>
            <w:r>
              <w:rPr>
                <w:rFonts w:ascii="Arial" w:cs="Arial" w:eastAsia="Arial" w:hAnsi="Arial"/>
                <w:sz w:val="14"/>
                <w:szCs w:val="14"/>
                <w:b w:val="1"/>
                <w:bCs w:val="1"/>
                <w:color w:val="auto"/>
              </w:rPr>
              <w:t>(State of Incorporation)</w:t>
            </w:r>
          </w:p>
        </w:tc>
        <w:tc>
          <w:tcPr>
            <w:tcW w:w="3840" w:type="dxa"/>
            <w:vAlign w:val="bottom"/>
          </w:tcPr>
          <w:p>
            <w:pPr>
              <w:jc w:val="center"/>
              <w:ind w:left="1399"/>
              <w:spacing w:after="0"/>
              <w:rPr>
                <w:sz w:val="20"/>
                <w:szCs w:val="20"/>
                <w:color w:val="auto"/>
              </w:rPr>
            </w:pPr>
            <w:r>
              <w:rPr>
                <w:rFonts w:ascii="Arial" w:cs="Arial" w:eastAsia="Arial" w:hAnsi="Arial"/>
                <w:sz w:val="14"/>
                <w:szCs w:val="14"/>
                <w:b w:val="1"/>
                <w:bCs w:val="1"/>
                <w:color w:val="auto"/>
              </w:rPr>
              <w:t>(I.R.S. Employer Identification No.)</w:t>
            </w:r>
          </w:p>
        </w:tc>
      </w:tr>
      <w:tr>
        <w:trPr>
          <w:trHeight w:val="344"/>
        </w:trPr>
        <w:tc>
          <w:tcPr>
            <w:tcW w:w="4340" w:type="dxa"/>
            <w:vAlign w:val="bottom"/>
          </w:tcPr>
          <w:p>
            <w:pPr>
              <w:jc w:val="center"/>
              <w:ind w:right="1399"/>
              <w:spacing w:after="0"/>
              <w:rPr>
                <w:sz w:val="20"/>
                <w:szCs w:val="20"/>
                <w:color w:val="auto"/>
              </w:rPr>
            </w:pPr>
            <w:r>
              <w:rPr>
                <w:rFonts w:ascii="Arial" w:cs="Arial" w:eastAsia="Arial" w:hAnsi="Arial"/>
                <w:sz w:val="18"/>
                <w:szCs w:val="18"/>
                <w:b w:val="1"/>
                <w:bCs w:val="1"/>
                <w:color w:val="auto"/>
                <w:w w:val="99"/>
              </w:rPr>
              <w:t>12500 TI Boulevard, Dallas, Texas</w:t>
            </w:r>
          </w:p>
        </w:tc>
        <w:tc>
          <w:tcPr>
            <w:tcW w:w="3840" w:type="dxa"/>
            <w:vAlign w:val="bottom"/>
          </w:tcPr>
          <w:p>
            <w:pPr>
              <w:jc w:val="right"/>
              <w:ind w:right="859"/>
              <w:spacing w:after="0"/>
              <w:rPr>
                <w:sz w:val="20"/>
                <w:szCs w:val="20"/>
                <w:color w:val="auto"/>
              </w:rPr>
            </w:pPr>
            <w:r>
              <w:rPr>
                <w:rFonts w:ascii="Arial" w:cs="Arial" w:eastAsia="Arial" w:hAnsi="Arial"/>
                <w:sz w:val="18"/>
                <w:szCs w:val="18"/>
                <w:b w:val="1"/>
                <w:bCs w:val="1"/>
                <w:color w:val="auto"/>
              </w:rPr>
              <w:t>75243</w:t>
            </w:r>
          </w:p>
        </w:tc>
      </w:tr>
      <w:tr>
        <w:trPr>
          <w:trHeight w:val="196"/>
        </w:trPr>
        <w:tc>
          <w:tcPr>
            <w:tcW w:w="4340" w:type="dxa"/>
            <w:vAlign w:val="bottom"/>
          </w:tcPr>
          <w:p>
            <w:pPr>
              <w:jc w:val="center"/>
              <w:ind w:right="1379"/>
              <w:spacing w:after="0"/>
              <w:rPr>
                <w:sz w:val="20"/>
                <w:szCs w:val="20"/>
                <w:color w:val="auto"/>
              </w:rPr>
            </w:pPr>
            <w:r>
              <w:rPr>
                <w:rFonts w:ascii="Arial" w:cs="Arial" w:eastAsia="Arial" w:hAnsi="Arial"/>
                <w:sz w:val="14"/>
                <w:szCs w:val="14"/>
                <w:b w:val="1"/>
                <w:bCs w:val="1"/>
                <w:color w:val="auto"/>
              </w:rPr>
              <w:t>(Address of principal executive offices)</w:t>
            </w:r>
          </w:p>
        </w:tc>
        <w:tc>
          <w:tcPr>
            <w:tcW w:w="3840" w:type="dxa"/>
            <w:vAlign w:val="bottom"/>
          </w:tcPr>
          <w:p>
            <w:pPr>
              <w:jc w:val="center"/>
              <w:ind w:left="1379"/>
              <w:spacing w:after="0"/>
              <w:rPr>
                <w:sz w:val="20"/>
                <w:szCs w:val="20"/>
                <w:color w:val="auto"/>
              </w:rPr>
            </w:pPr>
            <w:r>
              <w:rPr>
                <w:rFonts w:ascii="Arial" w:cs="Arial" w:eastAsia="Arial" w:hAnsi="Arial"/>
                <w:sz w:val="14"/>
                <w:szCs w:val="14"/>
                <w:b w:val="1"/>
                <w:bCs w:val="1"/>
                <w:color w:val="auto"/>
              </w:rPr>
              <w:t>(Zip Code)</w:t>
            </w:r>
          </w:p>
        </w:tc>
      </w:tr>
    </w:tbl>
    <w:p>
      <w:pPr>
        <w:spacing w:after="0" w:line="114"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Registrant’s telephone number, including area code 214-479-3773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1487805</wp:posOffset>
            </wp:positionH>
            <wp:positionV relativeFrom="paragraph">
              <wp:posOffset>92075</wp:posOffset>
            </wp:positionV>
            <wp:extent cx="41662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166235" cy="8890"/>
                    </a:xfrm>
                    <a:prstGeom prst="rect">
                      <a:avLst/>
                    </a:prstGeom>
                    <a:noFill/>
                  </pic:spPr>
                </pic:pic>
              </a:graphicData>
            </a:graphic>
          </wp:anchor>
        </w:drawing>
      </w:r>
    </w:p>
    <w:p>
      <w:pPr>
        <w:spacing w:after="0" w:line="200" w:lineRule="exact"/>
        <w:rPr>
          <w:sz w:val="24"/>
          <w:szCs w:val="24"/>
          <w:color w:val="auto"/>
        </w:rPr>
      </w:pPr>
    </w:p>
    <w:p>
      <w:pPr>
        <w:spacing w:after="0" w:line="298"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35" w:lineRule="exact"/>
        <w:rPr>
          <w:sz w:val="24"/>
          <w:szCs w:val="24"/>
          <w:color w:val="auto"/>
        </w:rPr>
      </w:pPr>
    </w:p>
    <w:tbl>
      <w:tblPr>
        <w:tblLayout w:type="fixed"/>
        <w:tblInd w:w="10" w:type="dxa"/>
        <w:tblCellMar>
          <w:top w:w="0" w:type="dxa"/>
          <w:left w:w="0" w:type="dxa"/>
          <w:bottom w:w="0" w:type="dxa"/>
          <w:right w:w="0" w:type="dxa"/>
        </w:tblCellMar>
      </w:tblPr>
      <w:tr>
        <w:trPr>
          <w:trHeight w:val="215"/>
        </w:trPr>
        <w:tc>
          <w:tcPr>
            <w:tcW w:w="360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Title of each class</w:t>
            </w:r>
          </w:p>
        </w:tc>
        <w:tc>
          <w:tcPr>
            <w:tcW w:w="25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Trading Symbol(s)</w:t>
            </w:r>
          </w:p>
        </w:tc>
        <w:tc>
          <w:tcPr>
            <w:tcW w:w="50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Name of each exchange on which registered</w:t>
            </w:r>
          </w:p>
        </w:tc>
      </w:tr>
      <w:tr>
        <w:trPr>
          <w:trHeight w:val="224"/>
        </w:trPr>
        <w:tc>
          <w:tcPr>
            <w:tcW w:w="36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Common Stock, par value $1.00</w:t>
            </w:r>
          </w:p>
        </w:tc>
        <w:tc>
          <w:tcPr>
            <w:tcW w:w="2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TXN</w:t>
            </w:r>
          </w:p>
        </w:tc>
        <w:tc>
          <w:tcPr>
            <w:tcW w:w="5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The Nasdaq Global Select Market</w:t>
            </w:r>
          </w:p>
        </w:tc>
      </w:tr>
    </w:tbl>
    <w:p>
      <w:pPr>
        <w:spacing w:after="0" w:line="184" w:lineRule="exact"/>
        <w:rPr>
          <w:sz w:val="24"/>
          <w:szCs w:val="24"/>
          <w:color w:val="auto"/>
        </w:rPr>
      </w:pPr>
    </w:p>
    <w:p>
      <w:pPr>
        <w:ind w:right="160"/>
        <w:spacing w:after="0" w:line="232"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17" w:lineRule="exact"/>
        <w:rPr>
          <w:sz w:val="24"/>
          <w:szCs w:val="24"/>
          <w:color w:val="auto"/>
        </w:rPr>
      </w:pPr>
    </w:p>
    <w:p>
      <w:pPr>
        <w:ind w:right="200"/>
        <w:spacing w:after="0" w:line="229"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8"/>
          <w:szCs w:val="18"/>
          <w:color w:val="auto"/>
        </w:rPr>
        <w:t xml:space="preserve"> No </w:t>
      </w:r>
      <w:r>
        <w:rPr>
          <w:rFonts w:ascii="MS PGothic" w:cs="MS PGothic" w:eastAsia="MS PGothic" w:hAnsi="MS PGothic"/>
          <w:sz w:val="16"/>
          <w:szCs w:val="16"/>
          <w:color w:val="auto"/>
        </w:rPr>
        <w:t>☐</w:t>
      </w:r>
    </w:p>
    <w:p>
      <w:pPr>
        <w:spacing w:after="0" w:line="124" w:lineRule="exact"/>
        <w:rPr>
          <w:sz w:val="24"/>
          <w:szCs w:val="24"/>
          <w:color w:val="auto"/>
        </w:rPr>
      </w:pPr>
    </w:p>
    <w:p>
      <w:pPr>
        <w:jc w:val="both"/>
        <w:ind w:right="340"/>
        <w:spacing w:after="0" w:line="259"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20" w:type="dxa"/>
        <w:tblCellMar>
          <w:top w:w="0" w:type="dxa"/>
          <w:left w:w="0" w:type="dxa"/>
          <w:bottom w:w="0" w:type="dxa"/>
          <w:right w:w="0" w:type="dxa"/>
        </w:tblCellMar>
      </w:tblPr>
      <w:tr>
        <w:trPr>
          <w:trHeight w:val="216"/>
        </w:trPr>
        <w:tc>
          <w:tcPr>
            <w:tcW w:w="292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2580" w:type="dxa"/>
            <w:vAlign w:val="bottom"/>
          </w:tcPr>
          <w:p>
            <w:pPr>
              <w:ind w:left="780"/>
              <w:spacing w:after="0" w:line="161" w:lineRule="exact"/>
              <w:rPr>
                <w:sz w:val="20"/>
                <w:szCs w:val="20"/>
                <w:color w:val="auto"/>
              </w:rPr>
            </w:pPr>
            <w:r>
              <w:rPr>
                <w:rFonts w:ascii="MS PGothic" w:cs="MS PGothic" w:eastAsia="MS PGothic" w:hAnsi="MS PGothic"/>
                <w:sz w:val="16"/>
                <w:szCs w:val="16"/>
                <w:color w:val="auto"/>
              </w:rPr>
              <w:t>☒</w:t>
            </w:r>
          </w:p>
        </w:tc>
        <w:tc>
          <w:tcPr>
            <w:tcW w:w="4580" w:type="dxa"/>
            <w:vAlign w:val="bottom"/>
          </w:tcPr>
          <w:p>
            <w:pPr>
              <w:ind w:left="1640"/>
              <w:spacing w:after="0"/>
              <w:rPr>
                <w:sz w:val="20"/>
                <w:szCs w:val="20"/>
                <w:color w:val="auto"/>
              </w:rPr>
            </w:pPr>
            <w:r>
              <w:rPr>
                <w:rFonts w:ascii="Arial" w:cs="Arial" w:eastAsia="Arial" w:hAnsi="Arial"/>
                <w:sz w:val="18"/>
                <w:szCs w:val="18"/>
                <w:color w:val="auto"/>
              </w:rPr>
              <w:t>Accelerated filer</w:t>
            </w:r>
          </w:p>
        </w:tc>
        <w:tc>
          <w:tcPr>
            <w:tcW w:w="940" w:type="dxa"/>
            <w:vAlign w:val="bottom"/>
          </w:tcPr>
          <w:p>
            <w:pPr>
              <w:ind w:left="78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30"/>
        </w:trPr>
        <w:tc>
          <w:tcPr>
            <w:tcW w:w="2920" w:type="dxa"/>
            <w:vAlign w:val="bottom"/>
          </w:tcPr>
          <w:p>
            <w:pPr>
              <w:spacing w:after="0"/>
              <w:rPr>
                <w:sz w:val="20"/>
                <w:szCs w:val="20"/>
                <w:color w:val="auto"/>
              </w:rPr>
            </w:pPr>
            <w:r>
              <w:rPr>
                <w:rFonts w:ascii="Arial" w:cs="Arial" w:eastAsia="Arial" w:hAnsi="Arial"/>
                <w:sz w:val="18"/>
                <w:szCs w:val="18"/>
                <w:color w:val="auto"/>
              </w:rPr>
              <w:t>Non-accelerated filer</w:t>
            </w:r>
          </w:p>
        </w:tc>
        <w:tc>
          <w:tcPr>
            <w:tcW w:w="2580" w:type="dxa"/>
            <w:vAlign w:val="bottom"/>
          </w:tcPr>
          <w:p>
            <w:pPr>
              <w:ind w:left="780"/>
              <w:spacing w:after="0" w:line="161" w:lineRule="exact"/>
              <w:rPr>
                <w:sz w:val="20"/>
                <w:szCs w:val="20"/>
                <w:color w:val="auto"/>
              </w:rPr>
            </w:pPr>
            <w:r>
              <w:rPr>
                <w:rFonts w:ascii="MS PGothic" w:cs="MS PGothic" w:eastAsia="MS PGothic" w:hAnsi="MS PGothic"/>
                <w:sz w:val="16"/>
                <w:szCs w:val="16"/>
                <w:color w:val="auto"/>
              </w:rPr>
              <w:t>☐</w:t>
            </w:r>
          </w:p>
        </w:tc>
        <w:tc>
          <w:tcPr>
            <w:tcW w:w="4580" w:type="dxa"/>
            <w:vAlign w:val="bottom"/>
          </w:tcPr>
          <w:p>
            <w:pPr>
              <w:ind w:left="1640"/>
              <w:spacing w:after="0"/>
              <w:rPr>
                <w:sz w:val="20"/>
                <w:szCs w:val="20"/>
                <w:color w:val="auto"/>
              </w:rPr>
            </w:pPr>
            <w:r>
              <w:rPr>
                <w:rFonts w:ascii="Arial" w:cs="Arial" w:eastAsia="Arial" w:hAnsi="Arial"/>
                <w:sz w:val="18"/>
                <w:szCs w:val="18"/>
                <w:color w:val="auto"/>
              </w:rPr>
              <w:t>Smaller reporting company</w:t>
            </w:r>
          </w:p>
        </w:tc>
        <w:tc>
          <w:tcPr>
            <w:tcW w:w="940" w:type="dxa"/>
            <w:vAlign w:val="bottom"/>
          </w:tcPr>
          <w:p>
            <w:pPr>
              <w:ind w:left="78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72"/>
        </w:trPr>
        <w:tc>
          <w:tcPr>
            <w:tcW w:w="2920" w:type="dxa"/>
            <w:vAlign w:val="bottom"/>
          </w:tcPr>
          <w:p>
            <w:pPr>
              <w:spacing w:after="0"/>
              <w:rPr>
                <w:sz w:val="20"/>
                <w:szCs w:val="20"/>
                <w:color w:val="auto"/>
              </w:rPr>
            </w:pPr>
            <w:r>
              <w:rPr>
                <w:rFonts w:ascii="Arial" w:cs="Arial" w:eastAsia="Arial" w:hAnsi="Arial"/>
                <w:sz w:val="18"/>
                <w:szCs w:val="18"/>
                <w:color w:val="auto"/>
              </w:rPr>
              <w:t>Emerging growth company</w:t>
            </w:r>
          </w:p>
        </w:tc>
        <w:tc>
          <w:tcPr>
            <w:tcW w:w="2580" w:type="dxa"/>
            <w:vAlign w:val="bottom"/>
          </w:tcPr>
          <w:p>
            <w:pPr>
              <w:ind w:left="780"/>
              <w:spacing w:after="0" w:line="161" w:lineRule="exact"/>
              <w:rPr>
                <w:sz w:val="20"/>
                <w:szCs w:val="20"/>
                <w:color w:val="auto"/>
              </w:rPr>
            </w:pPr>
            <w:r>
              <w:rPr>
                <w:rFonts w:ascii="MS PGothic" w:cs="MS PGothic" w:eastAsia="MS PGothic" w:hAnsi="MS PGothic"/>
                <w:sz w:val="16"/>
                <w:szCs w:val="16"/>
                <w:color w:val="auto"/>
              </w:rPr>
              <w:t>☐</w:t>
            </w:r>
          </w:p>
        </w:tc>
        <w:tc>
          <w:tcPr>
            <w:tcW w:w="4580" w:type="dxa"/>
            <w:vAlign w:val="bottom"/>
          </w:tcPr>
          <w:p>
            <w:pPr>
              <w:spacing w:after="0"/>
              <w:rPr>
                <w:sz w:val="23"/>
                <w:szCs w:val="23"/>
                <w:color w:val="auto"/>
              </w:rPr>
            </w:pPr>
          </w:p>
        </w:tc>
        <w:tc>
          <w:tcPr>
            <w:tcW w:w="940" w:type="dxa"/>
            <w:vAlign w:val="bottom"/>
          </w:tcPr>
          <w:p>
            <w:pPr>
              <w:spacing w:after="0"/>
              <w:rPr>
                <w:sz w:val="23"/>
                <w:szCs w:val="23"/>
                <w:color w:val="auto"/>
              </w:rPr>
            </w:pPr>
          </w:p>
        </w:tc>
      </w:tr>
    </w:tbl>
    <w:p>
      <w:pPr>
        <w:spacing w:after="0" w:line="16"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10580" w:type="dxa"/>
            <w:vAlign w:val="bottom"/>
          </w:tcPr>
          <w:p>
            <w:pPr>
              <w:ind w:left="20"/>
              <w:spacing w:after="0"/>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w:t>
            </w:r>
          </w:p>
        </w:tc>
        <w:tc>
          <w:tcPr>
            <w:tcW w:w="660" w:type="dxa"/>
            <w:vAlign w:val="bottom"/>
            <w:vMerge w:val="restart"/>
          </w:tcPr>
          <w:p>
            <w:pPr>
              <w:ind w:left="300"/>
              <w:spacing w:after="0" w:line="161" w:lineRule="exact"/>
              <w:rPr>
                <w:sz w:val="20"/>
                <w:szCs w:val="20"/>
                <w:color w:val="auto"/>
              </w:rPr>
            </w:pPr>
            <w:r>
              <w:rPr>
                <w:rFonts w:ascii="MS PGothic" w:cs="MS PGothic" w:eastAsia="MS PGothic" w:hAnsi="MS PGothic"/>
                <w:sz w:val="16"/>
                <w:szCs w:val="16"/>
                <w:color w:val="auto"/>
              </w:rPr>
              <w:t>☐</w:t>
            </w:r>
          </w:p>
        </w:tc>
        <w:tc>
          <w:tcPr>
            <w:tcW w:w="0" w:type="dxa"/>
            <w:vAlign w:val="bottom"/>
          </w:tcPr>
          <w:p>
            <w:pPr>
              <w:spacing w:after="0"/>
              <w:rPr>
                <w:sz w:val="1"/>
                <w:szCs w:val="1"/>
                <w:color w:val="auto"/>
              </w:rPr>
            </w:pPr>
          </w:p>
        </w:tc>
      </w:tr>
      <w:tr>
        <w:trPr>
          <w:trHeight w:val="155"/>
        </w:trPr>
        <w:tc>
          <w:tcPr>
            <w:tcW w:w="10580" w:type="dxa"/>
            <w:vAlign w:val="bottom"/>
            <w:vMerge w:val="restart"/>
          </w:tcPr>
          <w:p>
            <w:pPr>
              <w:ind w:left="20"/>
              <w:spacing w:after="0"/>
              <w:rPr>
                <w:sz w:val="20"/>
                <w:szCs w:val="20"/>
                <w:color w:val="auto"/>
              </w:rPr>
            </w:pPr>
            <w:r>
              <w:rPr>
                <w:rFonts w:ascii="Arial" w:cs="Arial" w:eastAsia="Arial" w:hAnsi="Arial"/>
                <w:sz w:val="18"/>
                <w:szCs w:val="18"/>
                <w:color w:val="auto"/>
              </w:rPr>
              <w:t>complying with any new or revised financial accounting standards provided pursuant to Section 13(a) of the Exchange Act</w:t>
            </w:r>
          </w:p>
        </w:tc>
        <w:tc>
          <w:tcPr>
            <w:tcW w:w="6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4"/>
        </w:trPr>
        <w:tc>
          <w:tcPr>
            <w:tcW w:w="10580" w:type="dxa"/>
            <w:vAlign w:val="bottom"/>
            <w:vMerge w:val="continue"/>
          </w:tcPr>
          <w:p>
            <w:pPr>
              <w:spacing w:after="0"/>
              <w:rPr>
                <w:sz w:val="7"/>
                <w:szCs w:val="7"/>
                <w:color w:val="auto"/>
              </w:rPr>
            </w:pPr>
          </w:p>
        </w:tc>
        <w:tc>
          <w:tcPr>
            <w:tcW w:w="6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29"/>
        </w:trPr>
        <w:tc>
          <w:tcPr>
            <w:tcW w:w="10580" w:type="dxa"/>
            <w:vAlign w:val="bottom"/>
          </w:tcPr>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8"/>
                <w:szCs w:val="18"/>
                <w:color w:val="auto"/>
              </w:rPr>
              <w:t xml:space="preserve"> No </w:t>
            </w:r>
            <w:r>
              <w:rPr>
                <w:rFonts w:ascii="MS PGothic" w:cs="MS PGothic" w:eastAsia="MS PGothic" w:hAnsi="MS PGothic"/>
                <w:sz w:val="16"/>
                <w:szCs w:val="16"/>
                <w:color w:val="auto"/>
              </w:rPr>
              <w:t>☒</w:t>
            </w: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4"/>
        </w:trPr>
        <w:tc>
          <w:tcPr>
            <w:tcW w:w="10580" w:type="dxa"/>
            <w:vAlign w:val="bottom"/>
          </w:tcPr>
          <w:p>
            <w:pPr>
              <w:jc w:val="center"/>
              <w:ind w:left="570"/>
              <w:spacing w:after="0"/>
              <w:rPr>
                <w:sz w:val="20"/>
                <w:szCs w:val="20"/>
                <w:color w:val="auto"/>
              </w:rPr>
            </w:pPr>
            <w:r>
              <w:rPr>
                <w:rFonts w:ascii="Arial" w:cs="Arial" w:eastAsia="Arial" w:hAnsi="Arial"/>
                <w:sz w:val="18"/>
                <w:szCs w:val="18"/>
                <w:color w:val="auto"/>
                <w:w w:val="99"/>
              </w:rPr>
              <w:t>910,092,791</w:t>
            </w:r>
          </w:p>
        </w:tc>
        <w:tc>
          <w:tcPr>
            <w:tcW w:w="6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24"/>
        </w:trPr>
        <w:tc>
          <w:tcPr>
            <w:tcW w:w="10580" w:type="dxa"/>
            <w:vAlign w:val="bottom"/>
          </w:tcPr>
          <w:p>
            <w:pPr>
              <w:jc w:val="center"/>
              <w:ind w:left="590"/>
              <w:spacing w:after="0"/>
              <w:rPr>
                <w:sz w:val="20"/>
                <w:szCs w:val="20"/>
                <w:color w:val="auto"/>
              </w:rPr>
            </w:pPr>
            <w:r>
              <w:rPr>
                <w:rFonts w:ascii="Arial" w:cs="Arial" w:eastAsia="Arial" w:hAnsi="Arial"/>
                <w:sz w:val="18"/>
                <w:szCs w:val="18"/>
                <w:color w:val="auto"/>
                <w:w w:val="99"/>
              </w:rPr>
              <w:t>Number of shares of Registrant’s common stock outstanding as of</w:t>
            </w: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0580" w:type="dxa"/>
            <w:vAlign w:val="bottom"/>
          </w:tcPr>
          <w:p>
            <w:pPr>
              <w:jc w:val="center"/>
              <w:ind w:left="570"/>
              <w:spacing w:after="0"/>
              <w:rPr>
                <w:sz w:val="20"/>
                <w:szCs w:val="20"/>
                <w:color w:val="auto"/>
              </w:rPr>
            </w:pPr>
            <w:r>
              <w:rPr>
                <w:rFonts w:ascii="Arial" w:cs="Arial" w:eastAsia="Arial" w:hAnsi="Arial"/>
                <w:sz w:val="18"/>
                <w:szCs w:val="18"/>
                <w:color w:val="auto"/>
              </w:rPr>
              <w:t>April 15, 2026</w:t>
            </w:r>
          </w:p>
        </w:tc>
        <w:tc>
          <w:tcPr>
            <w:tcW w:w="6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3"/>
        </w:trPr>
        <w:tc>
          <w:tcPr>
            <w:tcW w:w="10580" w:type="dxa"/>
            <w:vAlign w:val="bottom"/>
            <w:tcBorders>
              <w:bottom w:val="single" w:sz="8" w:color="9A9A9A"/>
            </w:tcBorders>
          </w:tcPr>
          <w:p>
            <w:pPr>
              <w:spacing w:after="0"/>
              <w:rPr>
                <w:sz w:val="23"/>
                <w:szCs w:val="23"/>
                <w:color w:val="auto"/>
              </w:rPr>
            </w:pPr>
          </w:p>
        </w:tc>
        <w:tc>
          <w:tcPr>
            <w:tcW w:w="660" w:type="dxa"/>
            <w:vAlign w:val="bottom"/>
            <w:tcBorders>
              <w:bottom w:val="single" w:sz="8" w:color="9A9A9A"/>
            </w:tcBorders>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57"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600" w:type="dxa"/>
            <w:vAlign w:val="bottom"/>
            <w:vMerge w:val="restart"/>
          </w:tcPr>
          <w:p>
            <w:pPr>
              <w:ind w:left="20"/>
              <w:spacing w:after="0"/>
              <w:rPr>
                <w:sz w:val="20"/>
                <w:szCs w:val="20"/>
                <w:color w:val="auto"/>
              </w:rPr>
            </w:pPr>
            <w:r>
              <w:rPr>
                <w:rFonts w:ascii="Arial" w:cs="Arial" w:eastAsia="Arial" w:hAnsi="Arial"/>
                <w:sz w:val="20"/>
                <w:szCs w:val="20"/>
                <w:b w:val="1"/>
                <w:bCs w:val="1"/>
                <w:color w:val="auto"/>
              </w:rPr>
              <w:t>Consolidated Statements of Income</w:t>
            </w:r>
          </w:p>
        </w:tc>
        <w:tc>
          <w:tcPr>
            <w:tcW w:w="100" w:type="dxa"/>
            <w:vAlign w:val="bottom"/>
            <w:vMerge w:val="restart"/>
          </w:tcPr>
          <w:p>
            <w:pPr>
              <w:spacing w:after="0"/>
              <w:rPr>
                <w:sz w:val="17"/>
                <w:szCs w:val="17"/>
                <w:color w:val="auto"/>
              </w:rPr>
            </w:pPr>
          </w:p>
        </w:tc>
        <w:tc>
          <w:tcPr>
            <w:tcW w:w="280" w:type="dxa"/>
            <w:vAlign w:val="bottom"/>
          </w:tcPr>
          <w:p>
            <w:pPr>
              <w:spacing w:after="0"/>
              <w:rPr>
                <w:sz w:val="17"/>
                <w:szCs w:val="17"/>
                <w:color w:val="auto"/>
              </w:rPr>
            </w:pPr>
          </w:p>
        </w:tc>
        <w:tc>
          <w:tcPr>
            <w:tcW w:w="2260" w:type="dxa"/>
            <w:vAlign w:val="bottom"/>
            <w:gridSpan w:val="4"/>
          </w:tcPr>
          <w:p>
            <w:pPr>
              <w:jc w:val="right"/>
              <w:ind w:right="331"/>
              <w:spacing w:after="0"/>
              <w:rPr>
                <w:sz w:val="20"/>
                <w:szCs w:val="20"/>
                <w:color w:val="auto"/>
              </w:rPr>
            </w:pPr>
            <w:r>
              <w:rPr>
                <w:rFonts w:ascii="Arial" w:cs="Arial" w:eastAsia="Arial" w:hAnsi="Arial"/>
                <w:sz w:val="14"/>
                <w:szCs w:val="14"/>
                <w:b w:val="1"/>
                <w:bCs w:val="1"/>
                <w:color w:val="auto"/>
              </w:rPr>
              <w:t>For Three Months Ended</w:t>
            </w:r>
          </w:p>
        </w:tc>
        <w:tc>
          <w:tcPr>
            <w:tcW w:w="0" w:type="dxa"/>
            <w:vAlign w:val="bottom"/>
          </w:tcPr>
          <w:p>
            <w:pPr>
              <w:spacing w:after="0"/>
              <w:rPr>
                <w:sz w:val="1"/>
                <w:szCs w:val="1"/>
                <w:color w:val="auto"/>
              </w:rPr>
            </w:pPr>
          </w:p>
        </w:tc>
      </w:tr>
      <w:tr>
        <w:trPr>
          <w:trHeight w:val="259"/>
        </w:trPr>
        <w:tc>
          <w:tcPr>
            <w:tcW w:w="8600" w:type="dxa"/>
            <w:vAlign w:val="bottom"/>
            <w:tcBorders>
              <w:bottom w:val="single" w:sz="8" w:color="auto"/>
            </w:tcBorders>
            <w:vMerge w:val="continue"/>
          </w:tcPr>
          <w:p>
            <w:pPr>
              <w:spacing w:after="0"/>
              <w:rPr>
                <w:sz w:val="22"/>
                <w:szCs w:val="22"/>
                <w:color w:val="auto"/>
              </w:rPr>
            </w:pPr>
          </w:p>
        </w:tc>
        <w:tc>
          <w:tcPr>
            <w:tcW w:w="100" w:type="dxa"/>
            <w:vAlign w:val="bottom"/>
            <w:vMerge w:val="continue"/>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March 31,</w:t>
            </w:r>
          </w:p>
        </w:tc>
        <w:tc>
          <w:tcPr>
            <w:tcW w:w="8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95"/>
        </w:trPr>
        <w:tc>
          <w:tcPr>
            <w:tcW w:w="8700" w:type="dxa"/>
            <w:vAlign w:val="bottom"/>
            <w:tcBorders>
              <w:bottom w:val="single" w:sz="8" w:color="DBDBDB"/>
            </w:tcBorders>
            <w:gridSpan w:val="2"/>
          </w:tcPr>
          <w:p>
            <w:pPr>
              <w:ind w:left="20"/>
              <w:spacing w:after="0"/>
              <w:rPr>
                <w:sz w:val="20"/>
                <w:szCs w:val="20"/>
                <w:color w:val="auto"/>
              </w:rPr>
            </w:pPr>
            <w:r>
              <w:rPr>
                <w:rFonts w:ascii="Arial" w:cs="Arial" w:eastAsia="Arial" w:hAnsi="Arial"/>
                <w:sz w:val="14"/>
                <w:szCs w:val="14"/>
                <w:b w:val="1"/>
                <w:bCs w:val="1"/>
                <w:color w:val="auto"/>
              </w:rPr>
              <w:t>(In millions, except per-share amounts)</w:t>
            </w: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2026</w:t>
            </w:r>
          </w:p>
        </w:tc>
        <w:tc>
          <w:tcPr>
            <w:tcW w:w="100" w:type="dxa"/>
            <w:vAlign w:val="bottom"/>
            <w:tcBorders>
              <w:bottom w:val="single" w:sz="8" w:color="DBDBDB"/>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2025</w:t>
            </w:r>
          </w:p>
        </w:tc>
        <w:tc>
          <w:tcPr>
            <w:tcW w:w="0" w:type="dxa"/>
            <w:vAlign w:val="bottom"/>
          </w:tcPr>
          <w:p>
            <w:pPr>
              <w:spacing w:after="0"/>
              <w:rPr>
                <w:sz w:val="1"/>
                <w:szCs w:val="1"/>
                <w:color w:val="auto"/>
              </w:rPr>
            </w:pPr>
          </w:p>
        </w:tc>
      </w:tr>
      <w:tr>
        <w:trPr>
          <w:trHeight w:val="224"/>
        </w:trPr>
        <w:tc>
          <w:tcPr>
            <w:tcW w:w="870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Revenue</w:t>
            </w:r>
          </w:p>
        </w:tc>
        <w:tc>
          <w:tcPr>
            <w:tcW w:w="280" w:type="dxa"/>
            <w:vAlign w:val="bottom"/>
            <w:shd w:val="clear" w:color="auto" w:fill="DBDBDB"/>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4,825</w:t>
            </w:r>
          </w:p>
        </w:tc>
        <w:tc>
          <w:tcPr>
            <w:tcW w:w="100" w:type="dxa"/>
            <w:vAlign w:val="bottom"/>
            <w:shd w:val="clear" w:color="auto" w:fill="DBDBDB"/>
          </w:tcPr>
          <w:p>
            <w:pPr>
              <w:spacing w:after="0"/>
              <w:rPr>
                <w:sz w:val="19"/>
                <w:szCs w:val="19"/>
                <w:color w:val="auto"/>
              </w:rPr>
            </w:pPr>
          </w:p>
        </w:tc>
        <w:tc>
          <w:tcPr>
            <w:tcW w:w="360" w:type="dxa"/>
            <w:vAlign w:val="bottom"/>
            <w:shd w:val="clear" w:color="auto" w:fill="DBDBDB"/>
          </w:tcPr>
          <w:p>
            <w:pPr>
              <w:jc w:val="right"/>
              <w:ind w:right="15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4,069</w:t>
            </w:r>
          </w:p>
        </w:tc>
        <w:tc>
          <w:tcPr>
            <w:tcW w:w="0" w:type="dxa"/>
            <w:vAlign w:val="bottom"/>
          </w:tcPr>
          <w:p>
            <w:pPr>
              <w:spacing w:after="0"/>
              <w:rPr>
                <w:sz w:val="1"/>
                <w:szCs w:val="1"/>
                <w:color w:val="auto"/>
              </w:rPr>
            </w:pPr>
          </w:p>
        </w:tc>
      </w:tr>
      <w:tr>
        <w:trPr>
          <w:trHeight w:val="229"/>
        </w:trPr>
        <w:tc>
          <w:tcPr>
            <w:tcW w:w="8700" w:type="dxa"/>
            <w:vAlign w:val="bottom"/>
            <w:tcBorders>
              <w:bottom w:val="single" w:sz="8" w:color="DBDBDB"/>
            </w:tcBorders>
            <w:gridSpan w:val="2"/>
          </w:tcPr>
          <w:p>
            <w:pPr>
              <w:ind w:left="20"/>
              <w:spacing w:after="0"/>
              <w:rPr>
                <w:sz w:val="20"/>
                <w:szCs w:val="20"/>
                <w:color w:val="auto"/>
              </w:rPr>
            </w:pPr>
            <w:r>
              <w:rPr>
                <w:rFonts w:ascii="Arial" w:cs="Arial" w:eastAsia="Arial" w:hAnsi="Arial"/>
                <w:sz w:val="18"/>
                <w:szCs w:val="18"/>
                <w:color w:val="auto"/>
              </w:rPr>
              <w:t>Cost of revenue (COR)</w:t>
            </w: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2,026</w:t>
            </w:r>
          </w:p>
        </w:tc>
        <w:tc>
          <w:tcPr>
            <w:tcW w:w="100" w:type="dxa"/>
            <w:vAlign w:val="bottom"/>
            <w:tcBorders>
              <w:bottom w:val="single" w:sz="8" w:color="DBDBDB"/>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1,756</w:t>
            </w:r>
          </w:p>
        </w:tc>
        <w:tc>
          <w:tcPr>
            <w:tcW w:w="0" w:type="dxa"/>
            <w:vAlign w:val="bottom"/>
          </w:tcPr>
          <w:p>
            <w:pPr>
              <w:spacing w:after="0"/>
              <w:rPr>
                <w:sz w:val="1"/>
                <w:szCs w:val="1"/>
                <w:color w:val="auto"/>
              </w:rPr>
            </w:pPr>
          </w:p>
        </w:tc>
      </w:tr>
      <w:tr>
        <w:trPr>
          <w:trHeight w:val="223"/>
        </w:trPr>
        <w:tc>
          <w:tcPr>
            <w:tcW w:w="870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Gross profit</w:t>
            </w:r>
          </w:p>
        </w:tc>
        <w:tc>
          <w:tcPr>
            <w:tcW w:w="280" w:type="dxa"/>
            <w:vAlign w:val="bottom"/>
            <w:shd w:val="clear" w:color="auto" w:fill="DBDBDB"/>
          </w:tcPr>
          <w:p>
            <w:pPr>
              <w:spacing w:after="0"/>
              <w:rPr>
                <w:sz w:val="19"/>
                <w:szCs w:val="19"/>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2,799</w:t>
            </w:r>
          </w:p>
        </w:tc>
        <w:tc>
          <w:tcPr>
            <w:tcW w:w="100" w:type="dxa"/>
            <w:vAlign w:val="bottom"/>
            <w:shd w:val="clear" w:color="auto" w:fill="DBDBDB"/>
          </w:tcPr>
          <w:p>
            <w:pPr>
              <w:spacing w:after="0"/>
              <w:rPr>
                <w:sz w:val="19"/>
                <w:szCs w:val="19"/>
                <w:color w:val="auto"/>
              </w:rPr>
            </w:pPr>
          </w:p>
        </w:tc>
        <w:tc>
          <w:tcPr>
            <w:tcW w:w="360" w:type="dxa"/>
            <w:vAlign w:val="bottom"/>
            <w:shd w:val="clear" w:color="auto" w:fill="DBDBDB"/>
          </w:tcPr>
          <w:p>
            <w:pPr>
              <w:spacing w:after="0"/>
              <w:rPr>
                <w:sz w:val="19"/>
                <w:szCs w:val="19"/>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2,313</w:t>
            </w:r>
          </w:p>
        </w:tc>
        <w:tc>
          <w:tcPr>
            <w:tcW w:w="0" w:type="dxa"/>
            <w:vAlign w:val="bottom"/>
          </w:tcPr>
          <w:p>
            <w:pPr>
              <w:spacing w:after="0"/>
              <w:rPr>
                <w:sz w:val="1"/>
                <w:szCs w:val="1"/>
                <w:color w:val="auto"/>
              </w:rPr>
            </w:pPr>
          </w:p>
        </w:tc>
      </w:tr>
      <w:tr>
        <w:trPr>
          <w:trHeight w:val="229"/>
        </w:trPr>
        <w:tc>
          <w:tcPr>
            <w:tcW w:w="8700" w:type="dxa"/>
            <w:vAlign w:val="bottom"/>
            <w:gridSpan w:val="2"/>
          </w:tcPr>
          <w:p>
            <w:pPr>
              <w:ind w:left="20"/>
              <w:spacing w:after="0"/>
              <w:rPr>
                <w:sz w:val="20"/>
                <w:szCs w:val="20"/>
                <w:color w:val="auto"/>
              </w:rPr>
            </w:pPr>
            <w:r>
              <w:rPr>
                <w:rFonts w:ascii="Arial" w:cs="Arial" w:eastAsia="Arial" w:hAnsi="Arial"/>
                <w:sz w:val="18"/>
                <w:szCs w:val="18"/>
                <w:color w:val="auto"/>
              </w:rPr>
              <w:t>Research and development (R&amp;D)</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510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517</w:t>
            </w:r>
          </w:p>
        </w:tc>
        <w:tc>
          <w:tcPr>
            <w:tcW w:w="0" w:type="dxa"/>
            <w:vAlign w:val="bottom"/>
          </w:tcPr>
          <w:p>
            <w:pPr>
              <w:spacing w:after="0"/>
              <w:rPr>
                <w:sz w:val="1"/>
                <w:szCs w:val="1"/>
                <w:color w:val="auto"/>
              </w:rPr>
            </w:pPr>
          </w:p>
        </w:tc>
      </w:tr>
      <w:tr>
        <w:trPr>
          <w:trHeight w:val="229"/>
        </w:trPr>
        <w:tc>
          <w:tcPr>
            <w:tcW w:w="870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Selling, general and administrative (SG&amp;A)</w:t>
            </w:r>
          </w:p>
        </w:tc>
        <w:tc>
          <w:tcPr>
            <w:tcW w:w="280" w:type="dxa"/>
            <w:vAlign w:val="bottom"/>
            <w:shd w:val="clear" w:color="auto" w:fill="DBDBDB"/>
          </w:tcPr>
          <w:p>
            <w:pPr>
              <w:spacing w:after="0"/>
              <w:rPr>
                <w:sz w:val="19"/>
                <w:szCs w:val="19"/>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464</w:t>
            </w:r>
          </w:p>
        </w:tc>
        <w:tc>
          <w:tcPr>
            <w:tcW w:w="100" w:type="dxa"/>
            <w:vAlign w:val="bottom"/>
            <w:shd w:val="clear" w:color="auto" w:fill="DBDBDB"/>
          </w:tcPr>
          <w:p>
            <w:pPr>
              <w:spacing w:after="0"/>
              <w:rPr>
                <w:sz w:val="19"/>
                <w:szCs w:val="19"/>
                <w:color w:val="auto"/>
              </w:rPr>
            </w:pPr>
          </w:p>
        </w:tc>
        <w:tc>
          <w:tcPr>
            <w:tcW w:w="360" w:type="dxa"/>
            <w:vAlign w:val="bottom"/>
            <w:shd w:val="clear" w:color="auto" w:fill="DBDBDB"/>
          </w:tcPr>
          <w:p>
            <w:pPr>
              <w:spacing w:after="0"/>
              <w:rPr>
                <w:sz w:val="19"/>
                <w:szCs w:val="19"/>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472</w:t>
            </w:r>
          </w:p>
        </w:tc>
        <w:tc>
          <w:tcPr>
            <w:tcW w:w="0" w:type="dxa"/>
            <w:vAlign w:val="bottom"/>
          </w:tcPr>
          <w:p>
            <w:pPr>
              <w:spacing w:after="0"/>
              <w:rPr>
                <w:sz w:val="1"/>
                <w:szCs w:val="1"/>
                <w:color w:val="auto"/>
              </w:rPr>
            </w:pPr>
          </w:p>
        </w:tc>
      </w:tr>
      <w:tr>
        <w:trPr>
          <w:trHeight w:val="230"/>
        </w:trPr>
        <w:tc>
          <w:tcPr>
            <w:tcW w:w="8700" w:type="dxa"/>
            <w:vAlign w:val="bottom"/>
            <w:tcBorders>
              <w:bottom w:val="single" w:sz="8" w:color="DBDBDB"/>
            </w:tcBorders>
            <w:gridSpan w:val="2"/>
          </w:tcPr>
          <w:p>
            <w:pPr>
              <w:ind w:left="20"/>
              <w:spacing w:after="0"/>
              <w:rPr>
                <w:sz w:val="20"/>
                <w:szCs w:val="20"/>
                <w:color w:val="auto"/>
              </w:rPr>
            </w:pPr>
            <w:r>
              <w:rPr>
                <w:rFonts w:ascii="Arial" w:cs="Arial" w:eastAsia="Arial" w:hAnsi="Arial"/>
                <w:sz w:val="18"/>
                <w:szCs w:val="18"/>
                <w:color w:val="auto"/>
              </w:rPr>
              <w:t>Acquisition charges</w:t>
            </w: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w:t>
            </w:r>
          </w:p>
        </w:tc>
        <w:tc>
          <w:tcPr>
            <w:tcW w:w="100" w:type="dxa"/>
            <w:vAlign w:val="bottom"/>
            <w:tcBorders>
              <w:bottom w:val="single" w:sz="8" w:color="DBDBDB"/>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870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Operating profit</w:t>
            </w:r>
          </w:p>
        </w:tc>
        <w:tc>
          <w:tcPr>
            <w:tcW w:w="280" w:type="dxa"/>
            <w:vAlign w:val="bottom"/>
            <w:shd w:val="clear" w:color="auto" w:fill="DBDBDB"/>
          </w:tcPr>
          <w:p>
            <w:pPr>
              <w:spacing w:after="0"/>
              <w:rPr>
                <w:sz w:val="19"/>
                <w:szCs w:val="19"/>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1,808</w:t>
            </w:r>
          </w:p>
        </w:tc>
        <w:tc>
          <w:tcPr>
            <w:tcW w:w="100" w:type="dxa"/>
            <w:vAlign w:val="bottom"/>
            <w:shd w:val="clear" w:color="auto" w:fill="DBDBDB"/>
          </w:tcPr>
          <w:p>
            <w:pPr>
              <w:spacing w:after="0"/>
              <w:rPr>
                <w:sz w:val="19"/>
                <w:szCs w:val="19"/>
                <w:color w:val="auto"/>
              </w:rPr>
            </w:pPr>
          </w:p>
        </w:tc>
        <w:tc>
          <w:tcPr>
            <w:tcW w:w="360" w:type="dxa"/>
            <w:vAlign w:val="bottom"/>
            <w:shd w:val="clear" w:color="auto" w:fill="DBDBDB"/>
          </w:tcPr>
          <w:p>
            <w:pPr>
              <w:spacing w:after="0"/>
              <w:rPr>
                <w:sz w:val="19"/>
                <w:szCs w:val="19"/>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1,324</w:t>
            </w:r>
          </w:p>
        </w:tc>
        <w:tc>
          <w:tcPr>
            <w:tcW w:w="0" w:type="dxa"/>
            <w:vAlign w:val="bottom"/>
          </w:tcPr>
          <w:p>
            <w:pPr>
              <w:spacing w:after="0"/>
              <w:rPr>
                <w:sz w:val="1"/>
                <w:szCs w:val="1"/>
                <w:color w:val="auto"/>
              </w:rPr>
            </w:pPr>
          </w:p>
        </w:tc>
      </w:tr>
      <w:tr>
        <w:trPr>
          <w:trHeight w:val="230"/>
        </w:trPr>
        <w:tc>
          <w:tcPr>
            <w:tcW w:w="8700" w:type="dxa"/>
            <w:vAlign w:val="bottom"/>
            <w:gridSpan w:val="2"/>
          </w:tcPr>
          <w:p>
            <w:pPr>
              <w:ind w:left="20"/>
              <w:spacing w:after="0"/>
              <w:rPr>
                <w:sz w:val="20"/>
                <w:szCs w:val="20"/>
                <w:color w:val="auto"/>
              </w:rPr>
            </w:pPr>
            <w:r>
              <w:rPr>
                <w:rFonts w:ascii="Arial" w:cs="Arial" w:eastAsia="Arial" w:hAnsi="Arial"/>
                <w:sz w:val="18"/>
                <w:szCs w:val="18"/>
                <w:color w:val="auto"/>
              </w:rPr>
              <w:t>Other income (expense), net (OI&amp;E)</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47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29"/>
        </w:trPr>
        <w:tc>
          <w:tcPr>
            <w:tcW w:w="870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Interest and debt expense</w:t>
            </w:r>
          </w:p>
        </w:tc>
        <w:tc>
          <w:tcPr>
            <w:tcW w:w="280" w:type="dxa"/>
            <w:vAlign w:val="bottom"/>
            <w:tcBorders>
              <w:bottom w:val="single" w:sz="8" w:color="auto"/>
            </w:tcBorders>
            <w:shd w:val="clear" w:color="auto" w:fill="DBDBDB"/>
          </w:tcPr>
          <w:p>
            <w:pPr>
              <w:spacing w:after="0"/>
              <w:rPr>
                <w:sz w:val="19"/>
                <w:szCs w:val="19"/>
                <w:color w:val="auto"/>
              </w:rPr>
            </w:pPr>
          </w:p>
        </w:tc>
        <w:tc>
          <w:tcPr>
            <w:tcW w:w="9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141</w:t>
            </w:r>
          </w:p>
        </w:tc>
        <w:tc>
          <w:tcPr>
            <w:tcW w:w="100" w:type="dxa"/>
            <w:vAlign w:val="bottom"/>
            <w:shd w:val="clear" w:color="auto" w:fill="DBDBDB"/>
          </w:tcPr>
          <w:p>
            <w:pPr>
              <w:spacing w:after="0"/>
              <w:rPr>
                <w:sz w:val="19"/>
                <w:szCs w:val="19"/>
                <w:color w:val="auto"/>
              </w:rPr>
            </w:pPr>
          </w:p>
        </w:tc>
        <w:tc>
          <w:tcPr>
            <w:tcW w:w="360" w:type="dxa"/>
            <w:vAlign w:val="bottom"/>
            <w:tcBorders>
              <w:bottom w:val="single" w:sz="8" w:color="auto"/>
            </w:tcBorders>
            <w:shd w:val="clear" w:color="auto" w:fill="DBDBDB"/>
          </w:tcPr>
          <w:p>
            <w:pPr>
              <w:spacing w:after="0"/>
              <w:rPr>
                <w:sz w:val="19"/>
                <w:szCs w:val="19"/>
                <w:color w:val="auto"/>
              </w:rPr>
            </w:pPr>
          </w:p>
        </w:tc>
        <w:tc>
          <w:tcPr>
            <w:tcW w:w="8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23"/>
        </w:trPr>
        <w:tc>
          <w:tcPr>
            <w:tcW w:w="8700" w:type="dxa"/>
            <w:vAlign w:val="bottom"/>
            <w:gridSpan w:val="2"/>
          </w:tcPr>
          <w:p>
            <w:pPr>
              <w:ind w:left="20"/>
              <w:spacing w:after="0"/>
              <w:rPr>
                <w:sz w:val="20"/>
                <w:szCs w:val="20"/>
                <w:color w:val="auto"/>
              </w:rPr>
            </w:pPr>
            <w:r>
              <w:rPr>
                <w:rFonts w:ascii="Arial" w:cs="Arial" w:eastAsia="Arial" w:hAnsi="Arial"/>
                <w:sz w:val="18"/>
                <w:szCs w:val="18"/>
                <w:color w:val="auto"/>
              </w:rPr>
              <w:t>Income before income taxes</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1,714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1,276</w:t>
            </w:r>
          </w:p>
        </w:tc>
        <w:tc>
          <w:tcPr>
            <w:tcW w:w="0" w:type="dxa"/>
            <w:vAlign w:val="bottom"/>
          </w:tcPr>
          <w:p>
            <w:pPr>
              <w:spacing w:after="0"/>
              <w:rPr>
                <w:sz w:val="1"/>
                <w:szCs w:val="1"/>
                <w:color w:val="auto"/>
              </w:rPr>
            </w:pPr>
          </w:p>
        </w:tc>
      </w:tr>
      <w:tr>
        <w:trPr>
          <w:trHeight w:val="229"/>
        </w:trPr>
        <w:tc>
          <w:tcPr>
            <w:tcW w:w="870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Provision for income taxes</w:t>
            </w:r>
          </w:p>
        </w:tc>
        <w:tc>
          <w:tcPr>
            <w:tcW w:w="280" w:type="dxa"/>
            <w:vAlign w:val="bottom"/>
            <w:tcBorders>
              <w:bottom w:val="single" w:sz="8" w:color="auto"/>
            </w:tcBorders>
            <w:shd w:val="clear" w:color="auto" w:fill="DBDBDB"/>
          </w:tcPr>
          <w:p>
            <w:pPr>
              <w:spacing w:after="0"/>
              <w:rPr>
                <w:sz w:val="19"/>
                <w:szCs w:val="19"/>
                <w:color w:val="auto"/>
              </w:rPr>
            </w:pPr>
          </w:p>
        </w:tc>
        <w:tc>
          <w:tcPr>
            <w:tcW w:w="9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169</w:t>
            </w:r>
          </w:p>
        </w:tc>
        <w:tc>
          <w:tcPr>
            <w:tcW w:w="100" w:type="dxa"/>
            <w:vAlign w:val="bottom"/>
            <w:shd w:val="clear" w:color="auto" w:fill="DBDBDB"/>
          </w:tcPr>
          <w:p>
            <w:pPr>
              <w:spacing w:after="0"/>
              <w:rPr>
                <w:sz w:val="19"/>
                <w:szCs w:val="19"/>
                <w:color w:val="auto"/>
              </w:rPr>
            </w:pPr>
          </w:p>
        </w:tc>
        <w:tc>
          <w:tcPr>
            <w:tcW w:w="360" w:type="dxa"/>
            <w:vAlign w:val="bottom"/>
            <w:tcBorders>
              <w:bottom w:val="single" w:sz="8" w:color="auto"/>
            </w:tcBorders>
            <w:shd w:val="clear" w:color="auto" w:fill="DBDBDB"/>
          </w:tcPr>
          <w:p>
            <w:pPr>
              <w:spacing w:after="0"/>
              <w:rPr>
                <w:sz w:val="19"/>
                <w:szCs w:val="19"/>
                <w:color w:val="auto"/>
              </w:rPr>
            </w:pPr>
          </w:p>
        </w:tc>
        <w:tc>
          <w:tcPr>
            <w:tcW w:w="8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23"/>
        </w:trPr>
        <w:tc>
          <w:tcPr>
            <w:tcW w:w="8700" w:type="dxa"/>
            <w:vAlign w:val="bottom"/>
            <w:gridSpan w:val="2"/>
          </w:tcPr>
          <w:p>
            <w:pPr>
              <w:ind w:left="20"/>
              <w:spacing w:after="0"/>
              <w:rPr>
                <w:sz w:val="20"/>
                <w:szCs w:val="20"/>
                <w:color w:val="auto"/>
              </w:rPr>
            </w:pPr>
            <w:r>
              <w:rPr>
                <w:rFonts w:ascii="Arial" w:cs="Arial" w:eastAsia="Arial" w:hAnsi="Arial"/>
                <w:sz w:val="18"/>
                <w:szCs w:val="18"/>
                <w:color w:val="auto"/>
              </w:rPr>
              <w:t>Net income</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1,545</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1,179</w:t>
            </w:r>
          </w:p>
        </w:tc>
        <w:tc>
          <w:tcPr>
            <w:tcW w:w="0" w:type="dxa"/>
            <w:vAlign w:val="bottom"/>
          </w:tcPr>
          <w:p>
            <w:pPr>
              <w:spacing w:after="0"/>
              <w:rPr>
                <w:sz w:val="1"/>
                <w:szCs w:val="1"/>
                <w:color w:val="auto"/>
              </w:rPr>
            </w:pPr>
          </w:p>
        </w:tc>
      </w:tr>
      <w:tr>
        <w:trPr>
          <w:trHeight w:val="20"/>
        </w:trPr>
        <w:tc>
          <w:tcPr>
            <w:tcW w:w="8600" w:type="dxa"/>
            <w:vAlign w:val="bottom"/>
            <w:tcBorders>
              <w:bottom w:val="single" w:sz="8" w:color="DBDBDB"/>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600" w:type="dxa"/>
            <w:vAlign w:val="bottom"/>
            <w:shd w:val="clear" w:color="auto" w:fill="DBDBDB"/>
          </w:tcPr>
          <w:p>
            <w:pPr>
              <w:spacing w:after="0"/>
              <w:rPr>
                <w:sz w:val="20"/>
                <w:szCs w:val="20"/>
                <w:color w:val="auto"/>
              </w:rPr>
            </w:pPr>
          </w:p>
        </w:tc>
        <w:tc>
          <w:tcPr>
            <w:tcW w:w="100" w:type="dxa"/>
            <w:vAlign w:val="bottom"/>
            <w:shd w:val="clear" w:color="auto" w:fill="DBDBDB"/>
          </w:tcPr>
          <w:p>
            <w:pPr>
              <w:spacing w:after="0"/>
              <w:rPr>
                <w:sz w:val="20"/>
                <w:szCs w:val="20"/>
                <w:color w:val="auto"/>
              </w:rPr>
            </w:pPr>
          </w:p>
        </w:tc>
        <w:tc>
          <w:tcPr>
            <w:tcW w:w="280" w:type="dxa"/>
            <w:vAlign w:val="bottom"/>
            <w:shd w:val="clear" w:color="auto" w:fill="DBDBDB"/>
          </w:tcPr>
          <w:p>
            <w:pPr>
              <w:spacing w:after="0"/>
              <w:rPr>
                <w:sz w:val="20"/>
                <w:szCs w:val="20"/>
                <w:color w:val="auto"/>
              </w:rPr>
            </w:pPr>
          </w:p>
        </w:tc>
        <w:tc>
          <w:tcPr>
            <w:tcW w:w="940" w:type="dxa"/>
            <w:vAlign w:val="bottom"/>
            <w:shd w:val="clear" w:color="auto" w:fill="DBDBDB"/>
          </w:tcPr>
          <w:p>
            <w:pPr>
              <w:spacing w:after="0"/>
              <w:rPr>
                <w:sz w:val="20"/>
                <w:szCs w:val="20"/>
                <w:color w:val="auto"/>
              </w:rPr>
            </w:pPr>
          </w:p>
        </w:tc>
        <w:tc>
          <w:tcPr>
            <w:tcW w:w="100" w:type="dxa"/>
            <w:vAlign w:val="bottom"/>
            <w:shd w:val="clear" w:color="auto" w:fill="DBDBDB"/>
          </w:tcPr>
          <w:p>
            <w:pPr>
              <w:spacing w:after="0"/>
              <w:rPr>
                <w:sz w:val="20"/>
                <w:szCs w:val="20"/>
                <w:color w:val="auto"/>
              </w:rPr>
            </w:pPr>
          </w:p>
        </w:tc>
        <w:tc>
          <w:tcPr>
            <w:tcW w:w="360" w:type="dxa"/>
            <w:vAlign w:val="bottom"/>
            <w:shd w:val="clear" w:color="auto" w:fill="DBDBDB"/>
          </w:tcPr>
          <w:p>
            <w:pPr>
              <w:spacing w:after="0"/>
              <w:rPr>
                <w:sz w:val="20"/>
                <w:szCs w:val="20"/>
                <w:color w:val="auto"/>
              </w:rPr>
            </w:pPr>
          </w:p>
        </w:tc>
        <w:tc>
          <w:tcPr>
            <w:tcW w:w="860" w:type="dxa"/>
            <w:vAlign w:val="bottom"/>
            <w:shd w:val="clear" w:color="auto" w:fill="DBDBDB"/>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8700" w:type="dxa"/>
            <w:vAlign w:val="bottom"/>
            <w:gridSpan w:val="2"/>
          </w:tcPr>
          <w:p>
            <w:pPr>
              <w:ind w:left="20"/>
              <w:spacing w:after="0"/>
              <w:rPr>
                <w:sz w:val="20"/>
                <w:szCs w:val="20"/>
                <w:color w:val="auto"/>
              </w:rPr>
            </w:pPr>
            <w:r>
              <w:rPr>
                <w:rFonts w:ascii="Arial" w:cs="Arial" w:eastAsia="Arial" w:hAnsi="Arial"/>
                <w:sz w:val="18"/>
                <w:szCs w:val="18"/>
                <w:color w:val="auto"/>
              </w:rPr>
              <w:t>Earnings per common share (EPS):</w:t>
            </w: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5"/>
        </w:trPr>
        <w:tc>
          <w:tcPr>
            <w:tcW w:w="8700" w:type="dxa"/>
            <w:vAlign w:val="bottom"/>
            <w:tcBorders>
              <w:bottom w:val="single" w:sz="8" w:color="DBDBDB"/>
            </w:tcBorders>
            <w:gridSpan w:val="2"/>
            <w:shd w:val="clear" w:color="auto" w:fill="DBDBDB"/>
          </w:tcPr>
          <w:p>
            <w:pPr>
              <w:ind w:left="140"/>
              <w:spacing w:after="0"/>
              <w:rPr>
                <w:sz w:val="20"/>
                <w:szCs w:val="20"/>
                <w:color w:val="auto"/>
              </w:rPr>
            </w:pPr>
            <w:r>
              <w:rPr>
                <w:rFonts w:ascii="Arial" w:cs="Arial" w:eastAsia="Arial" w:hAnsi="Arial"/>
                <w:sz w:val="18"/>
                <w:szCs w:val="18"/>
                <w:color w:val="auto"/>
              </w:rPr>
              <w:t>Basic</w:t>
            </w:r>
          </w:p>
        </w:tc>
        <w:tc>
          <w:tcPr>
            <w:tcW w:w="280" w:type="dxa"/>
            <w:vAlign w:val="bottom"/>
            <w:tcBorders>
              <w:bottom w:val="single" w:sz="8" w:color="auto"/>
            </w:tcBorders>
            <w:shd w:val="clear" w:color="auto" w:fill="DBDBDB"/>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1.69</w:t>
            </w:r>
          </w:p>
        </w:tc>
        <w:tc>
          <w:tcPr>
            <w:tcW w:w="100" w:type="dxa"/>
            <w:vAlign w:val="bottom"/>
            <w:tcBorders>
              <w:bottom w:val="single" w:sz="8" w:color="DBDBDB"/>
            </w:tcBorders>
            <w:shd w:val="clear" w:color="auto" w:fill="DBDBDB"/>
          </w:tcPr>
          <w:p>
            <w:pPr>
              <w:spacing w:after="0"/>
              <w:rPr>
                <w:sz w:val="21"/>
                <w:szCs w:val="21"/>
                <w:color w:val="auto"/>
              </w:rPr>
            </w:pPr>
          </w:p>
        </w:tc>
        <w:tc>
          <w:tcPr>
            <w:tcW w:w="360" w:type="dxa"/>
            <w:vAlign w:val="bottom"/>
            <w:tcBorders>
              <w:bottom w:val="single" w:sz="8" w:color="auto"/>
            </w:tcBorders>
            <w:shd w:val="clear" w:color="auto" w:fill="DBDBDB"/>
          </w:tcPr>
          <w:p>
            <w:pPr>
              <w:jc w:val="right"/>
              <w:ind w:right="1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0"/>
        </w:trPr>
        <w:tc>
          <w:tcPr>
            <w:tcW w:w="8600" w:type="dxa"/>
            <w:vAlign w:val="bottom"/>
            <w:tcBorders>
              <w:top w:val="single" w:sz="8" w:color="DBDBDB"/>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280" w:type="dxa"/>
            <w:vAlign w:val="bottom"/>
            <w:tcBorders>
              <w:top w:val="single" w:sz="8" w:color="DBDBDB"/>
              <w:bottom w:val="single" w:sz="8" w:color="auto"/>
            </w:tcBorders>
          </w:tcPr>
          <w:p>
            <w:pPr>
              <w:spacing w:after="0" w:line="20" w:lineRule="exact"/>
              <w:rPr>
                <w:sz w:val="1"/>
                <w:szCs w:val="1"/>
                <w:color w:val="auto"/>
              </w:rPr>
            </w:pPr>
          </w:p>
        </w:tc>
        <w:tc>
          <w:tcPr>
            <w:tcW w:w="94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360" w:type="dxa"/>
            <w:vAlign w:val="bottom"/>
            <w:tcBorders>
              <w:top w:val="single" w:sz="8" w:color="DBDBDB"/>
              <w:bottom w:val="single" w:sz="8" w:color="auto"/>
            </w:tcBorders>
          </w:tcPr>
          <w:p>
            <w:pPr>
              <w:spacing w:after="0" w:line="20" w:lineRule="exact"/>
              <w:rPr>
                <w:sz w:val="1"/>
                <w:szCs w:val="1"/>
                <w:color w:val="auto"/>
              </w:rPr>
            </w:pPr>
          </w:p>
        </w:tc>
        <w:tc>
          <w:tcPr>
            <w:tcW w:w="86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700" w:type="dxa"/>
            <w:vAlign w:val="bottom"/>
            <w:gridSpan w:val="2"/>
          </w:tcPr>
          <w:p>
            <w:pPr>
              <w:ind w:left="140"/>
              <w:spacing w:after="0" w:line="203" w:lineRule="exact"/>
              <w:rPr>
                <w:sz w:val="20"/>
                <w:szCs w:val="20"/>
                <w:color w:val="auto"/>
              </w:rPr>
            </w:pPr>
            <w:r>
              <w:rPr>
                <w:rFonts w:ascii="Arial" w:cs="Arial" w:eastAsia="Arial" w:hAnsi="Arial"/>
                <w:sz w:val="18"/>
                <w:szCs w:val="18"/>
                <w:color w:val="auto"/>
              </w:rPr>
              <w:t>Diluted</w:t>
            </w:r>
          </w:p>
        </w:tc>
        <w:tc>
          <w:tcPr>
            <w:tcW w:w="280" w:type="dxa"/>
            <w:vAlign w:val="bottom"/>
            <w:tcBorders>
              <w:bottom w:val="single" w:sz="8" w:color="auto"/>
            </w:tcBorders>
          </w:tcPr>
          <w:p>
            <w:pPr>
              <w:jc w:val="right"/>
              <w:ind w:right="70"/>
              <w:spacing w:after="0" w:line="203" w:lineRule="exact"/>
              <w:rPr>
                <w:sz w:val="20"/>
                <w:szCs w:val="20"/>
                <w:color w:val="auto"/>
              </w:rPr>
            </w:pPr>
            <w:r>
              <w:rPr>
                <w:rFonts w:ascii="Arial" w:cs="Arial" w:eastAsia="Arial" w:hAnsi="Arial"/>
                <w:sz w:val="18"/>
                <w:szCs w:val="18"/>
                <w:b w:val="1"/>
                <w:bCs w:val="1"/>
                <w:color w:val="auto"/>
                <w:w w:val="99"/>
              </w:rPr>
              <w:t>$</w:t>
            </w:r>
          </w:p>
        </w:tc>
        <w:tc>
          <w:tcPr>
            <w:tcW w:w="9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1.68</w:t>
            </w:r>
          </w:p>
        </w:tc>
        <w:tc>
          <w:tcPr>
            <w:tcW w:w="100" w:type="dxa"/>
            <w:vAlign w:val="bottom"/>
          </w:tcPr>
          <w:p>
            <w:pPr>
              <w:spacing w:after="0"/>
              <w:rPr>
                <w:sz w:val="17"/>
                <w:szCs w:val="17"/>
                <w:color w:val="auto"/>
              </w:rPr>
            </w:pPr>
          </w:p>
        </w:tc>
        <w:tc>
          <w:tcPr>
            <w:tcW w:w="360" w:type="dxa"/>
            <w:vAlign w:val="bottom"/>
            <w:tcBorders>
              <w:bottom w:val="single" w:sz="8" w:color="auto"/>
            </w:tcBorders>
          </w:tcPr>
          <w:p>
            <w:pPr>
              <w:jc w:val="right"/>
              <w:ind w:right="150"/>
              <w:spacing w:after="0" w:line="203" w:lineRule="exact"/>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0"/>
        </w:trPr>
        <w:tc>
          <w:tcPr>
            <w:tcW w:w="8600" w:type="dxa"/>
            <w:vAlign w:val="bottom"/>
            <w:tcBorders>
              <w:bottom w:val="single" w:sz="8" w:color="DBDBDB"/>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600" w:type="dxa"/>
            <w:vAlign w:val="bottom"/>
            <w:shd w:val="clear" w:color="auto" w:fill="DBDBDB"/>
          </w:tcPr>
          <w:p>
            <w:pPr>
              <w:spacing w:after="0"/>
              <w:rPr>
                <w:sz w:val="20"/>
                <w:szCs w:val="20"/>
                <w:color w:val="auto"/>
              </w:rPr>
            </w:pPr>
          </w:p>
        </w:tc>
        <w:tc>
          <w:tcPr>
            <w:tcW w:w="100" w:type="dxa"/>
            <w:vAlign w:val="bottom"/>
            <w:shd w:val="clear" w:color="auto" w:fill="DBDBDB"/>
          </w:tcPr>
          <w:p>
            <w:pPr>
              <w:spacing w:after="0"/>
              <w:rPr>
                <w:sz w:val="20"/>
                <w:szCs w:val="20"/>
                <w:color w:val="auto"/>
              </w:rPr>
            </w:pPr>
          </w:p>
        </w:tc>
        <w:tc>
          <w:tcPr>
            <w:tcW w:w="280" w:type="dxa"/>
            <w:vAlign w:val="bottom"/>
            <w:shd w:val="clear" w:color="auto" w:fill="DBDBDB"/>
          </w:tcPr>
          <w:p>
            <w:pPr>
              <w:spacing w:after="0"/>
              <w:rPr>
                <w:sz w:val="20"/>
                <w:szCs w:val="20"/>
                <w:color w:val="auto"/>
              </w:rPr>
            </w:pPr>
          </w:p>
        </w:tc>
        <w:tc>
          <w:tcPr>
            <w:tcW w:w="940" w:type="dxa"/>
            <w:vAlign w:val="bottom"/>
            <w:shd w:val="clear" w:color="auto" w:fill="DBDBDB"/>
          </w:tcPr>
          <w:p>
            <w:pPr>
              <w:spacing w:after="0"/>
              <w:rPr>
                <w:sz w:val="20"/>
                <w:szCs w:val="20"/>
                <w:color w:val="auto"/>
              </w:rPr>
            </w:pPr>
          </w:p>
        </w:tc>
        <w:tc>
          <w:tcPr>
            <w:tcW w:w="100" w:type="dxa"/>
            <w:vAlign w:val="bottom"/>
            <w:shd w:val="clear" w:color="auto" w:fill="DBDBDB"/>
          </w:tcPr>
          <w:p>
            <w:pPr>
              <w:spacing w:after="0"/>
              <w:rPr>
                <w:sz w:val="20"/>
                <w:szCs w:val="20"/>
                <w:color w:val="auto"/>
              </w:rPr>
            </w:pPr>
          </w:p>
        </w:tc>
        <w:tc>
          <w:tcPr>
            <w:tcW w:w="360" w:type="dxa"/>
            <w:vAlign w:val="bottom"/>
            <w:shd w:val="clear" w:color="auto" w:fill="DBDBDB"/>
          </w:tcPr>
          <w:p>
            <w:pPr>
              <w:spacing w:after="0"/>
              <w:rPr>
                <w:sz w:val="20"/>
                <w:szCs w:val="20"/>
                <w:color w:val="auto"/>
              </w:rPr>
            </w:pPr>
          </w:p>
        </w:tc>
        <w:tc>
          <w:tcPr>
            <w:tcW w:w="860" w:type="dxa"/>
            <w:vAlign w:val="bottom"/>
            <w:shd w:val="clear" w:color="auto" w:fill="DBDBDB"/>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700" w:type="dxa"/>
            <w:vAlign w:val="bottom"/>
            <w:gridSpan w:val="2"/>
          </w:tcPr>
          <w:p>
            <w:pPr>
              <w:ind w:left="20"/>
              <w:spacing w:after="0"/>
              <w:rPr>
                <w:sz w:val="20"/>
                <w:szCs w:val="20"/>
                <w:color w:val="auto"/>
              </w:rPr>
            </w:pPr>
            <w:r>
              <w:rPr>
                <w:rFonts w:ascii="Arial" w:cs="Arial" w:eastAsia="Arial" w:hAnsi="Arial"/>
                <w:sz w:val="18"/>
                <w:szCs w:val="18"/>
                <w:color w:val="auto"/>
              </w:rPr>
              <w:t>Average shares outstanding:</w:t>
            </w: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4"/>
        </w:trPr>
        <w:tc>
          <w:tcPr>
            <w:tcW w:w="8700" w:type="dxa"/>
            <w:vAlign w:val="bottom"/>
            <w:tcBorders>
              <w:bottom w:val="single" w:sz="8" w:color="DBDBDB"/>
            </w:tcBorders>
            <w:gridSpan w:val="2"/>
            <w:shd w:val="clear" w:color="auto" w:fill="DBDBDB"/>
          </w:tcPr>
          <w:p>
            <w:pPr>
              <w:ind w:left="140"/>
              <w:spacing w:after="0"/>
              <w:rPr>
                <w:sz w:val="20"/>
                <w:szCs w:val="20"/>
                <w:color w:val="auto"/>
              </w:rPr>
            </w:pPr>
            <w:r>
              <w:rPr>
                <w:rFonts w:ascii="Arial" w:cs="Arial" w:eastAsia="Arial" w:hAnsi="Arial"/>
                <w:sz w:val="18"/>
                <w:szCs w:val="18"/>
                <w:color w:val="auto"/>
              </w:rPr>
              <w:t>Basic</w:t>
            </w:r>
          </w:p>
        </w:tc>
        <w:tc>
          <w:tcPr>
            <w:tcW w:w="280" w:type="dxa"/>
            <w:vAlign w:val="bottom"/>
            <w:tcBorders>
              <w:bottom w:val="single" w:sz="8" w:color="auto"/>
            </w:tcBorders>
            <w:shd w:val="clear" w:color="auto" w:fill="DBDBDB"/>
          </w:tcPr>
          <w:p>
            <w:pPr>
              <w:spacing w:after="0"/>
              <w:rPr>
                <w:sz w:val="21"/>
                <w:szCs w:val="21"/>
                <w:color w:val="auto"/>
              </w:rPr>
            </w:pPr>
          </w:p>
        </w:tc>
        <w:tc>
          <w:tcPr>
            <w:tcW w:w="9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909</w:t>
            </w:r>
          </w:p>
        </w:tc>
        <w:tc>
          <w:tcPr>
            <w:tcW w:w="100" w:type="dxa"/>
            <w:vAlign w:val="bottom"/>
            <w:tcBorders>
              <w:bottom w:val="single" w:sz="8" w:color="DBDBDB"/>
            </w:tcBorders>
            <w:shd w:val="clear" w:color="auto" w:fill="DBDBDB"/>
          </w:tcPr>
          <w:p>
            <w:pPr>
              <w:spacing w:after="0"/>
              <w:rPr>
                <w:sz w:val="21"/>
                <w:szCs w:val="21"/>
                <w:color w:val="auto"/>
              </w:rPr>
            </w:pPr>
          </w:p>
        </w:tc>
        <w:tc>
          <w:tcPr>
            <w:tcW w:w="360" w:type="dxa"/>
            <w:vAlign w:val="bottom"/>
            <w:tcBorders>
              <w:bottom w:val="single" w:sz="8" w:color="auto"/>
            </w:tcBorders>
            <w:shd w:val="clear" w:color="auto" w:fill="DBDBDB"/>
          </w:tcPr>
          <w:p>
            <w:pPr>
              <w:spacing w:after="0"/>
              <w:rPr>
                <w:sz w:val="21"/>
                <w:szCs w:val="21"/>
                <w:color w:val="auto"/>
              </w:rPr>
            </w:pPr>
          </w:p>
        </w:tc>
        <w:tc>
          <w:tcPr>
            <w:tcW w:w="8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910</w:t>
            </w:r>
          </w:p>
        </w:tc>
        <w:tc>
          <w:tcPr>
            <w:tcW w:w="0" w:type="dxa"/>
            <w:vAlign w:val="bottom"/>
          </w:tcPr>
          <w:p>
            <w:pPr>
              <w:spacing w:after="0"/>
              <w:rPr>
                <w:sz w:val="1"/>
                <w:szCs w:val="1"/>
                <w:color w:val="auto"/>
              </w:rPr>
            </w:pPr>
          </w:p>
        </w:tc>
      </w:tr>
      <w:tr>
        <w:trPr>
          <w:trHeight w:val="20"/>
        </w:trPr>
        <w:tc>
          <w:tcPr>
            <w:tcW w:w="8600" w:type="dxa"/>
            <w:vAlign w:val="bottom"/>
            <w:tcBorders>
              <w:top w:val="single" w:sz="8" w:color="DBDBDB"/>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280" w:type="dxa"/>
            <w:vAlign w:val="bottom"/>
            <w:tcBorders>
              <w:top w:val="single" w:sz="8" w:color="DBDBDB"/>
              <w:bottom w:val="single" w:sz="8" w:color="auto"/>
            </w:tcBorders>
          </w:tcPr>
          <w:p>
            <w:pPr>
              <w:spacing w:after="0" w:line="20" w:lineRule="exact"/>
              <w:rPr>
                <w:sz w:val="1"/>
                <w:szCs w:val="1"/>
                <w:color w:val="auto"/>
              </w:rPr>
            </w:pPr>
          </w:p>
        </w:tc>
        <w:tc>
          <w:tcPr>
            <w:tcW w:w="94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360" w:type="dxa"/>
            <w:vAlign w:val="bottom"/>
            <w:tcBorders>
              <w:top w:val="single" w:sz="8" w:color="DBDBDB"/>
              <w:bottom w:val="single" w:sz="8" w:color="auto"/>
            </w:tcBorders>
          </w:tcPr>
          <w:p>
            <w:pPr>
              <w:spacing w:after="0" w:line="20" w:lineRule="exact"/>
              <w:rPr>
                <w:sz w:val="1"/>
                <w:szCs w:val="1"/>
                <w:color w:val="auto"/>
              </w:rPr>
            </w:pPr>
          </w:p>
        </w:tc>
        <w:tc>
          <w:tcPr>
            <w:tcW w:w="86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700" w:type="dxa"/>
            <w:vAlign w:val="bottom"/>
            <w:gridSpan w:val="2"/>
          </w:tcPr>
          <w:p>
            <w:pPr>
              <w:ind w:left="140"/>
              <w:spacing w:after="0" w:line="203" w:lineRule="exact"/>
              <w:rPr>
                <w:sz w:val="20"/>
                <w:szCs w:val="20"/>
                <w:color w:val="auto"/>
              </w:rPr>
            </w:pPr>
            <w:r>
              <w:rPr>
                <w:rFonts w:ascii="Arial" w:cs="Arial" w:eastAsia="Arial" w:hAnsi="Arial"/>
                <w:sz w:val="18"/>
                <w:szCs w:val="18"/>
                <w:color w:val="auto"/>
              </w:rPr>
              <w:t>Diluted</w:t>
            </w: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914</w:t>
            </w:r>
          </w:p>
        </w:tc>
        <w:tc>
          <w:tcPr>
            <w:tcW w:w="1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916</w:t>
            </w:r>
          </w:p>
        </w:tc>
        <w:tc>
          <w:tcPr>
            <w:tcW w:w="0" w:type="dxa"/>
            <w:vAlign w:val="bottom"/>
          </w:tcPr>
          <w:p>
            <w:pPr>
              <w:spacing w:after="0"/>
              <w:rPr>
                <w:sz w:val="1"/>
                <w:szCs w:val="1"/>
                <w:color w:val="auto"/>
              </w:rPr>
            </w:pPr>
          </w:p>
        </w:tc>
      </w:tr>
      <w:tr>
        <w:trPr>
          <w:trHeight w:val="20"/>
        </w:trPr>
        <w:tc>
          <w:tcPr>
            <w:tcW w:w="8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ind w:left="20" w:right="800"/>
        <w:spacing w:after="0"/>
        <w:rPr>
          <w:sz w:val="20"/>
          <w:szCs w:val="20"/>
          <w:color w:val="auto"/>
        </w:rPr>
      </w:pPr>
      <w:r>
        <w:rPr>
          <w:rFonts w:ascii="Arial" w:cs="Arial" w:eastAsia="Arial" w:hAnsi="Arial"/>
          <w:sz w:val="18"/>
          <w:szCs w:val="18"/>
          <w:color w:val="auto"/>
        </w:rPr>
        <w:t>A portion of net income is allocated to unvested restricted stock units (RSUs) on which we pay dividend equivalents. Diluted EPS is calculated using the following:</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700" w:type="dxa"/>
            <w:vAlign w:val="bottom"/>
            <w:shd w:val="clear" w:color="auto" w:fill="DBDBDB"/>
          </w:tcPr>
          <w:p>
            <w:pPr>
              <w:ind w:left="20"/>
              <w:spacing w:after="0"/>
              <w:rPr>
                <w:sz w:val="20"/>
                <w:szCs w:val="20"/>
                <w:color w:val="auto"/>
              </w:rPr>
            </w:pPr>
            <w:r>
              <w:rPr>
                <w:rFonts w:ascii="Arial" w:cs="Arial" w:eastAsia="Arial" w:hAnsi="Arial"/>
                <w:sz w:val="18"/>
                <w:szCs w:val="18"/>
                <w:color w:val="auto"/>
              </w:rPr>
              <w:t>Net income</w:t>
            </w:r>
          </w:p>
        </w:tc>
        <w:tc>
          <w:tcPr>
            <w:tcW w:w="400" w:type="dxa"/>
            <w:vAlign w:val="bottom"/>
            <w:shd w:val="clear" w:color="auto" w:fill="DBDBDB"/>
          </w:tcPr>
          <w:p>
            <w:pPr>
              <w:jc w:val="right"/>
              <w:ind w:right="190"/>
              <w:spacing w:after="0"/>
              <w:rPr>
                <w:sz w:val="20"/>
                <w:szCs w:val="20"/>
                <w:color w:val="auto"/>
              </w:rPr>
            </w:pPr>
            <w:r>
              <w:rPr>
                <w:rFonts w:ascii="Arial" w:cs="Arial" w:eastAsia="Arial" w:hAnsi="Arial"/>
                <w:sz w:val="18"/>
                <w:szCs w:val="18"/>
                <w:b w:val="1"/>
                <w:bCs w:val="1"/>
                <w:color w:val="auto"/>
                <w:w w:val="99"/>
              </w:rPr>
              <w:t>$</w:t>
            </w:r>
          </w:p>
        </w:tc>
        <w:tc>
          <w:tcPr>
            <w:tcW w:w="8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1,545</w:t>
            </w:r>
          </w:p>
        </w:tc>
        <w:tc>
          <w:tcPr>
            <w:tcW w:w="100" w:type="dxa"/>
            <w:vAlign w:val="bottom"/>
            <w:shd w:val="clear" w:color="auto" w:fill="DBDBDB"/>
          </w:tcPr>
          <w:p>
            <w:pPr>
              <w:spacing w:after="0"/>
              <w:rPr>
                <w:sz w:val="19"/>
                <w:szCs w:val="19"/>
                <w:color w:val="auto"/>
              </w:rPr>
            </w:pPr>
          </w:p>
        </w:tc>
        <w:tc>
          <w:tcPr>
            <w:tcW w:w="400" w:type="dxa"/>
            <w:vAlign w:val="bottom"/>
            <w:shd w:val="clear" w:color="auto" w:fill="DBDBDB"/>
          </w:tcPr>
          <w:p>
            <w:pPr>
              <w:jc w:val="right"/>
              <w:ind w:right="19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1,179</w:t>
            </w:r>
          </w:p>
        </w:tc>
      </w:tr>
      <w:tr>
        <w:trPr>
          <w:trHeight w:val="230"/>
        </w:trPr>
        <w:tc>
          <w:tcPr>
            <w:tcW w:w="870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Income allocated to RSUs</w:t>
            </w:r>
          </w:p>
        </w:tc>
        <w:tc>
          <w:tcPr>
            <w:tcW w:w="4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w:t>
            </w:r>
          </w:p>
        </w:tc>
        <w:tc>
          <w:tcPr>
            <w:tcW w:w="100" w:type="dxa"/>
            <w:vAlign w:val="bottom"/>
            <w:tcBorders>
              <w:bottom w:val="single" w:sz="8" w:color="DBDBDB"/>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r>
      <w:tr>
        <w:trPr>
          <w:trHeight w:val="248"/>
        </w:trPr>
        <w:tc>
          <w:tcPr>
            <w:tcW w:w="870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Income allocated to common stock for diluted EPS</w:t>
            </w:r>
          </w:p>
        </w:tc>
        <w:tc>
          <w:tcPr>
            <w:tcW w:w="400" w:type="dxa"/>
            <w:vAlign w:val="bottom"/>
            <w:tcBorders>
              <w:bottom w:val="single" w:sz="8" w:color="auto"/>
            </w:tcBorders>
            <w:shd w:val="clear" w:color="auto" w:fill="DBDBDB"/>
          </w:tcPr>
          <w:p>
            <w:pPr>
              <w:jc w:val="right"/>
              <w:ind w:right="190"/>
              <w:spacing w:after="0"/>
              <w:rPr>
                <w:sz w:val="20"/>
                <w:szCs w:val="20"/>
                <w:color w:val="auto"/>
              </w:rPr>
            </w:pPr>
            <w:r>
              <w:rPr>
                <w:rFonts w:ascii="Arial" w:cs="Arial" w:eastAsia="Arial" w:hAnsi="Arial"/>
                <w:sz w:val="18"/>
                <w:szCs w:val="18"/>
                <w:b w:val="1"/>
                <w:bCs w:val="1"/>
                <w:color w:val="auto"/>
                <w:w w:val="99"/>
              </w:rPr>
              <w:t>$</w:t>
            </w:r>
          </w:p>
        </w:tc>
        <w:tc>
          <w:tcPr>
            <w:tcW w:w="8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1,536</w:t>
            </w:r>
          </w:p>
        </w:tc>
        <w:tc>
          <w:tcPr>
            <w:tcW w:w="100" w:type="dxa"/>
            <w:vAlign w:val="bottom"/>
            <w:tcBorders>
              <w:bottom w:val="single" w:sz="8" w:color="DBDBDB"/>
            </w:tcBorders>
            <w:shd w:val="clear" w:color="auto" w:fill="DBDBDB"/>
          </w:tcPr>
          <w:p>
            <w:pPr>
              <w:spacing w:after="0"/>
              <w:rPr>
                <w:sz w:val="21"/>
                <w:szCs w:val="21"/>
                <w:color w:val="auto"/>
              </w:rPr>
            </w:pPr>
          </w:p>
        </w:tc>
        <w:tc>
          <w:tcPr>
            <w:tcW w:w="400" w:type="dxa"/>
            <w:vAlign w:val="bottom"/>
            <w:tcBorders>
              <w:bottom w:val="single" w:sz="8" w:color="auto"/>
            </w:tcBorders>
            <w:shd w:val="clear" w:color="auto" w:fill="DBDBDB"/>
          </w:tcPr>
          <w:p>
            <w:pPr>
              <w:jc w:val="right"/>
              <w:ind w:right="19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1,173</w:t>
            </w:r>
          </w:p>
        </w:tc>
      </w:tr>
      <w:tr>
        <w:trPr>
          <w:trHeight w:val="20"/>
        </w:trPr>
        <w:tc>
          <w:tcPr>
            <w:tcW w:w="8700" w:type="dxa"/>
            <w:vAlign w:val="bottom"/>
            <w:tcBorders>
              <w:top w:val="single" w:sz="8" w:color="DBDBDB"/>
            </w:tcBorders>
          </w:tcPr>
          <w:p>
            <w:pPr>
              <w:spacing w:after="0" w:line="20" w:lineRule="exact"/>
              <w:rPr>
                <w:sz w:val="1"/>
                <w:szCs w:val="1"/>
                <w:color w:val="auto"/>
              </w:rPr>
            </w:pPr>
          </w:p>
        </w:tc>
        <w:tc>
          <w:tcPr>
            <w:tcW w:w="400" w:type="dxa"/>
            <w:vAlign w:val="bottom"/>
            <w:tcBorders>
              <w:top w:val="single" w:sz="8" w:color="DBDBDB"/>
              <w:bottom w:val="single" w:sz="8" w:color="auto"/>
            </w:tcBorders>
          </w:tcPr>
          <w:p>
            <w:pPr>
              <w:spacing w:after="0" w:line="20" w:lineRule="exact"/>
              <w:rPr>
                <w:sz w:val="1"/>
                <w:szCs w:val="1"/>
                <w:color w:val="auto"/>
              </w:rPr>
            </w:pPr>
          </w:p>
        </w:tc>
        <w:tc>
          <w:tcPr>
            <w:tcW w:w="82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400" w:type="dxa"/>
            <w:vAlign w:val="bottom"/>
            <w:tcBorders>
              <w:top w:val="single" w:sz="8" w:color="DBDBDB"/>
              <w:bottom w:val="single" w:sz="8" w:color="auto"/>
            </w:tcBorders>
          </w:tcPr>
          <w:p>
            <w:pPr>
              <w:spacing w:after="0" w:line="20" w:lineRule="exact"/>
              <w:rPr>
                <w:sz w:val="1"/>
                <w:szCs w:val="1"/>
                <w:color w:val="auto"/>
              </w:rPr>
            </w:pPr>
          </w:p>
        </w:tc>
        <w:tc>
          <w:tcPr>
            <w:tcW w:w="820" w:type="dxa"/>
            <w:vAlign w:val="bottom"/>
            <w:tcBorders>
              <w:top w:val="single" w:sz="8" w:color="DBDBDB"/>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left="20"/>
        <w:spacing w:after="0"/>
        <w:rPr>
          <w:sz w:val="20"/>
          <w:szCs w:val="20"/>
          <w:color w:val="auto"/>
        </w:rPr>
      </w:pPr>
      <w:r>
        <w:rPr>
          <w:rFonts w:ascii="Arial" w:cs="Arial" w:eastAsia="Arial" w:hAnsi="Arial"/>
          <w:sz w:val="18"/>
          <w:szCs w:val="18"/>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96"/>
        </w:trPr>
        <w:tc>
          <w:tcPr>
            <w:tcW w:w="8500" w:type="dxa"/>
            <w:vAlign w:val="bottom"/>
            <w:vMerge w:val="restart"/>
          </w:tcPr>
          <w:p>
            <w:pPr>
              <w:ind w:left="20"/>
              <w:spacing w:after="0"/>
              <w:rPr>
                <w:sz w:val="20"/>
                <w:szCs w:val="20"/>
                <w:color w:val="auto"/>
              </w:rPr>
            </w:pPr>
            <w:r>
              <w:rPr>
                <w:rFonts w:ascii="Arial" w:cs="Arial" w:eastAsia="Arial" w:hAnsi="Arial"/>
                <w:sz w:val="20"/>
                <w:szCs w:val="20"/>
                <w:b w:val="1"/>
                <w:bCs w:val="1"/>
                <w:color w:val="auto"/>
              </w:rPr>
              <w:t>Consolidated Statements of Comprehensive Income</w:t>
            </w:r>
          </w:p>
        </w:tc>
        <w:tc>
          <w:tcPr>
            <w:tcW w:w="220" w:type="dxa"/>
            <w:vAlign w:val="bottom"/>
            <w:vMerge w:val="restart"/>
          </w:tcPr>
          <w:p>
            <w:pPr>
              <w:spacing w:after="0"/>
              <w:rPr>
                <w:sz w:val="17"/>
                <w:szCs w:val="17"/>
                <w:color w:val="auto"/>
              </w:rPr>
            </w:pPr>
          </w:p>
        </w:tc>
        <w:tc>
          <w:tcPr>
            <w:tcW w:w="280" w:type="dxa"/>
            <w:vAlign w:val="bottom"/>
          </w:tcPr>
          <w:p>
            <w:pPr>
              <w:spacing w:after="0"/>
              <w:rPr>
                <w:sz w:val="17"/>
                <w:szCs w:val="17"/>
                <w:color w:val="auto"/>
              </w:rPr>
            </w:pPr>
          </w:p>
        </w:tc>
        <w:tc>
          <w:tcPr>
            <w:tcW w:w="2240" w:type="dxa"/>
            <w:vAlign w:val="bottom"/>
            <w:gridSpan w:val="4"/>
          </w:tcPr>
          <w:p>
            <w:pPr>
              <w:jc w:val="right"/>
              <w:ind w:right="312"/>
              <w:spacing w:after="0"/>
              <w:rPr>
                <w:sz w:val="20"/>
                <w:szCs w:val="20"/>
                <w:color w:val="auto"/>
              </w:rPr>
            </w:pPr>
            <w:r>
              <w:rPr>
                <w:rFonts w:ascii="Arial" w:cs="Arial" w:eastAsia="Arial" w:hAnsi="Arial"/>
                <w:sz w:val="14"/>
                <w:szCs w:val="14"/>
                <w:b w:val="1"/>
                <w:bCs w:val="1"/>
                <w:color w:val="auto"/>
              </w:rPr>
              <w:t>For Three Months Ended</w:t>
            </w:r>
          </w:p>
        </w:tc>
        <w:tc>
          <w:tcPr>
            <w:tcW w:w="0" w:type="dxa"/>
            <w:vAlign w:val="bottom"/>
          </w:tcPr>
          <w:p>
            <w:pPr>
              <w:spacing w:after="0"/>
              <w:rPr>
                <w:sz w:val="1"/>
                <w:szCs w:val="1"/>
                <w:color w:val="auto"/>
              </w:rPr>
            </w:pPr>
          </w:p>
        </w:tc>
      </w:tr>
      <w:tr>
        <w:trPr>
          <w:trHeight w:val="259"/>
        </w:trPr>
        <w:tc>
          <w:tcPr>
            <w:tcW w:w="8500" w:type="dxa"/>
            <w:vAlign w:val="bottom"/>
            <w:tcBorders>
              <w:bottom w:val="single" w:sz="8" w:color="auto"/>
            </w:tcBorders>
            <w:vMerge w:val="continue"/>
          </w:tcPr>
          <w:p>
            <w:pPr>
              <w:spacing w:after="0"/>
              <w:rPr>
                <w:sz w:val="22"/>
                <w:szCs w:val="22"/>
                <w:color w:val="auto"/>
              </w:rPr>
            </w:pPr>
          </w:p>
        </w:tc>
        <w:tc>
          <w:tcPr>
            <w:tcW w:w="220" w:type="dxa"/>
            <w:vAlign w:val="bottom"/>
            <w:vMerge w:val="continue"/>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March 31,</w:t>
            </w:r>
          </w:p>
        </w:tc>
        <w:tc>
          <w:tcPr>
            <w:tcW w:w="8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95"/>
        </w:trPr>
        <w:tc>
          <w:tcPr>
            <w:tcW w:w="8720" w:type="dxa"/>
            <w:vAlign w:val="bottom"/>
            <w:tcBorders>
              <w:bottom w:val="single" w:sz="8" w:color="DBDBDB"/>
            </w:tcBorders>
            <w:gridSpan w:val="2"/>
          </w:tcPr>
          <w:p>
            <w:pPr>
              <w:ind w:left="20"/>
              <w:spacing w:after="0"/>
              <w:rPr>
                <w:sz w:val="20"/>
                <w:szCs w:val="20"/>
                <w:color w:val="auto"/>
              </w:rPr>
            </w:pPr>
            <w:r>
              <w:rPr>
                <w:rFonts w:ascii="Arial" w:cs="Arial" w:eastAsia="Arial" w:hAnsi="Arial"/>
                <w:sz w:val="14"/>
                <w:szCs w:val="14"/>
                <w:b w:val="1"/>
                <w:bCs w:val="1"/>
                <w:color w:val="auto"/>
              </w:rPr>
              <w:t>(In millions)</w:t>
            </w: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2026</w:t>
            </w:r>
          </w:p>
        </w:tc>
        <w:tc>
          <w:tcPr>
            <w:tcW w:w="100" w:type="dxa"/>
            <w:vAlign w:val="bottom"/>
            <w:tcBorders>
              <w:bottom w:val="single" w:sz="8" w:color="DBDBDB"/>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2025</w:t>
            </w:r>
          </w:p>
        </w:tc>
        <w:tc>
          <w:tcPr>
            <w:tcW w:w="0" w:type="dxa"/>
            <w:vAlign w:val="bottom"/>
          </w:tcPr>
          <w:p>
            <w:pPr>
              <w:spacing w:after="0"/>
              <w:rPr>
                <w:sz w:val="1"/>
                <w:szCs w:val="1"/>
                <w:color w:val="auto"/>
              </w:rPr>
            </w:pPr>
          </w:p>
        </w:tc>
      </w:tr>
      <w:tr>
        <w:trPr>
          <w:trHeight w:val="224"/>
        </w:trPr>
        <w:tc>
          <w:tcPr>
            <w:tcW w:w="872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Net income</w:t>
            </w:r>
          </w:p>
        </w:tc>
        <w:tc>
          <w:tcPr>
            <w:tcW w:w="280" w:type="dxa"/>
            <w:vAlign w:val="bottom"/>
            <w:shd w:val="clear" w:color="auto" w:fill="DBDBDB"/>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1,545</w:t>
            </w:r>
          </w:p>
        </w:tc>
        <w:tc>
          <w:tcPr>
            <w:tcW w:w="100" w:type="dxa"/>
            <w:vAlign w:val="bottom"/>
            <w:shd w:val="clear" w:color="auto" w:fill="DBDBDB"/>
          </w:tcPr>
          <w:p>
            <w:pPr>
              <w:spacing w:after="0"/>
              <w:rPr>
                <w:sz w:val="19"/>
                <w:szCs w:val="19"/>
                <w:color w:val="auto"/>
              </w:rPr>
            </w:pPr>
          </w:p>
        </w:tc>
        <w:tc>
          <w:tcPr>
            <w:tcW w:w="360" w:type="dxa"/>
            <w:vAlign w:val="bottom"/>
            <w:shd w:val="clear" w:color="auto" w:fill="DBDBDB"/>
          </w:tcPr>
          <w:p>
            <w:pPr>
              <w:jc w:val="right"/>
              <w:ind w:right="15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1,179</w:t>
            </w:r>
          </w:p>
        </w:tc>
        <w:tc>
          <w:tcPr>
            <w:tcW w:w="0" w:type="dxa"/>
            <w:vAlign w:val="bottom"/>
          </w:tcPr>
          <w:p>
            <w:pPr>
              <w:spacing w:after="0"/>
              <w:rPr>
                <w:sz w:val="1"/>
                <w:szCs w:val="1"/>
                <w:color w:val="auto"/>
              </w:rPr>
            </w:pPr>
          </w:p>
        </w:tc>
      </w:tr>
      <w:tr>
        <w:trPr>
          <w:trHeight w:val="229"/>
        </w:trPr>
        <w:tc>
          <w:tcPr>
            <w:tcW w:w="8720" w:type="dxa"/>
            <w:vAlign w:val="bottom"/>
            <w:gridSpan w:val="2"/>
          </w:tcPr>
          <w:p>
            <w:pPr>
              <w:ind w:left="20"/>
              <w:spacing w:after="0"/>
              <w:rPr>
                <w:sz w:val="20"/>
                <w:szCs w:val="20"/>
                <w:color w:val="auto"/>
              </w:rPr>
            </w:pPr>
            <w:r>
              <w:rPr>
                <w:rFonts w:ascii="Arial" w:cs="Arial" w:eastAsia="Arial" w:hAnsi="Arial"/>
                <w:sz w:val="18"/>
                <w:szCs w:val="18"/>
                <w:color w:val="auto"/>
              </w:rPr>
              <w:t>Changes in other comprehensive income (loss), net of tax</w:t>
            </w: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720" w:type="dxa"/>
            <w:vAlign w:val="bottom"/>
            <w:gridSpan w:val="2"/>
            <w:shd w:val="clear" w:color="auto" w:fill="DBDBDB"/>
          </w:tcPr>
          <w:p>
            <w:pPr>
              <w:ind w:left="140"/>
              <w:spacing w:after="0"/>
              <w:rPr>
                <w:sz w:val="20"/>
                <w:szCs w:val="20"/>
                <w:color w:val="auto"/>
              </w:rPr>
            </w:pPr>
            <w:r>
              <w:rPr>
                <w:rFonts w:ascii="Arial" w:cs="Arial" w:eastAsia="Arial" w:hAnsi="Arial"/>
                <w:sz w:val="18"/>
                <w:szCs w:val="18"/>
                <w:color w:val="auto"/>
              </w:rPr>
              <w:t>Net actuarial losses of defined benefit plans:</w:t>
            </w:r>
          </w:p>
        </w:tc>
        <w:tc>
          <w:tcPr>
            <w:tcW w:w="280" w:type="dxa"/>
            <w:vAlign w:val="bottom"/>
            <w:shd w:val="clear" w:color="auto" w:fill="DBDBDB"/>
          </w:tcPr>
          <w:p>
            <w:pPr>
              <w:spacing w:after="0"/>
              <w:rPr>
                <w:sz w:val="19"/>
                <w:szCs w:val="19"/>
                <w:color w:val="auto"/>
              </w:rPr>
            </w:pPr>
          </w:p>
        </w:tc>
        <w:tc>
          <w:tcPr>
            <w:tcW w:w="94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360" w:type="dxa"/>
            <w:vAlign w:val="bottom"/>
            <w:shd w:val="clear" w:color="auto" w:fill="DBDBDB"/>
          </w:tcPr>
          <w:p>
            <w:pPr>
              <w:spacing w:after="0"/>
              <w:rPr>
                <w:sz w:val="19"/>
                <w:szCs w:val="19"/>
                <w:color w:val="auto"/>
              </w:rPr>
            </w:pPr>
          </w:p>
        </w:tc>
        <w:tc>
          <w:tcPr>
            <w:tcW w:w="84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720" w:type="dxa"/>
            <w:vAlign w:val="bottom"/>
            <w:gridSpan w:val="2"/>
          </w:tcPr>
          <w:p>
            <w:pPr>
              <w:ind w:left="220"/>
              <w:spacing w:after="0"/>
              <w:rPr>
                <w:sz w:val="20"/>
                <w:szCs w:val="20"/>
                <w:color w:val="auto"/>
              </w:rPr>
            </w:pPr>
            <w:r>
              <w:rPr>
                <w:rFonts w:ascii="Arial" w:cs="Arial" w:eastAsia="Arial" w:hAnsi="Arial"/>
                <w:sz w:val="18"/>
                <w:szCs w:val="18"/>
                <w:color w:val="auto"/>
              </w:rPr>
              <w:t>Adjustments</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29"/>
        </w:trPr>
        <w:tc>
          <w:tcPr>
            <w:tcW w:w="8720" w:type="dxa"/>
            <w:vAlign w:val="bottom"/>
            <w:gridSpan w:val="2"/>
            <w:shd w:val="clear" w:color="auto" w:fill="DBDBDB"/>
          </w:tcPr>
          <w:p>
            <w:pPr>
              <w:ind w:left="220"/>
              <w:spacing w:after="0"/>
              <w:rPr>
                <w:sz w:val="20"/>
                <w:szCs w:val="20"/>
                <w:color w:val="auto"/>
              </w:rPr>
            </w:pPr>
            <w:r>
              <w:rPr>
                <w:rFonts w:ascii="Arial" w:cs="Arial" w:eastAsia="Arial" w:hAnsi="Arial"/>
                <w:sz w:val="18"/>
                <w:szCs w:val="18"/>
                <w:color w:val="auto"/>
              </w:rPr>
              <w:t>Recognized within net income</w:t>
            </w:r>
          </w:p>
        </w:tc>
        <w:tc>
          <w:tcPr>
            <w:tcW w:w="280" w:type="dxa"/>
            <w:vAlign w:val="bottom"/>
            <w:shd w:val="clear" w:color="auto" w:fill="DBDBDB"/>
          </w:tcPr>
          <w:p>
            <w:pPr>
              <w:spacing w:after="0"/>
              <w:rPr>
                <w:sz w:val="19"/>
                <w:szCs w:val="19"/>
                <w:color w:val="auto"/>
              </w:rPr>
            </w:pPr>
          </w:p>
        </w:tc>
        <w:tc>
          <w:tcPr>
            <w:tcW w:w="104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b w:val="1"/>
                <w:bCs w:val="1"/>
                <w:color w:val="auto"/>
              </w:rPr>
              <w:t>—</w:t>
            </w:r>
          </w:p>
        </w:tc>
        <w:tc>
          <w:tcPr>
            <w:tcW w:w="360" w:type="dxa"/>
            <w:vAlign w:val="bottom"/>
            <w:shd w:val="clear" w:color="auto" w:fill="DBDBDB"/>
          </w:tcPr>
          <w:p>
            <w:pPr>
              <w:spacing w:after="0"/>
              <w:rPr>
                <w:sz w:val="19"/>
                <w:szCs w:val="19"/>
                <w:color w:val="auto"/>
              </w:rPr>
            </w:pPr>
          </w:p>
        </w:tc>
        <w:tc>
          <w:tcPr>
            <w:tcW w:w="8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0"/>
        </w:trPr>
        <w:tc>
          <w:tcPr>
            <w:tcW w:w="8720" w:type="dxa"/>
            <w:vAlign w:val="bottom"/>
            <w:gridSpan w:val="2"/>
          </w:tcPr>
          <w:p>
            <w:pPr>
              <w:ind w:left="140"/>
              <w:spacing w:after="0"/>
              <w:rPr>
                <w:sz w:val="20"/>
                <w:szCs w:val="20"/>
                <w:color w:val="auto"/>
              </w:rPr>
            </w:pPr>
            <w:r>
              <w:rPr>
                <w:rFonts w:ascii="Arial" w:cs="Arial" w:eastAsia="Arial" w:hAnsi="Arial"/>
                <w:sz w:val="18"/>
                <w:szCs w:val="18"/>
                <w:color w:val="auto"/>
              </w:rPr>
              <w:t>Prior service cost (credit) of defined benefit plans:</w:t>
            </w: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720" w:type="dxa"/>
            <w:vAlign w:val="bottom"/>
            <w:gridSpan w:val="2"/>
            <w:shd w:val="clear" w:color="auto" w:fill="DBDBDB"/>
          </w:tcPr>
          <w:p>
            <w:pPr>
              <w:ind w:left="220"/>
              <w:spacing w:after="0"/>
              <w:rPr>
                <w:sz w:val="20"/>
                <w:szCs w:val="20"/>
                <w:color w:val="auto"/>
              </w:rPr>
            </w:pPr>
            <w:r>
              <w:rPr>
                <w:rFonts w:ascii="Arial" w:cs="Arial" w:eastAsia="Arial" w:hAnsi="Arial"/>
                <w:sz w:val="18"/>
                <w:szCs w:val="18"/>
                <w:color w:val="auto"/>
              </w:rPr>
              <w:t>Adjustments</w:t>
            </w:r>
          </w:p>
        </w:tc>
        <w:tc>
          <w:tcPr>
            <w:tcW w:w="280" w:type="dxa"/>
            <w:vAlign w:val="bottom"/>
            <w:shd w:val="clear" w:color="auto" w:fill="DBDBDB"/>
          </w:tcPr>
          <w:p>
            <w:pPr>
              <w:spacing w:after="0"/>
              <w:rPr>
                <w:sz w:val="19"/>
                <w:szCs w:val="19"/>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shd w:val="clear" w:color="auto" w:fill="DBDBDB"/>
          </w:tcPr>
          <w:p>
            <w:pPr>
              <w:spacing w:after="0"/>
              <w:rPr>
                <w:sz w:val="19"/>
                <w:szCs w:val="19"/>
                <w:color w:val="auto"/>
              </w:rPr>
            </w:pPr>
          </w:p>
        </w:tc>
        <w:tc>
          <w:tcPr>
            <w:tcW w:w="360" w:type="dxa"/>
            <w:vAlign w:val="bottom"/>
            <w:shd w:val="clear" w:color="auto" w:fill="DBDBDB"/>
          </w:tcPr>
          <w:p>
            <w:pPr>
              <w:spacing w:after="0"/>
              <w:rPr>
                <w:sz w:val="19"/>
                <w:szCs w:val="19"/>
                <w:color w:val="auto"/>
              </w:rPr>
            </w:pPr>
          </w:p>
        </w:tc>
        <w:tc>
          <w:tcPr>
            <w:tcW w:w="8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8720" w:type="dxa"/>
            <w:vAlign w:val="bottom"/>
            <w:gridSpan w:val="2"/>
          </w:tcPr>
          <w:p>
            <w:pPr>
              <w:ind w:left="220"/>
              <w:spacing w:after="0"/>
              <w:rPr>
                <w:sz w:val="20"/>
                <w:szCs w:val="20"/>
                <w:color w:val="auto"/>
              </w:rPr>
            </w:pPr>
            <w:r>
              <w:rPr>
                <w:rFonts w:ascii="Arial" w:cs="Arial" w:eastAsia="Arial" w:hAnsi="Arial"/>
                <w:sz w:val="18"/>
                <w:szCs w:val="18"/>
                <w:color w:val="auto"/>
              </w:rPr>
              <w:t>Recognized within net income</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720" w:type="dxa"/>
            <w:vAlign w:val="bottom"/>
            <w:gridSpan w:val="2"/>
            <w:shd w:val="clear" w:color="auto" w:fill="DBDBDB"/>
          </w:tcPr>
          <w:p>
            <w:pPr>
              <w:ind w:left="140"/>
              <w:spacing w:after="0"/>
              <w:rPr>
                <w:sz w:val="20"/>
                <w:szCs w:val="20"/>
                <w:color w:val="auto"/>
              </w:rPr>
            </w:pPr>
            <w:r>
              <w:rPr>
                <w:rFonts w:ascii="Arial" w:cs="Arial" w:eastAsia="Arial" w:hAnsi="Arial"/>
                <w:sz w:val="18"/>
                <w:szCs w:val="18"/>
                <w:color w:val="auto"/>
              </w:rPr>
              <w:t>Available-for-sale investments and other:</w:t>
            </w:r>
          </w:p>
        </w:tc>
        <w:tc>
          <w:tcPr>
            <w:tcW w:w="280" w:type="dxa"/>
            <w:vAlign w:val="bottom"/>
            <w:shd w:val="clear" w:color="auto" w:fill="DBDBDB"/>
          </w:tcPr>
          <w:p>
            <w:pPr>
              <w:spacing w:after="0"/>
              <w:rPr>
                <w:sz w:val="19"/>
                <w:szCs w:val="19"/>
                <w:color w:val="auto"/>
              </w:rPr>
            </w:pPr>
          </w:p>
        </w:tc>
        <w:tc>
          <w:tcPr>
            <w:tcW w:w="94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360" w:type="dxa"/>
            <w:vAlign w:val="bottom"/>
            <w:shd w:val="clear" w:color="auto" w:fill="DBDBDB"/>
          </w:tcPr>
          <w:p>
            <w:pPr>
              <w:spacing w:after="0"/>
              <w:rPr>
                <w:sz w:val="19"/>
                <w:szCs w:val="19"/>
                <w:color w:val="auto"/>
              </w:rPr>
            </w:pPr>
          </w:p>
        </w:tc>
        <w:tc>
          <w:tcPr>
            <w:tcW w:w="84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720" w:type="dxa"/>
            <w:vAlign w:val="bottom"/>
            <w:tcBorders>
              <w:bottom w:val="single" w:sz="8" w:color="DBDBDB"/>
            </w:tcBorders>
            <w:gridSpan w:val="2"/>
          </w:tcPr>
          <w:p>
            <w:pPr>
              <w:ind w:left="220"/>
              <w:spacing w:after="0"/>
              <w:rPr>
                <w:sz w:val="20"/>
                <w:szCs w:val="20"/>
                <w:color w:val="auto"/>
              </w:rPr>
            </w:pPr>
            <w:r>
              <w:rPr>
                <w:rFonts w:ascii="Arial" w:cs="Arial" w:eastAsia="Arial" w:hAnsi="Arial"/>
                <w:sz w:val="18"/>
                <w:szCs w:val="18"/>
                <w:color w:val="auto"/>
              </w:rPr>
              <w:t>Adjustments</w:t>
            </w: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w:t>
            </w:r>
          </w:p>
        </w:tc>
        <w:tc>
          <w:tcPr>
            <w:tcW w:w="100" w:type="dxa"/>
            <w:vAlign w:val="bottom"/>
            <w:tcBorders>
              <w:bottom w:val="single" w:sz="8" w:color="DBDBDB"/>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3"/>
        </w:trPr>
        <w:tc>
          <w:tcPr>
            <w:tcW w:w="8720" w:type="dxa"/>
            <w:vAlign w:val="bottom"/>
            <w:gridSpan w:val="2"/>
            <w:shd w:val="clear" w:color="auto" w:fill="DBDBDB"/>
          </w:tcPr>
          <w:p>
            <w:pPr>
              <w:ind w:left="140"/>
              <w:spacing w:after="0"/>
              <w:rPr>
                <w:sz w:val="20"/>
                <w:szCs w:val="20"/>
                <w:color w:val="auto"/>
              </w:rPr>
            </w:pPr>
            <w:r>
              <w:rPr>
                <w:rFonts w:ascii="Arial" w:cs="Arial" w:eastAsia="Arial" w:hAnsi="Arial"/>
                <w:sz w:val="18"/>
                <w:szCs w:val="18"/>
                <w:color w:val="auto"/>
              </w:rPr>
              <w:t>Other comprehensive income (loss)</w:t>
            </w:r>
          </w:p>
        </w:tc>
        <w:tc>
          <w:tcPr>
            <w:tcW w:w="280" w:type="dxa"/>
            <w:vAlign w:val="bottom"/>
            <w:tcBorders>
              <w:bottom w:val="single" w:sz="8" w:color="auto"/>
            </w:tcBorders>
            <w:shd w:val="clear" w:color="auto" w:fill="DBDBDB"/>
          </w:tcPr>
          <w:p>
            <w:pPr>
              <w:spacing w:after="0"/>
              <w:rPr>
                <w:sz w:val="19"/>
                <w:szCs w:val="19"/>
                <w:color w:val="auto"/>
              </w:rPr>
            </w:pPr>
          </w:p>
        </w:tc>
        <w:tc>
          <w:tcPr>
            <w:tcW w:w="9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shd w:val="clear" w:color="auto" w:fill="DBDBDB"/>
          </w:tcPr>
          <w:p>
            <w:pPr>
              <w:spacing w:after="0"/>
              <w:rPr>
                <w:sz w:val="19"/>
                <w:szCs w:val="19"/>
                <w:color w:val="auto"/>
              </w:rPr>
            </w:pPr>
          </w:p>
        </w:tc>
        <w:tc>
          <w:tcPr>
            <w:tcW w:w="360" w:type="dxa"/>
            <w:vAlign w:val="bottom"/>
            <w:tcBorders>
              <w:bottom w:val="single" w:sz="8" w:color="auto"/>
            </w:tcBorders>
            <w:shd w:val="clear" w:color="auto" w:fill="DBDBDB"/>
          </w:tcPr>
          <w:p>
            <w:pPr>
              <w:spacing w:after="0"/>
              <w:rPr>
                <w:sz w:val="19"/>
                <w:szCs w:val="19"/>
                <w:color w:val="auto"/>
              </w:rPr>
            </w:pPr>
          </w:p>
        </w:tc>
        <w:tc>
          <w:tcPr>
            <w:tcW w:w="8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23"/>
        </w:trPr>
        <w:tc>
          <w:tcPr>
            <w:tcW w:w="8720" w:type="dxa"/>
            <w:vAlign w:val="bottom"/>
            <w:gridSpan w:val="2"/>
          </w:tcPr>
          <w:p>
            <w:pPr>
              <w:ind w:left="20"/>
              <w:spacing w:after="0"/>
              <w:rPr>
                <w:sz w:val="20"/>
                <w:szCs w:val="20"/>
                <w:color w:val="auto"/>
              </w:rPr>
            </w:pPr>
            <w:r>
              <w:rPr>
                <w:rFonts w:ascii="Arial" w:cs="Arial" w:eastAsia="Arial" w:hAnsi="Arial"/>
                <w:sz w:val="18"/>
                <w:szCs w:val="18"/>
                <w:color w:val="auto"/>
              </w:rPr>
              <w:t>Total comprehensive income</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1,546</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1,172</w:t>
            </w:r>
          </w:p>
        </w:tc>
        <w:tc>
          <w:tcPr>
            <w:tcW w:w="0" w:type="dxa"/>
            <w:vAlign w:val="bottom"/>
          </w:tcPr>
          <w:p>
            <w:pPr>
              <w:spacing w:after="0"/>
              <w:rPr>
                <w:sz w:val="1"/>
                <w:szCs w:val="1"/>
                <w:color w:val="auto"/>
              </w:rPr>
            </w:pPr>
          </w:p>
        </w:tc>
      </w:tr>
      <w:tr>
        <w:trPr>
          <w:trHeight w:val="21"/>
        </w:trPr>
        <w:tc>
          <w:tcPr>
            <w:tcW w:w="8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ind w:left="20"/>
        <w:spacing w:after="0"/>
        <w:rPr>
          <w:sz w:val="20"/>
          <w:szCs w:val="20"/>
          <w:color w:val="auto"/>
        </w:rPr>
      </w:pPr>
      <w:r>
        <w:rPr>
          <w:rFonts w:ascii="Arial" w:cs="Arial" w:eastAsia="Arial" w:hAnsi="Arial"/>
          <w:sz w:val="18"/>
          <w:szCs w:val="18"/>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0"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196"/>
        </w:trPr>
        <w:tc>
          <w:tcPr>
            <w:tcW w:w="8320" w:type="dxa"/>
            <w:vAlign w:val="bottom"/>
            <w:vMerge w:val="restart"/>
          </w:tcPr>
          <w:p>
            <w:pPr>
              <w:ind w:left="20"/>
              <w:spacing w:after="0"/>
              <w:rPr>
                <w:sz w:val="20"/>
                <w:szCs w:val="20"/>
                <w:color w:val="auto"/>
              </w:rPr>
            </w:pPr>
            <w:r>
              <w:rPr>
                <w:rFonts w:ascii="Arial" w:cs="Arial" w:eastAsia="Arial" w:hAnsi="Arial"/>
                <w:sz w:val="20"/>
                <w:szCs w:val="20"/>
                <w:b w:val="1"/>
                <w:bCs w:val="1"/>
                <w:color w:val="auto"/>
              </w:rPr>
              <w:t>Consolidated Balance Sheets</w:t>
            </w:r>
          </w:p>
        </w:tc>
        <w:tc>
          <w:tcPr>
            <w:tcW w:w="120" w:type="dxa"/>
            <w:vAlign w:val="bottom"/>
            <w:vMerge w:val="restart"/>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gridSpan w:val="2"/>
          </w:tcPr>
          <w:p>
            <w:pPr>
              <w:ind w:left="120"/>
              <w:spacing w:after="0"/>
              <w:rPr>
                <w:sz w:val="20"/>
                <w:szCs w:val="20"/>
                <w:color w:val="auto"/>
              </w:rPr>
            </w:pPr>
            <w:r>
              <w:rPr>
                <w:rFonts w:ascii="Arial" w:cs="Arial" w:eastAsia="Arial" w:hAnsi="Arial"/>
                <w:sz w:val="14"/>
                <w:szCs w:val="14"/>
                <w:b w:val="1"/>
                <w:bCs w:val="1"/>
                <w:color w:val="auto"/>
              </w:rPr>
              <w:t>March 31,</w:t>
            </w:r>
          </w:p>
        </w:tc>
        <w:tc>
          <w:tcPr>
            <w:tcW w:w="180" w:type="dxa"/>
            <w:vAlign w:val="bottom"/>
          </w:tcPr>
          <w:p>
            <w:pPr>
              <w:spacing w:after="0"/>
              <w:rPr>
                <w:sz w:val="17"/>
                <w:szCs w:val="17"/>
                <w:color w:val="auto"/>
              </w:rPr>
            </w:pPr>
          </w:p>
        </w:tc>
        <w:tc>
          <w:tcPr>
            <w:tcW w:w="1180" w:type="dxa"/>
            <w:vAlign w:val="bottom"/>
          </w:tcPr>
          <w:p>
            <w:pPr>
              <w:jc w:val="right"/>
              <w:ind w:right="111"/>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259"/>
        </w:trPr>
        <w:tc>
          <w:tcPr>
            <w:tcW w:w="8320" w:type="dxa"/>
            <w:vAlign w:val="bottom"/>
            <w:tcBorders>
              <w:bottom w:val="single" w:sz="8" w:color="auto"/>
            </w:tcBorders>
            <w:vMerge w:val="continue"/>
          </w:tcPr>
          <w:p>
            <w:pPr>
              <w:spacing w:after="0"/>
              <w:rPr>
                <w:sz w:val="22"/>
                <w:szCs w:val="22"/>
                <w:color w:val="auto"/>
              </w:rPr>
            </w:pPr>
          </w:p>
        </w:tc>
        <w:tc>
          <w:tcPr>
            <w:tcW w:w="120" w:type="dxa"/>
            <w:vAlign w:val="bottom"/>
            <w:vMerge w:val="continue"/>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2026</w:t>
            </w:r>
          </w:p>
        </w:tc>
        <w:tc>
          <w:tcPr>
            <w:tcW w:w="1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2025</w:t>
            </w:r>
          </w:p>
        </w:tc>
        <w:tc>
          <w:tcPr>
            <w:tcW w:w="0" w:type="dxa"/>
            <w:vAlign w:val="bottom"/>
          </w:tcPr>
          <w:p>
            <w:pPr>
              <w:spacing w:after="0"/>
              <w:rPr>
                <w:sz w:val="1"/>
                <w:szCs w:val="1"/>
                <w:color w:val="auto"/>
              </w:rPr>
            </w:pPr>
          </w:p>
        </w:tc>
      </w:tr>
      <w:tr>
        <w:trPr>
          <w:trHeight w:val="195"/>
        </w:trPr>
        <w:tc>
          <w:tcPr>
            <w:tcW w:w="8440" w:type="dxa"/>
            <w:vAlign w:val="bottom"/>
            <w:gridSpan w:val="2"/>
          </w:tcPr>
          <w:p>
            <w:pPr>
              <w:ind w:left="20"/>
              <w:spacing w:after="0"/>
              <w:rPr>
                <w:sz w:val="20"/>
                <w:szCs w:val="20"/>
                <w:color w:val="auto"/>
              </w:rPr>
            </w:pPr>
            <w:r>
              <w:rPr>
                <w:rFonts w:ascii="Arial" w:cs="Arial" w:eastAsia="Arial" w:hAnsi="Arial"/>
                <w:sz w:val="14"/>
                <w:szCs w:val="14"/>
                <w:b w:val="1"/>
                <w:bCs w:val="1"/>
                <w:color w:val="auto"/>
              </w:rPr>
              <w:t>(In millions, except par value)</w:t>
            </w: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8440" w:type="dxa"/>
            <w:vAlign w:val="bottom"/>
            <w:gridSpan w:val="2"/>
            <w:shd w:val="clear" w:color="auto" w:fill="DBDBDB"/>
          </w:tcPr>
          <w:p>
            <w:pPr>
              <w:ind w:left="20"/>
              <w:spacing w:after="0"/>
              <w:rPr>
                <w:sz w:val="20"/>
                <w:szCs w:val="20"/>
                <w:color w:val="auto"/>
              </w:rPr>
            </w:pPr>
            <w:r>
              <w:rPr>
                <w:rFonts w:ascii="Arial" w:cs="Arial" w:eastAsia="Arial" w:hAnsi="Arial"/>
                <w:sz w:val="18"/>
                <w:szCs w:val="18"/>
                <w:b w:val="1"/>
                <w:bCs w:val="1"/>
                <w:color w:val="auto"/>
              </w:rPr>
              <w:t>Assets</w:t>
            </w:r>
          </w:p>
        </w:tc>
        <w:tc>
          <w:tcPr>
            <w:tcW w:w="220" w:type="dxa"/>
            <w:vAlign w:val="bottom"/>
            <w:shd w:val="clear" w:color="auto" w:fill="DBDBDB"/>
          </w:tcPr>
          <w:p>
            <w:pPr>
              <w:spacing w:after="0"/>
              <w:rPr>
                <w:sz w:val="20"/>
                <w:szCs w:val="20"/>
                <w:color w:val="auto"/>
              </w:rPr>
            </w:pPr>
          </w:p>
        </w:tc>
        <w:tc>
          <w:tcPr>
            <w:tcW w:w="1120" w:type="dxa"/>
            <w:vAlign w:val="bottom"/>
            <w:shd w:val="clear" w:color="auto" w:fill="DBDBDB"/>
          </w:tcPr>
          <w:p>
            <w:pPr>
              <w:spacing w:after="0"/>
              <w:rPr>
                <w:sz w:val="20"/>
                <w:szCs w:val="20"/>
                <w:color w:val="auto"/>
              </w:rPr>
            </w:pPr>
          </w:p>
        </w:tc>
        <w:tc>
          <w:tcPr>
            <w:tcW w:w="100" w:type="dxa"/>
            <w:vAlign w:val="bottom"/>
            <w:shd w:val="clear" w:color="auto" w:fill="DBDBDB"/>
          </w:tcPr>
          <w:p>
            <w:pPr>
              <w:spacing w:after="0"/>
              <w:rPr>
                <w:sz w:val="20"/>
                <w:szCs w:val="20"/>
                <w:color w:val="auto"/>
              </w:rPr>
            </w:pPr>
          </w:p>
        </w:tc>
        <w:tc>
          <w:tcPr>
            <w:tcW w:w="180" w:type="dxa"/>
            <w:vAlign w:val="bottom"/>
            <w:shd w:val="clear" w:color="auto" w:fill="DBDBDB"/>
          </w:tcPr>
          <w:p>
            <w:pPr>
              <w:spacing w:after="0"/>
              <w:rPr>
                <w:sz w:val="20"/>
                <w:szCs w:val="20"/>
                <w:color w:val="auto"/>
              </w:rPr>
            </w:pPr>
          </w:p>
        </w:tc>
        <w:tc>
          <w:tcPr>
            <w:tcW w:w="1180" w:type="dxa"/>
            <w:vAlign w:val="bottom"/>
            <w:shd w:val="clear" w:color="auto" w:fill="DBDBDB"/>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440" w:type="dxa"/>
            <w:vAlign w:val="bottom"/>
            <w:gridSpan w:val="2"/>
          </w:tcPr>
          <w:p>
            <w:pPr>
              <w:ind w:left="20"/>
              <w:spacing w:after="0"/>
              <w:rPr>
                <w:sz w:val="20"/>
                <w:szCs w:val="20"/>
                <w:color w:val="auto"/>
              </w:rPr>
            </w:pPr>
            <w:r>
              <w:rPr>
                <w:rFonts w:ascii="Arial" w:cs="Arial" w:eastAsia="Arial" w:hAnsi="Arial"/>
                <w:sz w:val="18"/>
                <w:szCs w:val="18"/>
                <w:color w:val="auto"/>
              </w:rPr>
              <w:t>Current assets:</w:t>
            </w: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440" w:type="dxa"/>
            <w:vAlign w:val="bottom"/>
            <w:gridSpan w:val="2"/>
            <w:shd w:val="clear" w:color="auto" w:fill="DBDBDB"/>
          </w:tcPr>
          <w:p>
            <w:pPr>
              <w:ind w:left="140"/>
              <w:spacing w:after="0"/>
              <w:rPr>
                <w:sz w:val="20"/>
                <w:szCs w:val="20"/>
                <w:color w:val="auto"/>
              </w:rPr>
            </w:pPr>
            <w:r>
              <w:rPr>
                <w:rFonts w:ascii="Arial" w:cs="Arial" w:eastAsia="Arial" w:hAnsi="Arial"/>
                <w:sz w:val="18"/>
                <w:szCs w:val="18"/>
                <w:color w:val="auto"/>
              </w:rPr>
              <w:t>Cash and cash equivalents</w:t>
            </w:r>
          </w:p>
        </w:tc>
        <w:tc>
          <w:tcPr>
            <w:tcW w:w="220" w:type="dxa"/>
            <w:vAlign w:val="bottom"/>
            <w:shd w:val="clear" w:color="auto" w:fill="DBDBDB"/>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1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3,549</w:t>
            </w:r>
          </w:p>
        </w:tc>
        <w:tc>
          <w:tcPr>
            <w:tcW w:w="100" w:type="dxa"/>
            <w:vAlign w:val="bottom"/>
            <w:shd w:val="clear" w:color="auto" w:fill="DBDBDB"/>
          </w:tcPr>
          <w:p>
            <w:pPr>
              <w:spacing w:after="0"/>
              <w:rPr>
                <w:sz w:val="19"/>
                <w:szCs w:val="19"/>
                <w:color w:val="auto"/>
              </w:rPr>
            </w:pPr>
          </w:p>
        </w:tc>
        <w:tc>
          <w:tcPr>
            <w:tcW w:w="18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3,225</w:t>
            </w:r>
          </w:p>
        </w:tc>
        <w:tc>
          <w:tcPr>
            <w:tcW w:w="0" w:type="dxa"/>
            <w:vAlign w:val="bottom"/>
          </w:tcPr>
          <w:p>
            <w:pPr>
              <w:spacing w:after="0"/>
              <w:rPr>
                <w:sz w:val="1"/>
                <w:szCs w:val="1"/>
                <w:color w:val="auto"/>
              </w:rPr>
            </w:pPr>
          </w:p>
        </w:tc>
      </w:tr>
      <w:tr>
        <w:trPr>
          <w:trHeight w:val="230"/>
        </w:trPr>
        <w:tc>
          <w:tcPr>
            <w:tcW w:w="8440" w:type="dxa"/>
            <w:vAlign w:val="bottom"/>
            <w:gridSpan w:val="2"/>
          </w:tcPr>
          <w:p>
            <w:pPr>
              <w:ind w:left="140"/>
              <w:spacing w:after="0"/>
              <w:rPr>
                <w:sz w:val="20"/>
                <w:szCs w:val="20"/>
                <w:color w:val="auto"/>
              </w:rPr>
            </w:pPr>
            <w:r>
              <w:rPr>
                <w:rFonts w:ascii="Arial" w:cs="Arial" w:eastAsia="Arial" w:hAnsi="Arial"/>
                <w:sz w:val="18"/>
                <w:szCs w:val="18"/>
                <w:color w:val="auto"/>
              </w:rPr>
              <w:t>Short-term investments</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1,554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1,656</w:t>
            </w:r>
          </w:p>
        </w:tc>
        <w:tc>
          <w:tcPr>
            <w:tcW w:w="0" w:type="dxa"/>
            <w:vAlign w:val="bottom"/>
          </w:tcPr>
          <w:p>
            <w:pPr>
              <w:spacing w:after="0"/>
              <w:rPr>
                <w:sz w:val="1"/>
                <w:szCs w:val="1"/>
                <w:color w:val="auto"/>
              </w:rPr>
            </w:pPr>
          </w:p>
        </w:tc>
      </w:tr>
      <w:tr>
        <w:trPr>
          <w:trHeight w:val="229"/>
        </w:trPr>
        <w:tc>
          <w:tcPr>
            <w:tcW w:w="8440" w:type="dxa"/>
            <w:vAlign w:val="bottom"/>
            <w:gridSpan w:val="2"/>
            <w:shd w:val="clear" w:color="auto" w:fill="DBDBDB"/>
          </w:tcPr>
          <w:p>
            <w:pPr>
              <w:ind w:left="140"/>
              <w:spacing w:after="0"/>
              <w:rPr>
                <w:sz w:val="20"/>
                <w:szCs w:val="20"/>
                <w:color w:val="auto"/>
              </w:rPr>
            </w:pPr>
            <w:r>
              <w:rPr>
                <w:rFonts w:ascii="Arial" w:cs="Arial" w:eastAsia="Arial" w:hAnsi="Arial"/>
                <w:sz w:val="18"/>
                <w:szCs w:val="18"/>
                <w:color w:val="auto"/>
              </w:rPr>
              <w:t>Accounts receivable, net of allowances of ($32) and ($22)</w:t>
            </w:r>
          </w:p>
        </w:tc>
        <w:tc>
          <w:tcPr>
            <w:tcW w:w="220" w:type="dxa"/>
            <w:vAlign w:val="bottom"/>
            <w:shd w:val="clear" w:color="auto" w:fill="DBDBDB"/>
          </w:tcPr>
          <w:p>
            <w:pPr>
              <w:spacing w:after="0"/>
              <w:rPr>
                <w:sz w:val="19"/>
                <w:szCs w:val="19"/>
                <w:color w:val="auto"/>
              </w:rPr>
            </w:pPr>
          </w:p>
        </w:tc>
        <w:tc>
          <w:tcPr>
            <w:tcW w:w="11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2,245</w:t>
            </w:r>
          </w:p>
        </w:tc>
        <w:tc>
          <w:tcPr>
            <w:tcW w:w="10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1,963</w:t>
            </w:r>
          </w:p>
        </w:tc>
        <w:tc>
          <w:tcPr>
            <w:tcW w:w="0" w:type="dxa"/>
            <w:vAlign w:val="bottom"/>
          </w:tcPr>
          <w:p>
            <w:pPr>
              <w:spacing w:after="0"/>
              <w:rPr>
                <w:sz w:val="1"/>
                <w:szCs w:val="1"/>
                <w:color w:val="auto"/>
              </w:rPr>
            </w:pPr>
          </w:p>
        </w:tc>
      </w:tr>
      <w:tr>
        <w:trPr>
          <w:trHeight w:val="229"/>
        </w:trPr>
        <w:tc>
          <w:tcPr>
            <w:tcW w:w="8440" w:type="dxa"/>
            <w:vAlign w:val="bottom"/>
            <w:gridSpan w:val="2"/>
          </w:tcPr>
          <w:p>
            <w:pPr>
              <w:ind w:left="220"/>
              <w:spacing w:after="0"/>
              <w:rPr>
                <w:sz w:val="20"/>
                <w:szCs w:val="20"/>
                <w:color w:val="auto"/>
              </w:rPr>
            </w:pPr>
            <w:r>
              <w:rPr>
                <w:rFonts w:ascii="Arial" w:cs="Arial" w:eastAsia="Arial" w:hAnsi="Arial"/>
                <w:sz w:val="18"/>
                <w:szCs w:val="18"/>
                <w:color w:val="auto"/>
              </w:rPr>
              <w:t>Raw materials</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463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465</w:t>
            </w:r>
          </w:p>
        </w:tc>
        <w:tc>
          <w:tcPr>
            <w:tcW w:w="0" w:type="dxa"/>
            <w:vAlign w:val="bottom"/>
          </w:tcPr>
          <w:p>
            <w:pPr>
              <w:spacing w:after="0"/>
              <w:rPr>
                <w:sz w:val="1"/>
                <w:szCs w:val="1"/>
                <w:color w:val="auto"/>
              </w:rPr>
            </w:pPr>
          </w:p>
        </w:tc>
      </w:tr>
      <w:tr>
        <w:trPr>
          <w:trHeight w:val="230"/>
        </w:trPr>
        <w:tc>
          <w:tcPr>
            <w:tcW w:w="8440" w:type="dxa"/>
            <w:vAlign w:val="bottom"/>
            <w:gridSpan w:val="2"/>
            <w:shd w:val="clear" w:color="auto" w:fill="DBDBDB"/>
          </w:tcPr>
          <w:p>
            <w:pPr>
              <w:ind w:left="220"/>
              <w:spacing w:after="0"/>
              <w:rPr>
                <w:sz w:val="20"/>
                <w:szCs w:val="20"/>
                <w:color w:val="auto"/>
              </w:rPr>
            </w:pPr>
            <w:r>
              <w:rPr>
                <w:rFonts w:ascii="Arial" w:cs="Arial" w:eastAsia="Arial" w:hAnsi="Arial"/>
                <w:sz w:val="18"/>
                <w:szCs w:val="18"/>
                <w:color w:val="auto"/>
              </w:rPr>
              <w:t>Work in process</w:t>
            </w:r>
          </w:p>
        </w:tc>
        <w:tc>
          <w:tcPr>
            <w:tcW w:w="220" w:type="dxa"/>
            <w:vAlign w:val="bottom"/>
            <w:shd w:val="clear" w:color="auto" w:fill="DBDBDB"/>
          </w:tcPr>
          <w:p>
            <w:pPr>
              <w:spacing w:after="0"/>
              <w:rPr>
                <w:sz w:val="19"/>
                <w:szCs w:val="19"/>
                <w:color w:val="auto"/>
              </w:rPr>
            </w:pPr>
          </w:p>
        </w:tc>
        <w:tc>
          <w:tcPr>
            <w:tcW w:w="11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2,355</w:t>
            </w:r>
          </w:p>
        </w:tc>
        <w:tc>
          <w:tcPr>
            <w:tcW w:w="10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2,372</w:t>
            </w:r>
          </w:p>
        </w:tc>
        <w:tc>
          <w:tcPr>
            <w:tcW w:w="0" w:type="dxa"/>
            <w:vAlign w:val="bottom"/>
          </w:tcPr>
          <w:p>
            <w:pPr>
              <w:spacing w:after="0"/>
              <w:rPr>
                <w:sz w:val="1"/>
                <w:szCs w:val="1"/>
                <w:color w:val="auto"/>
              </w:rPr>
            </w:pPr>
          </w:p>
        </w:tc>
      </w:tr>
      <w:tr>
        <w:trPr>
          <w:trHeight w:val="229"/>
        </w:trPr>
        <w:tc>
          <w:tcPr>
            <w:tcW w:w="8440" w:type="dxa"/>
            <w:vAlign w:val="bottom"/>
            <w:tcBorders>
              <w:bottom w:val="single" w:sz="8" w:color="DBDBDB"/>
            </w:tcBorders>
            <w:gridSpan w:val="2"/>
          </w:tcPr>
          <w:p>
            <w:pPr>
              <w:ind w:left="220"/>
              <w:spacing w:after="0"/>
              <w:rPr>
                <w:sz w:val="20"/>
                <w:szCs w:val="20"/>
                <w:color w:val="auto"/>
              </w:rPr>
            </w:pPr>
            <w:r>
              <w:rPr>
                <w:rFonts w:ascii="Arial" w:cs="Arial" w:eastAsia="Arial" w:hAnsi="Arial"/>
                <w:sz w:val="18"/>
                <w:szCs w:val="18"/>
                <w:color w:val="auto"/>
              </w:rPr>
              <w:t>Finished goods</w:t>
            </w: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1,877</w:t>
            </w:r>
          </w:p>
        </w:tc>
        <w:tc>
          <w:tcPr>
            <w:tcW w:w="100" w:type="dxa"/>
            <w:vAlign w:val="bottom"/>
            <w:tcBorders>
              <w:bottom w:val="single" w:sz="8" w:color="DBDBDB"/>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1,967</w:t>
            </w:r>
          </w:p>
        </w:tc>
        <w:tc>
          <w:tcPr>
            <w:tcW w:w="0" w:type="dxa"/>
            <w:vAlign w:val="bottom"/>
          </w:tcPr>
          <w:p>
            <w:pPr>
              <w:spacing w:after="0"/>
              <w:rPr>
                <w:sz w:val="1"/>
                <w:szCs w:val="1"/>
                <w:color w:val="auto"/>
              </w:rPr>
            </w:pPr>
          </w:p>
        </w:tc>
      </w:tr>
      <w:tr>
        <w:trPr>
          <w:trHeight w:val="223"/>
        </w:trPr>
        <w:tc>
          <w:tcPr>
            <w:tcW w:w="8440" w:type="dxa"/>
            <w:vAlign w:val="bottom"/>
            <w:gridSpan w:val="2"/>
            <w:shd w:val="clear" w:color="auto" w:fill="DBDBDB"/>
          </w:tcPr>
          <w:p>
            <w:pPr>
              <w:ind w:left="140"/>
              <w:spacing w:after="0"/>
              <w:rPr>
                <w:sz w:val="20"/>
                <w:szCs w:val="20"/>
                <w:color w:val="auto"/>
              </w:rPr>
            </w:pPr>
            <w:r>
              <w:rPr>
                <w:rFonts w:ascii="Arial" w:cs="Arial" w:eastAsia="Arial" w:hAnsi="Arial"/>
                <w:sz w:val="18"/>
                <w:szCs w:val="18"/>
                <w:color w:val="auto"/>
              </w:rPr>
              <w:t>Inventories</w:t>
            </w:r>
          </w:p>
        </w:tc>
        <w:tc>
          <w:tcPr>
            <w:tcW w:w="220" w:type="dxa"/>
            <w:vAlign w:val="bottom"/>
            <w:shd w:val="clear" w:color="auto" w:fill="DBDBDB"/>
          </w:tcPr>
          <w:p>
            <w:pPr>
              <w:spacing w:after="0"/>
              <w:rPr>
                <w:sz w:val="19"/>
                <w:szCs w:val="19"/>
                <w:color w:val="auto"/>
              </w:rPr>
            </w:pPr>
          </w:p>
        </w:tc>
        <w:tc>
          <w:tcPr>
            <w:tcW w:w="11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4,695</w:t>
            </w:r>
          </w:p>
        </w:tc>
        <w:tc>
          <w:tcPr>
            <w:tcW w:w="10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4,804</w:t>
            </w:r>
          </w:p>
        </w:tc>
        <w:tc>
          <w:tcPr>
            <w:tcW w:w="0" w:type="dxa"/>
            <w:vAlign w:val="bottom"/>
          </w:tcPr>
          <w:p>
            <w:pPr>
              <w:spacing w:after="0"/>
              <w:rPr>
                <w:sz w:val="1"/>
                <w:szCs w:val="1"/>
                <w:color w:val="auto"/>
              </w:rPr>
            </w:pPr>
          </w:p>
        </w:tc>
      </w:tr>
      <w:tr>
        <w:trPr>
          <w:trHeight w:val="229"/>
        </w:trPr>
        <w:tc>
          <w:tcPr>
            <w:tcW w:w="8440" w:type="dxa"/>
            <w:vAlign w:val="bottom"/>
            <w:tcBorders>
              <w:bottom w:val="single" w:sz="8" w:color="DBDBDB"/>
            </w:tcBorders>
            <w:gridSpan w:val="2"/>
          </w:tcPr>
          <w:p>
            <w:pPr>
              <w:ind w:left="140"/>
              <w:spacing w:after="0"/>
              <w:rPr>
                <w:sz w:val="20"/>
                <w:szCs w:val="20"/>
                <w:color w:val="auto"/>
              </w:rPr>
            </w:pPr>
            <w:r>
              <w:rPr>
                <w:rFonts w:ascii="Arial" w:cs="Arial" w:eastAsia="Arial" w:hAnsi="Arial"/>
                <w:sz w:val="18"/>
                <w:szCs w:val="18"/>
                <w:color w:val="auto"/>
              </w:rPr>
              <w:t>Prepaid expenses and other current assets</w:t>
            </w: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1,753</w:t>
            </w:r>
          </w:p>
        </w:tc>
        <w:tc>
          <w:tcPr>
            <w:tcW w:w="100" w:type="dxa"/>
            <w:vAlign w:val="bottom"/>
            <w:tcBorders>
              <w:bottom w:val="single" w:sz="8" w:color="DBDBDB"/>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2,102</w:t>
            </w:r>
          </w:p>
        </w:tc>
        <w:tc>
          <w:tcPr>
            <w:tcW w:w="0" w:type="dxa"/>
            <w:vAlign w:val="bottom"/>
          </w:tcPr>
          <w:p>
            <w:pPr>
              <w:spacing w:after="0"/>
              <w:rPr>
                <w:sz w:val="1"/>
                <w:szCs w:val="1"/>
                <w:color w:val="auto"/>
              </w:rPr>
            </w:pPr>
          </w:p>
        </w:tc>
      </w:tr>
      <w:tr>
        <w:trPr>
          <w:trHeight w:val="223"/>
        </w:trPr>
        <w:tc>
          <w:tcPr>
            <w:tcW w:w="8440" w:type="dxa"/>
            <w:vAlign w:val="bottom"/>
            <w:gridSpan w:val="2"/>
            <w:shd w:val="clear" w:color="auto" w:fill="DBDBDB"/>
          </w:tcPr>
          <w:p>
            <w:pPr>
              <w:ind w:left="140"/>
              <w:spacing w:after="0"/>
              <w:rPr>
                <w:sz w:val="20"/>
                <w:szCs w:val="20"/>
                <w:color w:val="auto"/>
              </w:rPr>
            </w:pPr>
            <w:r>
              <w:rPr>
                <w:rFonts w:ascii="Arial" w:cs="Arial" w:eastAsia="Arial" w:hAnsi="Arial"/>
                <w:sz w:val="18"/>
                <w:szCs w:val="18"/>
                <w:color w:val="auto"/>
              </w:rPr>
              <w:t>Total current assets</w:t>
            </w:r>
          </w:p>
        </w:tc>
        <w:tc>
          <w:tcPr>
            <w:tcW w:w="220" w:type="dxa"/>
            <w:vAlign w:val="bottom"/>
            <w:tcBorders>
              <w:bottom w:val="single" w:sz="8" w:color="auto"/>
            </w:tcBorders>
            <w:shd w:val="clear" w:color="auto" w:fill="DBDBDB"/>
          </w:tcPr>
          <w:p>
            <w:pPr>
              <w:spacing w:after="0"/>
              <w:rPr>
                <w:sz w:val="19"/>
                <w:szCs w:val="19"/>
                <w:color w:val="auto"/>
              </w:rPr>
            </w:pPr>
          </w:p>
        </w:tc>
        <w:tc>
          <w:tcPr>
            <w:tcW w:w="11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13,796</w:t>
            </w:r>
          </w:p>
        </w:tc>
        <w:tc>
          <w:tcPr>
            <w:tcW w:w="100" w:type="dxa"/>
            <w:vAlign w:val="bottom"/>
            <w:shd w:val="clear" w:color="auto" w:fill="DBDBDB"/>
          </w:tcPr>
          <w:p>
            <w:pPr>
              <w:spacing w:after="0"/>
              <w:rPr>
                <w:sz w:val="19"/>
                <w:szCs w:val="19"/>
                <w:color w:val="auto"/>
              </w:rPr>
            </w:pPr>
          </w:p>
        </w:tc>
        <w:tc>
          <w:tcPr>
            <w:tcW w:w="180" w:type="dxa"/>
            <w:vAlign w:val="bottom"/>
            <w:tcBorders>
              <w:bottom w:val="single" w:sz="8" w:color="auto"/>
            </w:tcBorders>
            <w:shd w:val="clear" w:color="auto" w:fill="DBDBDB"/>
          </w:tcPr>
          <w:p>
            <w:pPr>
              <w:spacing w:after="0"/>
              <w:rPr>
                <w:sz w:val="19"/>
                <w:szCs w:val="19"/>
                <w:color w:val="auto"/>
              </w:rPr>
            </w:pPr>
          </w:p>
        </w:tc>
        <w:tc>
          <w:tcPr>
            <w:tcW w:w="11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13,750</w:t>
            </w:r>
          </w:p>
        </w:tc>
        <w:tc>
          <w:tcPr>
            <w:tcW w:w="0" w:type="dxa"/>
            <w:vAlign w:val="bottom"/>
          </w:tcPr>
          <w:p>
            <w:pPr>
              <w:spacing w:after="0"/>
              <w:rPr>
                <w:sz w:val="1"/>
                <w:szCs w:val="1"/>
                <w:color w:val="auto"/>
              </w:rPr>
            </w:pPr>
          </w:p>
        </w:tc>
      </w:tr>
      <w:tr>
        <w:trPr>
          <w:trHeight w:val="223"/>
        </w:trPr>
        <w:tc>
          <w:tcPr>
            <w:tcW w:w="8440" w:type="dxa"/>
            <w:vAlign w:val="bottom"/>
            <w:gridSpan w:val="2"/>
          </w:tcPr>
          <w:p>
            <w:pPr>
              <w:ind w:left="20"/>
              <w:spacing w:after="0"/>
              <w:rPr>
                <w:sz w:val="20"/>
                <w:szCs w:val="20"/>
                <w:color w:val="auto"/>
              </w:rPr>
            </w:pPr>
            <w:r>
              <w:rPr>
                <w:rFonts w:ascii="Arial" w:cs="Arial" w:eastAsia="Arial" w:hAnsi="Arial"/>
                <w:sz w:val="18"/>
                <w:szCs w:val="18"/>
                <w:color w:val="auto"/>
              </w:rPr>
              <w:t>Property, plant and equipment at cost</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17,870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17,682</w:t>
            </w:r>
          </w:p>
        </w:tc>
        <w:tc>
          <w:tcPr>
            <w:tcW w:w="0" w:type="dxa"/>
            <w:vAlign w:val="bottom"/>
          </w:tcPr>
          <w:p>
            <w:pPr>
              <w:spacing w:after="0"/>
              <w:rPr>
                <w:sz w:val="1"/>
                <w:szCs w:val="1"/>
                <w:color w:val="auto"/>
              </w:rPr>
            </w:pPr>
          </w:p>
        </w:tc>
      </w:tr>
      <w:tr>
        <w:trPr>
          <w:trHeight w:val="230"/>
        </w:trPr>
        <w:tc>
          <w:tcPr>
            <w:tcW w:w="8440" w:type="dxa"/>
            <w:vAlign w:val="bottom"/>
            <w:gridSpan w:val="2"/>
            <w:shd w:val="clear" w:color="auto" w:fill="DBDBDB"/>
          </w:tcPr>
          <w:p>
            <w:pPr>
              <w:ind w:left="140"/>
              <w:spacing w:after="0"/>
              <w:rPr>
                <w:sz w:val="20"/>
                <w:szCs w:val="20"/>
                <w:color w:val="auto"/>
              </w:rPr>
            </w:pPr>
            <w:r>
              <w:rPr>
                <w:rFonts w:ascii="Arial" w:cs="Arial" w:eastAsia="Arial" w:hAnsi="Arial"/>
                <w:sz w:val="18"/>
                <w:szCs w:val="18"/>
                <w:color w:val="auto"/>
              </w:rPr>
              <w:t>Accumulated depreciation</w:t>
            </w:r>
          </w:p>
        </w:tc>
        <w:tc>
          <w:tcPr>
            <w:tcW w:w="220" w:type="dxa"/>
            <w:vAlign w:val="bottom"/>
            <w:tcBorders>
              <w:bottom w:val="single" w:sz="8" w:color="auto"/>
            </w:tcBorders>
            <w:shd w:val="clear" w:color="auto" w:fill="DBDBDB"/>
          </w:tcPr>
          <w:p>
            <w:pPr>
              <w:spacing w:after="0"/>
              <w:rPr>
                <w:sz w:val="19"/>
                <w:szCs w:val="19"/>
                <w:color w:val="auto"/>
              </w:rPr>
            </w:pPr>
          </w:p>
        </w:tc>
        <w:tc>
          <w:tcPr>
            <w:tcW w:w="11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(5,725)</w:t>
            </w:r>
          </w:p>
        </w:tc>
        <w:tc>
          <w:tcPr>
            <w:tcW w:w="100" w:type="dxa"/>
            <w:vAlign w:val="bottom"/>
            <w:shd w:val="clear" w:color="auto" w:fill="DBDBDB"/>
          </w:tcPr>
          <w:p>
            <w:pPr>
              <w:spacing w:after="0"/>
              <w:rPr>
                <w:sz w:val="19"/>
                <w:szCs w:val="19"/>
                <w:color w:val="auto"/>
              </w:rPr>
            </w:pPr>
          </w:p>
        </w:tc>
        <w:tc>
          <w:tcPr>
            <w:tcW w:w="180" w:type="dxa"/>
            <w:vAlign w:val="bottom"/>
            <w:tcBorders>
              <w:bottom w:val="single" w:sz="8" w:color="auto"/>
            </w:tcBorders>
            <w:shd w:val="clear" w:color="auto" w:fill="DBDBDB"/>
          </w:tcPr>
          <w:p>
            <w:pPr>
              <w:spacing w:after="0"/>
              <w:rPr>
                <w:sz w:val="19"/>
                <w:szCs w:val="19"/>
                <w:color w:val="auto"/>
              </w:rPr>
            </w:pPr>
          </w:p>
        </w:tc>
        <w:tc>
          <w:tcPr>
            <w:tcW w:w="11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(5,362)</w:t>
            </w:r>
          </w:p>
        </w:tc>
        <w:tc>
          <w:tcPr>
            <w:tcW w:w="0" w:type="dxa"/>
            <w:vAlign w:val="bottom"/>
          </w:tcPr>
          <w:p>
            <w:pPr>
              <w:spacing w:after="0"/>
              <w:rPr>
                <w:sz w:val="1"/>
                <w:szCs w:val="1"/>
                <w:color w:val="auto"/>
              </w:rPr>
            </w:pPr>
          </w:p>
        </w:tc>
      </w:tr>
      <w:tr>
        <w:trPr>
          <w:trHeight w:val="223"/>
        </w:trPr>
        <w:tc>
          <w:tcPr>
            <w:tcW w:w="8440" w:type="dxa"/>
            <w:vAlign w:val="bottom"/>
            <w:gridSpan w:val="2"/>
          </w:tcPr>
          <w:p>
            <w:pPr>
              <w:ind w:left="140"/>
              <w:spacing w:after="0"/>
              <w:rPr>
                <w:sz w:val="20"/>
                <w:szCs w:val="20"/>
                <w:color w:val="auto"/>
              </w:rPr>
            </w:pPr>
            <w:r>
              <w:rPr>
                <w:rFonts w:ascii="Arial" w:cs="Arial" w:eastAsia="Arial" w:hAnsi="Arial"/>
                <w:sz w:val="18"/>
                <w:szCs w:val="18"/>
                <w:color w:val="auto"/>
              </w:rPr>
              <w:t>Property, plant and equipment</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12,145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12,320</w:t>
            </w:r>
          </w:p>
        </w:tc>
        <w:tc>
          <w:tcPr>
            <w:tcW w:w="0" w:type="dxa"/>
            <w:vAlign w:val="bottom"/>
          </w:tcPr>
          <w:p>
            <w:pPr>
              <w:spacing w:after="0"/>
              <w:rPr>
                <w:sz w:val="1"/>
                <w:szCs w:val="1"/>
                <w:color w:val="auto"/>
              </w:rPr>
            </w:pPr>
          </w:p>
        </w:tc>
      </w:tr>
      <w:tr>
        <w:trPr>
          <w:trHeight w:val="230"/>
        </w:trPr>
        <w:tc>
          <w:tcPr>
            <w:tcW w:w="844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Goodwill</w:t>
            </w:r>
          </w:p>
        </w:tc>
        <w:tc>
          <w:tcPr>
            <w:tcW w:w="220" w:type="dxa"/>
            <w:vAlign w:val="bottom"/>
            <w:shd w:val="clear" w:color="auto" w:fill="DBDBDB"/>
          </w:tcPr>
          <w:p>
            <w:pPr>
              <w:spacing w:after="0"/>
              <w:rPr>
                <w:sz w:val="19"/>
                <w:szCs w:val="19"/>
                <w:color w:val="auto"/>
              </w:rPr>
            </w:pPr>
          </w:p>
        </w:tc>
        <w:tc>
          <w:tcPr>
            <w:tcW w:w="11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4,330</w:t>
            </w:r>
          </w:p>
        </w:tc>
        <w:tc>
          <w:tcPr>
            <w:tcW w:w="10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4,330</w:t>
            </w:r>
          </w:p>
        </w:tc>
        <w:tc>
          <w:tcPr>
            <w:tcW w:w="0" w:type="dxa"/>
            <w:vAlign w:val="bottom"/>
          </w:tcPr>
          <w:p>
            <w:pPr>
              <w:spacing w:after="0"/>
              <w:rPr>
                <w:sz w:val="1"/>
                <w:szCs w:val="1"/>
                <w:color w:val="auto"/>
              </w:rPr>
            </w:pPr>
          </w:p>
        </w:tc>
      </w:tr>
      <w:tr>
        <w:trPr>
          <w:trHeight w:val="229"/>
        </w:trPr>
        <w:tc>
          <w:tcPr>
            <w:tcW w:w="8440" w:type="dxa"/>
            <w:vAlign w:val="bottom"/>
            <w:gridSpan w:val="2"/>
          </w:tcPr>
          <w:p>
            <w:pPr>
              <w:ind w:left="20"/>
              <w:spacing w:after="0"/>
              <w:rPr>
                <w:sz w:val="20"/>
                <w:szCs w:val="20"/>
                <w:color w:val="auto"/>
              </w:rPr>
            </w:pPr>
            <w:r>
              <w:rPr>
                <w:rFonts w:ascii="Arial" w:cs="Arial" w:eastAsia="Arial" w:hAnsi="Arial"/>
                <w:sz w:val="18"/>
                <w:szCs w:val="18"/>
                <w:color w:val="auto"/>
              </w:rPr>
              <w:t>Deferred tax assets</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973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967</w:t>
            </w:r>
          </w:p>
        </w:tc>
        <w:tc>
          <w:tcPr>
            <w:tcW w:w="0" w:type="dxa"/>
            <w:vAlign w:val="bottom"/>
          </w:tcPr>
          <w:p>
            <w:pPr>
              <w:spacing w:after="0"/>
              <w:rPr>
                <w:sz w:val="1"/>
                <w:szCs w:val="1"/>
                <w:color w:val="auto"/>
              </w:rPr>
            </w:pPr>
          </w:p>
        </w:tc>
      </w:tr>
      <w:tr>
        <w:trPr>
          <w:trHeight w:val="229"/>
        </w:trPr>
        <w:tc>
          <w:tcPr>
            <w:tcW w:w="844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Capitalized software licenses</w:t>
            </w:r>
          </w:p>
        </w:tc>
        <w:tc>
          <w:tcPr>
            <w:tcW w:w="220" w:type="dxa"/>
            <w:vAlign w:val="bottom"/>
            <w:shd w:val="clear" w:color="auto" w:fill="DBDBDB"/>
          </w:tcPr>
          <w:p>
            <w:pPr>
              <w:spacing w:after="0"/>
              <w:rPr>
                <w:sz w:val="19"/>
                <w:szCs w:val="19"/>
                <w:color w:val="auto"/>
              </w:rPr>
            </w:pPr>
          </w:p>
        </w:tc>
        <w:tc>
          <w:tcPr>
            <w:tcW w:w="11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323</w:t>
            </w:r>
          </w:p>
        </w:tc>
        <w:tc>
          <w:tcPr>
            <w:tcW w:w="10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238</w:t>
            </w:r>
          </w:p>
        </w:tc>
        <w:tc>
          <w:tcPr>
            <w:tcW w:w="0" w:type="dxa"/>
            <w:vAlign w:val="bottom"/>
          </w:tcPr>
          <w:p>
            <w:pPr>
              <w:spacing w:after="0"/>
              <w:rPr>
                <w:sz w:val="1"/>
                <w:szCs w:val="1"/>
                <w:color w:val="auto"/>
              </w:rPr>
            </w:pPr>
          </w:p>
        </w:tc>
      </w:tr>
      <w:tr>
        <w:trPr>
          <w:trHeight w:val="230"/>
        </w:trPr>
        <w:tc>
          <w:tcPr>
            <w:tcW w:w="8440" w:type="dxa"/>
            <w:vAlign w:val="bottom"/>
            <w:gridSpan w:val="2"/>
          </w:tcPr>
          <w:p>
            <w:pPr>
              <w:ind w:left="20"/>
              <w:spacing w:after="0"/>
              <w:rPr>
                <w:sz w:val="20"/>
                <w:szCs w:val="20"/>
                <w:color w:val="auto"/>
              </w:rPr>
            </w:pPr>
            <w:r>
              <w:rPr>
                <w:rFonts w:ascii="Arial" w:cs="Arial" w:eastAsia="Arial" w:hAnsi="Arial"/>
                <w:sz w:val="18"/>
                <w:szCs w:val="18"/>
                <w:color w:val="auto"/>
              </w:rPr>
              <w:t>Overfunded retirement plans</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321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324</w:t>
            </w:r>
          </w:p>
        </w:tc>
        <w:tc>
          <w:tcPr>
            <w:tcW w:w="0" w:type="dxa"/>
            <w:vAlign w:val="bottom"/>
          </w:tcPr>
          <w:p>
            <w:pPr>
              <w:spacing w:after="0"/>
              <w:rPr>
                <w:sz w:val="1"/>
                <w:szCs w:val="1"/>
                <w:color w:val="auto"/>
              </w:rPr>
            </w:pPr>
          </w:p>
        </w:tc>
      </w:tr>
      <w:tr>
        <w:trPr>
          <w:trHeight w:val="229"/>
        </w:trPr>
        <w:tc>
          <w:tcPr>
            <w:tcW w:w="844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Other long-term assets</w:t>
            </w:r>
          </w:p>
        </w:tc>
        <w:tc>
          <w:tcPr>
            <w:tcW w:w="220" w:type="dxa"/>
            <w:vAlign w:val="bottom"/>
            <w:tcBorders>
              <w:bottom w:val="single" w:sz="8" w:color="auto"/>
            </w:tcBorders>
            <w:shd w:val="clear" w:color="auto" w:fill="DBDBDB"/>
          </w:tcPr>
          <w:p>
            <w:pPr>
              <w:spacing w:after="0"/>
              <w:rPr>
                <w:sz w:val="19"/>
                <w:szCs w:val="19"/>
                <w:color w:val="auto"/>
              </w:rPr>
            </w:pPr>
          </w:p>
        </w:tc>
        <w:tc>
          <w:tcPr>
            <w:tcW w:w="11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2,505</w:t>
            </w:r>
          </w:p>
        </w:tc>
        <w:tc>
          <w:tcPr>
            <w:tcW w:w="100" w:type="dxa"/>
            <w:vAlign w:val="bottom"/>
            <w:shd w:val="clear" w:color="auto" w:fill="DBDBDB"/>
          </w:tcPr>
          <w:p>
            <w:pPr>
              <w:spacing w:after="0"/>
              <w:rPr>
                <w:sz w:val="19"/>
                <w:szCs w:val="19"/>
                <w:color w:val="auto"/>
              </w:rPr>
            </w:pPr>
          </w:p>
        </w:tc>
        <w:tc>
          <w:tcPr>
            <w:tcW w:w="180" w:type="dxa"/>
            <w:vAlign w:val="bottom"/>
            <w:tcBorders>
              <w:bottom w:val="single" w:sz="8" w:color="auto"/>
            </w:tcBorders>
            <w:shd w:val="clear" w:color="auto" w:fill="DBDBDB"/>
          </w:tcPr>
          <w:p>
            <w:pPr>
              <w:spacing w:after="0"/>
              <w:rPr>
                <w:sz w:val="19"/>
                <w:szCs w:val="19"/>
                <w:color w:val="auto"/>
              </w:rPr>
            </w:pPr>
          </w:p>
        </w:tc>
        <w:tc>
          <w:tcPr>
            <w:tcW w:w="11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2,656</w:t>
            </w:r>
          </w:p>
        </w:tc>
        <w:tc>
          <w:tcPr>
            <w:tcW w:w="0" w:type="dxa"/>
            <w:vAlign w:val="bottom"/>
          </w:tcPr>
          <w:p>
            <w:pPr>
              <w:spacing w:after="0"/>
              <w:rPr>
                <w:sz w:val="1"/>
                <w:szCs w:val="1"/>
                <w:color w:val="auto"/>
              </w:rPr>
            </w:pPr>
          </w:p>
        </w:tc>
      </w:tr>
      <w:tr>
        <w:trPr>
          <w:trHeight w:val="223"/>
        </w:trPr>
        <w:tc>
          <w:tcPr>
            <w:tcW w:w="8440" w:type="dxa"/>
            <w:vAlign w:val="bottom"/>
            <w:gridSpan w:val="2"/>
          </w:tcPr>
          <w:p>
            <w:pPr>
              <w:ind w:left="20"/>
              <w:spacing w:after="0"/>
              <w:rPr>
                <w:sz w:val="20"/>
                <w:szCs w:val="20"/>
                <w:color w:val="auto"/>
              </w:rPr>
            </w:pPr>
            <w:r>
              <w:rPr>
                <w:rFonts w:ascii="Arial" w:cs="Arial" w:eastAsia="Arial" w:hAnsi="Arial"/>
                <w:sz w:val="18"/>
                <w:szCs w:val="18"/>
                <w:color w:val="auto"/>
              </w:rPr>
              <w:t>Total assets</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34,393</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34,585</w:t>
            </w:r>
          </w:p>
        </w:tc>
        <w:tc>
          <w:tcPr>
            <w:tcW w:w="0" w:type="dxa"/>
            <w:vAlign w:val="bottom"/>
          </w:tcPr>
          <w:p>
            <w:pPr>
              <w:spacing w:after="0"/>
              <w:rPr>
                <w:sz w:val="1"/>
                <w:szCs w:val="1"/>
                <w:color w:val="auto"/>
              </w:rPr>
            </w:pPr>
          </w:p>
        </w:tc>
      </w:tr>
      <w:tr>
        <w:trPr>
          <w:trHeight w:val="20"/>
        </w:trPr>
        <w:tc>
          <w:tcPr>
            <w:tcW w:w="8320" w:type="dxa"/>
            <w:vAlign w:val="bottom"/>
            <w:tcBorders>
              <w:bottom w:val="single" w:sz="8" w:color="DBDBDB"/>
            </w:tcBorders>
          </w:tcPr>
          <w:p>
            <w:pPr>
              <w:spacing w:after="0" w:line="20" w:lineRule="exact"/>
              <w:rPr>
                <w:sz w:val="1"/>
                <w:szCs w:val="1"/>
                <w:color w:val="auto"/>
              </w:rPr>
            </w:pPr>
          </w:p>
        </w:tc>
        <w:tc>
          <w:tcPr>
            <w:tcW w:w="120" w:type="dxa"/>
            <w:vAlign w:val="bottom"/>
            <w:tcBorders>
              <w:bottom w:val="single" w:sz="8" w:color="DBDBDB"/>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32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220" w:type="dxa"/>
            <w:vAlign w:val="bottom"/>
            <w:shd w:val="clear" w:color="auto" w:fill="DBDBDB"/>
          </w:tcPr>
          <w:p>
            <w:pPr>
              <w:spacing w:after="0"/>
              <w:rPr>
                <w:sz w:val="19"/>
                <w:szCs w:val="19"/>
                <w:color w:val="auto"/>
              </w:rPr>
            </w:pPr>
          </w:p>
        </w:tc>
        <w:tc>
          <w:tcPr>
            <w:tcW w:w="112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18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440" w:type="dxa"/>
            <w:vAlign w:val="bottom"/>
            <w:gridSpan w:val="2"/>
          </w:tcPr>
          <w:p>
            <w:pPr>
              <w:ind w:left="20"/>
              <w:spacing w:after="0"/>
              <w:rPr>
                <w:sz w:val="20"/>
                <w:szCs w:val="20"/>
                <w:color w:val="auto"/>
              </w:rPr>
            </w:pPr>
            <w:r>
              <w:rPr>
                <w:rFonts w:ascii="Arial" w:cs="Arial" w:eastAsia="Arial" w:hAnsi="Arial"/>
                <w:sz w:val="18"/>
                <w:szCs w:val="18"/>
                <w:b w:val="1"/>
                <w:bCs w:val="1"/>
                <w:color w:val="auto"/>
              </w:rPr>
              <w:t>Liabilities and stockholders’ equity</w:t>
            </w: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44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Current liabilities:</w:t>
            </w:r>
          </w:p>
        </w:tc>
        <w:tc>
          <w:tcPr>
            <w:tcW w:w="220" w:type="dxa"/>
            <w:vAlign w:val="bottom"/>
            <w:shd w:val="clear" w:color="auto" w:fill="DBDBDB"/>
          </w:tcPr>
          <w:p>
            <w:pPr>
              <w:spacing w:after="0"/>
              <w:rPr>
                <w:sz w:val="19"/>
                <w:szCs w:val="19"/>
                <w:color w:val="auto"/>
              </w:rPr>
            </w:pPr>
          </w:p>
        </w:tc>
        <w:tc>
          <w:tcPr>
            <w:tcW w:w="112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18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440" w:type="dxa"/>
            <w:vAlign w:val="bottom"/>
            <w:gridSpan w:val="2"/>
          </w:tcPr>
          <w:p>
            <w:pPr>
              <w:ind w:left="140"/>
              <w:spacing w:after="0"/>
              <w:rPr>
                <w:sz w:val="20"/>
                <w:szCs w:val="20"/>
                <w:color w:val="auto"/>
              </w:rPr>
            </w:pPr>
            <w:r>
              <w:rPr>
                <w:rFonts w:ascii="Arial" w:cs="Arial" w:eastAsia="Arial" w:hAnsi="Arial"/>
                <w:sz w:val="18"/>
                <w:szCs w:val="18"/>
                <w:color w:val="auto"/>
              </w:rPr>
              <w:t>Current portion of long-term debt</w:t>
            </w:r>
          </w:p>
        </w:tc>
        <w:tc>
          <w:tcPr>
            <w:tcW w:w="22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1,149</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30"/>
        </w:trPr>
        <w:tc>
          <w:tcPr>
            <w:tcW w:w="8440" w:type="dxa"/>
            <w:vAlign w:val="bottom"/>
            <w:gridSpan w:val="2"/>
            <w:shd w:val="clear" w:color="auto" w:fill="DBDBDB"/>
          </w:tcPr>
          <w:p>
            <w:pPr>
              <w:ind w:left="140"/>
              <w:spacing w:after="0"/>
              <w:rPr>
                <w:sz w:val="20"/>
                <w:szCs w:val="20"/>
                <w:color w:val="auto"/>
              </w:rPr>
            </w:pPr>
            <w:r>
              <w:rPr>
                <w:rFonts w:ascii="Arial" w:cs="Arial" w:eastAsia="Arial" w:hAnsi="Arial"/>
                <w:sz w:val="18"/>
                <w:szCs w:val="18"/>
                <w:color w:val="auto"/>
              </w:rPr>
              <w:t>Accounts payable</w:t>
            </w:r>
          </w:p>
        </w:tc>
        <w:tc>
          <w:tcPr>
            <w:tcW w:w="220" w:type="dxa"/>
            <w:vAlign w:val="bottom"/>
            <w:shd w:val="clear" w:color="auto" w:fill="DBDBDB"/>
          </w:tcPr>
          <w:p>
            <w:pPr>
              <w:spacing w:after="0"/>
              <w:rPr>
                <w:sz w:val="19"/>
                <w:szCs w:val="19"/>
                <w:color w:val="auto"/>
              </w:rPr>
            </w:pPr>
          </w:p>
        </w:tc>
        <w:tc>
          <w:tcPr>
            <w:tcW w:w="11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638</w:t>
            </w:r>
          </w:p>
        </w:tc>
        <w:tc>
          <w:tcPr>
            <w:tcW w:w="10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756</w:t>
            </w:r>
          </w:p>
        </w:tc>
        <w:tc>
          <w:tcPr>
            <w:tcW w:w="0" w:type="dxa"/>
            <w:vAlign w:val="bottom"/>
          </w:tcPr>
          <w:p>
            <w:pPr>
              <w:spacing w:after="0"/>
              <w:rPr>
                <w:sz w:val="1"/>
                <w:szCs w:val="1"/>
                <w:color w:val="auto"/>
              </w:rPr>
            </w:pPr>
          </w:p>
        </w:tc>
      </w:tr>
      <w:tr>
        <w:trPr>
          <w:trHeight w:val="229"/>
        </w:trPr>
        <w:tc>
          <w:tcPr>
            <w:tcW w:w="8440" w:type="dxa"/>
            <w:vAlign w:val="bottom"/>
            <w:gridSpan w:val="2"/>
          </w:tcPr>
          <w:p>
            <w:pPr>
              <w:ind w:left="140"/>
              <w:spacing w:after="0"/>
              <w:rPr>
                <w:sz w:val="20"/>
                <w:szCs w:val="20"/>
                <w:color w:val="auto"/>
              </w:rPr>
            </w:pPr>
            <w:r>
              <w:rPr>
                <w:rFonts w:ascii="Arial" w:cs="Arial" w:eastAsia="Arial" w:hAnsi="Arial"/>
                <w:sz w:val="18"/>
                <w:szCs w:val="18"/>
                <w:color w:val="auto"/>
              </w:rPr>
              <w:t>Accrued compensation</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389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829</w:t>
            </w:r>
          </w:p>
        </w:tc>
        <w:tc>
          <w:tcPr>
            <w:tcW w:w="0" w:type="dxa"/>
            <w:vAlign w:val="bottom"/>
          </w:tcPr>
          <w:p>
            <w:pPr>
              <w:spacing w:after="0"/>
              <w:rPr>
                <w:sz w:val="1"/>
                <w:szCs w:val="1"/>
                <w:color w:val="auto"/>
              </w:rPr>
            </w:pPr>
          </w:p>
        </w:tc>
      </w:tr>
      <w:tr>
        <w:trPr>
          <w:trHeight w:val="230"/>
        </w:trPr>
        <w:tc>
          <w:tcPr>
            <w:tcW w:w="8440" w:type="dxa"/>
            <w:vAlign w:val="bottom"/>
            <w:gridSpan w:val="2"/>
            <w:shd w:val="clear" w:color="auto" w:fill="DBDBDB"/>
          </w:tcPr>
          <w:p>
            <w:pPr>
              <w:ind w:left="140"/>
              <w:spacing w:after="0"/>
              <w:rPr>
                <w:sz w:val="20"/>
                <w:szCs w:val="20"/>
                <w:color w:val="auto"/>
              </w:rPr>
            </w:pPr>
            <w:r>
              <w:rPr>
                <w:rFonts w:ascii="Arial" w:cs="Arial" w:eastAsia="Arial" w:hAnsi="Arial"/>
                <w:sz w:val="18"/>
                <w:szCs w:val="18"/>
                <w:color w:val="auto"/>
              </w:rPr>
              <w:t>Income taxes payable</w:t>
            </w:r>
          </w:p>
        </w:tc>
        <w:tc>
          <w:tcPr>
            <w:tcW w:w="220" w:type="dxa"/>
            <w:vAlign w:val="bottom"/>
            <w:shd w:val="clear" w:color="auto" w:fill="DBDBDB"/>
          </w:tcPr>
          <w:p>
            <w:pPr>
              <w:spacing w:after="0"/>
              <w:rPr>
                <w:sz w:val="19"/>
                <w:szCs w:val="19"/>
                <w:color w:val="auto"/>
              </w:rPr>
            </w:pPr>
          </w:p>
        </w:tc>
        <w:tc>
          <w:tcPr>
            <w:tcW w:w="11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138</w:t>
            </w:r>
          </w:p>
        </w:tc>
        <w:tc>
          <w:tcPr>
            <w:tcW w:w="10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30"/>
        </w:trPr>
        <w:tc>
          <w:tcPr>
            <w:tcW w:w="8440" w:type="dxa"/>
            <w:vAlign w:val="bottom"/>
            <w:tcBorders>
              <w:bottom w:val="single" w:sz="8" w:color="DBDBDB"/>
            </w:tcBorders>
            <w:gridSpan w:val="2"/>
          </w:tcPr>
          <w:p>
            <w:pPr>
              <w:ind w:left="140"/>
              <w:spacing w:after="0"/>
              <w:rPr>
                <w:sz w:val="20"/>
                <w:szCs w:val="20"/>
                <w:color w:val="auto"/>
              </w:rPr>
            </w:pPr>
            <w:r>
              <w:rPr>
                <w:rFonts w:ascii="Arial" w:cs="Arial" w:eastAsia="Arial" w:hAnsi="Arial"/>
                <w:sz w:val="18"/>
                <w:szCs w:val="18"/>
                <w:color w:val="auto"/>
              </w:rPr>
              <w:t>Accrued expenses and other liabilities</w:t>
            </w: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782</w:t>
            </w:r>
          </w:p>
        </w:tc>
        <w:tc>
          <w:tcPr>
            <w:tcW w:w="100" w:type="dxa"/>
            <w:vAlign w:val="bottom"/>
            <w:tcBorders>
              <w:bottom w:val="single" w:sz="8" w:color="DBDBDB"/>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1,007</w:t>
            </w:r>
          </w:p>
        </w:tc>
        <w:tc>
          <w:tcPr>
            <w:tcW w:w="0" w:type="dxa"/>
            <w:vAlign w:val="bottom"/>
          </w:tcPr>
          <w:p>
            <w:pPr>
              <w:spacing w:after="0"/>
              <w:rPr>
                <w:sz w:val="1"/>
                <w:szCs w:val="1"/>
                <w:color w:val="auto"/>
              </w:rPr>
            </w:pPr>
          </w:p>
        </w:tc>
      </w:tr>
      <w:tr>
        <w:trPr>
          <w:trHeight w:val="223"/>
        </w:trPr>
        <w:tc>
          <w:tcPr>
            <w:tcW w:w="8440" w:type="dxa"/>
            <w:vAlign w:val="bottom"/>
            <w:gridSpan w:val="2"/>
            <w:shd w:val="clear" w:color="auto" w:fill="DBDBDB"/>
          </w:tcPr>
          <w:p>
            <w:pPr>
              <w:ind w:left="140"/>
              <w:spacing w:after="0"/>
              <w:rPr>
                <w:sz w:val="20"/>
                <w:szCs w:val="20"/>
                <w:color w:val="auto"/>
              </w:rPr>
            </w:pPr>
            <w:r>
              <w:rPr>
                <w:rFonts w:ascii="Arial" w:cs="Arial" w:eastAsia="Arial" w:hAnsi="Arial"/>
                <w:sz w:val="18"/>
                <w:szCs w:val="18"/>
                <w:color w:val="auto"/>
              </w:rPr>
              <w:t>Total current liabilities</w:t>
            </w:r>
          </w:p>
        </w:tc>
        <w:tc>
          <w:tcPr>
            <w:tcW w:w="220" w:type="dxa"/>
            <w:vAlign w:val="bottom"/>
            <w:tcBorders>
              <w:bottom w:val="single" w:sz="8" w:color="auto"/>
            </w:tcBorders>
            <w:shd w:val="clear" w:color="auto" w:fill="DBDBDB"/>
          </w:tcPr>
          <w:p>
            <w:pPr>
              <w:spacing w:after="0"/>
              <w:rPr>
                <w:sz w:val="19"/>
                <w:szCs w:val="19"/>
                <w:color w:val="auto"/>
              </w:rPr>
            </w:pPr>
          </w:p>
        </w:tc>
        <w:tc>
          <w:tcPr>
            <w:tcW w:w="11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3,096</w:t>
            </w:r>
          </w:p>
        </w:tc>
        <w:tc>
          <w:tcPr>
            <w:tcW w:w="100" w:type="dxa"/>
            <w:vAlign w:val="bottom"/>
            <w:shd w:val="clear" w:color="auto" w:fill="DBDBDB"/>
          </w:tcPr>
          <w:p>
            <w:pPr>
              <w:spacing w:after="0"/>
              <w:rPr>
                <w:sz w:val="19"/>
                <w:szCs w:val="19"/>
                <w:color w:val="auto"/>
              </w:rPr>
            </w:pPr>
          </w:p>
        </w:tc>
        <w:tc>
          <w:tcPr>
            <w:tcW w:w="180" w:type="dxa"/>
            <w:vAlign w:val="bottom"/>
            <w:tcBorders>
              <w:bottom w:val="single" w:sz="8" w:color="auto"/>
            </w:tcBorders>
            <w:shd w:val="clear" w:color="auto" w:fill="DBDBDB"/>
          </w:tcPr>
          <w:p>
            <w:pPr>
              <w:spacing w:after="0"/>
              <w:rPr>
                <w:sz w:val="19"/>
                <w:szCs w:val="19"/>
                <w:color w:val="auto"/>
              </w:rPr>
            </w:pPr>
          </w:p>
        </w:tc>
        <w:tc>
          <w:tcPr>
            <w:tcW w:w="11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3,159</w:t>
            </w:r>
          </w:p>
        </w:tc>
        <w:tc>
          <w:tcPr>
            <w:tcW w:w="0" w:type="dxa"/>
            <w:vAlign w:val="bottom"/>
          </w:tcPr>
          <w:p>
            <w:pPr>
              <w:spacing w:after="0"/>
              <w:rPr>
                <w:sz w:val="1"/>
                <w:szCs w:val="1"/>
                <w:color w:val="auto"/>
              </w:rPr>
            </w:pPr>
          </w:p>
        </w:tc>
      </w:tr>
      <w:tr>
        <w:trPr>
          <w:trHeight w:val="223"/>
        </w:trPr>
        <w:tc>
          <w:tcPr>
            <w:tcW w:w="8440" w:type="dxa"/>
            <w:vAlign w:val="bottom"/>
            <w:gridSpan w:val="2"/>
          </w:tcPr>
          <w:p>
            <w:pPr>
              <w:ind w:left="20"/>
              <w:spacing w:after="0"/>
              <w:rPr>
                <w:sz w:val="20"/>
                <w:szCs w:val="20"/>
                <w:color w:val="auto"/>
              </w:rPr>
            </w:pPr>
            <w:r>
              <w:rPr>
                <w:rFonts w:ascii="Arial" w:cs="Arial" w:eastAsia="Arial" w:hAnsi="Arial"/>
                <w:sz w:val="18"/>
                <w:szCs w:val="18"/>
                <w:color w:val="auto"/>
              </w:rPr>
              <w:t>Long-term debt</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12,901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13,548</w:t>
            </w:r>
          </w:p>
        </w:tc>
        <w:tc>
          <w:tcPr>
            <w:tcW w:w="0" w:type="dxa"/>
            <w:vAlign w:val="bottom"/>
          </w:tcPr>
          <w:p>
            <w:pPr>
              <w:spacing w:after="0"/>
              <w:rPr>
                <w:sz w:val="1"/>
                <w:szCs w:val="1"/>
                <w:color w:val="auto"/>
              </w:rPr>
            </w:pPr>
          </w:p>
        </w:tc>
      </w:tr>
      <w:tr>
        <w:trPr>
          <w:trHeight w:val="230"/>
        </w:trPr>
        <w:tc>
          <w:tcPr>
            <w:tcW w:w="844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Underfunded retirement plans</w:t>
            </w:r>
          </w:p>
        </w:tc>
        <w:tc>
          <w:tcPr>
            <w:tcW w:w="220" w:type="dxa"/>
            <w:vAlign w:val="bottom"/>
            <w:shd w:val="clear" w:color="auto" w:fill="DBDBDB"/>
          </w:tcPr>
          <w:p>
            <w:pPr>
              <w:spacing w:after="0"/>
              <w:rPr>
                <w:sz w:val="19"/>
                <w:szCs w:val="19"/>
                <w:color w:val="auto"/>
              </w:rPr>
            </w:pPr>
          </w:p>
        </w:tc>
        <w:tc>
          <w:tcPr>
            <w:tcW w:w="11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121</w:t>
            </w:r>
          </w:p>
        </w:tc>
        <w:tc>
          <w:tcPr>
            <w:tcW w:w="10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30"/>
        </w:trPr>
        <w:tc>
          <w:tcPr>
            <w:tcW w:w="8440" w:type="dxa"/>
            <w:vAlign w:val="bottom"/>
            <w:gridSpan w:val="2"/>
          </w:tcPr>
          <w:p>
            <w:pPr>
              <w:ind w:left="20"/>
              <w:spacing w:after="0"/>
              <w:rPr>
                <w:sz w:val="20"/>
                <w:szCs w:val="20"/>
                <w:color w:val="auto"/>
              </w:rPr>
            </w:pPr>
            <w:r>
              <w:rPr>
                <w:rFonts w:ascii="Arial" w:cs="Arial" w:eastAsia="Arial" w:hAnsi="Arial"/>
                <w:sz w:val="18"/>
                <w:szCs w:val="18"/>
                <w:color w:val="auto"/>
              </w:rPr>
              <w:t>Deferred tax liabilities</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63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30"/>
        </w:trPr>
        <w:tc>
          <w:tcPr>
            <w:tcW w:w="844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Other long-term liabilities</w:t>
            </w:r>
          </w:p>
        </w:tc>
        <w:tc>
          <w:tcPr>
            <w:tcW w:w="220" w:type="dxa"/>
            <w:vAlign w:val="bottom"/>
            <w:tcBorders>
              <w:bottom w:val="single" w:sz="8" w:color="auto"/>
            </w:tcBorders>
            <w:shd w:val="clear" w:color="auto" w:fill="DBDBDB"/>
          </w:tcPr>
          <w:p>
            <w:pPr>
              <w:spacing w:after="0"/>
              <w:rPr>
                <w:sz w:val="19"/>
                <w:szCs w:val="19"/>
                <w:color w:val="auto"/>
              </w:rPr>
            </w:pPr>
          </w:p>
        </w:tc>
        <w:tc>
          <w:tcPr>
            <w:tcW w:w="11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1,434</w:t>
            </w:r>
          </w:p>
        </w:tc>
        <w:tc>
          <w:tcPr>
            <w:tcW w:w="100" w:type="dxa"/>
            <w:vAlign w:val="bottom"/>
            <w:shd w:val="clear" w:color="auto" w:fill="DBDBDB"/>
          </w:tcPr>
          <w:p>
            <w:pPr>
              <w:spacing w:after="0"/>
              <w:rPr>
                <w:sz w:val="19"/>
                <w:szCs w:val="19"/>
                <w:color w:val="auto"/>
              </w:rPr>
            </w:pPr>
          </w:p>
        </w:tc>
        <w:tc>
          <w:tcPr>
            <w:tcW w:w="180" w:type="dxa"/>
            <w:vAlign w:val="bottom"/>
            <w:tcBorders>
              <w:bottom w:val="single" w:sz="8" w:color="auto"/>
            </w:tcBorders>
            <w:shd w:val="clear" w:color="auto" w:fill="DBDBDB"/>
          </w:tcPr>
          <w:p>
            <w:pPr>
              <w:spacing w:after="0"/>
              <w:rPr>
                <w:sz w:val="19"/>
                <w:szCs w:val="19"/>
                <w:color w:val="auto"/>
              </w:rPr>
            </w:pPr>
          </w:p>
        </w:tc>
        <w:tc>
          <w:tcPr>
            <w:tcW w:w="11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1,415</w:t>
            </w:r>
          </w:p>
        </w:tc>
        <w:tc>
          <w:tcPr>
            <w:tcW w:w="0" w:type="dxa"/>
            <w:vAlign w:val="bottom"/>
          </w:tcPr>
          <w:p>
            <w:pPr>
              <w:spacing w:after="0"/>
              <w:rPr>
                <w:sz w:val="1"/>
                <w:szCs w:val="1"/>
                <w:color w:val="auto"/>
              </w:rPr>
            </w:pPr>
          </w:p>
        </w:tc>
      </w:tr>
      <w:tr>
        <w:trPr>
          <w:trHeight w:val="223"/>
        </w:trPr>
        <w:tc>
          <w:tcPr>
            <w:tcW w:w="8440" w:type="dxa"/>
            <w:vAlign w:val="bottom"/>
            <w:tcBorders>
              <w:bottom w:val="single" w:sz="8" w:color="DBDBDB"/>
            </w:tcBorders>
            <w:gridSpan w:val="2"/>
          </w:tcPr>
          <w:p>
            <w:pPr>
              <w:ind w:left="20"/>
              <w:spacing w:after="0"/>
              <w:rPr>
                <w:sz w:val="20"/>
                <w:szCs w:val="20"/>
                <w:color w:val="auto"/>
              </w:rPr>
            </w:pPr>
            <w:r>
              <w:rPr>
                <w:rFonts w:ascii="Arial" w:cs="Arial" w:eastAsia="Arial" w:hAnsi="Arial"/>
                <w:sz w:val="18"/>
                <w:szCs w:val="18"/>
                <w:color w:val="auto"/>
              </w:rPr>
              <w:t>Total liabilities</w:t>
            </w: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17,615</w:t>
            </w:r>
          </w:p>
        </w:tc>
        <w:tc>
          <w:tcPr>
            <w:tcW w:w="100" w:type="dxa"/>
            <w:vAlign w:val="bottom"/>
            <w:tcBorders>
              <w:bottom w:val="single" w:sz="8" w:color="DBDBDB"/>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18,312</w:t>
            </w:r>
          </w:p>
        </w:tc>
        <w:tc>
          <w:tcPr>
            <w:tcW w:w="0" w:type="dxa"/>
            <w:vAlign w:val="bottom"/>
          </w:tcPr>
          <w:p>
            <w:pPr>
              <w:spacing w:after="0"/>
              <w:rPr>
                <w:sz w:val="1"/>
                <w:szCs w:val="1"/>
                <w:color w:val="auto"/>
              </w:rPr>
            </w:pPr>
          </w:p>
        </w:tc>
      </w:tr>
      <w:tr>
        <w:trPr>
          <w:trHeight w:val="223"/>
        </w:trPr>
        <w:tc>
          <w:tcPr>
            <w:tcW w:w="844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Stockholders’ equity:</w:t>
            </w:r>
          </w:p>
        </w:tc>
        <w:tc>
          <w:tcPr>
            <w:tcW w:w="220" w:type="dxa"/>
            <w:vAlign w:val="bottom"/>
            <w:shd w:val="clear" w:color="auto" w:fill="DBDBDB"/>
          </w:tcPr>
          <w:p>
            <w:pPr>
              <w:spacing w:after="0"/>
              <w:rPr>
                <w:sz w:val="19"/>
                <w:szCs w:val="19"/>
                <w:color w:val="auto"/>
              </w:rPr>
            </w:pPr>
          </w:p>
        </w:tc>
        <w:tc>
          <w:tcPr>
            <w:tcW w:w="112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18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440" w:type="dxa"/>
            <w:vAlign w:val="bottom"/>
            <w:gridSpan w:val="2"/>
          </w:tcPr>
          <w:p>
            <w:pPr>
              <w:ind w:left="140"/>
              <w:spacing w:after="0"/>
              <w:rPr>
                <w:sz w:val="20"/>
                <w:szCs w:val="20"/>
                <w:color w:val="auto"/>
              </w:rPr>
            </w:pPr>
            <w:r>
              <w:rPr>
                <w:rFonts w:ascii="Arial" w:cs="Arial" w:eastAsia="Arial" w:hAnsi="Arial"/>
                <w:sz w:val="18"/>
                <w:szCs w:val="18"/>
                <w:color w:val="auto"/>
              </w:rPr>
              <w:t>Preferred stock, $25 par value. Shares authorized – 10; none issued</w:t>
            </w:r>
          </w:p>
        </w:tc>
        <w:tc>
          <w:tcPr>
            <w:tcW w:w="22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8440" w:type="dxa"/>
            <w:vAlign w:val="bottom"/>
            <w:gridSpan w:val="2"/>
            <w:shd w:val="clear" w:color="auto" w:fill="DBDBDB"/>
          </w:tcPr>
          <w:p>
            <w:pPr>
              <w:ind w:left="140"/>
              <w:spacing w:after="0"/>
              <w:rPr>
                <w:sz w:val="20"/>
                <w:szCs w:val="20"/>
                <w:color w:val="auto"/>
              </w:rPr>
            </w:pPr>
            <w:r>
              <w:rPr>
                <w:rFonts w:ascii="Arial" w:cs="Arial" w:eastAsia="Arial" w:hAnsi="Arial"/>
                <w:sz w:val="18"/>
                <w:szCs w:val="18"/>
                <w:color w:val="auto"/>
              </w:rPr>
              <w:t>Common stock, $1 par value. Shares authorized – 2,400; shares issued – 1,741</w:t>
            </w:r>
          </w:p>
        </w:tc>
        <w:tc>
          <w:tcPr>
            <w:tcW w:w="220" w:type="dxa"/>
            <w:vAlign w:val="bottom"/>
            <w:shd w:val="clear" w:color="auto" w:fill="DBDBDB"/>
          </w:tcPr>
          <w:p>
            <w:pPr>
              <w:spacing w:after="0"/>
              <w:rPr>
                <w:sz w:val="19"/>
                <w:szCs w:val="19"/>
                <w:color w:val="auto"/>
              </w:rPr>
            </w:pPr>
          </w:p>
        </w:tc>
        <w:tc>
          <w:tcPr>
            <w:tcW w:w="11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1,741</w:t>
            </w:r>
          </w:p>
        </w:tc>
        <w:tc>
          <w:tcPr>
            <w:tcW w:w="10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1,741</w:t>
            </w:r>
          </w:p>
        </w:tc>
        <w:tc>
          <w:tcPr>
            <w:tcW w:w="0" w:type="dxa"/>
            <w:vAlign w:val="bottom"/>
          </w:tcPr>
          <w:p>
            <w:pPr>
              <w:spacing w:after="0"/>
              <w:rPr>
                <w:sz w:val="1"/>
                <w:szCs w:val="1"/>
                <w:color w:val="auto"/>
              </w:rPr>
            </w:pPr>
          </w:p>
        </w:tc>
      </w:tr>
      <w:tr>
        <w:trPr>
          <w:trHeight w:val="230"/>
        </w:trPr>
        <w:tc>
          <w:tcPr>
            <w:tcW w:w="8440" w:type="dxa"/>
            <w:vAlign w:val="bottom"/>
            <w:gridSpan w:val="2"/>
          </w:tcPr>
          <w:p>
            <w:pPr>
              <w:ind w:left="140"/>
              <w:spacing w:after="0"/>
              <w:rPr>
                <w:sz w:val="20"/>
                <w:szCs w:val="20"/>
                <w:color w:val="auto"/>
              </w:rPr>
            </w:pPr>
            <w:r>
              <w:rPr>
                <w:rFonts w:ascii="Arial" w:cs="Arial" w:eastAsia="Arial" w:hAnsi="Arial"/>
                <w:sz w:val="18"/>
                <w:szCs w:val="18"/>
                <w:color w:val="auto"/>
              </w:rPr>
              <w:t>Paid-in capital</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4,722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4,511</w:t>
            </w:r>
          </w:p>
        </w:tc>
        <w:tc>
          <w:tcPr>
            <w:tcW w:w="0" w:type="dxa"/>
            <w:vAlign w:val="bottom"/>
          </w:tcPr>
          <w:p>
            <w:pPr>
              <w:spacing w:after="0"/>
              <w:rPr>
                <w:sz w:val="1"/>
                <w:szCs w:val="1"/>
                <w:color w:val="auto"/>
              </w:rPr>
            </w:pPr>
          </w:p>
        </w:tc>
      </w:tr>
      <w:tr>
        <w:trPr>
          <w:trHeight w:val="230"/>
        </w:trPr>
        <w:tc>
          <w:tcPr>
            <w:tcW w:w="8440" w:type="dxa"/>
            <w:vAlign w:val="bottom"/>
            <w:gridSpan w:val="2"/>
            <w:shd w:val="clear" w:color="auto" w:fill="DBDBDB"/>
          </w:tcPr>
          <w:p>
            <w:pPr>
              <w:ind w:left="140"/>
              <w:spacing w:after="0"/>
              <w:rPr>
                <w:sz w:val="20"/>
                <w:szCs w:val="20"/>
                <w:color w:val="auto"/>
              </w:rPr>
            </w:pPr>
            <w:r>
              <w:rPr>
                <w:rFonts w:ascii="Arial" w:cs="Arial" w:eastAsia="Arial" w:hAnsi="Arial"/>
                <w:sz w:val="18"/>
                <w:szCs w:val="18"/>
                <w:color w:val="auto"/>
              </w:rPr>
              <w:t>Retained earnings</w:t>
            </w:r>
          </w:p>
        </w:tc>
        <w:tc>
          <w:tcPr>
            <w:tcW w:w="220" w:type="dxa"/>
            <w:vAlign w:val="bottom"/>
            <w:shd w:val="clear" w:color="auto" w:fill="DBDBDB"/>
          </w:tcPr>
          <w:p>
            <w:pPr>
              <w:spacing w:after="0"/>
              <w:rPr>
                <w:sz w:val="19"/>
                <w:szCs w:val="19"/>
                <w:color w:val="auto"/>
              </w:rPr>
            </w:pPr>
          </w:p>
        </w:tc>
        <w:tc>
          <w:tcPr>
            <w:tcW w:w="11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52,483</w:t>
            </w:r>
          </w:p>
        </w:tc>
        <w:tc>
          <w:tcPr>
            <w:tcW w:w="10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52,236</w:t>
            </w:r>
          </w:p>
        </w:tc>
        <w:tc>
          <w:tcPr>
            <w:tcW w:w="0" w:type="dxa"/>
            <w:vAlign w:val="bottom"/>
          </w:tcPr>
          <w:p>
            <w:pPr>
              <w:spacing w:after="0"/>
              <w:rPr>
                <w:sz w:val="1"/>
                <w:szCs w:val="1"/>
                <w:color w:val="auto"/>
              </w:rPr>
            </w:pPr>
          </w:p>
        </w:tc>
      </w:tr>
      <w:tr>
        <w:trPr>
          <w:trHeight w:val="230"/>
        </w:trPr>
        <w:tc>
          <w:tcPr>
            <w:tcW w:w="8440" w:type="dxa"/>
            <w:vAlign w:val="bottom"/>
            <w:gridSpan w:val="2"/>
          </w:tcPr>
          <w:p>
            <w:pPr>
              <w:ind w:left="140"/>
              <w:spacing w:after="0"/>
              <w:rPr>
                <w:sz w:val="20"/>
                <w:szCs w:val="20"/>
                <w:color w:val="auto"/>
              </w:rPr>
            </w:pPr>
            <w:r>
              <w:rPr>
                <w:rFonts w:ascii="Arial" w:cs="Arial" w:eastAsia="Arial" w:hAnsi="Arial"/>
                <w:sz w:val="18"/>
                <w:szCs w:val="18"/>
                <w:color w:val="auto"/>
              </w:rPr>
              <w:t>Treasury common stock at cost</w:t>
            </w: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440" w:type="dxa"/>
            <w:vAlign w:val="bottom"/>
            <w:gridSpan w:val="2"/>
            <w:shd w:val="clear" w:color="auto" w:fill="DBDBDB"/>
          </w:tcPr>
          <w:p>
            <w:pPr>
              <w:ind w:left="220"/>
              <w:spacing w:after="0"/>
              <w:rPr>
                <w:sz w:val="20"/>
                <w:szCs w:val="20"/>
                <w:color w:val="auto"/>
              </w:rPr>
            </w:pPr>
            <w:r>
              <w:rPr>
                <w:rFonts w:ascii="Arial" w:cs="Arial" w:eastAsia="Arial" w:hAnsi="Arial"/>
                <w:sz w:val="18"/>
                <w:szCs w:val="18"/>
                <w:color w:val="auto"/>
              </w:rPr>
              <w:t>Shares: March 31, 2026 – 831; December 31, 2025 – 834</w:t>
            </w:r>
          </w:p>
        </w:tc>
        <w:tc>
          <w:tcPr>
            <w:tcW w:w="220" w:type="dxa"/>
            <w:vAlign w:val="bottom"/>
            <w:shd w:val="clear" w:color="auto" w:fill="DBDBDB"/>
          </w:tcPr>
          <w:p>
            <w:pPr>
              <w:spacing w:after="0"/>
              <w:rPr>
                <w:sz w:val="19"/>
                <w:szCs w:val="19"/>
                <w:color w:val="auto"/>
              </w:rPr>
            </w:pPr>
          </w:p>
        </w:tc>
        <w:tc>
          <w:tcPr>
            <w:tcW w:w="11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(42,084)</w:t>
            </w:r>
          </w:p>
        </w:tc>
        <w:tc>
          <w:tcPr>
            <w:tcW w:w="10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(42,130)</w:t>
            </w:r>
          </w:p>
        </w:tc>
        <w:tc>
          <w:tcPr>
            <w:tcW w:w="0" w:type="dxa"/>
            <w:vAlign w:val="bottom"/>
          </w:tcPr>
          <w:p>
            <w:pPr>
              <w:spacing w:after="0"/>
              <w:rPr>
                <w:sz w:val="1"/>
                <w:szCs w:val="1"/>
                <w:color w:val="auto"/>
              </w:rPr>
            </w:pPr>
          </w:p>
        </w:tc>
      </w:tr>
      <w:tr>
        <w:trPr>
          <w:trHeight w:val="230"/>
        </w:trPr>
        <w:tc>
          <w:tcPr>
            <w:tcW w:w="8440" w:type="dxa"/>
            <w:vAlign w:val="bottom"/>
            <w:tcBorders>
              <w:bottom w:val="single" w:sz="8" w:color="DBDBDB"/>
            </w:tcBorders>
            <w:gridSpan w:val="2"/>
          </w:tcPr>
          <w:p>
            <w:pPr>
              <w:ind w:left="140"/>
              <w:spacing w:after="0"/>
              <w:rPr>
                <w:sz w:val="20"/>
                <w:szCs w:val="20"/>
                <w:color w:val="auto"/>
              </w:rPr>
            </w:pPr>
            <w:r>
              <w:rPr>
                <w:rFonts w:ascii="Arial" w:cs="Arial" w:eastAsia="Arial" w:hAnsi="Arial"/>
                <w:sz w:val="18"/>
                <w:szCs w:val="18"/>
                <w:color w:val="auto"/>
              </w:rPr>
              <w:t>Accumulated other comprehensive income (loss), net of taxes (AOCI)</w:t>
            </w: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(84)</w:t>
            </w:r>
          </w:p>
        </w:tc>
        <w:tc>
          <w:tcPr>
            <w:tcW w:w="100" w:type="dxa"/>
            <w:vAlign w:val="bottom"/>
            <w:tcBorders>
              <w:bottom w:val="single" w:sz="8" w:color="DBDBDB"/>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23"/>
        </w:trPr>
        <w:tc>
          <w:tcPr>
            <w:tcW w:w="844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Total stockholders’ equity</w:t>
            </w:r>
          </w:p>
        </w:tc>
        <w:tc>
          <w:tcPr>
            <w:tcW w:w="220" w:type="dxa"/>
            <w:vAlign w:val="bottom"/>
            <w:tcBorders>
              <w:bottom w:val="single" w:sz="8" w:color="auto"/>
            </w:tcBorders>
            <w:shd w:val="clear" w:color="auto" w:fill="DBDBDB"/>
          </w:tcPr>
          <w:p>
            <w:pPr>
              <w:spacing w:after="0"/>
              <w:rPr>
                <w:sz w:val="19"/>
                <w:szCs w:val="19"/>
                <w:color w:val="auto"/>
              </w:rPr>
            </w:pPr>
          </w:p>
        </w:tc>
        <w:tc>
          <w:tcPr>
            <w:tcW w:w="11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16,778</w:t>
            </w:r>
          </w:p>
        </w:tc>
        <w:tc>
          <w:tcPr>
            <w:tcW w:w="100" w:type="dxa"/>
            <w:vAlign w:val="bottom"/>
            <w:shd w:val="clear" w:color="auto" w:fill="DBDBDB"/>
          </w:tcPr>
          <w:p>
            <w:pPr>
              <w:spacing w:after="0"/>
              <w:rPr>
                <w:sz w:val="19"/>
                <w:szCs w:val="19"/>
                <w:color w:val="auto"/>
              </w:rPr>
            </w:pPr>
          </w:p>
        </w:tc>
        <w:tc>
          <w:tcPr>
            <w:tcW w:w="180" w:type="dxa"/>
            <w:vAlign w:val="bottom"/>
            <w:tcBorders>
              <w:bottom w:val="single" w:sz="8" w:color="auto"/>
            </w:tcBorders>
            <w:shd w:val="clear" w:color="auto" w:fill="DBDBDB"/>
          </w:tcPr>
          <w:p>
            <w:pPr>
              <w:spacing w:after="0"/>
              <w:rPr>
                <w:sz w:val="19"/>
                <w:szCs w:val="19"/>
                <w:color w:val="auto"/>
              </w:rPr>
            </w:pPr>
          </w:p>
        </w:tc>
        <w:tc>
          <w:tcPr>
            <w:tcW w:w="11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16,273</w:t>
            </w:r>
          </w:p>
        </w:tc>
        <w:tc>
          <w:tcPr>
            <w:tcW w:w="0" w:type="dxa"/>
            <w:vAlign w:val="bottom"/>
          </w:tcPr>
          <w:p>
            <w:pPr>
              <w:spacing w:after="0"/>
              <w:rPr>
                <w:sz w:val="1"/>
                <w:szCs w:val="1"/>
                <w:color w:val="auto"/>
              </w:rPr>
            </w:pPr>
          </w:p>
        </w:tc>
      </w:tr>
      <w:tr>
        <w:trPr>
          <w:trHeight w:val="223"/>
        </w:trPr>
        <w:tc>
          <w:tcPr>
            <w:tcW w:w="8440" w:type="dxa"/>
            <w:vAlign w:val="bottom"/>
            <w:gridSpan w:val="2"/>
          </w:tcPr>
          <w:p>
            <w:pPr>
              <w:ind w:left="20"/>
              <w:spacing w:after="0"/>
              <w:rPr>
                <w:sz w:val="20"/>
                <w:szCs w:val="20"/>
                <w:color w:val="auto"/>
              </w:rPr>
            </w:pPr>
            <w:r>
              <w:rPr>
                <w:rFonts w:ascii="Arial" w:cs="Arial" w:eastAsia="Arial" w:hAnsi="Arial"/>
                <w:sz w:val="18"/>
                <w:szCs w:val="18"/>
                <w:color w:val="auto"/>
              </w:rPr>
              <w:t>Total liabilities and stockholders’ equity</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34,393</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34,585</w:t>
            </w:r>
          </w:p>
        </w:tc>
        <w:tc>
          <w:tcPr>
            <w:tcW w:w="0" w:type="dxa"/>
            <w:vAlign w:val="bottom"/>
          </w:tcPr>
          <w:p>
            <w:pPr>
              <w:spacing w:after="0"/>
              <w:rPr>
                <w:sz w:val="1"/>
                <w:szCs w:val="1"/>
                <w:color w:val="auto"/>
              </w:rPr>
            </w:pPr>
          </w:p>
        </w:tc>
      </w:tr>
      <w:tr>
        <w:trPr>
          <w:trHeight w:val="21"/>
        </w:trPr>
        <w:tc>
          <w:tcPr>
            <w:tcW w:w="8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4" w:lineRule="exact"/>
        <w:rPr>
          <w:sz w:val="20"/>
          <w:szCs w:val="20"/>
          <w:color w:val="auto"/>
        </w:rPr>
      </w:pPr>
    </w:p>
    <w:p>
      <w:pPr>
        <w:ind w:left="20"/>
        <w:spacing w:after="0"/>
        <w:rPr>
          <w:sz w:val="20"/>
          <w:szCs w:val="20"/>
          <w:color w:val="auto"/>
        </w:rPr>
      </w:pPr>
      <w:r>
        <w:rPr>
          <w:rFonts w:ascii="Arial" w:cs="Arial" w:eastAsia="Arial" w:hAnsi="Arial"/>
          <w:sz w:val="18"/>
          <w:szCs w:val="18"/>
          <w:color w:val="auto"/>
        </w:rPr>
        <w:t>See accompanying notes.</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38"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196"/>
        </w:trPr>
        <w:tc>
          <w:tcPr>
            <w:tcW w:w="8600" w:type="dxa"/>
            <w:vAlign w:val="bottom"/>
            <w:vMerge w:val="restart"/>
          </w:tcPr>
          <w:p>
            <w:pPr>
              <w:ind w:left="20"/>
              <w:spacing w:after="0"/>
              <w:rPr>
                <w:sz w:val="20"/>
                <w:szCs w:val="20"/>
                <w:color w:val="auto"/>
              </w:rPr>
            </w:pPr>
            <w:r>
              <w:rPr>
                <w:rFonts w:ascii="Arial" w:cs="Arial" w:eastAsia="Arial" w:hAnsi="Arial"/>
                <w:sz w:val="20"/>
                <w:szCs w:val="20"/>
                <w:b w:val="1"/>
                <w:bCs w:val="1"/>
                <w:color w:val="auto"/>
              </w:rPr>
              <w:t>Consolidated Statements of Cash Flows</w:t>
            </w:r>
          </w:p>
        </w:tc>
        <w:tc>
          <w:tcPr>
            <w:tcW w:w="100" w:type="dxa"/>
            <w:vAlign w:val="bottom"/>
            <w:vMerge w:val="restart"/>
          </w:tcPr>
          <w:p>
            <w:pPr>
              <w:spacing w:after="0"/>
              <w:rPr>
                <w:sz w:val="17"/>
                <w:szCs w:val="17"/>
                <w:color w:val="auto"/>
              </w:rPr>
            </w:pPr>
          </w:p>
        </w:tc>
        <w:tc>
          <w:tcPr>
            <w:tcW w:w="280" w:type="dxa"/>
            <w:vAlign w:val="bottom"/>
          </w:tcPr>
          <w:p>
            <w:pPr>
              <w:spacing w:after="0"/>
              <w:rPr>
                <w:sz w:val="17"/>
                <w:szCs w:val="17"/>
                <w:color w:val="auto"/>
              </w:rPr>
            </w:pPr>
          </w:p>
        </w:tc>
        <w:tc>
          <w:tcPr>
            <w:tcW w:w="2260" w:type="dxa"/>
            <w:vAlign w:val="bottom"/>
            <w:gridSpan w:val="4"/>
          </w:tcPr>
          <w:p>
            <w:pPr>
              <w:jc w:val="right"/>
              <w:ind w:right="331"/>
              <w:spacing w:after="0"/>
              <w:rPr>
                <w:sz w:val="20"/>
                <w:szCs w:val="20"/>
                <w:color w:val="auto"/>
              </w:rPr>
            </w:pPr>
            <w:r>
              <w:rPr>
                <w:rFonts w:ascii="Arial" w:cs="Arial" w:eastAsia="Arial" w:hAnsi="Arial"/>
                <w:sz w:val="14"/>
                <w:szCs w:val="14"/>
                <w:b w:val="1"/>
                <w:bCs w:val="1"/>
                <w:color w:val="auto"/>
              </w:rPr>
              <w:t>For Three Months Ended</w:t>
            </w:r>
          </w:p>
        </w:tc>
        <w:tc>
          <w:tcPr>
            <w:tcW w:w="0" w:type="dxa"/>
            <w:vAlign w:val="bottom"/>
          </w:tcPr>
          <w:p>
            <w:pPr>
              <w:spacing w:after="0"/>
              <w:rPr>
                <w:sz w:val="1"/>
                <w:szCs w:val="1"/>
                <w:color w:val="auto"/>
              </w:rPr>
            </w:pPr>
          </w:p>
        </w:tc>
      </w:tr>
      <w:tr>
        <w:trPr>
          <w:trHeight w:val="259"/>
        </w:trPr>
        <w:tc>
          <w:tcPr>
            <w:tcW w:w="8600" w:type="dxa"/>
            <w:vAlign w:val="bottom"/>
            <w:tcBorders>
              <w:bottom w:val="single" w:sz="8" w:color="auto"/>
            </w:tcBorders>
            <w:vMerge w:val="continue"/>
          </w:tcPr>
          <w:p>
            <w:pPr>
              <w:spacing w:after="0"/>
              <w:rPr>
                <w:sz w:val="22"/>
                <w:szCs w:val="22"/>
                <w:color w:val="auto"/>
              </w:rPr>
            </w:pPr>
          </w:p>
        </w:tc>
        <w:tc>
          <w:tcPr>
            <w:tcW w:w="100" w:type="dxa"/>
            <w:vAlign w:val="bottom"/>
            <w:vMerge w:val="continue"/>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March 31,</w:t>
            </w:r>
          </w:p>
        </w:tc>
        <w:tc>
          <w:tcPr>
            <w:tcW w:w="8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95"/>
        </w:trPr>
        <w:tc>
          <w:tcPr>
            <w:tcW w:w="8700" w:type="dxa"/>
            <w:vAlign w:val="bottom"/>
            <w:tcBorders>
              <w:bottom w:val="single" w:sz="8" w:color="DBDBDB"/>
            </w:tcBorders>
            <w:gridSpan w:val="2"/>
          </w:tcPr>
          <w:p>
            <w:pPr>
              <w:ind w:left="20"/>
              <w:spacing w:after="0"/>
              <w:rPr>
                <w:sz w:val="20"/>
                <w:szCs w:val="20"/>
                <w:color w:val="auto"/>
              </w:rPr>
            </w:pPr>
            <w:r>
              <w:rPr>
                <w:rFonts w:ascii="Arial" w:cs="Arial" w:eastAsia="Arial" w:hAnsi="Arial"/>
                <w:sz w:val="14"/>
                <w:szCs w:val="14"/>
                <w:b w:val="1"/>
                <w:bCs w:val="1"/>
                <w:color w:val="auto"/>
              </w:rPr>
              <w:t>(In millions)</w:t>
            </w: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2026</w:t>
            </w:r>
          </w:p>
        </w:tc>
        <w:tc>
          <w:tcPr>
            <w:tcW w:w="100" w:type="dxa"/>
            <w:vAlign w:val="bottom"/>
            <w:tcBorders>
              <w:bottom w:val="single" w:sz="8" w:color="DBDBDB"/>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2025</w:t>
            </w:r>
          </w:p>
        </w:tc>
        <w:tc>
          <w:tcPr>
            <w:tcW w:w="0" w:type="dxa"/>
            <w:vAlign w:val="bottom"/>
          </w:tcPr>
          <w:p>
            <w:pPr>
              <w:spacing w:after="0"/>
              <w:rPr>
                <w:sz w:val="1"/>
                <w:szCs w:val="1"/>
                <w:color w:val="auto"/>
              </w:rPr>
            </w:pPr>
          </w:p>
        </w:tc>
      </w:tr>
      <w:tr>
        <w:trPr>
          <w:trHeight w:val="224"/>
        </w:trPr>
        <w:tc>
          <w:tcPr>
            <w:tcW w:w="8700" w:type="dxa"/>
            <w:vAlign w:val="bottom"/>
            <w:gridSpan w:val="2"/>
            <w:shd w:val="clear" w:color="auto" w:fill="DBDBDB"/>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280" w:type="dxa"/>
            <w:vAlign w:val="bottom"/>
            <w:shd w:val="clear" w:color="auto" w:fill="DBDBDB"/>
          </w:tcPr>
          <w:p>
            <w:pPr>
              <w:spacing w:after="0"/>
              <w:rPr>
                <w:sz w:val="19"/>
                <w:szCs w:val="19"/>
                <w:color w:val="auto"/>
              </w:rPr>
            </w:pPr>
          </w:p>
        </w:tc>
        <w:tc>
          <w:tcPr>
            <w:tcW w:w="94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360" w:type="dxa"/>
            <w:vAlign w:val="bottom"/>
            <w:shd w:val="clear" w:color="auto" w:fill="DBDBDB"/>
          </w:tcPr>
          <w:p>
            <w:pPr>
              <w:spacing w:after="0"/>
              <w:rPr>
                <w:sz w:val="19"/>
                <w:szCs w:val="19"/>
                <w:color w:val="auto"/>
              </w:rPr>
            </w:pPr>
          </w:p>
        </w:tc>
        <w:tc>
          <w:tcPr>
            <w:tcW w:w="86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700" w:type="dxa"/>
            <w:vAlign w:val="bottom"/>
            <w:gridSpan w:val="2"/>
          </w:tcPr>
          <w:p>
            <w:pPr>
              <w:ind w:left="140"/>
              <w:spacing w:after="0"/>
              <w:rPr>
                <w:sz w:val="20"/>
                <w:szCs w:val="20"/>
                <w:color w:val="auto"/>
              </w:rPr>
            </w:pPr>
            <w:r>
              <w:rPr>
                <w:rFonts w:ascii="Arial" w:cs="Arial" w:eastAsia="Arial" w:hAnsi="Arial"/>
                <w:sz w:val="18"/>
                <w:szCs w:val="18"/>
                <w:color w:val="auto"/>
              </w:rPr>
              <w:t>Net income</w:t>
            </w:r>
          </w:p>
        </w:tc>
        <w:tc>
          <w:tcPr>
            <w:tcW w:w="28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1,545</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1,179</w:t>
            </w:r>
          </w:p>
        </w:tc>
        <w:tc>
          <w:tcPr>
            <w:tcW w:w="0" w:type="dxa"/>
            <w:vAlign w:val="bottom"/>
          </w:tcPr>
          <w:p>
            <w:pPr>
              <w:spacing w:after="0"/>
              <w:rPr>
                <w:sz w:val="1"/>
                <w:szCs w:val="1"/>
                <w:color w:val="auto"/>
              </w:rPr>
            </w:pPr>
          </w:p>
        </w:tc>
      </w:tr>
      <w:tr>
        <w:trPr>
          <w:trHeight w:val="229"/>
        </w:trPr>
        <w:tc>
          <w:tcPr>
            <w:tcW w:w="8700" w:type="dxa"/>
            <w:vAlign w:val="bottom"/>
            <w:gridSpan w:val="2"/>
            <w:shd w:val="clear" w:color="auto" w:fill="DBDBDB"/>
          </w:tcPr>
          <w:p>
            <w:pPr>
              <w:ind w:left="140"/>
              <w:spacing w:after="0"/>
              <w:rPr>
                <w:sz w:val="20"/>
                <w:szCs w:val="20"/>
                <w:color w:val="auto"/>
              </w:rPr>
            </w:pPr>
            <w:r>
              <w:rPr>
                <w:rFonts w:ascii="Arial" w:cs="Arial" w:eastAsia="Arial" w:hAnsi="Arial"/>
                <w:sz w:val="18"/>
                <w:szCs w:val="18"/>
                <w:color w:val="auto"/>
              </w:rPr>
              <w:t>Adjustments to net income:</w:t>
            </w:r>
          </w:p>
        </w:tc>
        <w:tc>
          <w:tcPr>
            <w:tcW w:w="280" w:type="dxa"/>
            <w:vAlign w:val="bottom"/>
            <w:shd w:val="clear" w:color="auto" w:fill="DBDBDB"/>
          </w:tcPr>
          <w:p>
            <w:pPr>
              <w:spacing w:after="0"/>
              <w:rPr>
                <w:sz w:val="19"/>
                <w:szCs w:val="19"/>
                <w:color w:val="auto"/>
              </w:rPr>
            </w:pPr>
          </w:p>
        </w:tc>
        <w:tc>
          <w:tcPr>
            <w:tcW w:w="94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360" w:type="dxa"/>
            <w:vAlign w:val="bottom"/>
            <w:shd w:val="clear" w:color="auto" w:fill="DBDBDB"/>
          </w:tcPr>
          <w:p>
            <w:pPr>
              <w:spacing w:after="0"/>
              <w:rPr>
                <w:sz w:val="19"/>
                <w:szCs w:val="19"/>
                <w:color w:val="auto"/>
              </w:rPr>
            </w:pPr>
          </w:p>
        </w:tc>
        <w:tc>
          <w:tcPr>
            <w:tcW w:w="86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700" w:type="dxa"/>
            <w:vAlign w:val="bottom"/>
            <w:gridSpan w:val="2"/>
          </w:tcPr>
          <w:p>
            <w:pPr>
              <w:ind w:left="220"/>
              <w:spacing w:after="0"/>
              <w:rPr>
                <w:sz w:val="20"/>
                <w:szCs w:val="20"/>
                <w:color w:val="auto"/>
              </w:rPr>
            </w:pPr>
            <w:r>
              <w:rPr>
                <w:rFonts w:ascii="Arial" w:cs="Arial" w:eastAsia="Arial" w:hAnsi="Arial"/>
                <w:sz w:val="18"/>
                <w:szCs w:val="18"/>
                <w:color w:val="auto"/>
              </w:rPr>
              <w:t>Depreciation</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541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424</w:t>
            </w:r>
          </w:p>
        </w:tc>
        <w:tc>
          <w:tcPr>
            <w:tcW w:w="0" w:type="dxa"/>
            <w:vAlign w:val="bottom"/>
          </w:tcPr>
          <w:p>
            <w:pPr>
              <w:spacing w:after="0"/>
              <w:rPr>
                <w:sz w:val="1"/>
                <w:szCs w:val="1"/>
                <w:color w:val="auto"/>
              </w:rPr>
            </w:pPr>
          </w:p>
        </w:tc>
      </w:tr>
      <w:tr>
        <w:trPr>
          <w:trHeight w:val="229"/>
        </w:trPr>
        <w:tc>
          <w:tcPr>
            <w:tcW w:w="8700" w:type="dxa"/>
            <w:vAlign w:val="bottom"/>
            <w:gridSpan w:val="2"/>
            <w:shd w:val="clear" w:color="auto" w:fill="DBDBDB"/>
          </w:tcPr>
          <w:p>
            <w:pPr>
              <w:ind w:left="220"/>
              <w:spacing w:after="0"/>
              <w:rPr>
                <w:sz w:val="20"/>
                <w:szCs w:val="20"/>
                <w:color w:val="auto"/>
              </w:rPr>
            </w:pPr>
            <w:r>
              <w:rPr>
                <w:rFonts w:ascii="Arial" w:cs="Arial" w:eastAsia="Arial" w:hAnsi="Arial"/>
                <w:sz w:val="18"/>
                <w:szCs w:val="18"/>
                <w:color w:val="auto"/>
              </w:rPr>
              <w:t>Amortization of capitalized software</w:t>
            </w:r>
          </w:p>
        </w:tc>
        <w:tc>
          <w:tcPr>
            <w:tcW w:w="280" w:type="dxa"/>
            <w:vAlign w:val="bottom"/>
            <w:shd w:val="clear" w:color="auto" w:fill="DBDBDB"/>
          </w:tcPr>
          <w:p>
            <w:pPr>
              <w:spacing w:after="0"/>
              <w:rPr>
                <w:sz w:val="19"/>
                <w:szCs w:val="19"/>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21</w:t>
            </w:r>
          </w:p>
        </w:tc>
        <w:tc>
          <w:tcPr>
            <w:tcW w:w="100" w:type="dxa"/>
            <w:vAlign w:val="bottom"/>
            <w:shd w:val="clear" w:color="auto" w:fill="DBDBDB"/>
          </w:tcPr>
          <w:p>
            <w:pPr>
              <w:spacing w:after="0"/>
              <w:rPr>
                <w:sz w:val="19"/>
                <w:szCs w:val="19"/>
                <w:color w:val="auto"/>
              </w:rPr>
            </w:pPr>
          </w:p>
        </w:tc>
        <w:tc>
          <w:tcPr>
            <w:tcW w:w="360" w:type="dxa"/>
            <w:vAlign w:val="bottom"/>
            <w:shd w:val="clear" w:color="auto" w:fill="DBDBDB"/>
          </w:tcPr>
          <w:p>
            <w:pPr>
              <w:spacing w:after="0"/>
              <w:rPr>
                <w:sz w:val="19"/>
                <w:szCs w:val="19"/>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30"/>
        </w:trPr>
        <w:tc>
          <w:tcPr>
            <w:tcW w:w="8700" w:type="dxa"/>
            <w:vAlign w:val="bottom"/>
            <w:gridSpan w:val="2"/>
          </w:tcPr>
          <w:p>
            <w:pPr>
              <w:ind w:left="220"/>
              <w:spacing w:after="0"/>
              <w:rPr>
                <w:sz w:val="20"/>
                <w:szCs w:val="20"/>
                <w:color w:val="auto"/>
              </w:rPr>
            </w:pPr>
            <w:r>
              <w:rPr>
                <w:rFonts w:ascii="Arial" w:cs="Arial" w:eastAsia="Arial" w:hAnsi="Arial"/>
                <w:sz w:val="18"/>
                <w:szCs w:val="18"/>
                <w:color w:val="auto"/>
              </w:rPr>
              <w:t>Stock compensation</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109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29"/>
        </w:trPr>
        <w:tc>
          <w:tcPr>
            <w:tcW w:w="8700" w:type="dxa"/>
            <w:vAlign w:val="bottom"/>
            <w:gridSpan w:val="2"/>
            <w:shd w:val="clear" w:color="auto" w:fill="DBDBDB"/>
          </w:tcPr>
          <w:p>
            <w:pPr>
              <w:ind w:left="220"/>
              <w:spacing w:after="0"/>
              <w:rPr>
                <w:sz w:val="20"/>
                <w:szCs w:val="20"/>
                <w:color w:val="auto"/>
              </w:rPr>
            </w:pPr>
            <w:r>
              <w:rPr>
                <w:rFonts w:ascii="Arial" w:cs="Arial" w:eastAsia="Arial" w:hAnsi="Arial"/>
                <w:sz w:val="18"/>
                <w:szCs w:val="18"/>
                <w:color w:val="auto"/>
              </w:rPr>
              <w:t>Gains on sales of assets</w:t>
            </w:r>
          </w:p>
        </w:tc>
        <w:tc>
          <w:tcPr>
            <w:tcW w:w="280" w:type="dxa"/>
            <w:vAlign w:val="bottom"/>
            <w:shd w:val="clear" w:color="auto" w:fill="DBDBDB"/>
          </w:tcPr>
          <w:p>
            <w:pPr>
              <w:spacing w:after="0"/>
              <w:rPr>
                <w:sz w:val="19"/>
                <w:szCs w:val="19"/>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(5)</w:t>
            </w:r>
          </w:p>
        </w:tc>
        <w:tc>
          <w:tcPr>
            <w:tcW w:w="100" w:type="dxa"/>
            <w:vAlign w:val="bottom"/>
            <w:shd w:val="clear" w:color="auto" w:fill="DBDBDB"/>
          </w:tcPr>
          <w:p>
            <w:pPr>
              <w:spacing w:after="0"/>
              <w:rPr>
                <w:sz w:val="19"/>
                <w:szCs w:val="19"/>
                <w:color w:val="auto"/>
              </w:rPr>
            </w:pPr>
          </w:p>
        </w:tc>
        <w:tc>
          <w:tcPr>
            <w:tcW w:w="360" w:type="dxa"/>
            <w:vAlign w:val="bottom"/>
            <w:shd w:val="clear" w:color="auto" w:fill="DBDBDB"/>
          </w:tcPr>
          <w:p>
            <w:pPr>
              <w:spacing w:after="0"/>
              <w:rPr>
                <w:sz w:val="19"/>
                <w:szCs w:val="19"/>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8700" w:type="dxa"/>
            <w:vAlign w:val="bottom"/>
            <w:gridSpan w:val="2"/>
          </w:tcPr>
          <w:p>
            <w:pPr>
              <w:ind w:left="220"/>
              <w:spacing w:after="0"/>
              <w:rPr>
                <w:sz w:val="20"/>
                <w:szCs w:val="20"/>
                <w:color w:val="auto"/>
              </w:rPr>
            </w:pPr>
            <w:r>
              <w:rPr>
                <w:rFonts w:ascii="Arial" w:cs="Arial" w:eastAsia="Arial" w:hAnsi="Arial"/>
                <w:sz w:val="18"/>
                <w:szCs w:val="18"/>
                <w:color w:val="auto"/>
              </w:rPr>
              <w:t>Deferred taxes</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30"/>
        </w:trPr>
        <w:tc>
          <w:tcPr>
            <w:tcW w:w="8700" w:type="dxa"/>
            <w:vAlign w:val="bottom"/>
            <w:gridSpan w:val="2"/>
            <w:shd w:val="clear" w:color="auto" w:fill="DBDBDB"/>
          </w:tcPr>
          <w:p>
            <w:pPr>
              <w:ind w:left="140"/>
              <w:spacing w:after="0"/>
              <w:rPr>
                <w:sz w:val="20"/>
                <w:szCs w:val="20"/>
                <w:color w:val="auto"/>
              </w:rPr>
            </w:pPr>
            <w:r>
              <w:rPr>
                <w:rFonts w:ascii="Arial" w:cs="Arial" w:eastAsia="Arial" w:hAnsi="Arial"/>
                <w:sz w:val="18"/>
                <w:szCs w:val="18"/>
                <w:color w:val="auto"/>
              </w:rPr>
              <w:t>Increase (decrease) from changes in:</w:t>
            </w:r>
          </w:p>
        </w:tc>
        <w:tc>
          <w:tcPr>
            <w:tcW w:w="280" w:type="dxa"/>
            <w:vAlign w:val="bottom"/>
            <w:shd w:val="clear" w:color="auto" w:fill="DBDBDB"/>
          </w:tcPr>
          <w:p>
            <w:pPr>
              <w:spacing w:after="0"/>
              <w:rPr>
                <w:sz w:val="19"/>
                <w:szCs w:val="19"/>
                <w:color w:val="auto"/>
              </w:rPr>
            </w:pPr>
          </w:p>
        </w:tc>
        <w:tc>
          <w:tcPr>
            <w:tcW w:w="94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360" w:type="dxa"/>
            <w:vAlign w:val="bottom"/>
            <w:shd w:val="clear" w:color="auto" w:fill="DBDBDB"/>
          </w:tcPr>
          <w:p>
            <w:pPr>
              <w:spacing w:after="0"/>
              <w:rPr>
                <w:sz w:val="19"/>
                <w:szCs w:val="19"/>
                <w:color w:val="auto"/>
              </w:rPr>
            </w:pPr>
          </w:p>
        </w:tc>
        <w:tc>
          <w:tcPr>
            <w:tcW w:w="86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700" w:type="dxa"/>
            <w:vAlign w:val="bottom"/>
            <w:gridSpan w:val="2"/>
          </w:tcPr>
          <w:p>
            <w:pPr>
              <w:ind w:left="220"/>
              <w:spacing w:after="0"/>
              <w:rPr>
                <w:sz w:val="20"/>
                <w:szCs w:val="20"/>
                <w:color w:val="auto"/>
              </w:rPr>
            </w:pPr>
            <w:r>
              <w:rPr>
                <w:rFonts w:ascii="Arial" w:cs="Arial" w:eastAsia="Arial" w:hAnsi="Arial"/>
                <w:sz w:val="18"/>
                <w:szCs w:val="18"/>
                <w:color w:val="auto"/>
              </w:rPr>
              <w:t>Accounts receivable</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(282)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29"/>
        </w:trPr>
        <w:tc>
          <w:tcPr>
            <w:tcW w:w="8700" w:type="dxa"/>
            <w:vAlign w:val="bottom"/>
            <w:gridSpan w:val="2"/>
            <w:shd w:val="clear" w:color="auto" w:fill="DBDBDB"/>
          </w:tcPr>
          <w:p>
            <w:pPr>
              <w:ind w:left="220"/>
              <w:spacing w:after="0"/>
              <w:rPr>
                <w:sz w:val="20"/>
                <w:szCs w:val="20"/>
                <w:color w:val="auto"/>
              </w:rPr>
            </w:pPr>
            <w:r>
              <w:rPr>
                <w:rFonts w:ascii="Arial" w:cs="Arial" w:eastAsia="Arial" w:hAnsi="Arial"/>
                <w:sz w:val="18"/>
                <w:szCs w:val="18"/>
                <w:color w:val="auto"/>
              </w:rPr>
              <w:t>Inventories</w:t>
            </w:r>
          </w:p>
        </w:tc>
        <w:tc>
          <w:tcPr>
            <w:tcW w:w="280" w:type="dxa"/>
            <w:vAlign w:val="bottom"/>
            <w:shd w:val="clear" w:color="auto" w:fill="DBDBDB"/>
          </w:tcPr>
          <w:p>
            <w:pPr>
              <w:spacing w:after="0"/>
              <w:rPr>
                <w:sz w:val="19"/>
                <w:szCs w:val="19"/>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109</w:t>
            </w:r>
          </w:p>
        </w:tc>
        <w:tc>
          <w:tcPr>
            <w:tcW w:w="100" w:type="dxa"/>
            <w:vAlign w:val="bottom"/>
            <w:shd w:val="clear" w:color="auto" w:fill="DBDBDB"/>
          </w:tcPr>
          <w:p>
            <w:pPr>
              <w:spacing w:after="0"/>
              <w:rPr>
                <w:sz w:val="19"/>
                <w:szCs w:val="19"/>
                <w:color w:val="auto"/>
              </w:rPr>
            </w:pPr>
          </w:p>
        </w:tc>
        <w:tc>
          <w:tcPr>
            <w:tcW w:w="360" w:type="dxa"/>
            <w:vAlign w:val="bottom"/>
            <w:shd w:val="clear" w:color="auto" w:fill="DBDBDB"/>
          </w:tcPr>
          <w:p>
            <w:pPr>
              <w:spacing w:after="0"/>
              <w:rPr>
                <w:sz w:val="19"/>
                <w:szCs w:val="19"/>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30"/>
        </w:trPr>
        <w:tc>
          <w:tcPr>
            <w:tcW w:w="8700" w:type="dxa"/>
            <w:vAlign w:val="bottom"/>
            <w:gridSpan w:val="2"/>
          </w:tcPr>
          <w:p>
            <w:pPr>
              <w:ind w:left="220"/>
              <w:spacing w:after="0"/>
              <w:rPr>
                <w:sz w:val="20"/>
                <w:szCs w:val="20"/>
                <w:color w:val="auto"/>
              </w:rPr>
            </w:pPr>
            <w:r>
              <w:rPr>
                <w:rFonts w:ascii="Arial" w:cs="Arial" w:eastAsia="Arial" w:hAnsi="Arial"/>
                <w:sz w:val="18"/>
                <w:szCs w:val="18"/>
                <w:color w:val="auto"/>
              </w:rPr>
              <w:t>Prepaid expenses and other current assets</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29"/>
        </w:trPr>
        <w:tc>
          <w:tcPr>
            <w:tcW w:w="8700" w:type="dxa"/>
            <w:vAlign w:val="bottom"/>
            <w:gridSpan w:val="2"/>
            <w:shd w:val="clear" w:color="auto" w:fill="DBDBDB"/>
          </w:tcPr>
          <w:p>
            <w:pPr>
              <w:ind w:left="220"/>
              <w:spacing w:after="0"/>
              <w:rPr>
                <w:sz w:val="20"/>
                <w:szCs w:val="20"/>
                <w:color w:val="auto"/>
              </w:rPr>
            </w:pPr>
            <w:r>
              <w:rPr>
                <w:rFonts w:ascii="Arial" w:cs="Arial" w:eastAsia="Arial" w:hAnsi="Arial"/>
                <w:sz w:val="18"/>
                <w:szCs w:val="18"/>
                <w:color w:val="auto"/>
              </w:rPr>
              <w:t>Accounts payable and accrued expenses</w:t>
            </w:r>
          </w:p>
        </w:tc>
        <w:tc>
          <w:tcPr>
            <w:tcW w:w="280" w:type="dxa"/>
            <w:vAlign w:val="bottom"/>
            <w:shd w:val="clear" w:color="auto" w:fill="DBDBDB"/>
          </w:tcPr>
          <w:p>
            <w:pPr>
              <w:spacing w:after="0"/>
              <w:rPr>
                <w:sz w:val="19"/>
                <w:szCs w:val="19"/>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(125)</w:t>
            </w:r>
          </w:p>
        </w:tc>
        <w:tc>
          <w:tcPr>
            <w:tcW w:w="100" w:type="dxa"/>
            <w:vAlign w:val="bottom"/>
            <w:shd w:val="clear" w:color="auto" w:fill="DBDBDB"/>
          </w:tcPr>
          <w:p>
            <w:pPr>
              <w:spacing w:after="0"/>
              <w:rPr>
                <w:sz w:val="19"/>
                <w:szCs w:val="19"/>
                <w:color w:val="auto"/>
              </w:rPr>
            </w:pPr>
          </w:p>
        </w:tc>
        <w:tc>
          <w:tcPr>
            <w:tcW w:w="360" w:type="dxa"/>
            <w:vAlign w:val="bottom"/>
            <w:shd w:val="clear" w:color="auto" w:fill="DBDBDB"/>
          </w:tcPr>
          <w:p>
            <w:pPr>
              <w:spacing w:after="0"/>
              <w:rPr>
                <w:sz w:val="19"/>
                <w:szCs w:val="19"/>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30"/>
        </w:trPr>
        <w:tc>
          <w:tcPr>
            <w:tcW w:w="8700" w:type="dxa"/>
            <w:vAlign w:val="bottom"/>
            <w:gridSpan w:val="2"/>
          </w:tcPr>
          <w:p>
            <w:pPr>
              <w:ind w:left="220"/>
              <w:spacing w:after="0"/>
              <w:rPr>
                <w:sz w:val="20"/>
                <w:szCs w:val="20"/>
                <w:color w:val="auto"/>
              </w:rPr>
            </w:pPr>
            <w:r>
              <w:rPr>
                <w:rFonts w:ascii="Arial" w:cs="Arial" w:eastAsia="Arial" w:hAnsi="Arial"/>
                <w:sz w:val="18"/>
                <w:szCs w:val="18"/>
                <w:color w:val="auto"/>
              </w:rPr>
              <w:t>Accrued compensation</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(447)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(427)</w:t>
            </w:r>
          </w:p>
        </w:tc>
        <w:tc>
          <w:tcPr>
            <w:tcW w:w="0" w:type="dxa"/>
            <w:vAlign w:val="bottom"/>
          </w:tcPr>
          <w:p>
            <w:pPr>
              <w:spacing w:after="0"/>
              <w:rPr>
                <w:sz w:val="1"/>
                <w:szCs w:val="1"/>
                <w:color w:val="auto"/>
              </w:rPr>
            </w:pPr>
          </w:p>
        </w:tc>
      </w:tr>
      <w:tr>
        <w:trPr>
          <w:trHeight w:val="229"/>
        </w:trPr>
        <w:tc>
          <w:tcPr>
            <w:tcW w:w="8700" w:type="dxa"/>
            <w:vAlign w:val="bottom"/>
            <w:gridSpan w:val="2"/>
            <w:shd w:val="clear" w:color="auto" w:fill="DBDBDB"/>
          </w:tcPr>
          <w:p>
            <w:pPr>
              <w:ind w:left="220"/>
              <w:spacing w:after="0"/>
              <w:rPr>
                <w:sz w:val="20"/>
                <w:szCs w:val="20"/>
                <w:color w:val="auto"/>
              </w:rPr>
            </w:pPr>
            <w:r>
              <w:rPr>
                <w:rFonts w:ascii="Arial" w:cs="Arial" w:eastAsia="Arial" w:hAnsi="Arial"/>
                <w:sz w:val="18"/>
                <w:szCs w:val="18"/>
                <w:color w:val="auto"/>
              </w:rPr>
              <w:t>Income taxes payable</w:t>
            </w:r>
          </w:p>
        </w:tc>
        <w:tc>
          <w:tcPr>
            <w:tcW w:w="280" w:type="dxa"/>
            <w:vAlign w:val="bottom"/>
            <w:shd w:val="clear" w:color="auto" w:fill="DBDBDB"/>
          </w:tcPr>
          <w:p>
            <w:pPr>
              <w:spacing w:after="0"/>
              <w:rPr>
                <w:sz w:val="19"/>
                <w:szCs w:val="19"/>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130</w:t>
            </w:r>
          </w:p>
        </w:tc>
        <w:tc>
          <w:tcPr>
            <w:tcW w:w="100" w:type="dxa"/>
            <w:vAlign w:val="bottom"/>
            <w:shd w:val="clear" w:color="auto" w:fill="DBDBDB"/>
          </w:tcPr>
          <w:p>
            <w:pPr>
              <w:spacing w:after="0"/>
              <w:rPr>
                <w:sz w:val="19"/>
                <w:szCs w:val="19"/>
                <w:color w:val="auto"/>
              </w:rPr>
            </w:pPr>
          </w:p>
        </w:tc>
        <w:tc>
          <w:tcPr>
            <w:tcW w:w="360" w:type="dxa"/>
            <w:vAlign w:val="bottom"/>
            <w:shd w:val="clear" w:color="auto" w:fill="DBDBDB"/>
          </w:tcPr>
          <w:p>
            <w:pPr>
              <w:spacing w:after="0"/>
              <w:rPr>
                <w:sz w:val="19"/>
                <w:szCs w:val="19"/>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29"/>
        </w:trPr>
        <w:tc>
          <w:tcPr>
            <w:tcW w:w="8700" w:type="dxa"/>
            <w:vAlign w:val="bottom"/>
            <w:gridSpan w:val="2"/>
          </w:tcPr>
          <w:p>
            <w:pPr>
              <w:ind w:left="140"/>
              <w:spacing w:after="0"/>
              <w:rPr>
                <w:sz w:val="20"/>
                <w:szCs w:val="20"/>
                <w:color w:val="auto"/>
              </w:rPr>
            </w:pPr>
            <w:r>
              <w:rPr>
                <w:rFonts w:ascii="Arial" w:cs="Arial" w:eastAsia="Arial" w:hAnsi="Arial"/>
                <w:sz w:val="18"/>
                <w:szCs w:val="18"/>
                <w:color w:val="auto"/>
              </w:rPr>
              <w:t>Changes in funded status of retirement plans</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30"/>
        </w:trPr>
        <w:tc>
          <w:tcPr>
            <w:tcW w:w="8700" w:type="dxa"/>
            <w:vAlign w:val="bottom"/>
            <w:gridSpan w:val="2"/>
            <w:shd w:val="clear" w:color="auto" w:fill="DBDBDB"/>
          </w:tcPr>
          <w:p>
            <w:pPr>
              <w:ind w:left="14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auto"/>
            </w:tcBorders>
            <w:shd w:val="clear" w:color="auto" w:fill="DBDBDB"/>
          </w:tcPr>
          <w:p>
            <w:pPr>
              <w:spacing w:after="0"/>
              <w:rPr>
                <w:sz w:val="19"/>
                <w:szCs w:val="19"/>
                <w:color w:val="auto"/>
              </w:rPr>
            </w:pPr>
          </w:p>
        </w:tc>
        <w:tc>
          <w:tcPr>
            <w:tcW w:w="9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(67)</w:t>
            </w:r>
          </w:p>
        </w:tc>
        <w:tc>
          <w:tcPr>
            <w:tcW w:w="100" w:type="dxa"/>
            <w:vAlign w:val="bottom"/>
            <w:shd w:val="clear" w:color="auto" w:fill="DBDBDB"/>
          </w:tcPr>
          <w:p>
            <w:pPr>
              <w:spacing w:after="0"/>
              <w:rPr>
                <w:sz w:val="19"/>
                <w:szCs w:val="19"/>
                <w:color w:val="auto"/>
              </w:rPr>
            </w:pPr>
          </w:p>
        </w:tc>
        <w:tc>
          <w:tcPr>
            <w:tcW w:w="360" w:type="dxa"/>
            <w:vAlign w:val="bottom"/>
            <w:tcBorders>
              <w:bottom w:val="single" w:sz="8" w:color="auto"/>
            </w:tcBorders>
            <w:shd w:val="clear" w:color="auto" w:fill="DBDBDB"/>
          </w:tcPr>
          <w:p>
            <w:pPr>
              <w:spacing w:after="0"/>
              <w:rPr>
                <w:sz w:val="19"/>
                <w:szCs w:val="19"/>
                <w:color w:val="auto"/>
              </w:rPr>
            </w:pPr>
          </w:p>
        </w:tc>
        <w:tc>
          <w:tcPr>
            <w:tcW w:w="8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23"/>
        </w:trPr>
        <w:tc>
          <w:tcPr>
            <w:tcW w:w="8700" w:type="dxa"/>
            <w:vAlign w:val="bottom"/>
            <w:tcBorders>
              <w:bottom w:val="single" w:sz="8" w:color="DBDBDB"/>
            </w:tcBorders>
            <w:gridSpan w:val="2"/>
          </w:tcPr>
          <w:p>
            <w:pPr>
              <w:ind w:left="20"/>
              <w:spacing w:after="0"/>
              <w:rPr>
                <w:sz w:val="20"/>
                <w:szCs w:val="20"/>
                <w:color w:val="auto"/>
              </w:rPr>
            </w:pPr>
            <w:r>
              <w:rPr>
                <w:rFonts w:ascii="Arial" w:cs="Arial" w:eastAsia="Arial" w:hAnsi="Arial"/>
                <w:sz w:val="18"/>
                <w:szCs w:val="18"/>
                <w:color w:val="auto"/>
              </w:rPr>
              <w:t>Cash flows from operating activities</w:t>
            </w: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1,520</w:t>
            </w:r>
          </w:p>
        </w:tc>
        <w:tc>
          <w:tcPr>
            <w:tcW w:w="100" w:type="dxa"/>
            <w:vAlign w:val="bottom"/>
            <w:tcBorders>
              <w:bottom w:val="single" w:sz="8" w:color="DBDBDB"/>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849</w:t>
            </w:r>
          </w:p>
        </w:tc>
        <w:tc>
          <w:tcPr>
            <w:tcW w:w="0" w:type="dxa"/>
            <w:vAlign w:val="bottom"/>
          </w:tcPr>
          <w:p>
            <w:pPr>
              <w:spacing w:after="0"/>
              <w:rPr>
                <w:sz w:val="1"/>
                <w:szCs w:val="1"/>
                <w:color w:val="auto"/>
              </w:rPr>
            </w:pPr>
          </w:p>
        </w:tc>
      </w:tr>
      <w:tr>
        <w:trPr>
          <w:trHeight w:val="196"/>
        </w:trPr>
        <w:tc>
          <w:tcPr>
            <w:tcW w:w="860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280" w:type="dxa"/>
            <w:vAlign w:val="bottom"/>
            <w:shd w:val="clear" w:color="auto" w:fill="DBDBDB"/>
          </w:tcPr>
          <w:p>
            <w:pPr>
              <w:spacing w:after="0"/>
              <w:rPr>
                <w:sz w:val="17"/>
                <w:szCs w:val="17"/>
                <w:color w:val="auto"/>
              </w:rPr>
            </w:pPr>
          </w:p>
        </w:tc>
        <w:tc>
          <w:tcPr>
            <w:tcW w:w="94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360" w:type="dxa"/>
            <w:vAlign w:val="bottom"/>
            <w:shd w:val="clear" w:color="auto" w:fill="DBDBDB"/>
          </w:tcPr>
          <w:p>
            <w:pPr>
              <w:spacing w:after="0"/>
              <w:rPr>
                <w:sz w:val="17"/>
                <w:szCs w:val="17"/>
                <w:color w:val="auto"/>
              </w:rPr>
            </w:pPr>
          </w:p>
        </w:tc>
        <w:tc>
          <w:tcPr>
            <w:tcW w:w="86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700" w:type="dxa"/>
            <w:vAlign w:val="bottom"/>
            <w:gridSpan w:val="2"/>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700" w:type="dxa"/>
            <w:vAlign w:val="bottom"/>
            <w:gridSpan w:val="2"/>
            <w:shd w:val="clear" w:color="auto" w:fill="DBDBDB"/>
          </w:tcPr>
          <w:p>
            <w:pPr>
              <w:ind w:left="140"/>
              <w:spacing w:after="0"/>
              <w:rPr>
                <w:sz w:val="20"/>
                <w:szCs w:val="20"/>
                <w:color w:val="auto"/>
              </w:rPr>
            </w:pPr>
            <w:r>
              <w:rPr>
                <w:rFonts w:ascii="Arial" w:cs="Arial" w:eastAsia="Arial" w:hAnsi="Arial"/>
                <w:sz w:val="18"/>
                <w:szCs w:val="18"/>
                <w:color w:val="auto"/>
              </w:rPr>
              <w:t>Capital expenditures</w:t>
            </w:r>
          </w:p>
        </w:tc>
        <w:tc>
          <w:tcPr>
            <w:tcW w:w="280" w:type="dxa"/>
            <w:vAlign w:val="bottom"/>
            <w:shd w:val="clear" w:color="auto" w:fill="DBDBDB"/>
          </w:tcPr>
          <w:p>
            <w:pPr>
              <w:spacing w:after="0"/>
              <w:rPr>
                <w:sz w:val="19"/>
                <w:szCs w:val="19"/>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(676)</w:t>
            </w:r>
          </w:p>
        </w:tc>
        <w:tc>
          <w:tcPr>
            <w:tcW w:w="100" w:type="dxa"/>
            <w:vAlign w:val="bottom"/>
            <w:shd w:val="clear" w:color="auto" w:fill="DBDBDB"/>
          </w:tcPr>
          <w:p>
            <w:pPr>
              <w:spacing w:after="0"/>
              <w:rPr>
                <w:sz w:val="19"/>
                <w:szCs w:val="19"/>
                <w:color w:val="auto"/>
              </w:rPr>
            </w:pPr>
          </w:p>
        </w:tc>
        <w:tc>
          <w:tcPr>
            <w:tcW w:w="360" w:type="dxa"/>
            <w:vAlign w:val="bottom"/>
            <w:shd w:val="clear" w:color="auto" w:fill="DBDBDB"/>
          </w:tcPr>
          <w:p>
            <w:pPr>
              <w:spacing w:after="0"/>
              <w:rPr>
                <w:sz w:val="19"/>
                <w:szCs w:val="19"/>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(1,123)</w:t>
            </w:r>
          </w:p>
        </w:tc>
        <w:tc>
          <w:tcPr>
            <w:tcW w:w="0" w:type="dxa"/>
            <w:vAlign w:val="bottom"/>
          </w:tcPr>
          <w:p>
            <w:pPr>
              <w:spacing w:after="0"/>
              <w:rPr>
                <w:sz w:val="1"/>
                <w:szCs w:val="1"/>
                <w:color w:val="auto"/>
              </w:rPr>
            </w:pPr>
          </w:p>
        </w:tc>
      </w:tr>
      <w:tr>
        <w:trPr>
          <w:trHeight w:val="230"/>
        </w:trPr>
        <w:tc>
          <w:tcPr>
            <w:tcW w:w="8700" w:type="dxa"/>
            <w:vAlign w:val="bottom"/>
            <w:gridSpan w:val="2"/>
          </w:tcPr>
          <w:p>
            <w:pPr>
              <w:ind w:left="140"/>
              <w:spacing w:after="0"/>
              <w:rPr>
                <w:sz w:val="20"/>
                <w:szCs w:val="20"/>
                <w:color w:val="auto"/>
              </w:rPr>
            </w:pPr>
            <w:r>
              <w:rPr>
                <w:rFonts w:ascii="Arial" w:cs="Arial" w:eastAsia="Arial" w:hAnsi="Arial"/>
                <w:sz w:val="18"/>
                <w:szCs w:val="18"/>
                <w:color w:val="auto"/>
              </w:rPr>
              <w:t>Proceeds from U.S. CHIPS and Science Act (CHIPS Act) incentives</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555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260</w:t>
            </w:r>
          </w:p>
        </w:tc>
        <w:tc>
          <w:tcPr>
            <w:tcW w:w="0" w:type="dxa"/>
            <w:vAlign w:val="bottom"/>
          </w:tcPr>
          <w:p>
            <w:pPr>
              <w:spacing w:after="0"/>
              <w:rPr>
                <w:sz w:val="1"/>
                <w:szCs w:val="1"/>
                <w:color w:val="auto"/>
              </w:rPr>
            </w:pPr>
          </w:p>
        </w:tc>
      </w:tr>
      <w:tr>
        <w:trPr>
          <w:trHeight w:val="230"/>
        </w:trPr>
        <w:tc>
          <w:tcPr>
            <w:tcW w:w="8700" w:type="dxa"/>
            <w:vAlign w:val="bottom"/>
            <w:gridSpan w:val="2"/>
            <w:shd w:val="clear" w:color="auto" w:fill="DBDBDB"/>
          </w:tcPr>
          <w:p>
            <w:pPr>
              <w:ind w:left="140"/>
              <w:spacing w:after="0"/>
              <w:rPr>
                <w:sz w:val="20"/>
                <w:szCs w:val="20"/>
                <w:color w:val="auto"/>
              </w:rPr>
            </w:pPr>
            <w:r>
              <w:rPr>
                <w:rFonts w:ascii="Arial" w:cs="Arial" w:eastAsia="Arial" w:hAnsi="Arial"/>
                <w:sz w:val="18"/>
                <w:szCs w:val="18"/>
                <w:color w:val="auto"/>
              </w:rPr>
              <w:t>Proceeds from asset sales</w:t>
            </w:r>
          </w:p>
        </w:tc>
        <w:tc>
          <w:tcPr>
            <w:tcW w:w="280" w:type="dxa"/>
            <w:vAlign w:val="bottom"/>
            <w:shd w:val="clear" w:color="auto" w:fill="DBDBDB"/>
          </w:tcPr>
          <w:p>
            <w:pPr>
              <w:spacing w:after="0"/>
              <w:rPr>
                <w:sz w:val="19"/>
                <w:szCs w:val="19"/>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5</w:t>
            </w:r>
          </w:p>
        </w:tc>
        <w:tc>
          <w:tcPr>
            <w:tcW w:w="100" w:type="dxa"/>
            <w:vAlign w:val="bottom"/>
            <w:shd w:val="clear" w:color="auto" w:fill="DBDBDB"/>
          </w:tcPr>
          <w:p>
            <w:pPr>
              <w:spacing w:after="0"/>
              <w:rPr>
                <w:sz w:val="19"/>
                <w:szCs w:val="19"/>
                <w:color w:val="auto"/>
              </w:rPr>
            </w:pPr>
          </w:p>
        </w:tc>
        <w:tc>
          <w:tcPr>
            <w:tcW w:w="360" w:type="dxa"/>
            <w:vAlign w:val="bottom"/>
            <w:shd w:val="clear" w:color="auto" w:fill="DBDBDB"/>
          </w:tcPr>
          <w:p>
            <w:pPr>
              <w:spacing w:after="0"/>
              <w:rPr>
                <w:sz w:val="19"/>
                <w:szCs w:val="19"/>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700" w:type="dxa"/>
            <w:vAlign w:val="bottom"/>
            <w:gridSpan w:val="2"/>
          </w:tcPr>
          <w:p>
            <w:pPr>
              <w:ind w:left="140"/>
              <w:spacing w:after="0"/>
              <w:rPr>
                <w:sz w:val="20"/>
                <w:szCs w:val="20"/>
                <w:color w:val="auto"/>
              </w:rPr>
            </w:pPr>
            <w:r>
              <w:rPr>
                <w:rFonts w:ascii="Arial" w:cs="Arial" w:eastAsia="Arial" w:hAnsi="Arial"/>
                <w:sz w:val="18"/>
                <w:szCs w:val="18"/>
                <w:color w:val="auto"/>
              </w:rPr>
              <w:t>Purchases of short-term investments</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(935)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(647)</w:t>
            </w:r>
          </w:p>
        </w:tc>
        <w:tc>
          <w:tcPr>
            <w:tcW w:w="0" w:type="dxa"/>
            <w:vAlign w:val="bottom"/>
          </w:tcPr>
          <w:p>
            <w:pPr>
              <w:spacing w:after="0"/>
              <w:rPr>
                <w:sz w:val="1"/>
                <w:szCs w:val="1"/>
                <w:color w:val="auto"/>
              </w:rPr>
            </w:pPr>
          </w:p>
        </w:tc>
      </w:tr>
      <w:tr>
        <w:trPr>
          <w:trHeight w:val="230"/>
        </w:trPr>
        <w:tc>
          <w:tcPr>
            <w:tcW w:w="8700" w:type="dxa"/>
            <w:vAlign w:val="bottom"/>
            <w:gridSpan w:val="2"/>
            <w:shd w:val="clear" w:color="auto" w:fill="DBDBDB"/>
          </w:tcPr>
          <w:p>
            <w:pPr>
              <w:ind w:left="140"/>
              <w:spacing w:after="0"/>
              <w:rPr>
                <w:sz w:val="20"/>
                <w:szCs w:val="20"/>
                <w:color w:val="auto"/>
              </w:rPr>
            </w:pPr>
            <w:r>
              <w:rPr>
                <w:rFonts w:ascii="Arial" w:cs="Arial" w:eastAsia="Arial" w:hAnsi="Arial"/>
                <w:sz w:val="18"/>
                <w:szCs w:val="18"/>
                <w:color w:val="auto"/>
              </w:rPr>
              <w:t>Proceeds from short-term investments</w:t>
            </w:r>
          </w:p>
        </w:tc>
        <w:tc>
          <w:tcPr>
            <w:tcW w:w="280" w:type="dxa"/>
            <w:vAlign w:val="bottom"/>
            <w:shd w:val="clear" w:color="auto" w:fill="DBDBDB"/>
          </w:tcPr>
          <w:p>
            <w:pPr>
              <w:spacing w:after="0"/>
              <w:rPr>
                <w:sz w:val="19"/>
                <w:szCs w:val="19"/>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1,043</w:t>
            </w:r>
          </w:p>
        </w:tc>
        <w:tc>
          <w:tcPr>
            <w:tcW w:w="100" w:type="dxa"/>
            <w:vAlign w:val="bottom"/>
            <w:shd w:val="clear" w:color="auto" w:fill="DBDBDB"/>
          </w:tcPr>
          <w:p>
            <w:pPr>
              <w:spacing w:after="0"/>
              <w:rPr>
                <w:sz w:val="19"/>
                <w:szCs w:val="19"/>
                <w:color w:val="auto"/>
              </w:rPr>
            </w:pPr>
          </w:p>
        </w:tc>
        <w:tc>
          <w:tcPr>
            <w:tcW w:w="360" w:type="dxa"/>
            <w:vAlign w:val="bottom"/>
            <w:shd w:val="clear" w:color="auto" w:fill="DBDBDB"/>
          </w:tcPr>
          <w:p>
            <w:pPr>
              <w:spacing w:after="0"/>
              <w:rPr>
                <w:sz w:val="19"/>
                <w:szCs w:val="19"/>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2,807</w:t>
            </w:r>
          </w:p>
        </w:tc>
        <w:tc>
          <w:tcPr>
            <w:tcW w:w="0" w:type="dxa"/>
            <w:vAlign w:val="bottom"/>
          </w:tcPr>
          <w:p>
            <w:pPr>
              <w:spacing w:after="0"/>
              <w:rPr>
                <w:sz w:val="1"/>
                <w:szCs w:val="1"/>
                <w:color w:val="auto"/>
              </w:rPr>
            </w:pPr>
          </w:p>
        </w:tc>
      </w:tr>
      <w:tr>
        <w:trPr>
          <w:trHeight w:val="229"/>
        </w:trPr>
        <w:tc>
          <w:tcPr>
            <w:tcW w:w="8700" w:type="dxa"/>
            <w:vAlign w:val="bottom"/>
            <w:tcBorders>
              <w:bottom w:val="single" w:sz="8" w:color="DBDBDB"/>
            </w:tcBorders>
            <w:gridSpan w:val="2"/>
          </w:tcPr>
          <w:p>
            <w:pPr>
              <w:ind w:left="14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(39)</w:t>
            </w:r>
          </w:p>
        </w:tc>
        <w:tc>
          <w:tcPr>
            <w:tcW w:w="100" w:type="dxa"/>
            <w:vAlign w:val="bottom"/>
            <w:tcBorders>
              <w:bottom w:val="single" w:sz="8" w:color="DBDBDB"/>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23"/>
        </w:trPr>
        <w:tc>
          <w:tcPr>
            <w:tcW w:w="870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Cash flows from investing activities</w:t>
            </w:r>
          </w:p>
        </w:tc>
        <w:tc>
          <w:tcPr>
            <w:tcW w:w="280" w:type="dxa"/>
            <w:vAlign w:val="bottom"/>
            <w:tcBorders>
              <w:bottom w:val="single" w:sz="8" w:color="auto"/>
            </w:tcBorders>
            <w:shd w:val="clear" w:color="auto" w:fill="DBDBDB"/>
          </w:tcPr>
          <w:p>
            <w:pPr>
              <w:spacing w:after="0"/>
              <w:rPr>
                <w:sz w:val="19"/>
                <w:szCs w:val="19"/>
                <w:color w:val="auto"/>
              </w:rPr>
            </w:pPr>
          </w:p>
        </w:tc>
        <w:tc>
          <w:tcPr>
            <w:tcW w:w="9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(47)</w:t>
            </w:r>
          </w:p>
        </w:tc>
        <w:tc>
          <w:tcPr>
            <w:tcW w:w="100" w:type="dxa"/>
            <w:vAlign w:val="bottom"/>
            <w:shd w:val="clear" w:color="auto" w:fill="DBDBDB"/>
          </w:tcPr>
          <w:p>
            <w:pPr>
              <w:spacing w:after="0"/>
              <w:rPr>
                <w:sz w:val="19"/>
                <w:szCs w:val="19"/>
                <w:color w:val="auto"/>
              </w:rPr>
            </w:pPr>
          </w:p>
        </w:tc>
        <w:tc>
          <w:tcPr>
            <w:tcW w:w="360" w:type="dxa"/>
            <w:vAlign w:val="bottom"/>
            <w:tcBorders>
              <w:bottom w:val="single" w:sz="8" w:color="auto"/>
            </w:tcBorders>
            <w:shd w:val="clear" w:color="auto" w:fill="DBDBDB"/>
          </w:tcPr>
          <w:p>
            <w:pPr>
              <w:spacing w:after="0"/>
              <w:rPr>
                <w:sz w:val="19"/>
                <w:szCs w:val="19"/>
                <w:color w:val="auto"/>
              </w:rPr>
            </w:pPr>
          </w:p>
        </w:tc>
        <w:tc>
          <w:tcPr>
            <w:tcW w:w="8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1,253</w:t>
            </w:r>
          </w:p>
        </w:tc>
        <w:tc>
          <w:tcPr>
            <w:tcW w:w="0" w:type="dxa"/>
            <w:vAlign w:val="bottom"/>
          </w:tcPr>
          <w:p>
            <w:pPr>
              <w:spacing w:after="0"/>
              <w:rPr>
                <w:sz w:val="1"/>
                <w:szCs w:val="1"/>
                <w:color w:val="auto"/>
              </w:rPr>
            </w:pPr>
          </w:p>
        </w:tc>
      </w:tr>
      <w:tr>
        <w:trPr>
          <w:trHeight w:val="196"/>
        </w:trPr>
        <w:tc>
          <w:tcPr>
            <w:tcW w:w="8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700" w:type="dxa"/>
            <w:vAlign w:val="bottom"/>
            <w:gridSpan w:val="2"/>
            <w:shd w:val="clear" w:color="auto" w:fill="DBDBDB"/>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280" w:type="dxa"/>
            <w:vAlign w:val="bottom"/>
            <w:shd w:val="clear" w:color="auto" w:fill="DBDBDB"/>
          </w:tcPr>
          <w:p>
            <w:pPr>
              <w:spacing w:after="0"/>
              <w:rPr>
                <w:sz w:val="19"/>
                <w:szCs w:val="19"/>
                <w:color w:val="auto"/>
              </w:rPr>
            </w:pPr>
          </w:p>
        </w:tc>
        <w:tc>
          <w:tcPr>
            <w:tcW w:w="94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360" w:type="dxa"/>
            <w:vAlign w:val="bottom"/>
            <w:shd w:val="clear" w:color="auto" w:fill="DBDBDB"/>
          </w:tcPr>
          <w:p>
            <w:pPr>
              <w:spacing w:after="0"/>
              <w:rPr>
                <w:sz w:val="19"/>
                <w:szCs w:val="19"/>
                <w:color w:val="auto"/>
              </w:rPr>
            </w:pPr>
          </w:p>
        </w:tc>
        <w:tc>
          <w:tcPr>
            <w:tcW w:w="86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700" w:type="dxa"/>
            <w:vAlign w:val="bottom"/>
            <w:gridSpan w:val="2"/>
          </w:tcPr>
          <w:p>
            <w:pPr>
              <w:ind w:left="140"/>
              <w:spacing w:after="0"/>
              <w:rPr>
                <w:sz w:val="20"/>
                <w:szCs w:val="20"/>
                <w:color w:val="auto"/>
              </w:rPr>
            </w:pPr>
            <w:r>
              <w:rPr>
                <w:rFonts w:ascii="Arial" w:cs="Arial" w:eastAsia="Arial" w:hAnsi="Arial"/>
                <w:sz w:val="18"/>
                <w:szCs w:val="18"/>
                <w:color w:val="auto"/>
              </w:rPr>
              <w:t>Repayment of debt</w:t>
            </w:r>
          </w:p>
        </w:tc>
        <w:tc>
          <w:tcPr>
            <w:tcW w:w="28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3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(750)</w:t>
            </w:r>
          </w:p>
        </w:tc>
        <w:tc>
          <w:tcPr>
            <w:tcW w:w="0" w:type="dxa"/>
            <w:vAlign w:val="bottom"/>
          </w:tcPr>
          <w:p>
            <w:pPr>
              <w:spacing w:after="0"/>
              <w:rPr>
                <w:sz w:val="1"/>
                <w:szCs w:val="1"/>
                <w:color w:val="auto"/>
              </w:rPr>
            </w:pPr>
          </w:p>
        </w:tc>
      </w:tr>
      <w:tr>
        <w:trPr>
          <w:trHeight w:val="230"/>
        </w:trPr>
        <w:tc>
          <w:tcPr>
            <w:tcW w:w="8700" w:type="dxa"/>
            <w:vAlign w:val="bottom"/>
            <w:gridSpan w:val="2"/>
            <w:shd w:val="clear" w:color="auto" w:fill="DBDBDB"/>
          </w:tcPr>
          <w:p>
            <w:pPr>
              <w:ind w:left="140"/>
              <w:spacing w:after="0"/>
              <w:rPr>
                <w:sz w:val="20"/>
                <w:szCs w:val="20"/>
                <w:color w:val="auto"/>
              </w:rPr>
            </w:pPr>
            <w:r>
              <w:rPr>
                <w:rFonts w:ascii="Arial" w:cs="Arial" w:eastAsia="Arial" w:hAnsi="Arial"/>
                <w:sz w:val="18"/>
                <w:szCs w:val="18"/>
                <w:color w:val="auto"/>
              </w:rPr>
              <w:t>Dividends paid</w:t>
            </w:r>
          </w:p>
        </w:tc>
        <w:tc>
          <w:tcPr>
            <w:tcW w:w="280" w:type="dxa"/>
            <w:vAlign w:val="bottom"/>
            <w:shd w:val="clear" w:color="auto" w:fill="DBDBDB"/>
          </w:tcPr>
          <w:p>
            <w:pPr>
              <w:spacing w:after="0"/>
              <w:rPr>
                <w:sz w:val="19"/>
                <w:szCs w:val="19"/>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(1,291)</w:t>
            </w:r>
          </w:p>
        </w:tc>
        <w:tc>
          <w:tcPr>
            <w:tcW w:w="100" w:type="dxa"/>
            <w:vAlign w:val="bottom"/>
            <w:shd w:val="clear" w:color="auto" w:fill="DBDBDB"/>
          </w:tcPr>
          <w:p>
            <w:pPr>
              <w:spacing w:after="0"/>
              <w:rPr>
                <w:sz w:val="19"/>
                <w:szCs w:val="19"/>
                <w:color w:val="auto"/>
              </w:rPr>
            </w:pPr>
          </w:p>
        </w:tc>
        <w:tc>
          <w:tcPr>
            <w:tcW w:w="360" w:type="dxa"/>
            <w:vAlign w:val="bottom"/>
            <w:shd w:val="clear" w:color="auto" w:fill="DBDBDB"/>
          </w:tcPr>
          <w:p>
            <w:pPr>
              <w:spacing w:after="0"/>
              <w:rPr>
                <w:sz w:val="19"/>
                <w:szCs w:val="19"/>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(1,238)</w:t>
            </w:r>
          </w:p>
        </w:tc>
        <w:tc>
          <w:tcPr>
            <w:tcW w:w="0" w:type="dxa"/>
            <w:vAlign w:val="bottom"/>
          </w:tcPr>
          <w:p>
            <w:pPr>
              <w:spacing w:after="0"/>
              <w:rPr>
                <w:sz w:val="1"/>
                <w:szCs w:val="1"/>
                <w:color w:val="auto"/>
              </w:rPr>
            </w:pPr>
          </w:p>
        </w:tc>
      </w:tr>
      <w:tr>
        <w:trPr>
          <w:trHeight w:val="230"/>
        </w:trPr>
        <w:tc>
          <w:tcPr>
            <w:tcW w:w="8700" w:type="dxa"/>
            <w:vAlign w:val="bottom"/>
            <w:gridSpan w:val="2"/>
          </w:tcPr>
          <w:p>
            <w:pPr>
              <w:ind w:left="140"/>
              <w:spacing w:after="0"/>
              <w:rPr>
                <w:sz w:val="20"/>
                <w:szCs w:val="20"/>
                <w:color w:val="auto"/>
              </w:rPr>
            </w:pPr>
            <w:r>
              <w:rPr>
                <w:rFonts w:ascii="Arial" w:cs="Arial" w:eastAsia="Arial" w:hAnsi="Arial"/>
                <w:sz w:val="18"/>
                <w:szCs w:val="18"/>
                <w:color w:val="auto"/>
              </w:rPr>
              <w:t>Stock repurchases</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(158)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(653)</w:t>
            </w:r>
          </w:p>
        </w:tc>
        <w:tc>
          <w:tcPr>
            <w:tcW w:w="0" w:type="dxa"/>
            <w:vAlign w:val="bottom"/>
          </w:tcPr>
          <w:p>
            <w:pPr>
              <w:spacing w:after="0"/>
              <w:rPr>
                <w:sz w:val="1"/>
                <w:szCs w:val="1"/>
                <w:color w:val="auto"/>
              </w:rPr>
            </w:pPr>
          </w:p>
        </w:tc>
      </w:tr>
      <w:tr>
        <w:trPr>
          <w:trHeight w:val="230"/>
        </w:trPr>
        <w:tc>
          <w:tcPr>
            <w:tcW w:w="8700" w:type="dxa"/>
            <w:vAlign w:val="bottom"/>
            <w:gridSpan w:val="2"/>
            <w:shd w:val="clear" w:color="auto" w:fill="DBDBDB"/>
          </w:tcPr>
          <w:p>
            <w:pPr>
              <w:ind w:left="140"/>
              <w:spacing w:after="0"/>
              <w:rPr>
                <w:sz w:val="20"/>
                <w:szCs w:val="20"/>
                <w:color w:val="auto"/>
              </w:rPr>
            </w:pPr>
            <w:r>
              <w:rPr>
                <w:rFonts w:ascii="Arial" w:cs="Arial" w:eastAsia="Arial" w:hAnsi="Arial"/>
                <w:sz w:val="18"/>
                <w:szCs w:val="18"/>
                <w:color w:val="auto"/>
              </w:rPr>
              <w:t>Proceeds from common stock transactions</w:t>
            </w:r>
          </w:p>
        </w:tc>
        <w:tc>
          <w:tcPr>
            <w:tcW w:w="280" w:type="dxa"/>
            <w:vAlign w:val="bottom"/>
            <w:shd w:val="clear" w:color="auto" w:fill="DBDBDB"/>
          </w:tcPr>
          <w:p>
            <w:pPr>
              <w:spacing w:after="0"/>
              <w:rPr>
                <w:sz w:val="19"/>
                <w:szCs w:val="19"/>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309</w:t>
            </w:r>
          </w:p>
        </w:tc>
        <w:tc>
          <w:tcPr>
            <w:tcW w:w="100" w:type="dxa"/>
            <w:vAlign w:val="bottom"/>
            <w:shd w:val="clear" w:color="auto" w:fill="DBDBDB"/>
          </w:tcPr>
          <w:p>
            <w:pPr>
              <w:spacing w:after="0"/>
              <w:rPr>
                <w:sz w:val="19"/>
                <w:szCs w:val="19"/>
                <w:color w:val="auto"/>
              </w:rPr>
            </w:pPr>
          </w:p>
        </w:tc>
        <w:tc>
          <w:tcPr>
            <w:tcW w:w="360" w:type="dxa"/>
            <w:vAlign w:val="bottom"/>
            <w:shd w:val="clear" w:color="auto" w:fill="DBDBDB"/>
          </w:tcPr>
          <w:p>
            <w:pPr>
              <w:spacing w:after="0"/>
              <w:rPr>
                <w:sz w:val="19"/>
                <w:szCs w:val="19"/>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29"/>
        </w:trPr>
        <w:tc>
          <w:tcPr>
            <w:tcW w:w="8700" w:type="dxa"/>
            <w:vAlign w:val="bottom"/>
            <w:tcBorders>
              <w:bottom w:val="single" w:sz="8" w:color="DBDBDB"/>
            </w:tcBorders>
            <w:gridSpan w:val="2"/>
          </w:tcPr>
          <w:p>
            <w:pPr>
              <w:ind w:left="14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w:t>
            </w:r>
          </w:p>
        </w:tc>
        <w:tc>
          <w:tcPr>
            <w:tcW w:w="100" w:type="dxa"/>
            <w:vAlign w:val="bottom"/>
            <w:tcBorders>
              <w:bottom w:val="single" w:sz="8" w:color="DBDBDB"/>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23"/>
        </w:trPr>
        <w:tc>
          <w:tcPr>
            <w:tcW w:w="870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Cash flows from financing activities</w:t>
            </w:r>
          </w:p>
        </w:tc>
        <w:tc>
          <w:tcPr>
            <w:tcW w:w="280" w:type="dxa"/>
            <w:vAlign w:val="bottom"/>
            <w:tcBorders>
              <w:bottom w:val="single" w:sz="8" w:color="auto"/>
            </w:tcBorders>
            <w:shd w:val="clear" w:color="auto" w:fill="DBDBDB"/>
          </w:tcPr>
          <w:p>
            <w:pPr>
              <w:spacing w:after="0"/>
              <w:rPr>
                <w:sz w:val="19"/>
                <w:szCs w:val="19"/>
                <w:color w:val="auto"/>
              </w:rPr>
            </w:pPr>
          </w:p>
        </w:tc>
        <w:tc>
          <w:tcPr>
            <w:tcW w:w="9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(1,149)</w:t>
            </w:r>
          </w:p>
        </w:tc>
        <w:tc>
          <w:tcPr>
            <w:tcW w:w="100" w:type="dxa"/>
            <w:vAlign w:val="bottom"/>
            <w:shd w:val="clear" w:color="auto" w:fill="DBDBDB"/>
          </w:tcPr>
          <w:p>
            <w:pPr>
              <w:spacing w:after="0"/>
              <w:rPr>
                <w:sz w:val="19"/>
                <w:szCs w:val="19"/>
                <w:color w:val="auto"/>
              </w:rPr>
            </w:pPr>
          </w:p>
        </w:tc>
        <w:tc>
          <w:tcPr>
            <w:tcW w:w="360" w:type="dxa"/>
            <w:vAlign w:val="bottom"/>
            <w:tcBorders>
              <w:bottom w:val="single" w:sz="8" w:color="auto"/>
            </w:tcBorders>
            <w:shd w:val="clear" w:color="auto" w:fill="DBDBDB"/>
          </w:tcPr>
          <w:p>
            <w:pPr>
              <w:spacing w:after="0"/>
              <w:rPr>
                <w:sz w:val="19"/>
                <w:szCs w:val="19"/>
                <w:color w:val="auto"/>
              </w:rPr>
            </w:pPr>
          </w:p>
        </w:tc>
        <w:tc>
          <w:tcPr>
            <w:tcW w:w="8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(2,539)</w:t>
            </w:r>
          </w:p>
        </w:tc>
        <w:tc>
          <w:tcPr>
            <w:tcW w:w="0" w:type="dxa"/>
            <w:vAlign w:val="bottom"/>
          </w:tcPr>
          <w:p>
            <w:pPr>
              <w:spacing w:after="0"/>
              <w:rPr>
                <w:sz w:val="1"/>
                <w:szCs w:val="1"/>
                <w:color w:val="auto"/>
              </w:rPr>
            </w:pPr>
          </w:p>
        </w:tc>
      </w:tr>
      <w:tr>
        <w:trPr>
          <w:trHeight w:val="196"/>
        </w:trPr>
        <w:tc>
          <w:tcPr>
            <w:tcW w:w="8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70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Net change in cash and cash equivalents</w:t>
            </w:r>
          </w:p>
        </w:tc>
        <w:tc>
          <w:tcPr>
            <w:tcW w:w="280" w:type="dxa"/>
            <w:vAlign w:val="bottom"/>
            <w:shd w:val="clear" w:color="auto" w:fill="DBDBDB"/>
          </w:tcPr>
          <w:p>
            <w:pPr>
              <w:spacing w:after="0"/>
              <w:rPr>
                <w:sz w:val="19"/>
                <w:szCs w:val="19"/>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324</w:t>
            </w:r>
          </w:p>
        </w:tc>
        <w:tc>
          <w:tcPr>
            <w:tcW w:w="100" w:type="dxa"/>
            <w:vAlign w:val="bottom"/>
            <w:shd w:val="clear" w:color="auto" w:fill="DBDBDB"/>
          </w:tcPr>
          <w:p>
            <w:pPr>
              <w:spacing w:after="0"/>
              <w:rPr>
                <w:sz w:val="19"/>
                <w:szCs w:val="19"/>
                <w:color w:val="auto"/>
              </w:rPr>
            </w:pPr>
          </w:p>
        </w:tc>
        <w:tc>
          <w:tcPr>
            <w:tcW w:w="360" w:type="dxa"/>
            <w:vAlign w:val="bottom"/>
            <w:shd w:val="clear" w:color="auto" w:fill="DBDBDB"/>
          </w:tcPr>
          <w:p>
            <w:pPr>
              <w:spacing w:after="0"/>
              <w:rPr>
                <w:sz w:val="19"/>
                <w:szCs w:val="19"/>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(437)</w:t>
            </w:r>
          </w:p>
        </w:tc>
        <w:tc>
          <w:tcPr>
            <w:tcW w:w="0" w:type="dxa"/>
            <w:vAlign w:val="bottom"/>
          </w:tcPr>
          <w:p>
            <w:pPr>
              <w:spacing w:after="0"/>
              <w:rPr>
                <w:sz w:val="1"/>
                <w:szCs w:val="1"/>
                <w:color w:val="auto"/>
              </w:rPr>
            </w:pPr>
          </w:p>
        </w:tc>
      </w:tr>
      <w:tr>
        <w:trPr>
          <w:trHeight w:val="229"/>
        </w:trPr>
        <w:tc>
          <w:tcPr>
            <w:tcW w:w="8700" w:type="dxa"/>
            <w:vAlign w:val="bottom"/>
            <w:tcBorders>
              <w:bottom w:val="single" w:sz="8" w:color="DBDBDB"/>
            </w:tcBorders>
            <w:gridSpan w:val="2"/>
          </w:tcPr>
          <w:p>
            <w:pPr>
              <w:ind w:left="20"/>
              <w:spacing w:after="0"/>
              <w:rPr>
                <w:sz w:val="20"/>
                <w:szCs w:val="20"/>
                <w:color w:val="auto"/>
              </w:rPr>
            </w:pPr>
            <w:r>
              <w:rPr>
                <w:rFonts w:ascii="Arial" w:cs="Arial" w:eastAsia="Arial" w:hAnsi="Arial"/>
                <w:sz w:val="18"/>
                <w:szCs w:val="18"/>
                <w:color w:val="auto"/>
              </w:rPr>
              <w:t>Cash and cash equivalents at beginning of period</w:t>
            </w: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3,225</w:t>
            </w:r>
          </w:p>
        </w:tc>
        <w:tc>
          <w:tcPr>
            <w:tcW w:w="100" w:type="dxa"/>
            <w:vAlign w:val="bottom"/>
            <w:tcBorders>
              <w:bottom w:val="single" w:sz="8" w:color="DBDBDB"/>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3,200</w:t>
            </w:r>
          </w:p>
        </w:tc>
        <w:tc>
          <w:tcPr>
            <w:tcW w:w="0" w:type="dxa"/>
            <w:vAlign w:val="bottom"/>
          </w:tcPr>
          <w:p>
            <w:pPr>
              <w:spacing w:after="0"/>
              <w:rPr>
                <w:sz w:val="1"/>
                <w:szCs w:val="1"/>
                <w:color w:val="auto"/>
              </w:rPr>
            </w:pPr>
          </w:p>
        </w:tc>
      </w:tr>
      <w:tr>
        <w:trPr>
          <w:trHeight w:val="248"/>
        </w:trPr>
        <w:tc>
          <w:tcPr>
            <w:tcW w:w="8700" w:type="dxa"/>
            <w:vAlign w:val="bottom"/>
            <w:tcBorders>
              <w:bottom w:val="single" w:sz="8" w:color="DBDBDB"/>
            </w:tcBorders>
            <w:gridSpan w:val="2"/>
            <w:shd w:val="clear" w:color="auto" w:fill="DBDBDB"/>
          </w:tcPr>
          <w:p>
            <w:pPr>
              <w:ind w:left="20"/>
              <w:spacing w:after="0"/>
              <w:rPr>
                <w:sz w:val="20"/>
                <w:szCs w:val="20"/>
                <w:color w:val="auto"/>
              </w:rPr>
            </w:pPr>
            <w:r>
              <w:rPr>
                <w:rFonts w:ascii="Arial" w:cs="Arial" w:eastAsia="Arial" w:hAnsi="Arial"/>
                <w:sz w:val="18"/>
                <w:szCs w:val="18"/>
                <w:color w:val="auto"/>
              </w:rPr>
              <w:t>Cash and cash equivalents at end of period</w:t>
            </w:r>
          </w:p>
        </w:tc>
        <w:tc>
          <w:tcPr>
            <w:tcW w:w="280" w:type="dxa"/>
            <w:vAlign w:val="bottom"/>
            <w:tcBorders>
              <w:bottom w:val="single" w:sz="8" w:color="auto"/>
            </w:tcBorders>
            <w:shd w:val="clear" w:color="auto" w:fill="DBDBDB"/>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3,549</w:t>
            </w:r>
          </w:p>
        </w:tc>
        <w:tc>
          <w:tcPr>
            <w:tcW w:w="100" w:type="dxa"/>
            <w:vAlign w:val="bottom"/>
            <w:tcBorders>
              <w:bottom w:val="single" w:sz="8" w:color="DBDBDB"/>
            </w:tcBorders>
            <w:shd w:val="clear" w:color="auto" w:fill="DBDBDB"/>
          </w:tcPr>
          <w:p>
            <w:pPr>
              <w:spacing w:after="0"/>
              <w:rPr>
                <w:sz w:val="21"/>
                <w:szCs w:val="21"/>
                <w:color w:val="auto"/>
              </w:rPr>
            </w:pPr>
          </w:p>
        </w:tc>
        <w:tc>
          <w:tcPr>
            <w:tcW w:w="360" w:type="dxa"/>
            <w:vAlign w:val="bottom"/>
            <w:tcBorders>
              <w:bottom w:val="single" w:sz="8" w:color="auto"/>
            </w:tcBorders>
            <w:shd w:val="clear" w:color="auto" w:fill="DBDBDB"/>
          </w:tcPr>
          <w:p>
            <w:pPr>
              <w:jc w:val="right"/>
              <w:ind w:right="1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2,763</w:t>
            </w:r>
          </w:p>
        </w:tc>
        <w:tc>
          <w:tcPr>
            <w:tcW w:w="0" w:type="dxa"/>
            <w:vAlign w:val="bottom"/>
          </w:tcPr>
          <w:p>
            <w:pPr>
              <w:spacing w:after="0"/>
              <w:rPr>
                <w:sz w:val="1"/>
                <w:szCs w:val="1"/>
                <w:color w:val="auto"/>
              </w:rPr>
            </w:pPr>
          </w:p>
        </w:tc>
      </w:tr>
      <w:tr>
        <w:trPr>
          <w:trHeight w:val="20"/>
        </w:trPr>
        <w:tc>
          <w:tcPr>
            <w:tcW w:w="8600" w:type="dxa"/>
            <w:vAlign w:val="bottom"/>
            <w:tcBorders>
              <w:top w:val="single" w:sz="8" w:color="DBDBDB"/>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280" w:type="dxa"/>
            <w:vAlign w:val="bottom"/>
            <w:tcBorders>
              <w:top w:val="single" w:sz="8" w:color="DBDBDB"/>
              <w:bottom w:val="single" w:sz="8" w:color="auto"/>
            </w:tcBorders>
          </w:tcPr>
          <w:p>
            <w:pPr>
              <w:spacing w:after="0" w:line="20" w:lineRule="exact"/>
              <w:rPr>
                <w:sz w:val="1"/>
                <w:szCs w:val="1"/>
                <w:color w:val="auto"/>
              </w:rPr>
            </w:pPr>
          </w:p>
        </w:tc>
        <w:tc>
          <w:tcPr>
            <w:tcW w:w="94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360" w:type="dxa"/>
            <w:vAlign w:val="bottom"/>
            <w:tcBorders>
              <w:top w:val="single" w:sz="8" w:color="DBDBDB"/>
              <w:bottom w:val="single" w:sz="8" w:color="auto"/>
            </w:tcBorders>
          </w:tcPr>
          <w:p>
            <w:pPr>
              <w:spacing w:after="0" w:line="20" w:lineRule="exact"/>
              <w:rPr>
                <w:sz w:val="1"/>
                <w:szCs w:val="1"/>
                <w:color w:val="auto"/>
              </w:rPr>
            </w:pPr>
          </w:p>
        </w:tc>
        <w:tc>
          <w:tcPr>
            <w:tcW w:w="86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8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8700" w:type="dxa"/>
            <w:vAlign w:val="bottom"/>
            <w:gridSpan w:val="2"/>
            <w:shd w:val="clear" w:color="auto" w:fill="DBDBDB"/>
          </w:tcPr>
          <w:p>
            <w:pPr>
              <w:ind w:left="20"/>
              <w:spacing w:after="0"/>
              <w:rPr>
                <w:sz w:val="20"/>
                <w:szCs w:val="20"/>
                <w:color w:val="auto"/>
              </w:rPr>
            </w:pPr>
            <w:r>
              <w:rPr>
                <w:rFonts w:ascii="Arial" w:cs="Arial" w:eastAsia="Arial" w:hAnsi="Arial"/>
                <w:sz w:val="18"/>
                <w:szCs w:val="18"/>
                <w:b w:val="1"/>
                <w:bCs w:val="1"/>
                <w:color w:val="auto"/>
              </w:rPr>
              <w:t>Supplemental cash flow information</w:t>
            </w:r>
          </w:p>
        </w:tc>
        <w:tc>
          <w:tcPr>
            <w:tcW w:w="280" w:type="dxa"/>
            <w:vAlign w:val="bottom"/>
            <w:shd w:val="clear" w:color="auto" w:fill="DBDBDB"/>
          </w:tcPr>
          <w:p>
            <w:pPr>
              <w:spacing w:after="0"/>
              <w:rPr>
                <w:sz w:val="19"/>
                <w:szCs w:val="19"/>
                <w:color w:val="auto"/>
              </w:rPr>
            </w:pPr>
          </w:p>
        </w:tc>
        <w:tc>
          <w:tcPr>
            <w:tcW w:w="94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360" w:type="dxa"/>
            <w:vAlign w:val="bottom"/>
            <w:shd w:val="clear" w:color="auto" w:fill="DBDBDB"/>
          </w:tcPr>
          <w:p>
            <w:pPr>
              <w:spacing w:after="0"/>
              <w:rPr>
                <w:sz w:val="19"/>
                <w:szCs w:val="19"/>
                <w:color w:val="auto"/>
              </w:rPr>
            </w:pPr>
          </w:p>
        </w:tc>
        <w:tc>
          <w:tcPr>
            <w:tcW w:w="86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700" w:type="dxa"/>
            <w:vAlign w:val="bottom"/>
            <w:gridSpan w:val="2"/>
          </w:tcPr>
          <w:p>
            <w:pPr>
              <w:ind w:left="140"/>
              <w:spacing w:after="0"/>
              <w:rPr>
                <w:sz w:val="20"/>
                <w:szCs w:val="20"/>
                <w:color w:val="auto"/>
              </w:rPr>
            </w:pPr>
            <w:r>
              <w:rPr>
                <w:rFonts w:ascii="Arial" w:cs="Arial" w:eastAsia="Arial" w:hAnsi="Arial"/>
                <w:sz w:val="18"/>
                <w:szCs w:val="18"/>
                <w:color w:val="auto"/>
              </w:rPr>
              <w:t>Investment tax credit (ITC) used to reduce income taxes payable</w:t>
            </w:r>
          </w:p>
        </w:tc>
        <w:tc>
          <w:tcPr>
            <w:tcW w:w="28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0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700" w:type="dxa"/>
            <w:vAlign w:val="bottom"/>
            <w:gridSpan w:val="2"/>
            <w:shd w:val="clear" w:color="auto" w:fill="DBDBDB"/>
          </w:tcPr>
          <w:p>
            <w:pPr>
              <w:ind w:left="140"/>
              <w:spacing w:after="0"/>
              <w:rPr>
                <w:sz w:val="20"/>
                <w:szCs w:val="20"/>
                <w:color w:val="auto"/>
              </w:rPr>
            </w:pPr>
            <w:r>
              <w:rPr>
                <w:rFonts w:ascii="Arial" w:cs="Arial" w:eastAsia="Arial" w:hAnsi="Arial"/>
                <w:sz w:val="18"/>
                <w:szCs w:val="18"/>
                <w:color w:val="auto"/>
              </w:rPr>
              <w:t>Proceeds from CHIPS Act incentives</w:t>
            </w:r>
          </w:p>
        </w:tc>
        <w:tc>
          <w:tcPr>
            <w:tcW w:w="280" w:type="dxa"/>
            <w:vAlign w:val="bottom"/>
            <w:tcBorders>
              <w:bottom w:val="single" w:sz="8" w:color="auto"/>
            </w:tcBorders>
            <w:shd w:val="clear" w:color="auto" w:fill="DBDBDB"/>
          </w:tcPr>
          <w:p>
            <w:pPr>
              <w:spacing w:after="0"/>
              <w:rPr>
                <w:sz w:val="19"/>
                <w:szCs w:val="19"/>
                <w:color w:val="auto"/>
              </w:rPr>
            </w:pPr>
          </w:p>
        </w:tc>
        <w:tc>
          <w:tcPr>
            <w:tcW w:w="9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555</w:t>
            </w:r>
          </w:p>
        </w:tc>
        <w:tc>
          <w:tcPr>
            <w:tcW w:w="100" w:type="dxa"/>
            <w:vAlign w:val="bottom"/>
            <w:shd w:val="clear" w:color="auto" w:fill="DBDBDB"/>
          </w:tcPr>
          <w:p>
            <w:pPr>
              <w:spacing w:after="0"/>
              <w:rPr>
                <w:sz w:val="19"/>
                <w:szCs w:val="19"/>
                <w:color w:val="auto"/>
              </w:rPr>
            </w:pPr>
          </w:p>
        </w:tc>
        <w:tc>
          <w:tcPr>
            <w:tcW w:w="360" w:type="dxa"/>
            <w:vAlign w:val="bottom"/>
            <w:tcBorders>
              <w:bottom w:val="single" w:sz="8" w:color="auto"/>
            </w:tcBorders>
            <w:shd w:val="clear" w:color="auto" w:fill="DBDBDB"/>
          </w:tcPr>
          <w:p>
            <w:pPr>
              <w:spacing w:after="0"/>
              <w:rPr>
                <w:sz w:val="19"/>
                <w:szCs w:val="19"/>
                <w:color w:val="auto"/>
              </w:rPr>
            </w:pPr>
          </w:p>
        </w:tc>
        <w:tc>
          <w:tcPr>
            <w:tcW w:w="8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260</w:t>
            </w:r>
          </w:p>
        </w:tc>
        <w:tc>
          <w:tcPr>
            <w:tcW w:w="0" w:type="dxa"/>
            <w:vAlign w:val="bottom"/>
          </w:tcPr>
          <w:p>
            <w:pPr>
              <w:spacing w:after="0"/>
              <w:rPr>
                <w:sz w:val="1"/>
                <w:szCs w:val="1"/>
                <w:color w:val="auto"/>
              </w:rPr>
            </w:pPr>
          </w:p>
        </w:tc>
      </w:tr>
      <w:tr>
        <w:trPr>
          <w:trHeight w:val="223"/>
        </w:trPr>
        <w:tc>
          <w:tcPr>
            <w:tcW w:w="8700" w:type="dxa"/>
            <w:vAlign w:val="bottom"/>
            <w:gridSpan w:val="2"/>
          </w:tcPr>
          <w:p>
            <w:pPr>
              <w:ind w:left="20"/>
              <w:spacing w:after="0"/>
              <w:rPr>
                <w:sz w:val="20"/>
                <w:szCs w:val="20"/>
                <w:color w:val="auto"/>
              </w:rPr>
            </w:pPr>
            <w:r>
              <w:rPr>
                <w:rFonts w:ascii="Arial" w:cs="Arial" w:eastAsia="Arial" w:hAnsi="Arial"/>
                <w:sz w:val="18"/>
                <w:szCs w:val="18"/>
                <w:color w:val="auto"/>
              </w:rPr>
              <w:t>Total cash benefit related to the CHIPS Act</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555</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260</w:t>
            </w:r>
          </w:p>
        </w:tc>
        <w:tc>
          <w:tcPr>
            <w:tcW w:w="0" w:type="dxa"/>
            <w:vAlign w:val="bottom"/>
          </w:tcPr>
          <w:p>
            <w:pPr>
              <w:spacing w:after="0"/>
              <w:rPr>
                <w:sz w:val="1"/>
                <w:szCs w:val="1"/>
                <w:color w:val="auto"/>
              </w:rPr>
            </w:pPr>
          </w:p>
        </w:tc>
      </w:tr>
      <w:tr>
        <w:trPr>
          <w:trHeight w:val="21"/>
        </w:trPr>
        <w:tc>
          <w:tcPr>
            <w:tcW w:w="8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ind w:left="20"/>
        <w:spacing w:after="0"/>
        <w:rPr>
          <w:sz w:val="20"/>
          <w:szCs w:val="20"/>
          <w:color w:val="auto"/>
        </w:rPr>
      </w:pPr>
      <w:r>
        <w:rPr>
          <w:rFonts w:ascii="Arial" w:cs="Arial" w:eastAsia="Arial" w:hAnsi="Arial"/>
          <w:sz w:val="18"/>
          <w:szCs w:val="18"/>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0"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Notes to financial statements</w:t>
      </w:r>
    </w:p>
    <w:p>
      <w:pPr>
        <w:spacing w:after="0" w:line="225" w:lineRule="exact"/>
        <w:rPr>
          <w:sz w:val="20"/>
          <w:szCs w:val="20"/>
          <w:color w:val="auto"/>
        </w:rPr>
      </w:pPr>
    </w:p>
    <w:p>
      <w:pPr>
        <w:ind w:left="200" w:hanging="192"/>
        <w:spacing w:after="0"/>
        <w:tabs>
          <w:tab w:leader="none" w:pos="200" w:val="left"/>
        </w:tabs>
        <w:numPr>
          <w:ilvl w:val="0"/>
          <w:numId w:val="3"/>
        </w:numPr>
        <w:rPr>
          <w:rFonts w:ascii="Arial" w:cs="Arial" w:eastAsia="Arial" w:hAnsi="Arial"/>
          <w:sz w:val="18"/>
          <w:szCs w:val="18"/>
          <w:color w:val="auto"/>
        </w:rPr>
      </w:pPr>
      <w:r>
        <w:rPr>
          <w:rFonts w:ascii="Arial" w:cs="Arial" w:eastAsia="Arial" w:hAnsi="Arial"/>
          <w:sz w:val="18"/>
          <w:szCs w:val="18"/>
          <w:u w:val="single" w:color="auto"/>
          <w:color w:val="auto"/>
        </w:rPr>
        <w:t>Description of business, including segment and geographic area information</w:t>
      </w:r>
    </w:p>
    <w:p>
      <w:pPr>
        <w:spacing w:after="0" w:line="225" w:lineRule="exact"/>
        <w:rPr>
          <w:sz w:val="20"/>
          <w:szCs w:val="20"/>
          <w:color w:val="auto"/>
        </w:rPr>
      </w:pPr>
    </w:p>
    <w:p>
      <w:pPr>
        <w:ind w:right="340"/>
        <w:spacing w:after="0" w:line="262" w:lineRule="auto"/>
        <w:rPr>
          <w:sz w:val="20"/>
          <w:szCs w:val="20"/>
          <w:color w:val="auto"/>
        </w:rPr>
      </w:pPr>
      <w:r>
        <w:rPr>
          <w:rFonts w:ascii="Arial" w:cs="Arial" w:eastAsia="Arial" w:hAnsi="Arial"/>
          <w:sz w:val="18"/>
          <w:szCs w:val="18"/>
          <w:color w:val="auto"/>
        </w:rPr>
        <w:t>We design and manufacture semiconductors that we sell to electronics designers and manufacturers all over the world. We have two reportable segments, Analog and Embedded Processing, each of which represents groups of products that have similar design and development requirements, product characteristics and manufacturing processes. Our segments reflect how our chief operating decision maker (CODM), which is our chief executive officer, allocates resources and measures results.</w:t>
      </w:r>
    </w:p>
    <w:p>
      <w:pPr>
        <w:spacing w:after="0" w:line="176" w:lineRule="exact"/>
        <w:rPr>
          <w:sz w:val="20"/>
          <w:szCs w:val="20"/>
          <w:color w:val="auto"/>
        </w:rPr>
      </w:pPr>
    </w:p>
    <w:p>
      <w:pPr>
        <w:ind w:left="620" w:right="200" w:hanging="329"/>
        <w:spacing w:after="0" w:line="259" w:lineRule="auto"/>
        <w:tabs>
          <w:tab w:leader="none" w:pos="615" w:val="left"/>
        </w:tabs>
        <w:numPr>
          <w:ilvl w:val="0"/>
          <w:numId w:val="4"/>
        </w:numPr>
        <w:rPr>
          <w:rFonts w:ascii="Arial" w:cs="Arial" w:eastAsia="Arial" w:hAnsi="Arial"/>
          <w:sz w:val="18"/>
          <w:szCs w:val="18"/>
          <w:color w:val="auto"/>
        </w:rPr>
      </w:pPr>
      <w:r>
        <w:rPr>
          <w:rFonts w:ascii="Arial" w:cs="Arial" w:eastAsia="Arial" w:hAnsi="Arial"/>
          <w:sz w:val="18"/>
          <w:szCs w:val="18"/>
          <w:color w:val="auto"/>
        </w:rPr>
        <w:t>Analog semiconductors change real-world signals, such as sound, temperature, pressure or light, by conditioning them, amplifying them and often converting them to a stream of digital data that can be processed by other semiconductors, such as embedded processors. Analog semiconductors are also used to manage power in all electronic equipment by converting, distributing, storing, discharging, isolating and measuring electrical energy, whether the equipment is plugged into a wall or using a battery. Our Analog segment consists of two major product lines: Power and Signal Chain.</w:t>
      </w:r>
    </w:p>
    <w:p>
      <w:pPr>
        <w:spacing w:after="0" w:line="71" w:lineRule="exact"/>
        <w:rPr>
          <w:rFonts w:ascii="Arial" w:cs="Arial" w:eastAsia="Arial" w:hAnsi="Arial"/>
          <w:sz w:val="18"/>
          <w:szCs w:val="18"/>
          <w:color w:val="auto"/>
        </w:rPr>
      </w:pPr>
    </w:p>
    <w:p>
      <w:pPr>
        <w:ind w:left="620" w:right="120" w:hanging="329"/>
        <w:spacing w:after="0" w:line="287" w:lineRule="auto"/>
        <w:tabs>
          <w:tab w:leader="none" w:pos="615" w:val="left"/>
        </w:tabs>
        <w:numPr>
          <w:ilvl w:val="0"/>
          <w:numId w:val="4"/>
        </w:numPr>
        <w:rPr>
          <w:rFonts w:ascii="Arial" w:cs="Arial" w:eastAsia="Arial" w:hAnsi="Arial"/>
          <w:sz w:val="18"/>
          <w:szCs w:val="18"/>
          <w:color w:val="auto"/>
        </w:rPr>
      </w:pPr>
      <w:r>
        <w:rPr>
          <w:rFonts w:ascii="Arial" w:cs="Arial" w:eastAsia="Arial" w:hAnsi="Arial"/>
          <w:sz w:val="18"/>
          <w:szCs w:val="18"/>
          <w:color w:val="auto"/>
        </w:rPr>
        <w:t>Embedded Processing products are the digital “brains” of many types of electronic equipment. They are designed to handle specific tasks and can be optimized for various combinations of performance, power and cost, depending on the application.</w:t>
      </w:r>
    </w:p>
    <w:p>
      <w:pPr>
        <w:spacing w:after="0" w:line="153"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We report the results of our remaining business activities in Other. Other includes DLP</w:t>
      </w:r>
      <w:r>
        <w:rPr>
          <w:rFonts w:ascii="Arial" w:cs="Arial" w:eastAsia="Arial" w:hAnsi="Arial"/>
          <w:sz w:val="10"/>
          <w:szCs w:val="10"/>
          <w:color w:val="auto"/>
        </w:rPr>
        <w:t>®</w:t>
      </w:r>
      <w:r>
        <w:rPr>
          <w:rFonts w:ascii="Arial" w:cs="Arial" w:eastAsia="Arial" w:hAnsi="Arial"/>
          <w:sz w:val="18"/>
          <w:szCs w:val="18"/>
          <w:color w:val="auto"/>
        </w:rPr>
        <w:t xml:space="preserve"> products and calculators, which are operating segments that do not meet the quantitative thresholds for individually reportable segments and cannot be aggregated with other operating segments.</w:t>
      </w:r>
    </w:p>
    <w:p>
      <w:pPr>
        <w:spacing w:after="0" w:line="17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Other, we also include items that are not used in evaluating the results of or in allocating resources to our segments. Examples of these items include acquisition, integration and restructuring charges, and certain corporate-level items, such as litigation expenses, environmental costs, insurance settlements, and gains and losses from other activities, including asset dispositions. We allocate the remainder of our expenses associated with corporate activities to our operating segments based on specific methodologies, such as percentage of operating expenses or headcount.</w:t>
      </w:r>
    </w:p>
    <w:p>
      <w:pPr>
        <w:spacing w:after="0" w:line="179" w:lineRule="exact"/>
        <w:rPr>
          <w:sz w:val="20"/>
          <w:szCs w:val="20"/>
          <w:color w:val="auto"/>
        </w:rPr>
      </w:pPr>
    </w:p>
    <w:p>
      <w:pPr>
        <w:jc w:val="both"/>
        <w:ind w:right="140"/>
        <w:spacing w:after="0" w:line="268" w:lineRule="auto"/>
        <w:rPr>
          <w:sz w:val="20"/>
          <w:szCs w:val="20"/>
          <w:color w:val="auto"/>
        </w:rPr>
      </w:pPr>
      <w:r>
        <w:rPr>
          <w:rFonts w:ascii="Arial" w:cs="Arial" w:eastAsia="Arial" w:hAnsi="Arial"/>
          <w:sz w:val="18"/>
          <w:szCs w:val="18"/>
          <w:color w:val="auto"/>
        </w:rPr>
        <w:t>Costs incurred by our centralized manufacturing and support organizations, including depreciation, are charged to the operating segments, including those in Other, on a per-unit basis. Consequently, depreciation expense is not an independently identifiable component within the segments’ results and, therefore, is not provided.</w:t>
      </w:r>
    </w:p>
    <w:p>
      <w:pPr>
        <w:spacing w:after="0" w:line="17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With the exception of goodwill, we do not identify or allocate assets by operating segment, nor does the CODM evaluate operating segments using discrete asset information. We have no material intersegment revenue. The accounting policies of the segments are consistent with those described in the significant accounting policies and practices.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information</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19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2420" w:type="dxa"/>
            <w:vAlign w:val="bottom"/>
            <w:tcBorders>
              <w:bottom w:val="single" w:sz="8" w:color="auto"/>
            </w:tcBorders>
            <w:gridSpan w:val="7"/>
          </w:tcPr>
          <w:p>
            <w:pPr>
              <w:ind w:left="20"/>
              <w:spacing w:after="0"/>
              <w:rPr>
                <w:sz w:val="20"/>
                <w:szCs w:val="20"/>
                <w:color w:val="auto"/>
              </w:rPr>
            </w:pPr>
            <w:r>
              <w:rPr>
                <w:rFonts w:ascii="Arial" w:cs="Arial" w:eastAsia="Arial" w:hAnsi="Arial"/>
                <w:sz w:val="14"/>
                <w:szCs w:val="14"/>
                <w:b w:val="1"/>
                <w:bCs w:val="1"/>
                <w:color w:val="auto"/>
              </w:rPr>
              <w:t>For Three Months Ended March 31,</w:t>
            </w:r>
          </w:p>
        </w:tc>
        <w:tc>
          <w:tcPr>
            <w:tcW w:w="1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9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2026</w:t>
            </w:r>
          </w:p>
        </w:tc>
        <w:tc>
          <w:tcPr>
            <w:tcW w:w="8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2025</w:t>
            </w:r>
          </w:p>
        </w:tc>
        <w:tc>
          <w:tcPr>
            <w:tcW w:w="8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7"/>
        </w:trPr>
        <w:tc>
          <w:tcPr>
            <w:tcW w:w="19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Analog</w:t>
            </w:r>
          </w:p>
        </w:tc>
        <w:tc>
          <w:tcPr>
            <w:tcW w:w="140" w:type="dxa"/>
            <w:vAlign w:val="bottom"/>
          </w:tcPr>
          <w:p>
            <w:pPr>
              <w:spacing w:after="0"/>
              <w:rPr>
                <w:sz w:val="12"/>
                <w:szCs w:val="12"/>
                <w:color w:val="auto"/>
              </w:rPr>
            </w:pPr>
          </w:p>
        </w:tc>
        <w:tc>
          <w:tcPr>
            <w:tcW w:w="1040" w:type="dxa"/>
            <w:vAlign w:val="bottom"/>
            <w:gridSpan w:val="2"/>
          </w:tcPr>
          <w:p>
            <w:pPr>
              <w:ind w:left="20"/>
              <w:spacing w:after="0" w:line="147" w:lineRule="exact"/>
              <w:rPr>
                <w:sz w:val="20"/>
                <w:szCs w:val="20"/>
                <w:color w:val="auto"/>
              </w:rPr>
            </w:pPr>
            <w:r>
              <w:rPr>
                <w:rFonts w:ascii="Arial" w:cs="Arial" w:eastAsia="Arial" w:hAnsi="Arial"/>
                <w:sz w:val="14"/>
                <w:szCs w:val="14"/>
                <w:b w:val="1"/>
                <w:bCs w:val="1"/>
                <w:color w:val="auto"/>
              </w:rPr>
              <w:t>Embedded</w:t>
            </w:r>
          </w:p>
        </w:tc>
        <w:tc>
          <w:tcPr>
            <w:tcW w:w="220" w:type="dxa"/>
            <w:vAlign w:val="bottom"/>
          </w:tcPr>
          <w:p>
            <w:pPr>
              <w:spacing w:after="0"/>
              <w:rPr>
                <w:sz w:val="12"/>
                <w:szCs w:val="12"/>
                <w:color w:val="auto"/>
              </w:rPr>
            </w:pPr>
          </w:p>
        </w:tc>
        <w:tc>
          <w:tcPr>
            <w:tcW w:w="820" w:type="dxa"/>
            <w:vAlign w:val="bottom"/>
            <w:vMerge w:val="restart"/>
          </w:tcPr>
          <w:p>
            <w:pPr>
              <w:jc w:val="right"/>
              <w:ind w:right="252"/>
              <w:spacing w:after="0"/>
              <w:rPr>
                <w:sz w:val="20"/>
                <w:szCs w:val="20"/>
                <w:color w:val="auto"/>
              </w:rPr>
            </w:pPr>
            <w:r>
              <w:rPr>
                <w:rFonts w:ascii="Arial" w:cs="Arial" w:eastAsia="Arial" w:hAnsi="Arial"/>
                <w:sz w:val="14"/>
                <w:szCs w:val="14"/>
                <w:b w:val="1"/>
                <w:bCs w:val="1"/>
                <w:color w:val="auto"/>
              </w:rPr>
              <w:t>Other</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Total</w:t>
            </w:r>
          </w:p>
        </w:tc>
        <w:tc>
          <w:tcPr>
            <w:tcW w:w="200" w:type="dxa"/>
            <w:vAlign w:val="bottom"/>
          </w:tcPr>
          <w:p>
            <w:pPr>
              <w:spacing w:after="0"/>
              <w:rPr>
                <w:sz w:val="12"/>
                <w:szCs w:val="12"/>
                <w:color w:val="auto"/>
              </w:rPr>
            </w:pPr>
          </w:p>
        </w:tc>
        <w:tc>
          <w:tcPr>
            <w:tcW w:w="9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Analog</w:t>
            </w:r>
          </w:p>
        </w:tc>
        <w:tc>
          <w:tcPr>
            <w:tcW w:w="140" w:type="dxa"/>
            <w:vAlign w:val="bottom"/>
          </w:tcPr>
          <w:p>
            <w:pPr>
              <w:spacing w:after="0"/>
              <w:rPr>
                <w:sz w:val="12"/>
                <w:szCs w:val="12"/>
                <w:color w:val="auto"/>
              </w:rPr>
            </w:pPr>
          </w:p>
        </w:tc>
        <w:tc>
          <w:tcPr>
            <w:tcW w:w="1040" w:type="dxa"/>
            <w:vAlign w:val="bottom"/>
            <w:gridSpan w:val="2"/>
          </w:tcPr>
          <w:p>
            <w:pPr>
              <w:ind w:left="20"/>
              <w:spacing w:after="0" w:line="147" w:lineRule="exact"/>
              <w:rPr>
                <w:sz w:val="20"/>
                <w:szCs w:val="20"/>
                <w:color w:val="auto"/>
              </w:rPr>
            </w:pPr>
            <w:r>
              <w:rPr>
                <w:rFonts w:ascii="Arial" w:cs="Arial" w:eastAsia="Arial" w:hAnsi="Arial"/>
                <w:sz w:val="14"/>
                <w:szCs w:val="14"/>
                <w:b w:val="1"/>
                <w:bCs w:val="1"/>
                <w:color w:val="auto"/>
              </w:rPr>
              <w:t>Embedded</w:t>
            </w:r>
          </w:p>
        </w:tc>
        <w:tc>
          <w:tcPr>
            <w:tcW w:w="220" w:type="dxa"/>
            <w:vAlign w:val="bottom"/>
          </w:tcPr>
          <w:p>
            <w:pPr>
              <w:spacing w:after="0"/>
              <w:rPr>
                <w:sz w:val="12"/>
                <w:szCs w:val="12"/>
                <w:color w:val="auto"/>
              </w:rPr>
            </w:pPr>
          </w:p>
        </w:tc>
        <w:tc>
          <w:tcPr>
            <w:tcW w:w="94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Other</w:t>
            </w:r>
          </w:p>
        </w:tc>
        <w:tc>
          <w:tcPr>
            <w:tcW w:w="240" w:type="dxa"/>
            <w:vAlign w:val="bottom"/>
          </w:tcPr>
          <w:p>
            <w:pPr>
              <w:spacing w:after="0"/>
              <w:rPr>
                <w:sz w:val="12"/>
                <w:szCs w:val="12"/>
                <w:color w:val="auto"/>
              </w:rPr>
            </w:pPr>
          </w:p>
        </w:tc>
        <w:tc>
          <w:tcPr>
            <w:tcW w:w="820" w:type="dxa"/>
            <w:vAlign w:val="bottom"/>
            <w:vMerge w:val="restart"/>
          </w:tcPr>
          <w:p>
            <w:pPr>
              <w:jc w:val="right"/>
              <w:ind w:right="27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5"/>
        </w:trPr>
        <w:tc>
          <w:tcPr>
            <w:tcW w:w="1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gridSpan w:val="2"/>
          </w:tcPr>
          <w:p>
            <w:pPr>
              <w:spacing w:after="0"/>
              <w:rPr>
                <w:sz w:val="20"/>
                <w:szCs w:val="20"/>
                <w:color w:val="auto"/>
              </w:rPr>
            </w:pPr>
            <w:r>
              <w:rPr>
                <w:rFonts w:ascii="Arial" w:cs="Arial" w:eastAsia="Arial" w:hAnsi="Arial"/>
                <w:sz w:val="14"/>
                <w:szCs w:val="14"/>
                <w:b w:val="1"/>
                <w:bCs w:val="1"/>
                <w:color w:val="auto"/>
              </w:rPr>
              <w:t>Processing</w:t>
            </w:r>
          </w:p>
        </w:tc>
        <w:tc>
          <w:tcPr>
            <w:tcW w:w="22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gridSpan w:val="2"/>
          </w:tcPr>
          <w:p>
            <w:pPr>
              <w:spacing w:after="0"/>
              <w:rPr>
                <w:sz w:val="20"/>
                <w:szCs w:val="20"/>
                <w:color w:val="auto"/>
              </w:rPr>
            </w:pPr>
            <w:r>
              <w:rPr>
                <w:rFonts w:ascii="Arial" w:cs="Arial" w:eastAsia="Arial" w:hAnsi="Arial"/>
                <w:sz w:val="14"/>
                <w:szCs w:val="14"/>
                <w:b w:val="1"/>
                <w:bCs w:val="1"/>
                <w:color w:val="auto"/>
              </w:rPr>
              <w:t>Processing</w:t>
            </w:r>
          </w:p>
        </w:tc>
        <w:tc>
          <w:tcPr>
            <w:tcW w:w="22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194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Revenue</w:t>
            </w:r>
          </w:p>
        </w:tc>
        <w:tc>
          <w:tcPr>
            <w:tcW w:w="20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w w:val="99"/>
              </w:rPr>
              <w:t>$</w:t>
            </w:r>
          </w:p>
        </w:tc>
        <w:tc>
          <w:tcPr>
            <w:tcW w:w="86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3,924</w:t>
            </w:r>
          </w:p>
        </w:tc>
        <w:tc>
          <w:tcPr>
            <w:tcW w:w="100" w:type="dxa"/>
            <w:vAlign w:val="bottom"/>
            <w:tcBorders>
              <w:top w:val="single" w:sz="8" w:color="DBDBDB"/>
            </w:tcBorders>
            <w:shd w:val="clear" w:color="auto" w:fill="DBDBDB"/>
          </w:tcPr>
          <w:p>
            <w:pPr>
              <w:spacing w:after="0"/>
              <w:rPr>
                <w:sz w:val="19"/>
                <w:szCs w:val="19"/>
                <w:color w:val="auto"/>
              </w:rPr>
            </w:pPr>
          </w:p>
        </w:tc>
        <w:tc>
          <w:tcPr>
            <w:tcW w:w="14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723</w:t>
            </w:r>
          </w:p>
        </w:tc>
        <w:tc>
          <w:tcPr>
            <w:tcW w:w="120" w:type="dxa"/>
            <w:vAlign w:val="bottom"/>
            <w:tcBorders>
              <w:top w:val="single" w:sz="8" w:color="DBDBDB"/>
            </w:tcBorders>
            <w:shd w:val="clear" w:color="auto" w:fill="DBDBDB"/>
          </w:tcPr>
          <w:p>
            <w:pPr>
              <w:spacing w:after="0"/>
              <w:rPr>
                <w:sz w:val="19"/>
                <w:szCs w:val="19"/>
                <w:color w:val="auto"/>
              </w:rPr>
            </w:pPr>
          </w:p>
        </w:tc>
        <w:tc>
          <w:tcPr>
            <w:tcW w:w="220" w:type="dxa"/>
            <w:vAlign w:val="bottom"/>
            <w:tcBorders>
              <w:top w:val="single" w:sz="8" w:color="auto"/>
            </w:tcBorders>
            <w:shd w:val="clear" w:color="auto" w:fill="DBDBDB"/>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82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178</w:t>
            </w:r>
          </w:p>
        </w:tc>
        <w:tc>
          <w:tcPr>
            <w:tcW w:w="100" w:type="dxa"/>
            <w:vAlign w:val="bottom"/>
            <w:tcBorders>
              <w:top w:val="single" w:sz="8" w:color="DBDBDB"/>
            </w:tcBorders>
            <w:shd w:val="clear" w:color="auto" w:fill="DBDBDB"/>
          </w:tcPr>
          <w:p>
            <w:pPr>
              <w:spacing w:after="0"/>
              <w:rPr>
                <w:sz w:val="19"/>
                <w:szCs w:val="19"/>
                <w:color w:val="auto"/>
              </w:rPr>
            </w:pPr>
          </w:p>
        </w:tc>
        <w:tc>
          <w:tcPr>
            <w:tcW w:w="240" w:type="dxa"/>
            <w:vAlign w:val="bottom"/>
            <w:tcBorders>
              <w:top w:val="single" w:sz="8" w:color="auto"/>
            </w:tcBorders>
            <w:shd w:val="clear" w:color="auto" w:fill="DBDBDB"/>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2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4,825</w:t>
            </w:r>
          </w:p>
        </w:tc>
        <w:tc>
          <w:tcPr>
            <w:tcW w:w="100" w:type="dxa"/>
            <w:vAlign w:val="bottom"/>
            <w:tcBorders>
              <w:top w:val="single" w:sz="8" w:color="DBDBDB"/>
            </w:tcBorders>
            <w:shd w:val="clear" w:color="auto" w:fill="DBDBDB"/>
          </w:tcPr>
          <w:p>
            <w:pPr>
              <w:spacing w:after="0"/>
              <w:rPr>
                <w:sz w:val="19"/>
                <w:szCs w:val="19"/>
                <w:color w:val="auto"/>
              </w:rPr>
            </w:pPr>
          </w:p>
        </w:tc>
        <w:tc>
          <w:tcPr>
            <w:tcW w:w="20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3,210</w:t>
            </w:r>
          </w:p>
        </w:tc>
        <w:tc>
          <w:tcPr>
            <w:tcW w:w="100" w:type="dxa"/>
            <w:vAlign w:val="bottom"/>
            <w:tcBorders>
              <w:top w:val="single" w:sz="8" w:color="DBDBDB"/>
            </w:tcBorders>
            <w:shd w:val="clear" w:color="auto" w:fill="DBDBDB"/>
          </w:tcPr>
          <w:p>
            <w:pPr>
              <w:spacing w:after="0"/>
              <w:rPr>
                <w:sz w:val="19"/>
                <w:szCs w:val="19"/>
                <w:color w:val="auto"/>
              </w:rPr>
            </w:pPr>
          </w:p>
        </w:tc>
        <w:tc>
          <w:tcPr>
            <w:tcW w:w="14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647</w:t>
            </w:r>
          </w:p>
        </w:tc>
        <w:tc>
          <w:tcPr>
            <w:tcW w:w="120" w:type="dxa"/>
            <w:vAlign w:val="bottom"/>
            <w:tcBorders>
              <w:top w:val="single" w:sz="8" w:color="DBDBDB"/>
            </w:tcBorders>
            <w:shd w:val="clear" w:color="auto" w:fill="DBDBDB"/>
          </w:tcPr>
          <w:p>
            <w:pPr>
              <w:spacing w:after="0"/>
              <w:rPr>
                <w:sz w:val="19"/>
                <w:szCs w:val="19"/>
                <w:color w:val="auto"/>
              </w:rPr>
            </w:pPr>
          </w:p>
        </w:tc>
        <w:tc>
          <w:tcPr>
            <w:tcW w:w="220" w:type="dxa"/>
            <w:vAlign w:val="bottom"/>
            <w:tcBorders>
              <w:top w:val="single" w:sz="8" w:color="auto"/>
            </w:tcBorders>
            <w:shd w:val="clear" w:color="auto" w:fill="DBDBDB"/>
          </w:tcPr>
          <w:p>
            <w:pPr>
              <w:jc w:val="right"/>
              <w:ind w:right="1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212</w:t>
            </w:r>
          </w:p>
        </w:tc>
        <w:tc>
          <w:tcPr>
            <w:tcW w:w="100" w:type="dxa"/>
            <w:vAlign w:val="bottom"/>
            <w:tcBorders>
              <w:top w:val="single" w:sz="8" w:color="DBDBDB"/>
            </w:tcBorders>
            <w:shd w:val="clear" w:color="auto" w:fill="DBDBDB"/>
          </w:tcPr>
          <w:p>
            <w:pPr>
              <w:spacing w:after="0"/>
              <w:rPr>
                <w:sz w:val="19"/>
                <w:szCs w:val="19"/>
                <w:color w:val="auto"/>
              </w:rPr>
            </w:pPr>
          </w:p>
        </w:tc>
        <w:tc>
          <w:tcPr>
            <w:tcW w:w="240" w:type="dxa"/>
            <w:vAlign w:val="bottom"/>
            <w:tcBorders>
              <w:top w:val="single" w:sz="8" w:color="auto"/>
            </w:tcBorders>
            <w:shd w:val="clear" w:color="auto" w:fill="DBDBDB"/>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4,069</w:t>
            </w:r>
          </w:p>
        </w:tc>
        <w:tc>
          <w:tcPr>
            <w:tcW w:w="0" w:type="dxa"/>
            <w:vAlign w:val="bottom"/>
          </w:tcPr>
          <w:p>
            <w:pPr>
              <w:spacing w:after="0"/>
              <w:rPr>
                <w:sz w:val="1"/>
                <w:szCs w:val="1"/>
                <w:color w:val="auto"/>
              </w:rPr>
            </w:pPr>
          </w:p>
        </w:tc>
      </w:tr>
      <w:tr>
        <w:trPr>
          <w:trHeight w:val="230"/>
        </w:trPr>
        <w:tc>
          <w:tcPr>
            <w:tcW w:w="194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Cost of revenue</w:t>
            </w:r>
          </w:p>
        </w:tc>
        <w:tc>
          <w:tcPr>
            <w:tcW w:w="2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1,589</w:t>
            </w:r>
          </w:p>
        </w:tc>
        <w:tc>
          <w:tcPr>
            <w:tcW w:w="100" w:type="dxa"/>
            <w:vAlign w:val="bottom"/>
            <w:tcBorders>
              <w:bottom w:val="single" w:sz="8" w:color="DBDBDB"/>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374</w:t>
            </w:r>
          </w:p>
        </w:tc>
        <w:tc>
          <w:tcPr>
            <w:tcW w:w="120" w:type="dxa"/>
            <w:vAlign w:val="bottom"/>
            <w:tcBorders>
              <w:bottom w:val="single" w:sz="8" w:color="DBDBDB"/>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63</w:t>
            </w:r>
          </w:p>
        </w:tc>
        <w:tc>
          <w:tcPr>
            <w:tcW w:w="100" w:type="dxa"/>
            <w:vAlign w:val="bottom"/>
            <w:tcBorders>
              <w:bottom w:val="single" w:sz="8" w:color="DBDBDB"/>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2,026</w:t>
            </w:r>
          </w:p>
        </w:tc>
        <w:tc>
          <w:tcPr>
            <w:tcW w:w="100" w:type="dxa"/>
            <w:vAlign w:val="bottom"/>
            <w:tcBorders>
              <w:bottom w:val="single" w:sz="8" w:color="DBDBDB"/>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1,296</w:t>
            </w:r>
          </w:p>
        </w:tc>
        <w:tc>
          <w:tcPr>
            <w:tcW w:w="100" w:type="dxa"/>
            <w:vAlign w:val="bottom"/>
            <w:tcBorders>
              <w:bottom w:val="single" w:sz="8" w:color="DBDBDB"/>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375</w:t>
            </w:r>
          </w:p>
        </w:tc>
        <w:tc>
          <w:tcPr>
            <w:tcW w:w="120" w:type="dxa"/>
            <w:vAlign w:val="bottom"/>
            <w:tcBorders>
              <w:bottom w:val="single" w:sz="8" w:color="DBDBDB"/>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w:t>
            </w:r>
          </w:p>
        </w:tc>
        <w:tc>
          <w:tcPr>
            <w:tcW w:w="100" w:type="dxa"/>
            <w:vAlign w:val="bottom"/>
            <w:tcBorders>
              <w:bottom w:val="single" w:sz="8" w:color="DBDBDB"/>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1,756</w:t>
            </w:r>
          </w:p>
        </w:tc>
        <w:tc>
          <w:tcPr>
            <w:tcW w:w="0" w:type="dxa"/>
            <w:vAlign w:val="bottom"/>
          </w:tcPr>
          <w:p>
            <w:pPr>
              <w:spacing w:after="0"/>
              <w:rPr>
                <w:sz w:val="1"/>
                <w:szCs w:val="1"/>
                <w:color w:val="auto"/>
              </w:rPr>
            </w:pPr>
          </w:p>
        </w:tc>
      </w:tr>
      <w:tr>
        <w:trPr>
          <w:trHeight w:val="223"/>
        </w:trPr>
        <w:tc>
          <w:tcPr>
            <w:tcW w:w="1940" w:type="dxa"/>
            <w:vAlign w:val="bottom"/>
            <w:shd w:val="clear" w:color="auto" w:fill="DBDBDB"/>
          </w:tcPr>
          <w:p>
            <w:pPr>
              <w:ind w:left="20"/>
              <w:spacing w:after="0"/>
              <w:rPr>
                <w:sz w:val="20"/>
                <w:szCs w:val="20"/>
                <w:color w:val="auto"/>
              </w:rPr>
            </w:pPr>
            <w:r>
              <w:rPr>
                <w:rFonts w:ascii="Arial" w:cs="Arial" w:eastAsia="Arial" w:hAnsi="Arial"/>
                <w:sz w:val="18"/>
                <w:szCs w:val="18"/>
                <w:color w:val="auto"/>
              </w:rPr>
              <w:t>Gross profit</w:t>
            </w:r>
          </w:p>
        </w:tc>
        <w:tc>
          <w:tcPr>
            <w:tcW w:w="200" w:type="dxa"/>
            <w:vAlign w:val="bottom"/>
            <w:shd w:val="clear" w:color="auto" w:fill="DBDBDB"/>
          </w:tcPr>
          <w:p>
            <w:pPr>
              <w:spacing w:after="0"/>
              <w:rPr>
                <w:sz w:val="19"/>
                <w:szCs w:val="19"/>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2,335</w:t>
            </w:r>
          </w:p>
        </w:tc>
        <w:tc>
          <w:tcPr>
            <w:tcW w:w="10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349</w:t>
            </w:r>
          </w:p>
        </w:tc>
        <w:tc>
          <w:tcPr>
            <w:tcW w:w="120" w:type="dxa"/>
            <w:vAlign w:val="bottom"/>
            <w:shd w:val="clear" w:color="auto" w:fill="DBDBDB"/>
          </w:tcPr>
          <w:p>
            <w:pPr>
              <w:spacing w:after="0"/>
              <w:rPr>
                <w:sz w:val="19"/>
                <w:szCs w:val="19"/>
                <w:color w:val="auto"/>
              </w:rPr>
            </w:pPr>
          </w:p>
        </w:tc>
        <w:tc>
          <w:tcPr>
            <w:tcW w:w="220" w:type="dxa"/>
            <w:vAlign w:val="bottom"/>
            <w:shd w:val="clear" w:color="auto" w:fill="DBDBDB"/>
          </w:tcPr>
          <w:p>
            <w:pPr>
              <w:spacing w:after="0"/>
              <w:rPr>
                <w:sz w:val="19"/>
                <w:szCs w:val="19"/>
                <w:color w:val="auto"/>
              </w:rPr>
            </w:pPr>
          </w:p>
        </w:tc>
        <w:tc>
          <w:tcPr>
            <w:tcW w:w="8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115</w:t>
            </w:r>
          </w:p>
        </w:tc>
        <w:tc>
          <w:tcPr>
            <w:tcW w:w="100" w:type="dxa"/>
            <w:vAlign w:val="bottom"/>
            <w:shd w:val="clear" w:color="auto" w:fill="DBDBDB"/>
          </w:tcPr>
          <w:p>
            <w:pPr>
              <w:spacing w:after="0"/>
              <w:rPr>
                <w:sz w:val="19"/>
                <w:szCs w:val="19"/>
                <w:color w:val="auto"/>
              </w:rPr>
            </w:pPr>
          </w:p>
        </w:tc>
        <w:tc>
          <w:tcPr>
            <w:tcW w:w="240" w:type="dxa"/>
            <w:vAlign w:val="bottom"/>
            <w:shd w:val="clear" w:color="auto" w:fill="DBDBDB"/>
          </w:tcPr>
          <w:p>
            <w:pPr>
              <w:spacing w:after="0"/>
              <w:rPr>
                <w:sz w:val="19"/>
                <w:szCs w:val="19"/>
                <w:color w:val="auto"/>
              </w:rPr>
            </w:pPr>
          </w:p>
        </w:tc>
        <w:tc>
          <w:tcPr>
            <w:tcW w:w="8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2,799</w:t>
            </w:r>
          </w:p>
        </w:tc>
        <w:tc>
          <w:tcPr>
            <w:tcW w:w="100" w:type="dxa"/>
            <w:vAlign w:val="bottom"/>
            <w:shd w:val="clear" w:color="auto" w:fill="DBDBDB"/>
          </w:tcPr>
          <w:p>
            <w:pPr>
              <w:spacing w:after="0"/>
              <w:rPr>
                <w:sz w:val="19"/>
                <w:szCs w:val="19"/>
                <w:color w:val="auto"/>
              </w:rPr>
            </w:pPr>
          </w:p>
        </w:tc>
        <w:tc>
          <w:tcPr>
            <w:tcW w:w="200" w:type="dxa"/>
            <w:vAlign w:val="bottom"/>
            <w:shd w:val="clear" w:color="auto" w:fill="DBDBDB"/>
          </w:tcPr>
          <w:p>
            <w:pPr>
              <w:spacing w:after="0"/>
              <w:rPr>
                <w:sz w:val="19"/>
                <w:szCs w:val="19"/>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1,914</w:t>
            </w:r>
          </w:p>
        </w:tc>
        <w:tc>
          <w:tcPr>
            <w:tcW w:w="10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272</w:t>
            </w:r>
          </w:p>
        </w:tc>
        <w:tc>
          <w:tcPr>
            <w:tcW w:w="120" w:type="dxa"/>
            <w:vAlign w:val="bottom"/>
            <w:shd w:val="clear" w:color="auto" w:fill="DBDBDB"/>
          </w:tcPr>
          <w:p>
            <w:pPr>
              <w:spacing w:after="0"/>
              <w:rPr>
                <w:sz w:val="19"/>
                <w:szCs w:val="19"/>
                <w:color w:val="auto"/>
              </w:rPr>
            </w:pPr>
          </w:p>
        </w:tc>
        <w:tc>
          <w:tcPr>
            <w:tcW w:w="220" w:type="dxa"/>
            <w:vAlign w:val="bottom"/>
            <w:shd w:val="clear" w:color="auto" w:fill="DBDBDB"/>
          </w:tcPr>
          <w:p>
            <w:pPr>
              <w:spacing w:after="0"/>
              <w:rPr>
                <w:sz w:val="19"/>
                <w:szCs w:val="19"/>
                <w:color w:val="auto"/>
              </w:rPr>
            </w:pPr>
          </w:p>
        </w:tc>
        <w:tc>
          <w:tcPr>
            <w:tcW w:w="8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127</w:t>
            </w:r>
          </w:p>
        </w:tc>
        <w:tc>
          <w:tcPr>
            <w:tcW w:w="100" w:type="dxa"/>
            <w:vAlign w:val="bottom"/>
            <w:shd w:val="clear" w:color="auto" w:fill="DBDBDB"/>
          </w:tcPr>
          <w:p>
            <w:pPr>
              <w:spacing w:after="0"/>
              <w:rPr>
                <w:sz w:val="19"/>
                <w:szCs w:val="19"/>
                <w:color w:val="auto"/>
              </w:rPr>
            </w:pPr>
          </w:p>
        </w:tc>
        <w:tc>
          <w:tcPr>
            <w:tcW w:w="240" w:type="dxa"/>
            <w:vAlign w:val="bottom"/>
            <w:shd w:val="clear" w:color="auto" w:fill="DBDBDB"/>
          </w:tcPr>
          <w:p>
            <w:pPr>
              <w:spacing w:after="0"/>
              <w:rPr>
                <w:sz w:val="19"/>
                <w:szCs w:val="19"/>
                <w:color w:val="auto"/>
              </w:rPr>
            </w:pPr>
          </w:p>
        </w:tc>
        <w:tc>
          <w:tcPr>
            <w:tcW w:w="8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2,313</w:t>
            </w:r>
          </w:p>
        </w:tc>
        <w:tc>
          <w:tcPr>
            <w:tcW w:w="0" w:type="dxa"/>
            <w:vAlign w:val="bottom"/>
          </w:tcPr>
          <w:p>
            <w:pPr>
              <w:spacing w:after="0"/>
              <w:rPr>
                <w:sz w:val="1"/>
                <w:szCs w:val="1"/>
                <w:color w:val="auto"/>
              </w:rPr>
            </w:pPr>
          </w:p>
        </w:tc>
      </w:tr>
      <w:tr>
        <w:trPr>
          <w:trHeight w:val="230"/>
        </w:trPr>
        <w:tc>
          <w:tcPr>
            <w:tcW w:w="1940" w:type="dxa"/>
            <w:vAlign w:val="bottom"/>
          </w:tcPr>
          <w:p>
            <w:pPr>
              <w:ind w:left="20"/>
              <w:spacing w:after="0"/>
              <w:rPr>
                <w:sz w:val="20"/>
                <w:szCs w:val="20"/>
                <w:color w:val="auto"/>
              </w:rPr>
            </w:pPr>
            <w:r>
              <w:rPr>
                <w:rFonts w:ascii="Arial" w:cs="Arial" w:eastAsia="Arial" w:hAnsi="Arial"/>
                <w:sz w:val="18"/>
                <w:szCs w:val="18"/>
                <w:color w:val="auto"/>
              </w:rPr>
              <w:t>R&amp;D</w:t>
            </w: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369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123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18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510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369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517</w:t>
            </w:r>
          </w:p>
        </w:tc>
        <w:tc>
          <w:tcPr>
            <w:tcW w:w="0" w:type="dxa"/>
            <w:vAlign w:val="bottom"/>
          </w:tcPr>
          <w:p>
            <w:pPr>
              <w:spacing w:after="0"/>
              <w:rPr>
                <w:sz w:val="1"/>
                <w:szCs w:val="1"/>
                <w:color w:val="auto"/>
              </w:rPr>
            </w:pPr>
          </w:p>
        </w:tc>
      </w:tr>
      <w:tr>
        <w:trPr>
          <w:trHeight w:val="230"/>
        </w:trPr>
        <w:tc>
          <w:tcPr>
            <w:tcW w:w="1940" w:type="dxa"/>
            <w:vAlign w:val="bottom"/>
            <w:shd w:val="clear" w:color="auto" w:fill="DBDBDB"/>
          </w:tcPr>
          <w:p>
            <w:pPr>
              <w:ind w:left="20"/>
              <w:spacing w:after="0"/>
              <w:rPr>
                <w:sz w:val="20"/>
                <w:szCs w:val="20"/>
                <w:color w:val="auto"/>
              </w:rPr>
            </w:pPr>
            <w:r>
              <w:rPr>
                <w:rFonts w:ascii="Arial" w:cs="Arial" w:eastAsia="Arial" w:hAnsi="Arial"/>
                <w:sz w:val="18"/>
                <w:szCs w:val="18"/>
                <w:color w:val="auto"/>
              </w:rPr>
              <w:t>SG&amp;A</w:t>
            </w:r>
          </w:p>
        </w:tc>
        <w:tc>
          <w:tcPr>
            <w:tcW w:w="200" w:type="dxa"/>
            <w:vAlign w:val="bottom"/>
            <w:shd w:val="clear" w:color="auto" w:fill="DBDBDB"/>
          </w:tcPr>
          <w:p>
            <w:pPr>
              <w:spacing w:after="0"/>
              <w:rPr>
                <w:sz w:val="19"/>
                <w:szCs w:val="19"/>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328</w:t>
            </w:r>
          </w:p>
        </w:tc>
        <w:tc>
          <w:tcPr>
            <w:tcW w:w="10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104</w:t>
            </w:r>
          </w:p>
        </w:tc>
        <w:tc>
          <w:tcPr>
            <w:tcW w:w="120" w:type="dxa"/>
            <w:vAlign w:val="bottom"/>
            <w:shd w:val="clear" w:color="auto" w:fill="DBDBDB"/>
          </w:tcPr>
          <w:p>
            <w:pPr>
              <w:spacing w:after="0"/>
              <w:rPr>
                <w:sz w:val="19"/>
                <w:szCs w:val="19"/>
                <w:color w:val="auto"/>
              </w:rPr>
            </w:pPr>
          </w:p>
        </w:tc>
        <w:tc>
          <w:tcPr>
            <w:tcW w:w="220" w:type="dxa"/>
            <w:vAlign w:val="bottom"/>
            <w:shd w:val="clear" w:color="auto" w:fill="DBDBDB"/>
          </w:tcPr>
          <w:p>
            <w:pPr>
              <w:spacing w:after="0"/>
              <w:rPr>
                <w:sz w:val="19"/>
                <w:szCs w:val="19"/>
                <w:color w:val="auto"/>
              </w:rPr>
            </w:pPr>
          </w:p>
        </w:tc>
        <w:tc>
          <w:tcPr>
            <w:tcW w:w="8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32</w:t>
            </w:r>
          </w:p>
        </w:tc>
        <w:tc>
          <w:tcPr>
            <w:tcW w:w="100" w:type="dxa"/>
            <w:vAlign w:val="bottom"/>
            <w:shd w:val="clear" w:color="auto" w:fill="DBDBDB"/>
          </w:tcPr>
          <w:p>
            <w:pPr>
              <w:spacing w:after="0"/>
              <w:rPr>
                <w:sz w:val="19"/>
                <w:szCs w:val="19"/>
                <w:color w:val="auto"/>
              </w:rPr>
            </w:pPr>
          </w:p>
        </w:tc>
        <w:tc>
          <w:tcPr>
            <w:tcW w:w="240" w:type="dxa"/>
            <w:vAlign w:val="bottom"/>
            <w:shd w:val="clear" w:color="auto" w:fill="DBDBDB"/>
          </w:tcPr>
          <w:p>
            <w:pPr>
              <w:spacing w:after="0"/>
              <w:rPr>
                <w:sz w:val="19"/>
                <w:szCs w:val="19"/>
                <w:color w:val="auto"/>
              </w:rPr>
            </w:pPr>
          </w:p>
        </w:tc>
        <w:tc>
          <w:tcPr>
            <w:tcW w:w="8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464</w:t>
            </w:r>
          </w:p>
        </w:tc>
        <w:tc>
          <w:tcPr>
            <w:tcW w:w="100" w:type="dxa"/>
            <w:vAlign w:val="bottom"/>
            <w:shd w:val="clear" w:color="auto" w:fill="DBDBDB"/>
          </w:tcPr>
          <w:p>
            <w:pPr>
              <w:spacing w:after="0"/>
              <w:rPr>
                <w:sz w:val="19"/>
                <w:szCs w:val="19"/>
                <w:color w:val="auto"/>
              </w:rPr>
            </w:pPr>
          </w:p>
        </w:tc>
        <w:tc>
          <w:tcPr>
            <w:tcW w:w="200" w:type="dxa"/>
            <w:vAlign w:val="bottom"/>
            <w:shd w:val="clear" w:color="auto" w:fill="DBDBDB"/>
          </w:tcPr>
          <w:p>
            <w:pPr>
              <w:spacing w:after="0"/>
              <w:rPr>
                <w:sz w:val="19"/>
                <w:szCs w:val="19"/>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339</w:t>
            </w:r>
          </w:p>
        </w:tc>
        <w:tc>
          <w:tcPr>
            <w:tcW w:w="10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104</w:t>
            </w:r>
          </w:p>
        </w:tc>
        <w:tc>
          <w:tcPr>
            <w:tcW w:w="120" w:type="dxa"/>
            <w:vAlign w:val="bottom"/>
            <w:shd w:val="clear" w:color="auto" w:fill="DBDBDB"/>
          </w:tcPr>
          <w:p>
            <w:pPr>
              <w:spacing w:after="0"/>
              <w:rPr>
                <w:sz w:val="19"/>
                <w:szCs w:val="19"/>
                <w:color w:val="auto"/>
              </w:rPr>
            </w:pPr>
          </w:p>
        </w:tc>
        <w:tc>
          <w:tcPr>
            <w:tcW w:w="220" w:type="dxa"/>
            <w:vAlign w:val="bottom"/>
            <w:shd w:val="clear" w:color="auto" w:fill="DBDBDB"/>
          </w:tcPr>
          <w:p>
            <w:pPr>
              <w:spacing w:after="0"/>
              <w:rPr>
                <w:sz w:val="19"/>
                <w:szCs w:val="19"/>
                <w:color w:val="auto"/>
              </w:rPr>
            </w:pPr>
          </w:p>
        </w:tc>
        <w:tc>
          <w:tcPr>
            <w:tcW w:w="8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29</w:t>
            </w:r>
          </w:p>
        </w:tc>
        <w:tc>
          <w:tcPr>
            <w:tcW w:w="100" w:type="dxa"/>
            <w:vAlign w:val="bottom"/>
            <w:shd w:val="clear" w:color="auto" w:fill="DBDBDB"/>
          </w:tcPr>
          <w:p>
            <w:pPr>
              <w:spacing w:after="0"/>
              <w:rPr>
                <w:sz w:val="19"/>
                <w:szCs w:val="19"/>
                <w:color w:val="auto"/>
              </w:rPr>
            </w:pPr>
          </w:p>
        </w:tc>
        <w:tc>
          <w:tcPr>
            <w:tcW w:w="240" w:type="dxa"/>
            <w:vAlign w:val="bottom"/>
            <w:shd w:val="clear" w:color="auto" w:fill="DBDBDB"/>
          </w:tcPr>
          <w:p>
            <w:pPr>
              <w:spacing w:after="0"/>
              <w:rPr>
                <w:sz w:val="19"/>
                <w:szCs w:val="19"/>
                <w:color w:val="auto"/>
              </w:rPr>
            </w:pPr>
          </w:p>
        </w:tc>
        <w:tc>
          <w:tcPr>
            <w:tcW w:w="8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472</w:t>
            </w:r>
          </w:p>
        </w:tc>
        <w:tc>
          <w:tcPr>
            <w:tcW w:w="0" w:type="dxa"/>
            <w:vAlign w:val="bottom"/>
          </w:tcPr>
          <w:p>
            <w:pPr>
              <w:spacing w:after="0"/>
              <w:rPr>
                <w:sz w:val="1"/>
                <w:szCs w:val="1"/>
                <w:color w:val="auto"/>
              </w:rPr>
            </w:pPr>
          </w:p>
        </w:tc>
      </w:tr>
      <w:tr>
        <w:trPr>
          <w:trHeight w:val="230"/>
        </w:trPr>
        <w:tc>
          <w:tcPr>
            <w:tcW w:w="1940" w:type="dxa"/>
            <w:vAlign w:val="bottom"/>
          </w:tcPr>
          <w:p>
            <w:pPr>
              <w:ind w:left="20"/>
              <w:spacing w:after="0"/>
              <w:rPr>
                <w:sz w:val="20"/>
                <w:szCs w:val="20"/>
                <w:color w:val="auto"/>
              </w:rPr>
            </w:pPr>
            <w:r>
              <w:rPr>
                <w:rFonts w:ascii="Arial" w:cs="Arial" w:eastAsia="Arial" w:hAnsi="Arial"/>
                <w:sz w:val="18"/>
                <w:szCs w:val="18"/>
                <w:color w:val="auto"/>
              </w:rPr>
              <w:t>Acquisition charges</w:t>
            </w:r>
          </w:p>
        </w:tc>
        <w:tc>
          <w:tcPr>
            <w:tcW w:w="20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9"/>
                <w:szCs w:val="19"/>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17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17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1940" w:type="dxa"/>
            <w:vAlign w:val="bottom"/>
            <w:tcBorders>
              <w:top w:val="single" w:sz="8" w:color="DBDBDB"/>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Operating profit</w:t>
            </w:r>
          </w:p>
        </w:tc>
        <w:tc>
          <w:tcPr>
            <w:tcW w:w="20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w w:val="99"/>
              </w:rPr>
              <w:t>$</w:t>
            </w:r>
          </w:p>
        </w:tc>
        <w:tc>
          <w:tcPr>
            <w:tcW w:w="86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1,638</w:t>
            </w:r>
          </w:p>
        </w:tc>
        <w:tc>
          <w:tcPr>
            <w:tcW w:w="100" w:type="dxa"/>
            <w:vAlign w:val="bottom"/>
            <w:tcBorders>
              <w:top w:val="single" w:sz="8" w:color="DBDBDB"/>
              <w:bottom w:val="single" w:sz="8" w:color="DBDBDB"/>
            </w:tcBorders>
            <w:shd w:val="clear" w:color="auto" w:fill="DBDBDB"/>
          </w:tcPr>
          <w:p>
            <w:pPr>
              <w:spacing w:after="0"/>
              <w:rPr>
                <w:sz w:val="21"/>
                <w:szCs w:val="21"/>
                <w:color w:val="auto"/>
              </w:rPr>
            </w:pPr>
          </w:p>
        </w:tc>
        <w:tc>
          <w:tcPr>
            <w:tcW w:w="14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122</w:t>
            </w:r>
          </w:p>
        </w:tc>
        <w:tc>
          <w:tcPr>
            <w:tcW w:w="120" w:type="dxa"/>
            <w:vAlign w:val="bottom"/>
            <w:tcBorders>
              <w:top w:val="single" w:sz="8" w:color="DBDBDB"/>
              <w:bottom w:val="single" w:sz="8" w:color="DBDBDB"/>
            </w:tcBorders>
            <w:shd w:val="clear" w:color="auto" w:fill="DBDBDB"/>
          </w:tcPr>
          <w:p>
            <w:pPr>
              <w:spacing w:after="0"/>
              <w:rPr>
                <w:sz w:val="21"/>
                <w:szCs w:val="21"/>
                <w:color w:val="auto"/>
              </w:rPr>
            </w:pPr>
          </w:p>
        </w:tc>
        <w:tc>
          <w:tcPr>
            <w:tcW w:w="220" w:type="dxa"/>
            <w:vAlign w:val="bottom"/>
            <w:tcBorders>
              <w:top w:val="single" w:sz="8" w:color="auto"/>
              <w:bottom w:val="single" w:sz="8" w:color="auto"/>
            </w:tcBorders>
            <w:shd w:val="clear" w:color="auto" w:fill="DBDBDB"/>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82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48</w:t>
            </w:r>
          </w:p>
        </w:tc>
        <w:tc>
          <w:tcPr>
            <w:tcW w:w="100" w:type="dxa"/>
            <w:vAlign w:val="bottom"/>
            <w:tcBorders>
              <w:top w:val="single" w:sz="8" w:color="DBDBDB"/>
              <w:bottom w:val="single" w:sz="8" w:color="DBDBDB"/>
            </w:tcBorders>
            <w:shd w:val="clear" w:color="auto" w:fill="DBDBDB"/>
          </w:tcPr>
          <w:p>
            <w:pPr>
              <w:spacing w:after="0"/>
              <w:rPr>
                <w:sz w:val="21"/>
                <w:szCs w:val="21"/>
                <w:color w:val="auto"/>
              </w:rPr>
            </w:pPr>
          </w:p>
        </w:tc>
        <w:tc>
          <w:tcPr>
            <w:tcW w:w="240" w:type="dxa"/>
            <w:vAlign w:val="bottom"/>
            <w:tcBorders>
              <w:top w:val="single" w:sz="8" w:color="auto"/>
              <w:bottom w:val="single" w:sz="8" w:color="auto"/>
            </w:tcBorders>
            <w:shd w:val="clear" w:color="auto" w:fill="DBDBDB"/>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2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1,808</w:t>
            </w:r>
          </w:p>
        </w:tc>
        <w:tc>
          <w:tcPr>
            <w:tcW w:w="100" w:type="dxa"/>
            <w:vAlign w:val="bottom"/>
            <w:tcBorders>
              <w:top w:val="single" w:sz="8" w:color="DBDBDB"/>
              <w:bottom w:val="single" w:sz="8" w:color="DBDBDB"/>
            </w:tcBorders>
            <w:shd w:val="clear" w:color="auto" w:fill="DBDBDB"/>
          </w:tcPr>
          <w:p>
            <w:pPr>
              <w:spacing w:after="0"/>
              <w:rPr>
                <w:sz w:val="21"/>
                <w:szCs w:val="21"/>
                <w:color w:val="auto"/>
              </w:rPr>
            </w:pPr>
          </w:p>
        </w:tc>
        <w:tc>
          <w:tcPr>
            <w:tcW w:w="20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1,206</w:t>
            </w:r>
          </w:p>
        </w:tc>
        <w:tc>
          <w:tcPr>
            <w:tcW w:w="100" w:type="dxa"/>
            <w:vAlign w:val="bottom"/>
            <w:tcBorders>
              <w:top w:val="single" w:sz="8" w:color="DBDBDB"/>
              <w:bottom w:val="single" w:sz="8" w:color="DBDBDB"/>
            </w:tcBorders>
            <w:shd w:val="clear" w:color="auto" w:fill="DBDBDB"/>
          </w:tcPr>
          <w:p>
            <w:pPr>
              <w:spacing w:after="0"/>
              <w:rPr>
                <w:sz w:val="21"/>
                <w:szCs w:val="21"/>
                <w:color w:val="auto"/>
              </w:rPr>
            </w:pPr>
          </w:p>
        </w:tc>
        <w:tc>
          <w:tcPr>
            <w:tcW w:w="14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40</w:t>
            </w:r>
          </w:p>
        </w:tc>
        <w:tc>
          <w:tcPr>
            <w:tcW w:w="120" w:type="dxa"/>
            <w:vAlign w:val="bottom"/>
            <w:tcBorders>
              <w:top w:val="single" w:sz="8" w:color="DBDBDB"/>
              <w:bottom w:val="single" w:sz="8" w:color="DBDBDB"/>
            </w:tcBorders>
            <w:shd w:val="clear" w:color="auto" w:fill="DBDBDB"/>
          </w:tcPr>
          <w:p>
            <w:pPr>
              <w:spacing w:after="0"/>
              <w:rPr>
                <w:sz w:val="21"/>
                <w:szCs w:val="21"/>
                <w:color w:val="auto"/>
              </w:rPr>
            </w:pPr>
          </w:p>
        </w:tc>
        <w:tc>
          <w:tcPr>
            <w:tcW w:w="220" w:type="dxa"/>
            <w:vAlign w:val="bottom"/>
            <w:tcBorders>
              <w:top w:val="single" w:sz="8" w:color="auto"/>
              <w:bottom w:val="single" w:sz="8" w:color="auto"/>
            </w:tcBorders>
            <w:shd w:val="clear" w:color="auto" w:fill="DBDBDB"/>
          </w:tcPr>
          <w:p>
            <w:pPr>
              <w:jc w:val="right"/>
              <w:ind w:right="1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78</w:t>
            </w:r>
          </w:p>
        </w:tc>
        <w:tc>
          <w:tcPr>
            <w:tcW w:w="100" w:type="dxa"/>
            <w:vAlign w:val="bottom"/>
            <w:tcBorders>
              <w:top w:val="single" w:sz="8" w:color="DBDBDB"/>
              <w:bottom w:val="single" w:sz="8" w:color="DBDBDB"/>
            </w:tcBorders>
            <w:shd w:val="clear" w:color="auto" w:fill="DBDBDB"/>
          </w:tcPr>
          <w:p>
            <w:pPr>
              <w:spacing w:after="0"/>
              <w:rPr>
                <w:sz w:val="21"/>
                <w:szCs w:val="21"/>
                <w:color w:val="auto"/>
              </w:rPr>
            </w:pPr>
          </w:p>
        </w:tc>
        <w:tc>
          <w:tcPr>
            <w:tcW w:w="240" w:type="dxa"/>
            <w:vAlign w:val="bottom"/>
            <w:tcBorders>
              <w:top w:val="single" w:sz="8" w:color="auto"/>
              <w:bottom w:val="single" w:sz="8" w:color="auto"/>
            </w:tcBorders>
            <w:shd w:val="clear" w:color="auto" w:fill="DBDBDB"/>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1,324</w:t>
            </w:r>
          </w:p>
        </w:tc>
        <w:tc>
          <w:tcPr>
            <w:tcW w:w="0" w:type="dxa"/>
            <w:vAlign w:val="bottom"/>
          </w:tcPr>
          <w:p>
            <w:pPr>
              <w:spacing w:after="0"/>
              <w:rPr>
                <w:sz w:val="1"/>
                <w:szCs w:val="1"/>
                <w:color w:val="auto"/>
              </w:rPr>
            </w:pPr>
          </w:p>
        </w:tc>
      </w:tr>
      <w:tr>
        <w:trPr>
          <w:trHeight w:val="20"/>
        </w:trPr>
        <w:tc>
          <w:tcPr>
            <w:tcW w:w="1940" w:type="dxa"/>
            <w:vAlign w:val="bottom"/>
            <w:tcBorders>
              <w:top w:val="single" w:sz="8" w:color="DBDBDB"/>
            </w:tcBorders>
          </w:tcPr>
          <w:p>
            <w:pPr>
              <w:spacing w:after="0" w:line="20" w:lineRule="exact"/>
              <w:rPr>
                <w:sz w:val="1"/>
                <w:szCs w:val="1"/>
                <w:color w:val="auto"/>
              </w:rPr>
            </w:pPr>
          </w:p>
        </w:tc>
        <w:tc>
          <w:tcPr>
            <w:tcW w:w="200" w:type="dxa"/>
            <w:vAlign w:val="bottom"/>
            <w:tcBorders>
              <w:top w:val="single" w:sz="8" w:color="DBDBDB"/>
              <w:bottom w:val="single" w:sz="8" w:color="auto"/>
            </w:tcBorders>
          </w:tcPr>
          <w:p>
            <w:pPr>
              <w:spacing w:after="0" w:line="20" w:lineRule="exact"/>
              <w:rPr>
                <w:sz w:val="1"/>
                <w:szCs w:val="1"/>
                <w:color w:val="auto"/>
              </w:rPr>
            </w:pPr>
          </w:p>
        </w:tc>
        <w:tc>
          <w:tcPr>
            <w:tcW w:w="86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40" w:type="dxa"/>
            <w:vAlign w:val="bottom"/>
            <w:tcBorders>
              <w:top w:val="single" w:sz="8" w:color="DBDBDB"/>
              <w:bottom w:val="single" w:sz="8" w:color="auto"/>
            </w:tcBorders>
          </w:tcPr>
          <w:p>
            <w:pPr>
              <w:spacing w:after="0" w:line="20" w:lineRule="exact"/>
              <w:rPr>
                <w:sz w:val="1"/>
                <w:szCs w:val="1"/>
                <w:color w:val="auto"/>
              </w:rPr>
            </w:pPr>
          </w:p>
        </w:tc>
        <w:tc>
          <w:tcPr>
            <w:tcW w:w="92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220" w:type="dxa"/>
            <w:vAlign w:val="bottom"/>
            <w:tcBorders>
              <w:top w:val="single" w:sz="8" w:color="DBDBDB"/>
              <w:bottom w:val="single" w:sz="8" w:color="auto"/>
            </w:tcBorders>
          </w:tcPr>
          <w:p>
            <w:pPr>
              <w:spacing w:after="0" w:line="20" w:lineRule="exact"/>
              <w:rPr>
                <w:sz w:val="1"/>
                <w:szCs w:val="1"/>
                <w:color w:val="auto"/>
              </w:rPr>
            </w:pPr>
          </w:p>
        </w:tc>
        <w:tc>
          <w:tcPr>
            <w:tcW w:w="82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240" w:type="dxa"/>
            <w:vAlign w:val="bottom"/>
            <w:tcBorders>
              <w:top w:val="single" w:sz="8" w:color="DBDBDB"/>
              <w:bottom w:val="single" w:sz="8" w:color="auto"/>
            </w:tcBorders>
          </w:tcPr>
          <w:p>
            <w:pPr>
              <w:spacing w:after="0" w:line="20" w:lineRule="exact"/>
              <w:rPr>
                <w:sz w:val="1"/>
                <w:szCs w:val="1"/>
                <w:color w:val="auto"/>
              </w:rPr>
            </w:pPr>
          </w:p>
        </w:tc>
        <w:tc>
          <w:tcPr>
            <w:tcW w:w="82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200" w:type="dxa"/>
            <w:vAlign w:val="bottom"/>
            <w:tcBorders>
              <w:top w:val="single" w:sz="8" w:color="DBDBDB"/>
              <w:bottom w:val="single" w:sz="8" w:color="auto"/>
            </w:tcBorders>
          </w:tcPr>
          <w:p>
            <w:pPr>
              <w:spacing w:after="0" w:line="20" w:lineRule="exact"/>
              <w:rPr>
                <w:sz w:val="1"/>
                <w:szCs w:val="1"/>
                <w:color w:val="auto"/>
              </w:rPr>
            </w:pPr>
          </w:p>
        </w:tc>
        <w:tc>
          <w:tcPr>
            <w:tcW w:w="86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40" w:type="dxa"/>
            <w:vAlign w:val="bottom"/>
            <w:tcBorders>
              <w:top w:val="single" w:sz="8" w:color="DBDBDB"/>
              <w:bottom w:val="single" w:sz="8" w:color="auto"/>
            </w:tcBorders>
          </w:tcPr>
          <w:p>
            <w:pPr>
              <w:spacing w:after="0" w:line="20" w:lineRule="exact"/>
              <w:rPr>
                <w:sz w:val="1"/>
                <w:szCs w:val="1"/>
                <w:color w:val="auto"/>
              </w:rPr>
            </w:pPr>
          </w:p>
        </w:tc>
        <w:tc>
          <w:tcPr>
            <w:tcW w:w="92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220" w:type="dxa"/>
            <w:vAlign w:val="bottom"/>
            <w:tcBorders>
              <w:top w:val="single" w:sz="8" w:color="DBDBDB"/>
              <w:bottom w:val="single" w:sz="8" w:color="auto"/>
            </w:tcBorders>
          </w:tcPr>
          <w:p>
            <w:pPr>
              <w:spacing w:after="0" w:line="20" w:lineRule="exact"/>
              <w:rPr>
                <w:sz w:val="1"/>
                <w:szCs w:val="1"/>
                <w:color w:val="auto"/>
              </w:rPr>
            </w:pPr>
          </w:p>
        </w:tc>
        <w:tc>
          <w:tcPr>
            <w:tcW w:w="84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240" w:type="dxa"/>
            <w:vAlign w:val="bottom"/>
            <w:tcBorders>
              <w:top w:val="single" w:sz="8" w:color="DBDBDB"/>
              <w:bottom w:val="single" w:sz="8" w:color="auto"/>
            </w:tcBorders>
          </w:tcPr>
          <w:p>
            <w:pPr>
              <w:spacing w:after="0" w:line="20" w:lineRule="exact"/>
              <w:rPr>
                <w:sz w:val="1"/>
                <w:szCs w:val="1"/>
                <w:color w:val="auto"/>
              </w:rPr>
            </w:pPr>
          </w:p>
        </w:tc>
        <w:tc>
          <w:tcPr>
            <w:tcW w:w="82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890" w:right="39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Geographic area information</w:t>
      </w:r>
    </w:p>
    <w:p>
      <w:pPr>
        <w:spacing w:after="0" w:line="223" w:lineRule="exact"/>
        <w:rPr>
          <w:sz w:val="20"/>
          <w:szCs w:val="20"/>
          <w:color w:val="auto"/>
        </w:rPr>
      </w:pPr>
    </w:p>
    <w:p>
      <w:pPr>
        <w:ind w:right="300"/>
        <w:spacing w:after="0" w:line="279" w:lineRule="auto"/>
        <w:rPr>
          <w:sz w:val="20"/>
          <w:szCs w:val="20"/>
          <w:color w:val="auto"/>
        </w:rPr>
      </w:pPr>
      <w:r>
        <w:rPr>
          <w:rFonts w:ascii="Arial" w:cs="Arial" w:eastAsia="Arial" w:hAnsi="Arial"/>
          <w:sz w:val="18"/>
          <w:szCs w:val="18"/>
          <w:color w:val="auto"/>
        </w:rPr>
        <w:t>Our estimate for revenue based on the geographic location of our end customers’ headquarters, which represents where critical decisions are made, is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20" w:type="dxa"/>
            <w:vAlign w:val="bottom"/>
            <w:gridSpan w:val="4"/>
          </w:tcPr>
          <w:p>
            <w:pPr>
              <w:jc w:val="right"/>
              <w:spacing w:after="0"/>
              <w:rPr>
                <w:sz w:val="20"/>
                <w:szCs w:val="20"/>
                <w:color w:val="auto"/>
              </w:rPr>
            </w:pPr>
            <w:r>
              <w:rPr>
                <w:rFonts w:ascii="Arial" w:cs="Arial" w:eastAsia="Arial" w:hAnsi="Arial"/>
                <w:sz w:val="14"/>
                <w:szCs w:val="14"/>
                <w:b w:val="1"/>
                <w:bCs w:val="1"/>
                <w:color w:val="auto"/>
              </w:rPr>
              <w:t>For Three Months Ended</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4"/>
        </w:trPr>
        <w:tc>
          <w:tcPr>
            <w:tcW w:w="69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March 31,</w:t>
            </w:r>
          </w:p>
        </w:tc>
        <w:tc>
          <w:tcPr>
            <w:tcW w:w="54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r>
      <w:tr>
        <w:trPr>
          <w:trHeight w:val="196"/>
        </w:trPr>
        <w:tc>
          <w:tcPr>
            <w:tcW w:w="6940" w:type="dxa"/>
            <w:vAlign w:val="bottom"/>
            <w:tcBorders>
              <w:bottom w:val="single" w:sz="8" w:color="DBDBDB"/>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4"/>
                <w:szCs w:val="14"/>
                <w:b w:val="1"/>
                <w:bCs w:val="1"/>
                <w:color w:val="auto"/>
              </w:rPr>
              <w:t>2026</w:t>
            </w:r>
          </w:p>
        </w:tc>
        <w:tc>
          <w:tcPr>
            <w:tcW w:w="840" w:type="dxa"/>
            <w:vAlign w:val="bottom"/>
            <w:tcBorders>
              <w:bottom w:val="single" w:sz="8" w:color="auto"/>
            </w:tcBorders>
          </w:tcPr>
          <w:p>
            <w:pPr>
              <w:spacing w:after="0"/>
              <w:rPr>
                <w:sz w:val="17"/>
                <w:szCs w:val="17"/>
                <w:color w:val="auto"/>
              </w:rPr>
            </w:pPr>
          </w:p>
        </w:tc>
        <w:tc>
          <w:tcPr>
            <w:tcW w:w="100" w:type="dxa"/>
            <w:vAlign w:val="bottom"/>
            <w:tcBorders>
              <w:bottom w:val="single" w:sz="8" w:color="DBDBDB"/>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gridSpan w:val="3"/>
          </w:tcPr>
          <w:p>
            <w:pPr>
              <w:jc w:val="right"/>
              <w:ind w:right="790"/>
              <w:spacing w:after="0"/>
              <w:rPr>
                <w:sz w:val="20"/>
                <w:szCs w:val="20"/>
                <w:color w:val="auto"/>
              </w:rPr>
            </w:pPr>
            <w:r>
              <w:rPr>
                <w:rFonts w:ascii="Arial" w:cs="Arial" w:eastAsia="Arial" w:hAnsi="Arial"/>
                <w:sz w:val="14"/>
                <w:szCs w:val="14"/>
                <w:b w:val="1"/>
                <w:bCs w:val="1"/>
                <w:color w:val="auto"/>
              </w:rPr>
              <w:t>2025</w:t>
            </w:r>
          </w:p>
        </w:tc>
      </w:tr>
      <w:tr>
        <w:trPr>
          <w:trHeight w:val="211"/>
        </w:trPr>
        <w:tc>
          <w:tcPr>
            <w:tcW w:w="6940" w:type="dxa"/>
            <w:vAlign w:val="bottom"/>
            <w:shd w:val="clear" w:color="auto" w:fill="DBDBDB"/>
          </w:tcPr>
          <w:p>
            <w:pPr>
              <w:ind w:left="20"/>
              <w:spacing w:after="0"/>
              <w:rPr>
                <w:sz w:val="20"/>
                <w:szCs w:val="20"/>
                <w:color w:val="auto"/>
              </w:rPr>
            </w:pPr>
            <w:r>
              <w:rPr>
                <w:rFonts w:ascii="Arial" w:cs="Arial" w:eastAsia="Arial" w:hAnsi="Arial"/>
                <w:sz w:val="18"/>
                <w:szCs w:val="18"/>
                <w:b w:val="1"/>
                <w:bCs w:val="1"/>
                <w:color w:val="auto"/>
              </w:rPr>
              <w:t>Revenue:</w:t>
            </w:r>
          </w:p>
        </w:tc>
        <w:tc>
          <w:tcPr>
            <w:tcW w:w="260" w:type="dxa"/>
            <w:vAlign w:val="bottom"/>
            <w:shd w:val="clear" w:color="auto" w:fill="DBDBDB"/>
          </w:tcPr>
          <w:p>
            <w:pPr>
              <w:spacing w:after="0"/>
              <w:rPr>
                <w:sz w:val="18"/>
                <w:szCs w:val="18"/>
                <w:color w:val="auto"/>
              </w:rPr>
            </w:pPr>
          </w:p>
        </w:tc>
        <w:tc>
          <w:tcPr>
            <w:tcW w:w="660" w:type="dxa"/>
            <w:vAlign w:val="bottom"/>
            <w:shd w:val="clear" w:color="auto" w:fill="DBDBDB"/>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220" w:type="dxa"/>
            <w:vAlign w:val="bottom"/>
            <w:shd w:val="clear" w:color="auto" w:fill="DBDBDB"/>
          </w:tcPr>
          <w:p>
            <w:pPr>
              <w:spacing w:after="0"/>
              <w:rPr>
                <w:sz w:val="18"/>
                <w:szCs w:val="18"/>
                <w:color w:val="auto"/>
              </w:rPr>
            </w:pPr>
          </w:p>
        </w:tc>
        <w:tc>
          <w:tcPr>
            <w:tcW w:w="84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340" w:type="dxa"/>
            <w:vAlign w:val="bottom"/>
            <w:shd w:val="clear" w:color="auto" w:fill="DBDBDB"/>
          </w:tcPr>
          <w:p>
            <w:pPr>
              <w:spacing w:after="0"/>
              <w:rPr>
                <w:sz w:val="18"/>
                <w:szCs w:val="18"/>
                <w:color w:val="auto"/>
              </w:rPr>
            </w:pPr>
          </w:p>
        </w:tc>
        <w:tc>
          <w:tcPr>
            <w:tcW w:w="540" w:type="dxa"/>
            <w:vAlign w:val="bottom"/>
            <w:shd w:val="clear" w:color="auto" w:fill="DBDBDB"/>
          </w:tcPr>
          <w:p>
            <w:pPr>
              <w:spacing w:after="0"/>
              <w:rPr>
                <w:sz w:val="18"/>
                <w:szCs w:val="18"/>
                <w:color w:val="auto"/>
              </w:rPr>
            </w:pPr>
          </w:p>
        </w:tc>
        <w:tc>
          <w:tcPr>
            <w:tcW w:w="40" w:type="dxa"/>
            <w:vAlign w:val="bottom"/>
            <w:shd w:val="clear" w:color="auto" w:fill="DBDBDB"/>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1060" w:type="dxa"/>
            <w:vAlign w:val="bottom"/>
            <w:shd w:val="clear" w:color="auto" w:fill="DBDBDB"/>
          </w:tcPr>
          <w:p>
            <w:pPr>
              <w:spacing w:after="0"/>
              <w:rPr>
                <w:sz w:val="18"/>
                <w:szCs w:val="18"/>
                <w:color w:val="auto"/>
              </w:rPr>
            </w:pPr>
          </w:p>
        </w:tc>
      </w:tr>
      <w:tr>
        <w:trPr>
          <w:trHeight w:val="229"/>
        </w:trPr>
        <w:tc>
          <w:tcPr>
            <w:tcW w:w="6940" w:type="dxa"/>
            <w:vAlign w:val="bottom"/>
          </w:tcPr>
          <w:p>
            <w:pPr>
              <w:ind w:left="140"/>
              <w:spacing w:after="0"/>
              <w:rPr>
                <w:sz w:val="20"/>
                <w:szCs w:val="20"/>
                <w:color w:val="auto"/>
              </w:rPr>
            </w:pPr>
            <w:r>
              <w:rPr>
                <w:rFonts w:ascii="Arial" w:cs="Arial" w:eastAsia="Arial" w:hAnsi="Arial"/>
                <w:sz w:val="18"/>
                <w:szCs w:val="18"/>
                <w:color w:val="auto"/>
              </w:rPr>
              <w:t>United States</w:t>
            </w:r>
          </w:p>
        </w:tc>
        <w:tc>
          <w:tcPr>
            <w:tcW w:w="26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1,796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37 %</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1,518</w:t>
            </w:r>
          </w:p>
        </w:tc>
        <w:tc>
          <w:tcPr>
            <w:tcW w:w="1220" w:type="dxa"/>
            <w:vAlign w:val="bottom"/>
            <w:gridSpan w:val="3"/>
          </w:tcPr>
          <w:p>
            <w:pPr>
              <w:jc w:val="right"/>
              <w:spacing w:after="0"/>
              <w:rPr>
                <w:sz w:val="20"/>
                <w:szCs w:val="20"/>
                <w:color w:val="auto"/>
              </w:rPr>
            </w:pPr>
            <w:r>
              <w:rPr>
                <w:rFonts w:ascii="Arial" w:cs="Arial" w:eastAsia="Arial" w:hAnsi="Arial"/>
                <w:sz w:val="18"/>
                <w:szCs w:val="18"/>
                <w:color w:val="auto"/>
              </w:rPr>
              <w:t>37 %</w:t>
            </w:r>
          </w:p>
        </w:tc>
      </w:tr>
      <w:tr>
        <w:trPr>
          <w:trHeight w:val="229"/>
        </w:trPr>
        <w:tc>
          <w:tcPr>
            <w:tcW w:w="6940" w:type="dxa"/>
            <w:vAlign w:val="bottom"/>
            <w:shd w:val="clear" w:color="auto" w:fill="DBDBDB"/>
          </w:tcPr>
          <w:p>
            <w:pPr>
              <w:ind w:left="140"/>
              <w:spacing w:after="0"/>
              <w:rPr>
                <w:sz w:val="20"/>
                <w:szCs w:val="20"/>
                <w:color w:val="auto"/>
              </w:rPr>
            </w:pPr>
            <w:r>
              <w:rPr>
                <w:rFonts w:ascii="Arial" w:cs="Arial" w:eastAsia="Arial" w:hAnsi="Arial"/>
                <w:sz w:val="18"/>
                <w:szCs w:val="18"/>
                <w:color w:val="auto"/>
              </w:rPr>
              <w:t>China</w:t>
            </w:r>
          </w:p>
        </w:tc>
        <w:tc>
          <w:tcPr>
            <w:tcW w:w="260" w:type="dxa"/>
            <w:vAlign w:val="bottom"/>
            <w:shd w:val="clear" w:color="auto" w:fill="DBDBDB"/>
          </w:tcPr>
          <w:p>
            <w:pPr>
              <w:spacing w:after="0"/>
              <w:rPr>
                <w:sz w:val="19"/>
                <w:szCs w:val="19"/>
                <w:color w:val="auto"/>
              </w:rPr>
            </w:pPr>
          </w:p>
        </w:tc>
        <w:tc>
          <w:tcPr>
            <w:tcW w:w="66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1,024</w:t>
            </w:r>
          </w:p>
        </w:tc>
        <w:tc>
          <w:tcPr>
            <w:tcW w:w="120" w:type="dxa"/>
            <w:vAlign w:val="bottom"/>
            <w:shd w:val="clear" w:color="auto" w:fill="DBDBDB"/>
          </w:tcPr>
          <w:p>
            <w:pPr>
              <w:spacing w:after="0"/>
              <w:rPr>
                <w:sz w:val="19"/>
                <w:szCs w:val="19"/>
                <w:color w:val="auto"/>
              </w:rPr>
            </w:pPr>
          </w:p>
        </w:tc>
        <w:tc>
          <w:tcPr>
            <w:tcW w:w="220" w:type="dxa"/>
            <w:vAlign w:val="bottom"/>
            <w:shd w:val="clear" w:color="auto" w:fill="DBDBDB"/>
          </w:tcPr>
          <w:p>
            <w:pPr>
              <w:spacing w:after="0"/>
              <w:rPr>
                <w:sz w:val="19"/>
                <w:szCs w:val="19"/>
                <w:color w:val="auto"/>
              </w:rPr>
            </w:pPr>
          </w:p>
        </w:tc>
        <w:tc>
          <w:tcPr>
            <w:tcW w:w="840" w:type="dxa"/>
            <w:vAlign w:val="bottom"/>
            <w:shd w:val="clear" w:color="auto" w:fill="DBDBDB"/>
          </w:tcPr>
          <w:p>
            <w:pPr>
              <w:jc w:val="right"/>
              <w:ind w:right="154"/>
              <w:spacing w:after="0"/>
              <w:rPr>
                <w:sz w:val="20"/>
                <w:szCs w:val="20"/>
                <w:color w:val="auto"/>
              </w:rPr>
            </w:pPr>
            <w:r>
              <w:rPr>
                <w:rFonts w:ascii="Arial" w:cs="Arial" w:eastAsia="Arial" w:hAnsi="Arial"/>
                <w:sz w:val="18"/>
                <w:szCs w:val="18"/>
                <w:b w:val="1"/>
                <w:bCs w:val="1"/>
                <w:color w:val="auto"/>
              </w:rPr>
              <w:t>21</w:t>
            </w:r>
          </w:p>
        </w:tc>
        <w:tc>
          <w:tcPr>
            <w:tcW w:w="100" w:type="dxa"/>
            <w:vAlign w:val="bottom"/>
            <w:shd w:val="clear" w:color="auto" w:fill="DBDBDB"/>
          </w:tcPr>
          <w:p>
            <w:pPr>
              <w:spacing w:after="0"/>
              <w:rPr>
                <w:sz w:val="19"/>
                <w:szCs w:val="19"/>
                <w:color w:val="auto"/>
              </w:rPr>
            </w:pPr>
          </w:p>
        </w:tc>
        <w:tc>
          <w:tcPr>
            <w:tcW w:w="340" w:type="dxa"/>
            <w:vAlign w:val="bottom"/>
            <w:shd w:val="clear" w:color="auto" w:fill="DBDBDB"/>
          </w:tcPr>
          <w:p>
            <w:pPr>
              <w:spacing w:after="0"/>
              <w:rPr>
                <w:sz w:val="19"/>
                <w:szCs w:val="19"/>
                <w:color w:val="auto"/>
              </w:rPr>
            </w:pPr>
          </w:p>
        </w:tc>
        <w:tc>
          <w:tcPr>
            <w:tcW w:w="5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826</w:t>
            </w:r>
          </w:p>
        </w:tc>
        <w:tc>
          <w:tcPr>
            <w:tcW w:w="1220" w:type="dxa"/>
            <w:vAlign w:val="bottom"/>
            <w:gridSpan w:val="3"/>
            <w:shd w:val="clear" w:color="auto" w:fill="DBDBDB"/>
          </w:tcPr>
          <w:p>
            <w:pPr>
              <w:jc w:val="right"/>
              <w:ind w:right="150"/>
              <w:spacing w:after="0"/>
              <w:rPr>
                <w:sz w:val="20"/>
                <w:szCs w:val="20"/>
                <w:color w:val="auto"/>
              </w:rPr>
            </w:pPr>
            <w:r>
              <w:rPr>
                <w:rFonts w:ascii="Arial" w:cs="Arial" w:eastAsia="Arial" w:hAnsi="Arial"/>
                <w:sz w:val="18"/>
                <w:szCs w:val="18"/>
                <w:color w:val="auto"/>
              </w:rPr>
              <w:t>20</w:t>
            </w:r>
          </w:p>
        </w:tc>
      </w:tr>
      <w:tr>
        <w:trPr>
          <w:trHeight w:val="230"/>
        </w:trPr>
        <w:tc>
          <w:tcPr>
            <w:tcW w:w="6940" w:type="dxa"/>
            <w:vAlign w:val="bottom"/>
          </w:tcPr>
          <w:p>
            <w:pPr>
              <w:ind w:left="140"/>
              <w:spacing w:after="0"/>
              <w:rPr>
                <w:sz w:val="20"/>
                <w:szCs w:val="20"/>
                <w:color w:val="auto"/>
              </w:rPr>
            </w:pPr>
            <w:r>
              <w:rPr>
                <w:rFonts w:ascii="Arial" w:cs="Arial" w:eastAsia="Arial" w:hAnsi="Arial"/>
                <w:sz w:val="18"/>
                <w:szCs w:val="18"/>
                <w:color w:val="auto"/>
              </w:rPr>
              <w:t>Rest of Asia</w:t>
            </w:r>
          </w:p>
        </w:tc>
        <w:tc>
          <w:tcPr>
            <w:tcW w:w="2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555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ind w:right="154"/>
              <w:spacing w:after="0"/>
              <w:rPr>
                <w:sz w:val="20"/>
                <w:szCs w:val="20"/>
                <w:color w:val="auto"/>
              </w:rPr>
            </w:pPr>
            <w:r>
              <w:rPr>
                <w:rFonts w:ascii="Arial" w:cs="Arial" w:eastAsia="Arial" w:hAnsi="Arial"/>
                <w:sz w:val="18"/>
                <w:szCs w:val="18"/>
                <w:b w:val="1"/>
                <w:bCs w:val="1"/>
                <w:color w:val="auto"/>
              </w:rPr>
              <w:t>12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438</w:t>
            </w:r>
          </w:p>
        </w:tc>
        <w:tc>
          <w:tcPr>
            <w:tcW w:w="1220" w:type="dxa"/>
            <w:vAlign w:val="bottom"/>
            <w:gridSpan w:val="3"/>
          </w:tcPr>
          <w:p>
            <w:pPr>
              <w:jc w:val="right"/>
              <w:ind w:right="150"/>
              <w:spacing w:after="0"/>
              <w:rPr>
                <w:sz w:val="20"/>
                <w:szCs w:val="20"/>
                <w:color w:val="auto"/>
              </w:rPr>
            </w:pPr>
            <w:r>
              <w:rPr>
                <w:rFonts w:ascii="Arial" w:cs="Arial" w:eastAsia="Arial" w:hAnsi="Arial"/>
                <w:sz w:val="18"/>
                <w:szCs w:val="18"/>
                <w:color w:val="auto"/>
              </w:rPr>
              <w:t>11</w:t>
            </w:r>
          </w:p>
        </w:tc>
      </w:tr>
      <w:tr>
        <w:trPr>
          <w:trHeight w:val="229"/>
        </w:trPr>
        <w:tc>
          <w:tcPr>
            <w:tcW w:w="6940" w:type="dxa"/>
            <w:vAlign w:val="bottom"/>
            <w:shd w:val="clear" w:color="auto" w:fill="DBDBDB"/>
          </w:tcPr>
          <w:p>
            <w:pPr>
              <w:ind w:left="140"/>
              <w:spacing w:after="0"/>
              <w:rPr>
                <w:sz w:val="20"/>
                <w:szCs w:val="20"/>
                <w:color w:val="auto"/>
              </w:rPr>
            </w:pPr>
            <w:r>
              <w:rPr>
                <w:rFonts w:ascii="Arial" w:cs="Arial" w:eastAsia="Arial" w:hAnsi="Arial"/>
                <w:sz w:val="18"/>
                <w:szCs w:val="18"/>
                <w:color w:val="auto"/>
              </w:rPr>
              <w:t>Europe, Middle East and Africa (a)</w:t>
            </w:r>
          </w:p>
        </w:tc>
        <w:tc>
          <w:tcPr>
            <w:tcW w:w="260" w:type="dxa"/>
            <w:vAlign w:val="bottom"/>
            <w:shd w:val="clear" w:color="auto" w:fill="DBDBDB"/>
          </w:tcPr>
          <w:p>
            <w:pPr>
              <w:spacing w:after="0"/>
              <w:rPr>
                <w:sz w:val="19"/>
                <w:szCs w:val="19"/>
                <w:color w:val="auto"/>
              </w:rPr>
            </w:pPr>
          </w:p>
        </w:tc>
        <w:tc>
          <w:tcPr>
            <w:tcW w:w="66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1,070</w:t>
            </w:r>
          </w:p>
        </w:tc>
        <w:tc>
          <w:tcPr>
            <w:tcW w:w="120" w:type="dxa"/>
            <w:vAlign w:val="bottom"/>
            <w:shd w:val="clear" w:color="auto" w:fill="DBDBDB"/>
          </w:tcPr>
          <w:p>
            <w:pPr>
              <w:spacing w:after="0"/>
              <w:rPr>
                <w:sz w:val="19"/>
                <w:szCs w:val="19"/>
                <w:color w:val="auto"/>
              </w:rPr>
            </w:pPr>
          </w:p>
        </w:tc>
        <w:tc>
          <w:tcPr>
            <w:tcW w:w="220" w:type="dxa"/>
            <w:vAlign w:val="bottom"/>
            <w:shd w:val="clear" w:color="auto" w:fill="DBDBDB"/>
          </w:tcPr>
          <w:p>
            <w:pPr>
              <w:spacing w:after="0"/>
              <w:rPr>
                <w:sz w:val="19"/>
                <w:szCs w:val="19"/>
                <w:color w:val="auto"/>
              </w:rPr>
            </w:pPr>
          </w:p>
        </w:tc>
        <w:tc>
          <w:tcPr>
            <w:tcW w:w="840" w:type="dxa"/>
            <w:vAlign w:val="bottom"/>
            <w:shd w:val="clear" w:color="auto" w:fill="DBDBDB"/>
          </w:tcPr>
          <w:p>
            <w:pPr>
              <w:jc w:val="right"/>
              <w:ind w:right="154"/>
              <w:spacing w:after="0"/>
              <w:rPr>
                <w:sz w:val="20"/>
                <w:szCs w:val="20"/>
                <w:color w:val="auto"/>
              </w:rPr>
            </w:pPr>
            <w:r>
              <w:rPr>
                <w:rFonts w:ascii="Arial" w:cs="Arial" w:eastAsia="Arial" w:hAnsi="Arial"/>
                <w:sz w:val="18"/>
                <w:szCs w:val="18"/>
                <w:b w:val="1"/>
                <w:bCs w:val="1"/>
                <w:color w:val="auto"/>
              </w:rPr>
              <w:t>22</w:t>
            </w:r>
          </w:p>
        </w:tc>
        <w:tc>
          <w:tcPr>
            <w:tcW w:w="100" w:type="dxa"/>
            <w:vAlign w:val="bottom"/>
            <w:shd w:val="clear" w:color="auto" w:fill="DBDBDB"/>
          </w:tcPr>
          <w:p>
            <w:pPr>
              <w:spacing w:after="0"/>
              <w:rPr>
                <w:sz w:val="19"/>
                <w:szCs w:val="19"/>
                <w:color w:val="auto"/>
              </w:rPr>
            </w:pPr>
          </w:p>
        </w:tc>
        <w:tc>
          <w:tcPr>
            <w:tcW w:w="340" w:type="dxa"/>
            <w:vAlign w:val="bottom"/>
            <w:shd w:val="clear" w:color="auto" w:fill="DBDBDB"/>
          </w:tcPr>
          <w:p>
            <w:pPr>
              <w:spacing w:after="0"/>
              <w:rPr>
                <w:sz w:val="19"/>
                <w:szCs w:val="19"/>
                <w:color w:val="auto"/>
              </w:rPr>
            </w:pPr>
          </w:p>
        </w:tc>
        <w:tc>
          <w:tcPr>
            <w:tcW w:w="5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936</w:t>
            </w:r>
          </w:p>
        </w:tc>
        <w:tc>
          <w:tcPr>
            <w:tcW w:w="1220" w:type="dxa"/>
            <w:vAlign w:val="bottom"/>
            <w:gridSpan w:val="3"/>
            <w:shd w:val="clear" w:color="auto" w:fill="DBDBDB"/>
          </w:tcPr>
          <w:p>
            <w:pPr>
              <w:jc w:val="right"/>
              <w:ind w:right="150"/>
              <w:spacing w:after="0"/>
              <w:rPr>
                <w:sz w:val="20"/>
                <w:szCs w:val="20"/>
                <w:color w:val="auto"/>
              </w:rPr>
            </w:pPr>
            <w:r>
              <w:rPr>
                <w:rFonts w:ascii="Arial" w:cs="Arial" w:eastAsia="Arial" w:hAnsi="Arial"/>
                <w:sz w:val="18"/>
                <w:szCs w:val="18"/>
                <w:color w:val="auto"/>
              </w:rPr>
              <w:t>23</w:t>
            </w:r>
          </w:p>
        </w:tc>
      </w:tr>
      <w:tr>
        <w:trPr>
          <w:trHeight w:val="230"/>
        </w:trPr>
        <w:tc>
          <w:tcPr>
            <w:tcW w:w="6940" w:type="dxa"/>
            <w:vAlign w:val="bottom"/>
          </w:tcPr>
          <w:p>
            <w:pPr>
              <w:ind w:left="140"/>
              <w:spacing w:after="0"/>
              <w:rPr>
                <w:sz w:val="20"/>
                <w:szCs w:val="20"/>
                <w:color w:val="auto"/>
              </w:rPr>
            </w:pPr>
            <w:r>
              <w:rPr>
                <w:rFonts w:ascii="Arial" w:cs="Arial" w:eastAsia="Arial" w:hAnsi="Arial"/>
                <w:sz w:val="18"/>
                <w:szCs w:val="18"/>
                <w:color w:val="auto"/>
              </w:rPr>
              <w:t>Japan</w:t>
            </w:r>
          </w:p>
        </w:tc>
        <w:tc>
          <w:tcPr>
            <w:tcW w:w="2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289</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ind w:right="154"/>
              <w:spacing w:after="0"/>
              <w:rPr>
                <w:sz w:val="20"/>
                <w:szCs w:val="20"/>
                <w:color w:val="auto"/>
              </w:rPr>
            </w:pPr>
            <w:r>
              <w:rPr>
                <w:rFonts w:ascii="Arial" w:cs="Arial" w:eastAsia="Arial" w:hAnsi="Arial"/>
                <w:sz w:val="18"/>
                <w:szCs w:val="18"/>
                <w:b w:val="1"/>
                <w:bCs w:val="1"/>
                <w:color w:val="auto"/>
              </w:rPr>
              <w:t>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275</w:t>
            </w:r>
          </w:p>
        </w:tc>
        <w:tc>
          <w:tcPr>
            <w:tcW w:w="1220" w:type="dxa"/>
            <w:vAlign w:val="bottom"/>
            <w:gridSpan w:val="3"/>
          </w:tcPr>
          <w:p>
            <w:pPr>
              <w:jc w:val="right"/>
              <w:ind w:right="150"/>
              <w:spacing w:after="0"/>
              <w:rPr>
                <w:sz w:val="20"/>
                <w:szCs w:val="20"/>
                <w:color w:val="auto"/>
              </w:rPr>
            </w:pPr>
            <w:r>
              <w:rPr>
                <w:rFonts w:ascii="Arial" w:cs="Arial" w:eastAsia="Arial" w:hAnsi="Arial"/>
                <w:sz w:val="18"/>
                <w:szCs w:val="18"/>
                <w:color w:val="auto"/>
              </w:rPr>
              <w:t>7</w:t>
            </w:r>
          </w:p>
        </w:tc>
      </w:tr>
      <w:tr>
        <w:trPr>
          <w:trHeight w:val="229"/>
        </w:trPr>
        <w:tc>
          <w:tcPr>
            <w:tcW w:w="6940" w:type="dxa"/>
            <w:vAlign w:val="bottom"/>
            <w:shd w:val="clear" w:color="auto" w:fill="DBDBDB"/>
          </w:tcPr>
          <w:p>
            <w:pPr>
              <w:ind w:left="140"/>
              <w:spacing w:after="0"/>
              <w:rPr>
                <w:sz w:val="20"/>
                <w:szCs w:val="20"/>
                <w:color w:val="auto"/>
              </w:rPr>
            </w:pPr>
            <w:r>
              <w:rPr>
                <w:rFonts w:ascii="Arial" w:cs="Arial" w:eastAsia="Arial" w:hAnsi="Arial"/>
                <w:sz w:val="18"/>
                <w:szCs w:val="18"/>
                <w:color w:val="auto"/>
              </w:rPr>
              <w:t>Rest of world</w:t>
            </w:r>
          </w:p>
        </w:tc>
        <w:tc>
          <w:tcPr>
            <w:tcW w:w="260" w:type="dxa"/>
            <w:vAlign w:val="bottom"/>
            <w:shd w:val="clear" w:color="auto" w:fill="DBDBDB"/>
          </w:tcPr>
          <w:p>
            <w:pPr>
              <w:spacing w:after="0"/>
              <w:rPr>
                <w:sz w:val="19"/>
                <w:szCs w:val="19"/>
                <w:color w:val="auto"/>
              </w:rPr>
            </w:pPr>
          </w:p>
        </w:tc>
        <w:tc>
          <w:tcPr>
            <w:tcW w:w="66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91</w:t>
            </w:r>
          </w:p>
        </w:tc>
        <w:tc>
          <w:tcPr>
            <w:tcW w:w="120" w:type="dxa"/>
            <w:vAlign w:val="bottom"/>
            <w:shd w:val="clear" w:color="auto" w:fill="DBDBDB"/>
          </w:tcPr>
          <w:p>
            <w:pPr>
              <w:spacing w:after="0"/>
              <w:rPr>
                <w:sz w:val="19"/>
                <w:szCs w:val="19"/>
                <w:color w:val="auto"/>
              </w:rPr>
            </w:pPr>
          </w:p>
        </w:tc>
        <w:tc>
          <w:tcPr>
            <w:tcW w:w="220" w:type="dxa"/>
            <w:vAlign w:val="bottom"/>
            <w:shd w:val="clear" w:color="auto" w:fill="DBDBDB"/>
          </w:tcPr>
          <w:p>
            <w:pPr>
              <w:spacing w:after="0"/>
              <w:rPr>
                <w:sz w:val="19"/>
                <w:szCs w:val="19"/>
                <w:color w:val="auto"/>
              </w:rPr>
            </w:pPr>
          </w:p>
        </w:tc>
        <w:tc>
          <w:tcPr>
            <w:tcW w:w="840" w:type="dxa"/>
            <w:vAlign w:val="bottom"/>
            <w:shd w:val="clear" w:color="auto" w:fill="DBDBDB"/>
          </w:tcPr>
          <w:p>
            <w:pPr>
              <w:jc w:val="right"/>
              <w:ind w:right="154"/>
              <w:spacing w:after="0"/>
              <w:rPr>
                <w:sz w:val="20"/>
                <w:szCs w:val="20"/>
                <w:color w:val="auto"/>
              </w:rPr>
            </w:pPr>
            <w:r>
              <w:rPr>
                <w:rFonts w:ascii="Arial" w:cs="Arial" w:eastAsia="Arial" w:hAnsi="Arial"/>
                <w:sz w:val="18"/>
                <w:szCs w:val="18"/>
                <w:b w:val="1"/>
                <w:bCs w:val="1"/>
                <w:color w:val="auto"/>
              </w:rPr>
              <w:t>2</w:t>
            </w:r>
          </w:p>
        </w:tc>
        <w:tc>
          <w:tcPr>
            <w:tcW w:w="100" w:type="dxa"/>
            <w:vAlign w:val="bottom"/>
            <w:shd w:val="clear" w:color="auto" w:fill="DBDBDB"/>
          </w:tcPr>
          <w:p>
            <w:pPr>
              <w:spacing w:after="0"/>
              <w:rPr>
                <w:sz w:val="19"/>
                <w:szCs w:val="19"/>
                <w:color w:val="auto"/>
              </w:rPr>
            </w:pPr>
          </w:p>
        </w:tc>
        <w:tc>
          <w:tcPr>
            <w:tcW w:w="340" w:type="dxa"/>
            <w:vAlign w:val="bottom"/>
            <w:shd w:val="clear" w:color="auto" w:fill="DBDBDB"/>
          </w:tcPr>
          <w:p>
            <w:pPr>
              <w:spacing w:after="0"/>
              <w:rPr>
                <w:sz w:val="19"/>
                <w:szCs w:val="19"/>
                <w:color w:val="auto"/>
              </w:rPr>
            </w:pPr>
          </w:p>
        </w:tc>
        <w:tc>
          <w:tcPr>
            <w:tcW w:w="5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76</w:t>
            </w:r>
          </w:p>
        </w:tc>
        <w:tc>
          <w:tcPr>
            <w:tcW w:w="1220" w:type="dxa"/>
            <w:vAlign w:val="bottom"/>
            <w:gridSpan w:val="3"/>
            <w:shd w:val="clear" w:color="auto" w:fill="DBDBDB"/>
          </w:tcPr>
          <w:p>
            <w:pPr>
              <w:jc w:val="right"/>
              <w:ind w:right="150"/>
              <w:spacing w:after="0"/>
              <w:rPr>
                <w:sz w:val="20"/>
                <w:szCs w:val="20"/>
                <w:color w:val="auto"/>
              </w:rPr>
            </w:pPr>
            <w:r>
              <w:rPr>
                <w:rFonts w:ascii="Arial" w:cs="Arial" w:eastAsia="Arial" w:hAnsi="Arial"/>
                <w:sz w:val="18"/>
                <w:szCs w:val="18"/>
                <w:color w:val="auto"/>
              </w:rPr>
              <w:t>2</w:t>
            </w:r>
          </w:p>
        </w:tc>
      </w:tr>
      <w:tr>
        <w:trPr>
          <w:trHeight w:val="223"/>
        </w:trPr>
        <w:tc>
          <w:tcPr>
            <w:tcW w:w="6940" w:type="dxa"/>
            <w:vAlign w:val="bottom"/>
          </w:tcPr>
          <w:p>
            <w:pPr>
              <w:ind w:left="20"/>
              <w:spacing w:after="0"/>
              <w:rPr>
                <w:sz w:val="20"/>
                <w:szCs w:val="20"/>
                <w:color w:val="auto"/>
              </w:rPr>
            </w:pPr>
            <w:r>
              <w:rPr>
                <w:rFonts w:ascii="Arial" w:cs="Arial" w:eastAsia="Arial" w:hAnsi="Arial"/>
                <w:sz w:val="18"/>
                <w:szCs w:val="18"/>
                <w:color w:val="auto"/>
              </w:rPr>
              <w:t>Total revenue</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4,825</w:t>
            </w:r>
          </w:p>
        </w:tc>
        <w:tc>
          <w:tcPr>
            <w:tcW w:w="12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100 %</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4,069</w:t>
            </w:r>
          </w:p>
        </w:tc>
        <w:tc>
          <w:tcPr>
            <w:tcW w:w="40" w:type="dxa"/>
            <w:vAlign w:val="bottom"/>
            <w:tcBorders>
              <w:top w:val="single" w:sz="8" w:color="auto"/>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100 %</w:t>
            </w:r>
          </w:p>
        </w:tc>
      </w:tr>
      <w:tr>
        <w:trPr>
          <w:trHeight w:val="21"/>
        </w:trPr>
        <w:tc>
          <w:tcPr>
            <w:tcW w:w="69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right="760" w:firstLine="8"/>
        <w:spacing w:after="0" w:line="502" w:lineRule="auto"/>
        <w:tabs>
          <w:tab w:leader="none" w:pos="314"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Revenue from end customers headquartered in Germany was 10% and 11% in the first quarters of 2026 and 2025, respectively. 2. </w:t>
      </w:r>
      <w:r>
        <w:rPr>
          <w:rFonts w:ascii="Arial" w:cs="Arial" w:eastAsia="Arial" w:hAnsi="Arial"/>
          <w:sz w:val="18"/>
          <w:szCs w:val="18"/>
          <w:u w:val="single" w:color="auto"/>
          <w:color w:val="auto"/>
        </w:rPr>
        <w:t>Basis of presentation and significant accounting policies and practices</w:t>
      </w:r>
    </w:p>
    <w:p>
      <w:pPr>
        <w:spacing w:after="0"/>
        <w:rPr>
          <w:sz w:val="20"/>
          <w:szCs w:val="20"/>
          <w:color w:val="auto"/>
        </w:rPr>
      </w:pPr>
      <w:r>
        <w:rPr>
          <w:rFonts w:ascii="Arial" w:cs="Arial" w:eastAsia="Arial" w:hAnsi="Arial"/>
          <w:sz w:val="18"/>
          <w:szCs w:val="18"/>
          <w:i w:val="1"/>
          <w:iCs w:val="1"/>
          <w:color w:val="auto"/>
        </w:rPr>
        <w:t>Basis of presentation</w:t>
      </w:r>
    </w:p>
    <w:p>
      <w:pPr>
        <w:spacing w:after="0" w:line="223"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The consolidated financial statements have been prepared in accordance with accounting principles generally accepted in the United States (GAAP) and on the same basis as the audited financial statements included in our annual report on Form 10-K for the year ended December 31, 2025. The Consolidated Statements of Income, Comprehensive Income and Cash Flows for the periods ended March 31, 2026 and 2025, and the Consolidated Balance Sheet as of March 31, 2026, are not audited but reflect all adjustments that are of a normal recurring nature and are necessary for a fair statement of the results of the periods shown. Certain information and note disclosures normally included in annual consolidated financial statements have been omitted pursuant to the rules and regulations of the U.S. Securities and Exchange Commission. Because the consolidated interim financial statements do not include all of the information and notes required by GAAP for a complete set of financial statements, they should be read in conjunction with the audited consolidated financial statements and notes included in our annual report on Form 10-K for the year ended December 31, 2025. The results for the three-month periods are not necessarily indicative of a full year’s results.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Significant accounting policies and practices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Earnings per share (EPS)</w:t>
      </w:r>
    </w:p>
    <w:p>
      <w:pPr>
        <w:spacing w:after="0" w:line="25" w:lineRule="exact"/>
        <w:rPr>
          <w:sz w:val="20"/>
          <w:szCs w:val="20"/>
          <w:color w:val="auto"/>
        </w:rPr>
      </w:pPr>
    </w:p>
    <w:p>
      <w:pPr>
        <w:ind w:right="80"/>
        <w:spacing w:after="0" w:line="258" w:lineRule="auto"/>
        <w:rPr>
          <w:sz w:val="20"/>
          <w:szCs w:val="20"/>
          <w:color w:val="auto"/>
        </w:rPr>
      </w:pPr>
      <w:r>
        <w:rPr>
          <w:rFonts w:ascii="Arial" w:cs="Arial" w:eastAsia="Arial" w:hAnsi="Arial"/>
          <w:sz w:val="18"/>
          <w:szCs w:val="18"/>
          <w:color w:val="auto"/>
        </w:rPr>
        <w:t>We use the two-class method for calculating EPS because the restricted stock units (RSUs) we grant are participating securities containing nonforfeitable rights to receive dividend equivalents. Under the two-class method, a portion of net income is allocated to RSUs and excluded from the calculation of income allocated to common stock.</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color w:val="auto"/>
        </w:rPr>
        <w:t>Computation and reconciliation of earnings per common share are as follows: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0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2540" w:type="dxa"/>
            <w:vAlign w:val="bottom"/>
            <w:tcBorders>
              <w:bottom w:val="single" w:sz="8" w:color="auto"/>
            </w:tcBorders>
            <w:gridSpan w:val="7"/>
          </w:tcPr>
          <w:p>
            <w:pPr>
              <w:ind w:left="60"/>
              <w:spacing w:after="0"/>
              <w:rPr>
                <w:sz w:val="20"/>
                <w:szCs w:val="20"/>
                <w:color w:val="auto"/>
              </w:rPr>
            </w:pPr>
            <w:r>
              <w:rPr>
                <w:rFonts w:ascii="Arial" w:cs="Arial" w:eastAsia="Arial" w:hAnsi="Arial"/>
                <w:sz w:val="14"/>
                <w:szCs w:val="14"/>
                <w:b w:val="1"/>
                <w:bCs w:val="1"/>
                <w:color w:val="auto"/>
              </w:rPr>
              <w:t>For Three Months Ended March 31,</w:t>
            </w:r>
          </w:p>
        </w:tc>
        <w:tc>
          <w:tcPr>
            <w:tcW w:w="10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r>
      <w:tr>
        <w:trPr>
          <w:trHeight w:val="196"/>
        </w:trPr>
        <w:tc>
          <w:tcPr>
            <w:tcW w:w="40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317"/>
              <w:spacing w:after="0"/>
              <w:rPr>
                <w:sz w:val="20"/>
                <w:szCs w:val="20"/>
                <w:color w:val="auto"/>
              </w:rPr>
            </w:pPr>
            <w:r>
              <w:rPr>
                <w:rFonts w:ascii="Arial" w:cs="Arial" w:eastAsia="Arial" w:hAnsi="Arial"/>
                <w:sz w:val="14"/>
                <w:szCs w:val="14"/>
                <w:b w:val="1"/>
                <w:bCs w:val="1"/>
                <w:color w:val="auto"/>
              </w:rPr>
              <w:t>2026</w:t>
            </w:r>
          </w:p>
        </w:tc>
        <w:tc>
          <w:tcPr>
            <w:tcW w:w="1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297"/>
              <w:spacing w:after="0"/>
              <w:rPr>
                <w:sz w:val="20"/>
                <w:szCs w:val="20"/>
                <w:color w:val="auto"/>
              </w:rPr>
            </w:pPr>
            <w:r>
              <w:rPr>
                <w:rFonts w:ascii="Arial" w:cs="Arial" w:eastAsia="Arial" w:hAnsi="Arial"/>
                <w:sz w:val="14"/>
                <w:szCs w:val="14"/>
                <w:b w:val="1"/>
                <w:bCs w:val="1"/>
                <w:color w:val="auto"/>
              </w:rPr>
              <w:t>2025</w:t>
            </w:r>
          </w:p>
        </w:tc>
        <w:tc>
          <w:tcPr>
            <w:tcW w:w="1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r>
      <w:tr>
        <w:trPr>
          <w:trHeight w:val="196"/>
        </w:trPr>
        <w:tc>
          <w:tcPr>
            <w:tcW w:w="4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2"/>
          </w:tcPr>
          <w:p>
            <w:pPr>
              <w:ind w:left="40"/>
              <w:spacing w:after="0"/>
              <w:rPr>
                <w:sz w:val="20"/>
                <w:szCs w:val="20"/>
                <w:color w:val="auto"/>
              </w:rPr>
            </w:pPr>
            <w:r>
              <w:rPr>
                <w:rFonts w:ascii="Arial" w:cs="Arial" w:eastAsia="Arial" w:hAnsi="Arial"/>
                <w:sz w:val="14"/>
                <w:szCs w:val="14"/>
                <w:b w:val="1"/>
                <w:bCs w:val="1"/>
                <w:color w:val="auto"/>
              </w:rPr>
              <w:t>Net Income</w:t>
            </w:r>
          </w:p>
        </w:tc>
        <w:tc>
          <w:tcPr>
            <w:tcW w:w="1100" w:type="dxa"/>
            <w:vAlign w:val="bottom"/>
          </w:tcPr>
          <w:p>
            <w:pPr>
              <w:jc w:val="right"/>
              <w:ind w:right="237"/>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gridSpan w:val="2"/>
          </w:tcPr>
          <w:p>
            <w:pPr>
              <w:ind w:left="160"/>
              <w:spacing w:after="0"/>
              <w:rPr>
                <w:sz w:val="20"/>
                <w:szCs w:val="20"/>
                <w:color w:val="auto"/>
              </w:rPr>
            </w:pPr>
            <w:r>
              <w:rPr>
                <w:rFonts w:ascii="Arial" w:cs="Arial" w:eastAsia="Arial" w:hAnsi="Arial"/>
                <w:sz w:val="14"/>
                <w:szCs w:val="14"/>
                <w:b w:val="1"/>
                <w:bCs w:val="1"/>
                <w:color w:val="auto"/>
              </w:rPr>
              <w:t>EPS</w:t>
            </w:r>
          </w:p>
        </w:tc>
        <w:tc>
          <w:tcPr>
            <w:tcW w:w="140" w:type="dxa"/>
            <w:vAlign w:val="bottom"/>
          </w:tcPr>
          <w:p>
            <w:pPr>
              <w:spacing w:after="0"/>
              <w:rPr>
                <w:sz w:val="17"/>
                <w:szCs w:val="17"/>
                <w:color w:val="auto"/>
              </w:rPr>
            </w:pPr>
          </w:p>
        </w:tc>
        <w:tc>
          <w:tcPr>
            <w:tcW w:w="1080" w:type="dxa"/>
            <w:vAlign w:val="bottom"/>
            <w:gridSpan w:val="2"/>
          </w:tcPr>
          <w:p>
            <w:pPr>
              <w:ind w:left="20"/>
              <w:spacing w:after="0"/>
              <w:rPr>
                <w:sz w:val="20"/>
                <w:szCs w:val="20"/>
                <w:color w:val="auto"/>
              </w:rPr>
            </w:pPr>
            <w:r>
              <w:rPr>
                <w:rFonts w:ascii="Arial" w:cs="Arial" w:eastAsia="Arial" w:hAnsi="Arial"/>
                <w:sz w:val="14"/>
                <w:szCs w:val="14"/>
                <w:b w:val="1"/>
                <w:bCs w:val="1"/>
                <w:color w:val="auto"/>
              </w:rPr>
              <w:t>Net Income</w:t>
            </w:r>
          </w:p>
        </w:tc>
        <w:tc>
          <w:tcPr>
            <w:tcW w:w="1080" w:type="dxa"/>
            <w:vAlign w:val="bottom"/>
          </w:tcPr>
          <w:p>
            <w:pPr>
              <w:jc w:val="right"/>
              <w:ind w:right="217"/>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jc w:val="right"/>
              <w:ind w:right="316"/>
              <w:spacing w:after="0"/>
              <w:rPr>
                <w:sz w:val="20"/>
                <w:szCs w:val="20"/>
                <w:color w:val="auto"/>
              </w:rPr>
            </w:pPr>
            <w:r>
              <w:rPr>
                <w:rFonts w:ascii="Arial" w:cs="Arial" w:eastAsia="Arial" w:hAnsi="Arial"/>
                <w:sz w:val="14"/>
                <w:szCs w:val="14"/>
                <w:b w:val="1"/>
                <w:bCs w:val="1"/>
                <w:color w:val="auto"/>
              </w:rPr>
              <w:t>EPS</w:t>
            </w:r>
          </w:p>
        </w:tc>
      </w:tr>
      <w:tr>
        <w:trPr>
          <w:trHeight w:val="224"/>
        </w:trPr>
        <w:tc>
          <w:tcPr>
            <w:tcW w:w="408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8"/>
                <w:szCs w:val="18"/>
                <w:b w:val="1"/>
                <w:bCs w:val="1"/>
                <w:color w:val="auto"/>
              </w:rPr>
              <w:t>Basic EPS:</w:t>
            </w:r>
          </w:p>
        </w:tc>
        <w:tc>
          <w:tcPr>
            <w:tcW w:w="140" w:type="dxa"/>
            <w:vAlign w:val="bottom"/>
            <w:tcBorders>
              <w:top w:val="single" w:sz="8" w:color="auto"/>
            </w:tcBorders>
            <w:shd w:val="clear" w:color="auto" w:fill="DBDBDB"/>
          </w:tcPr>
          <w:p>
            <w:pPr>
              <w:spacing w:after="0"/>
              <w:rPr>
                <w:sz w:val="19"/>
                <w:szCs w:val="19"/>
                <w:color w:val="auto"/>
              </w:rPr>
            </w:pPr>
          </w:p>
        </w:tc>
        <w:tc>
          <w:tcPr>
            <w:tcW w:w="980" w:type="dxa"/>
            <w:vAlign w:val="bottom"/>
            <w:tcBorders>
              <w:top w:val="single" w:sz="8" w:color="auto"/>
            </w:tcBorders>
            <w:shd w:val="clear" w:color="auto" w:fill="DBDBDB"/>
          </w:tcPr>
          <w:p>
            <w:pPr>
              <w:spacing w:after="0"/>
              <w:rPr>
                <w:sz w:val="19"/>
                <w:szCs w:val="19"/>
                <w:color w:val="auto"/>
              </w:rPr>
            </w:pPr>
          </w:p>
        </w:tc>
        <w:tc>
          <w:tcPr>
            <w:tcW w:w="100" w:type="dxa"/>
            <w:vAlign w:val="bottom"/>
            <w:tcBorders>
              <w:top w:val="single" w:sz="8" w:color="DBDBDB"/>
            </w:tcBorders>
            <w:shd w:val="clear" w:color="auto" w:fill="DBDBDB"/>
          </w:tcPr>
          <w:p>
            <w:pPr>
              <w:spacing w:after="0"/>
              <w:rPr>
                <w:sz w:val="19"/>
                <w:szCs w:val="19"/>
                <w:color w:val="auto"/>
              </w:rPr>
            </w:pPr>
          </w:p>
        </w:tc>
        <w:tc>
          <w:tcPr>
            <w:tcW w:w="1100" w:type="dxa"/>
            <w:vAlign w:val="bottom"/>
            <w:tcBorders>
              <w:top w:val="single" w:sz="8" w:color="auto"/>
            </w:tcBorders>
            <w:shd w:val="clear" w:color="auto" w:fill="DBDBDB"/>
          </w:tcPr>
          <w:p>
            <w:pPr>
              <w:spacing w:after="0"/>
              <w:rPr>
                <w:sz w:val="19"/>
                <w:szCs w:val="19"/>
                <w:color w:val="auto"/>
              </w:rPr>
            </w:pPr>
          </w:p>
        </w:tc>
        <w:tc>
          <w:tcPr>
            <w:tcW w:w="100" w:type="dxa"/>
            <w:vAlign w:val="bottom"/>
            <w:tcBorders>
              <w:top w:val="single" w:sz="8" w:color="DBDBDB"/>
            </w:tcBorders>
            <w:shd w:val="clear" w:color="auto" w:fill="DBDBDB"/>
          </w:tcPr>
          <w:p>
            <w:pPr>
              <w:spacing w:after="0"/>
              <w:rPr>
                <w:sz w:val="19"/>
                <w:szCs w:val="19"/>
                <w:color w:val="auto"/>
              </w:rPr>
            </w:pPr>
          </w:p>
        </w:tc>
        <w:tc>
          <w:tcPr>
            <w:tcW w:w="260" w:type="dxa"/>
            <w:vAlign w:val="bottom"/>
            <w:tcBorders>
              <w:top w:val="single" w:sz="8" w:color="auto"/>
            </w:tcBorders>
            <w:shd w:val="clear" w:color="auto" w:fill="DBDBDB"/>
          </w:tcPr>
          <w:p>
            <w:pPr>
              <w:spacing w:after="0"/>
              <w:rPr>
                <w:sz w:val="19"/>
                <w:szCs w:val="19"/>
                <w:color w:val="auto"/>
              </w:rPr>
            </w:pPr>
          </w:p>
        </w:tc>
        <w:tc>
          <w:tcPr>
            <w:tcW w:w="840" w:type="dxa"/>
            <w:vAlign w:val="bottom"/>
            <w:tcBorders>
              <w:top w:val="single" w:sz="8" w:color="auto"/>
            </w:tcBorders>
            <w:shd w:val="clear" w:color="auto" w:fill="DBDBDB"/>
          </w:tcPr>
          <w:p>
            <w:pPr>
              <w:spacing w:after="0"/>
              <w:rPr>
                <w:sz w:val="19"/>
                <w:szCs w:val="19"/>
                <w:color w:val="auto"/>
              </w:rPr>
            </w:pPr>
          </w:p>
        </w:tc>
        <w:tc>
          <w:tcPr>
            <w:tcW w:w="120" w:type="dxa"/>
            <w:vAlign w:val="bottom"/>
            <w:tcBorders>
              <w:top w:val="single" w:sz="8" w:color="DBDBDB"/>
            </w:tcBorders>
            <w:shd w:val="clear" w:color="auto" w:fill="DBDBDB"/>
          </w:tcPr>
          <w:p>
            <w:pPr>
              <w:spacing w:after="0"/>
              <w:rPr>
                <w:sz w:val="19"/>
                <w:szCs w:val="19"/>
                <w:color w:val="auto"/>
              </w:rPr>
            </w:pPr>
          </w:p>
        </w:tc>
        <w:tc>
          <w:tcPr>
            <w:tcW w:w="140" w:type="dxa"/>
            <w:vAlign w:val="bottom"/>
            <w:tcBorders>
              <w:top w:val="single" w:sz="8" w:color="auto"/>
            </w:tcBorders>
            <w:shd w:val="clear" w:color="auto" w:fill="DBDBDB"/>
          </w:tcPr>
          <w:p>
            <w:pPr>
              <w:spacing w:after="0"/>
              <w:rPr>
                <w:sz w:val="19"/>
                <w:szCs w:val="19"/>
                <w:color w:val="auto"/>
              </w:rPr>
            </w:pPr>
          </w:p>
        </w:tc>
        <w:tc>
          <w:tcPr>
            <w:tcW w:w="960" w:type="dxa"/>
            <w:vAlign w:val="bottom"/>
            <w:tcBorders>
              <w:top w:val="single" w:sz="8" w:color="auto"/>
            </w:tcBorders>
            <w:shd w:val="clear" w:color="auto" w:fill="DBDBDB"/>
          </w:tcPr>
          <w:p>
            <w:pPr>
              <w:spacing w:after="0"/>
              <w:rPr>
                <w:sz w:val="19"/>
                <w:szCs w:val="19"/>
                <w:color w:val="auto"/>
              </w:rPr>
            </w:pPr>
          </w:p>
        </w:tc>
        <w:tc>
          <w:tcPr>
            <w:tcW w:w="120" w:type="dxa"/>
            <w:vAlign w:val="bottom"/>
            <w:tcBorders>
              <w:top w:val="single" w:sz="8" w:color="DBDBDB"/>
            </w:tcBorders>
            <w:shd w:val="clear" w:color="auto" w:fill="DBDBDB"/>
          </w:tcPr>
          <w:p>
            <w:pPr>
              <w:spacing w:after="0"/>
              <w:rPr>
                <w:sz w:val="19"/>
                <w:szCs w:val="19"/>
                <w:color w:val="auto"/>
              </w:rPr>
            </w:pPr>
          </w:p>
        </w:tc>
        <w:tc>
          <w:tcPr>
            <w:tcW w:w="1080" w:type="dxa"/>
            <w:vAlign w:val="bottom"/>
            <w:tcBorders>
              <w:top w:val="single" w:sz="8" w:color="auto"/>
            </w:tcBorders>
            <w:shd w:val="clear" w:color="auto" w:fill="DBDBDB"/>
          </w:tcPr>
          <w:p>
            <w:pPr>
              <w:spacing w:after="0"/>
              <w:rPr>
                <w:sz w:val="19"/>
                <w:szCs w:val="19"/>
                <w:color w:val="auto"/>
              </w:rPr>
            </w:pPr>
          </w:p>
        </w:tc>
        <w:tc>
          <w:tcPr>
            <w:tcW w:w="120" w:type="dxa"/>
            <w:vAlign w:val="bottom"/>
            <w:tcBorders>
              <w:top w:val="single" w:sz="8" w:color="DBDBDB"/>
            </w:tcBorders>
            <w:shd w:val="clear" w:color="auto" w:fill="DBDBDB"/>
          </w:tcPr>
          <w:p>
            <w:pPr>
              <w:spacing w:after="0"/>
              <w:rPr>
                <w:sz w:val="19"/>
                <w:szCs w:val="19"/>
                <w:color w:val="auto"/>
              </w:rPr>
            </w:pPr>
          </w:p>
        </w:tc>
        <w:tc>
          <w:tcPr>
            <w:tcW w:w="260" w:type="dxa"/>
            <w:vAlign w:val="bottom"/>
            <w:tcBorders>
              <w:top w:val="single" w:sz="8" w:color="auto"/>
            </w:tcBorders>
            <w:shd w:val="clear" w:color="auto" w:fill="DBDBDB"/>
          </w:tcPr>
          <w:p>
            <w:pPr>
              <w:spacing w:after="0"/>
              <w:rPr>
                <w:sz w:val="19"/>
                <w:szCs w:val="19"/>
                <w:color w:val="auto"/>
              </w:rPr>
            </w:pPr>
          </w:p>
        </w:tc>
        <w:tc>
          <w:tcPr>
            <w:tcW w:w="840" w:type="dxa"/>
            <w:vAlign w:val="bottom"/>
            <w:tcBorders>
              <w:top w:val="single" w:sz="8" w:color="auto"/>
            </w:tcBorders>
            <w:shd w:val="clear" w:color="auto" w:fill="DBDBDB"/>
          </w:tcPr>
          <w:p>
            <w:pPr>
              <w:spacing w:after="0"/>
              <w:rPr>
                <w:sz w:val="19"/>
                <w:szCs w:val="19"/>
                <w:color w:val="auto"/>
              </w:rPr>
            </w:pPr>
          </w:p>
        </w:tc>
      </w:tr>
      <w:tr>
        <w:trPr>
          <w:trHeight w:val="229"/>
        </w:trPr>
        <w:tc>
          <w:tcPr>
            <w:tcW w:w="4080" w:type="dxa"/>
            <w:vAlign w:val="bottom"/>
          </w:tcPr>
          <w:p>
            <w:pPr>
              <w:ind w:left="140"/>
              <w:spacing w:after="0"/>
              <w:rPr>
                <w:sz w:val="20"/>
                <w:szCs w:val="20"/>
                <w:color w:val="auto"/>
              </w:rPr>
            </w:pPr>
            <w:r>
              <w:rPr>
                <w:rFonts w:ascii="Arial" w:cs="Arial" w:eastAsia="Arial" w:hAnsi="Arial"/>
                <w:sz w:val="18"/>
                <w:szCs w:val="18"/>
                <w:color w:val="auto"/>
              </w:rPr>
              <w:t>Net income</w:t>
            </w: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1,545</w:t>
            </w: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1,179</w:t>
            </w: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29"/>
        </w:trPr>
        <w:tc>
          <w:tcPr>
            <w:tcW w:w="4080" w:type="dxa"/>
            <w:vAlign w:val="bottom"/>
            <w:shd w:val="clear" w:color="auto" w:fill="DBDBDB"/>
          </w:tcPr>
          <w:p>
            <w:pPr>
              <w:ind w:left="140"/>
              <w:spacing w:after="0"/>
              <w:rPr>
                <w:sz w:val="20"/>
                <w:szCs w:val="20"/>
                <w:color w:val="auto"/>
              </w:rPr>
            </w:pPr>
            <w:r>
              <w:rPr>
                <w:rFonts w:ascii="Arial" w:cs="Arial" w:eastAsia="Arial" w:hAnsi="Arial"/>
                <w:sz w:val="18"/>
                <w:szCs w:val="18"/>
                <w:color w:val="auto"/>
              </w:rPr>
              <w:t>Income allocated to RSUs</w:t>
            </w:r>
          </w:p>
        </w:tc>
        <w:tc>
          <w:tcPr>
            <w:tcW w:w="140" w:type="dxa"/>
            <w:vAlign w:val="bottom"/>
            <w:tcBorders>
              <w:bottom w:val="single" w:sz="8" w:color="auto"/>
            </w:tcBorders>
            <w:shd w:val="clear" w:color="auto" w:fill="DBDBDB"/>
          </w:tcPr>
          <w:p>
            <w:pPr>
              <w:spacing w:after="0"/>
              <w:rPr>
                <w:sz w:val="19"/>
                <w:szCs w:val="19"/>
                <w:color w:val="auto"/>
              </w:rPr>
            </w:pPr>
          </w:p>
        </w:tc>
        <w:tc>
          <w:tcPr>
            <w:tcW w:w="9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(9)</w:t>
            </w:r>
          </w:p>
        </w:tc>
        <w:tc>
          <w:tcPr>
            <w:tcW w:w="100" w:type="dxa"/>
            <w:vAlign w:val="bottom"/>
            <w:shd w:val="clear" w:color="auto" w:fill="DBDBDB"/>
          </w:tcPr>
          <w:p>
            <w:pPr>
              <w:spacing w:after="0"/>
              <w:rPr>
                <w:sz w:val="19"/>
                <w:szCs w:val="19"/>
                <w:color w:val="auto"/>
              </w:rPr>
            </w:pPr>
          </w:p>
        </w:tc>
        <w:tc>
          <w:tcPr>
            <w:tcW w:w="110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260" w:type="dxa"/>
            <w:vAlign w:val="bottom"/>
            <w:shd w:val="clear" w:color="auto" w:fill="DBDBDB"/>
          </w:tcPr>
          <w:p>
            <w:pPr>
              <w:spacing w:after="0"/>
              <w:rPr>
                <w:sz w:val="19"/>
                <w:szCs w:val="19"/>
                <w:color w:val="auto"/>
              </w:rPr>
            </w:pPr>
          </w:p>
        </w:tc>
        <w:tc>
          <w:tcPr>
            <w:tcW w:w="84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40" w:type="dxa"/>
            <w:vAlign w:val="bottom"/>
            <w:tcBorders>
              <w:bottom w:val="single" w:sz="8" w:color="auto"/>
            </w:tcBorders>
            <w:shd w:val="clear" w:color="auto" w:fill="DBDBDB"/>
          </w:tcPr>
          <w:p>
            <w:pPr>
              <w:spacing w:after="0"/>
              <w:rPr>
                <w:sz w:val="19"/>
                <w:szCs w:val="19"/>
                <w:color w:val="auto"/>
              </w:rPr>
            </w:pPr>
          </w:p>
        </w:tc>
        <w:tc>
          <w:tcPr>
            <w:tcW w:w="9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(6)</w:t>
            </w:r>
          </w:p>
        </w:tc>
        <w:tc>
          <w:tcPr>
            <w:tcW w:w="120" w:type="dxa"/>
            <w:vAlign w:val="bottom"/>
            <w:shd w:val="clear" w:color="auto" w:fill="DBDBDB"/>
          </w:tcPr>
          <w:p>
            <w:pPr>
              <w:spacing w:after="0"/>
              <w:rPr>
                <w:sz w:val="19"/>
                <w:szCs w:val="19"/>
                <w:color w:val="auto"/>
              </w:rPr>
            </w:pPr>
          </w:p>
        </w:tc>
        <w:tc>
          <w:tcPr>
            <w:tcW w:w="108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260" w:type="dxa"/>
            <w:vAlign w:val="bottom"/>
            <w:shd w:val="clear" w:color="auto" w:fill="DBDBDB"/>
          </w:tcPr>
          <w:p>
            <w:pPr>
              <w:spacing w:after="0"/>
              <w:rPr>
                <w:sz w:val="19"/>
                <w:szCs w:val="19"/>
                <w:color w:val="auto"/>
              </w:rPr>
            </w:pPr>
          </w:p>
        </w:tc>
        <w:tc>
          <w:tcPr>
            <w:tcW w:w="840" w:type="dxa"/>
            <w:vAlign w:val="bottom"/>
            <w:shd w:val="clear" w:color="auto" w:fill="DBDBDB"/>
          </w:tcPr>
          <w:p>
            <w:pPr>
              <w:spacing w:after="0"/>
              <w:rPr>
                <w:sz w:val="19"/>
                <w:szCs w:val="19"/>
                <w:color w:val="auto"/>
              </w:rPr>
            </w:pPr>
          </w:p>
        </w:tc>
      </w:tr>
      <w:tr>
        <w:trPr>
          <w:trHeight w:val="223"/>
        </w:trPr>
        <w:tc>
          <w:tcPr>
            <w:tcW w:w="4080" w:type="dxa"/>
            <w:vAlign w:val="bottom"/>
          </w:tcPr>
          <w:p>
            <w:pPr>
              <w:ind w:left="140"/>
              <w:spacing w:after="0"/>
              <w:rPr>
                <w:sz w:val="20"/>
                <w:szCs w:val="20"/>
                <w:color w:val="auto"/>
              </w:rPr>
            </w:pPr>
            <w:r>
              <w:rPr>
                <w:rFonts w:ascii="Arial" w:cs="Arial" w:eastAsia="Arial" w:hAnsi="Arial"/>
                <w:sz w:val="18"/>
                <w:szCs w:val="18"/>
                <w:color w:val="auto"/>
              </w:rPr>
              <w:t>Income allocated to common stock</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1,536</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909</w:t>
            </w:r>
          </w:p>
        </w:tc>
        <w:tc>
          <w:tcPr>
            <w:tcW w:w="3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1.69</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1,173</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910</w:t>
            </w:r>
          </w:p>
        </w:tc>
        <w:tc>
          <w:tcPr>
            <w:tcW w:w="3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1.29</w:t>
            </w:r>
          </w:p>
        </w:tc>
      </w:tr>
      <w:tr>
        <w:trPr>
          <w:trHeight w:val="20"/>
        </w:trPr>
        <w:tc>
          <w:tcPr>
            <w:tcW w:w="4080" w:type="dxa"/>
            <w:vAlign w:val="bottom"/>
            <w:tcBorders>
              <w:bottom w:val="single" w:sz="8" w:color="DBDBDB"/>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1100" w:type="dxa"/>
            <w:vAlign w:val="bottom"/>
            <w:tcBorders>
              <w:bottom w:val="single" w:sz="8" w:color="DBDBDB"/>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260" w:type="dxa"/>
            <w:vAlign w:val="bottom"/>
            <w:tcBorders>
              <w:bottom w:val="single" w:sz="8" w:color="DBDBDB"/>
            </w:tcBorders>
          </w:tcPr>
          <w:p>
            <w:pPr>
              <w:spacing w:after="0" w:line="20" w:lineRule="exact"/>
              <w:rPr>
                <w:sz w:val="1"/>
                <w:szCs w:val="1"/>
                <w:color w:val="auto"/>
              </w:rPr>
            </w:pPr>
          </w:p>
        </w:tc>
        <w:tc>
          <w:tcPr>
            <w:tcW w:w="840" w:type="dxa"/>
            <w:vAlign w:val="bottom"/>
            <w:tcBorders>
              <w:bottom w:val="single" w:sz="8" w:color="DBDBDB"/>
            </w:tcBorders>
          </w:tcPr>
          <w:p>
            <w:pPr>
              <w:spacing w:after="0" w:line="20" w:lineRule="exact"/>
              <w:rPr>
                <w:sz w:val="1"/>
                <w:szCs w:val="1"/>
                <w:color w:val="auto"/>
              </w:rPr>
            </w:pPr>
          </w:p>
        </w:tc>
        <w:tc>
          <w:tcPr>
            <w:tcW w:w="120" w:type="dxa"/>
            <w:vAlign w:val="bottom"/>
            <w:tcBorders>
              <w:bottom w:val="single" w:sz="8" w:color="DBDBDB"/>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BDBDB"/>
            </w:tcBorders>
          </w:tcPr>
          <w:p>
            <w:pPr>
              <w:spacing w:after="0" w:line="20" w:lineRule="exact"/>
              <w:rPr>
                <w:sz w:val="1"/>
                <w:szCs w:val="1"/>
                <w:color w:val="auto"/>
              </w:rPr>
            </w:pPr>
          </w:p>
        </w:tc>
        <w:tc>
          <w:tcPr>
            <w:tcW w:w="1080" w:type="dxa"/>
            <w:vAlign w:val="bottom"/>
            <w:tcBorders>
              <w:bottom w:val="single" w:sz="8" w:color="DBDBDB"/>
            </w:tcBorders>
          </w:tcPr>
          <w:p>
            <w:pPr>
              <w:spacing w:after="0" w:line="20" w:lineRule="exact"/>
              <w:rPr>
                <w:sz w:val="1"/>
                <w:szCs w:val="1"/>
                <w:color w:val="auto"/>
              </w:rPr>
            </w:pPr>
          </w:p>
        </w:tc>
        <w:tc>
          <w:tcPr>
            <w:tcW w:w="120" w:type="dxa"/>
            <w:vAlign w:val="bottom"/>
            <w:tcBorders>
              <w:bottom w:val="single" w:sz="8" w:color="DBDBDB"/>
            </w:tcBorders>
          </w:tcPr>
          <w:p>
            <w:pPr>
              <w:spacing w:after="0" w:line="20" w:lineRule="exact"/>
              <w:rPr>
                <w:sz w:val="1"/>
                <w:szCs w:val="1"/>
                <w:color w:val="auto"/>
              </w:rPr>
            </w:pPr>
          </w:p>
        </w:tc>
        <w:tc>
          <w:tcPr>
            <w:tcW w:w="260" w:type="dxa"/>
            <w:vAlign w:val="bottom"/>
            <w:tcBorders>
              <w:bottom w:val="single" w:sz="8" w:color="DBDBDB"/>
            </w:tcBorders>
          </w:tcPr>
          <w:p>
            <w:pPr>
              <w:spacing w:after="0" w:line="20" w:lineRule="exact"/>
              <w:rPr>
                <w:sz w:val="1"/>
                <w:szCs w:val="1"/>
                <w:color w:val="auto"/>
              </w:rPr>
            </w:pPr>
          </w:p>
        </w:tc>
        <w:tc>
          <w:tcPr>
            <w:tcW w:w="840" w:type="dxa"/>
            <w:vAlign w:val="bottom"/>
            <w:tcBorders>
              <w:bottom w:val="single" w:sz="8" w:color="DBDBDB"/>
            </w:tcBorders>
          </w:tcPr>
          <w:p>
            <w:pPr>
              <w:spacing w:after="0" w:line="20" w:lineRule="exact"/>
              <w:rPr>
                <w:sz w:val="1"/>
                <w:szCs w:val="1"/>
                <w:color w:val="auto"/>
              </w:rPr>
            </w:pPr>
          </w:p>
        </w:tc>
      </w:tr>
      <w:tr>
        <w:trPr>
          <w:trHeight w:val="197"/>
        </w:trPr>
        <w:tc>
          <w:tcPr>
            <w:tcW w:w="4080" w:type="dxa"/>
            <w:vAlign w:val="bottom"/>
            <w:shd w:val="clear" w:color="auto" w:fill="DBDBDB"/>
          </w:tcPr>
          <w:p>
            <w:pPr>
              <w:ind w:left="140"/>
              <w:spacing w:after="0" w:line="196" w:lineRule="exact"/>
              <w:rPr>
                <w:sz w:val="20"/>
                <w:szCs w:val="20"/>
                <w:color w:val="auto"/>
              </w:rPr>
            </w:pPr>
            <w:r>
              <w:rPr>
                <w:rFonts w:ascii="Arial" w:cs="Arial" w:eastAsia="Arial" w:hAnsi="Arial"/>
                <w:sz w:val="18"/>
                <w:szCs w:val="18"/>
                <w:color w:val="auto"/>
              </w:rPr>
              <w:t>Dilutive effect of stock compensation plans</w:t>
            </w:r>
          </w:p>
        </w:tc>
        <w:tc>
          <w:tcPr>
            <w:tcW w:w="140" w:type="dxa"/>
            <w:vAlign w:val="bottom"/>
            <w:shd w:val="clear" w:color="auto" w:fill="DBDBDB"/>
          </w:tcPr>
          <w:p>
            <w:pPr>
              <w:spacing w:after="0"/>
              <w:rPr>
                <w:sz w:val="17"/>
                <w:szCs w:val="17"/>
                <w:color w:val="auto"/>
              </w:rPr>
            </w:pPr>
          </w:p>
        </w:tc>
        <w:tc>
          <w:tcPr>
            <w:tcW w:w="98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1100" w:type="dxa"/>
            <w:vAlign w:val="bottom"/>
            <w:shd w:val="clear" w:color="auto" w:fill="DBDBDB"/>
          </w:tcPr>
          <w:p>
            <w:pPr>
              <w:jc w:val="right"/>
              <w:spacing w:after="0" w:line="196" w:lineRule="exact"/>
              <w:rPr>
                <w:sz w:val="20"/>
                <w:szCs w:val="20"/>
                <w:color w:val="auto"/>
              </w:rPr>
            </w:pPr>
            <w:r>
              <w:rPr>
                <w:rFonts w:ascii="Arial" w:cs="Arial" w:eastAsia="Arial" w:hAnsi="Arial"/>
                <w:sz w:val="18"/>
                <w:szCs w:val="18"/>
                <w:b w:val="1"/>
                <w:bCs w:val="1"/>
                <w:color w:val="auto"/>
              </w:rPr>
              <w:t>5</w:t>
            </w:r>
          </w:p>
        </w:tc>
        <w:tc>
          <w:tcPr>
            <w:tcW w:w="100" w:type="dxa"/>
            <w:vAlign w:val="bottom"/>
            <w:shd w:val="clear" w:color="auto" w:fill="DBDBDB"/>
          </w:tcPr>
          <w:p>
            <w:pPr>
              <w:spacing w:after="0"/>
              <w:rPr>
                <w:sz w:val="17"/>
                <w:szCs w:val="17"/>
                <w:color w:val="auto"/>
              </w:rPr>
            </w:pPr>
          </w:p>
        </w:tc>
        <w:tc>
          <w:tcPr>
            <w:tcW w:w="260" w:type="dxa"/>
            <w:vAlign w:val="bottom"/>
            <w:shd w:val="clear" w:color="auto" w:fill="DBDBDB"/>
          </w:tcPr>
          <w:p>
            <w:pPr>
              <w:spacing w:after="0"/>
              <w:rPr>
                <w:sz w:val="17"/>
                <w:szCs w:val="17"/>
                <w:color w:val="auto"/>
              </w:rPr>
            </w:pPr>
          </w:p>
        </w:tc>
        <w:tc>
          <w:tcPr>
            <w:tcW w:w="840" w:type="dxa"/>
            <w:vAlign w:val="bottom"/>
            <w:shd w:val="clear" w:color="auto" w:fill="DBDBDB"/>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140" w:type="dxa"/>
            <w:vAlign w:val="bottom"/>
            <w:shd w:val="clear" w:color="auto" w:fill="DBDBDB"/>
          </w:tcPr>
          <w:p>
            <w:pPr>
              <w:spacing w:after="0"/>
              <w:rPr>
                <w:sz w:val="17"/>
                <w:szCs w:val="17"/>
                <w:color w:val="auto"/>
              </w:rPr>
            </w:pPr>
          </w:p>
        </w:tc>
        <w:tc>
          <w:tcPr>
            <w:tcW w:w="960" w:type="dxa"/>
            <w:vAlign w:val="bottom"/>
            <w:shd w:val="clear" w:color="auto" w:fill="DBDBDB"/>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1080" w:type="dxa"/>
            <w:vAlign w:val="bottom"/>
            <w:shd w:val="clear" w:color="auto" w:fill="DBDBDB"/>
          </w:tcPr>
          <w:p>
            <w:pPr>
              <w:jc w:val="right"/>
              <w:spacing w:after="0" w:line="196" w:lineRule="exact"/>
              <w:rPr>
                <w:sz w:val="20"/>
                <w:szCs w:val="20"/>
                <w:color w:val="auto"/>
              </w:rPr>
            </w:pPr>
            <w:r>
              <w:rPr>
                <w:rFonts w:ascii="Arial" w:cs="Arial" w:eastAsia="Arial" w:hAnsi="Arial"/>
                <w:sz w:val="18"/>
                <w:szCs w:val="18"/>
                <w:color w:val="auto"/>
              </w:rPr>
              <w:t>6</w:t>
            </w:r>
          </w:p>
        </w:tc>
        <w:tc>
          <w:tcPr>
            <w:tcW w:w="120" w:type="dxa"/>
            <w:vAlign w:val="bottom"/>
            <w:shd w:val="clear" w:color="auto" w:fill="DBDBDB"/>
          </w:tcPr>
          <w:p>
            <w:pPr>
              <w:spacing w:after="0"/>
              <w:rPr>
                <w:sz w:val="17"/>
                <w:szCs w:val="17"/>
                <w:color w:val="auto"/>
              </w:rPr>
            </w:pPr>
          </w:p>
        </w:tc>
        <w:tc>
          <w:tcPr>
            <w:tcW w:w="260" w:type="dxa"/>
            <w:vAlign w:val="bottom"/>
            <w:shd w:val="clear" w:color="auto" w:fill="DBDBDB"/>
          </w:tcPr>
          <w:p>
            <w:pPr>
              <w:spacing w:after="0"/>
              <w:rPr>
                <w:sz w:val="17"/>
                <w:szCs w:val="17"/>
                <w:color w:val="auto"/>
              </w:rPr>
            </w:pPr>
          </w:p>
        </w:tc>
        <w:tc>
          <w:tcPr>
            <w:tcW w:w="840" w:type="dxa"/>
            <w:vAlign w:val="bottom"/>
            <w:shd w:val="clear" w:color="auto" w:fill="DBDBDB"/>
          </w:tcPr>
          <w:p>
            <w:pPr>
              <w:spacing w:after="0"/>
              <w:rPr>
                <w:sz w:val="17"/>
                <w:szCs w:val="17"/>
                <w:color w:val="auto"/>
              </w:rPr>
            </w:pPr>
          </w:p>
        </w:tc>
      </w:tr>
      <w:tr>
        <w:trPr>
          <w:trHeight w:val="256"/>
        </w:trPr>
        <w:tc>
          <w:tcPr>
            <w:tcW w:w="40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40" w:type="dxa"/>
            <w:vAlign w:val="bottom"/>
          </w:tcPr>
          <w:p>
            <w:pPr>
              <w:spacing w:after="0"/>
              <w:rPr>
                <w:sz w:val="22"/>
                <w:szCs w:val="22"/>
                <w:color w:val="auto"/>
              </w:rPr>
            </w:pPr>
          </w:p>
        </w:tc>
      </w:tr>
      <w:tr>
        <w:trPr>
          <w:trHeight w:val="230"/>
        </w:trPr>
        <w:tc>
          <w:tcPr>
            <w:tcW w:w="4080" w:type="dxa"/>
            <w:vAlign w:val="bottom"/>
            <w:shd w:val="clear" w:color="auto" w:fill="DBDBDB"/>
          </w:tcPr>
          <w:p>
            <w:pPr>
              <w:ind w:left="20"/>
              <w:spacing w:after="0"/>
              <w:rPr>
                <w:sz w:val="20"/>
                <w:szCs w:val="20"/>
                <w:color w:val="auto"/>
              </w:rPr>
            </w:pPr>
            <w:r>
              <w:rPr>
                <w:rFonts w:ascii="Arial" w:cs="Arial" w:eastAsia="Arial" w:hAnsi="Arial"/>
                <w:sz w:val="18"/>
                <w:szCs w:val="18"/>
                <w:b w:val="1"/>
                <w:bCs w:val="1"/>
                <w:color w:val="auto"/>
              </w:rPr>
              <w:t>Diluted EPS:</w:t>
            </w:r>
          </w:p>
        </w:tc>
        <w:tc>
          <w:tcPr>
            <w:tcW w:w="140" w:type="dxa"/>
            <w:vAlign w:val="bottom"/>
            <w:shd w:val="clear" w:color="auto" w:fill="DBDBDB"/>
          </w:tcPr>
          <w:p>
            <w:pPr>
              <w:spacing w:after="0"/>
              <w:rPr>
                <w:sz w:val="19"/>
                <w:szCs w:val="19"/>
                <w:color w:val="auto"/>
              </w:rPr>
            </w:pPr>
          </w:p>
        </w:tc>
        <w:tc>
          <w:tcPr>
            <w:tcW w:w="98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110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260" w:type="dxa"/>
            <w:vAlign w:val="bottom"/>
            <w:shd w:val="clear" w:color="auto" w:fill="DBDBDB"/>
          </w:tcPr>
          <w:p>
            <w:pPr>
              <w:spacing w:after="0"/>
              <w:rPr>
                <w:sz w:val="19"/>
                <w:szCs w:val="19"/>
                <w:color w:val="auto"/>
              </w:rPr>
            </w:pPr>
          </w:p>
        </w:tc>
        <w:tc>
          <w:tcPr>
            <w:tcW w:w="84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96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08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260" w:type="dxa"/>
            <w:vAlign w:val="bottom"/>
            <w:shd w:val="clear" w:color="auto" w:fill="DBDBDB"/>
          </w:tcPr>
          <w:p>
            <w:pPr>
              <w:spacing w:after="0"/>
              <w:rPr>
                <w:sz w:val="19"/>
                <w:szCs w:val="19"/>
                <w:color w:val="auto"/>
              </w:rPr>
            </w:pPr>
          </w:p>
        </w:tc>
        <w:tc>
          <w:tcPr>
            <w:tcW w:w="840" w:type="dxa"/>
            <w:vAlign w:val="bottom"/>
            <w:shd w:val="clear" w:color="auto" w:fill="DBDBDB"/>
          </w:tcPr>
          <w:p>
            <w:pPr>
              <w:spacing w:after="0"/>
              <w:rPr>
                <w:sz w:val="19"/>
                <w:szCs w:val="19"/>
                <w:color w:val="auto"/>
              </w:rPr>
            </w:pPr>
          </w:p>
        </w:tc>
      </w:tr>
      <w:tr>
        <w:trPr>
          <w:trHeight w:val="229"/>
        </w:trPr>
        <w:tc>
          <w:tcPr>
            <w:tcW w:w="4080" w:type="dxa"/>
            <w:vAlign w:val="bottom"/>
          </w:tcPr>
          <w:p>
            <w:pPr>
              <w:ind w:left="140"/>
              <w:spacing w:after="0"/>
              <w:rPr>
                <w:sz w:val="20"/>
                <w:szCs w:val="20"/>
                <w:color w:val="auto"/>
              </w:rPr>
            </w:pPr>
            <w:r>
              <w:rPr>
                <w:rFonts w:ascii="Arial" w:cs="Arial" w:eastAsia="Arial" w:hAnsi="Arial"/>
                <w:sz w:val="18"/>
                <w:szCs w:val="18"/>
                <w:color w:val="auto"/>
              </w:rPr>
              <w:t>Net income</w:t>
            </w: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1,545</w:t>
            </w: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1,179</w:t>
            </w: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30"/>
        </w:trPr>
        <w:tc>
          <w:tcPr>
            <w:tcW w:w="4080" w:type="dxa"/>
            <w:vAlign w:val="bottom"/>
            <w:shd w:val="clear" w:color="auto" w:fill="DBDBDB"/>
          </w:tcPr>
          <w:p>
            <w:pPr>
              <w:ind w:left="140"/>
              <w:spacing w:after="0"/>
              <w:rPr>
                <w:sz w:val="20"/>
                <w:szCs w:val="20"/>
                <w:color w:val="auto"/>
              </w:rPr>
            </w:pPr>
            <w:r>
              <w:rPr>
                <w:rFonts w:ascii="Arial" w:cs="Arial" w:eastAsia="Arial" w:hAnsi="Arial"/>
                <w:sz w:val="18"/>
                <w:szCs w:val="18"/>
                <w:color w:val="auto"/>
              </w:rPr>
              <w:t>Income allocated to RSUs</w:t>
            </w:r>
          </w:p>
        </w:tc>
        <w:tc>
          <w:tcPr>
            <w:tcW w:w="140" w:type="dxa"/>
            <w:vAlign w:val="bottom"/>
            <w:tcBorders>
              <w:bottom w:val="single" w:sz="8" w:color="auto"/>
            </w:tcBorders>
            <w:shd w:val="clear" w:color="auto" w:fill="DBDBDB"/>
          </w:tcPr>
          <w:p>
            <w:pPr>
              <w:spacing w:after="0"/>
              <w:rPr>
                <w:sz w:val="19"/>
                <w:szCs w:val="19"/>
                <w:color w:val="auto"/>
              </w:rPr>
            </w:pPr>
          </w:p>
        </w:tc>
        <w:tc>
          <w:tcPr>
            <w:tcW w:w="9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(9)</w:t>
            </w:r>
          </w:p>
        </w:tc>
        <w:tc>
          <w:tcPr>
            <w:tcW w:w="100" w:type="dxa"/>
            <w:vAlign w:val="bottom"/>
            <w:shd w:val="clear" w:color="auto" w:fill="DBDBDB"/>
          </w:tcPr>
          <w:p>
            <w:pPr>
              <w:spacing w:after="0"/>
              <w:rPr>
                <w:sz w:val="19"/>
                <w:szCs w:val="19"/>
                <w:color w:val="auto"/>
              </w:rPr>
            </w:pPr>
          </w:p>
        </w:tc>
        <w:tc>
          <w:tcPr>
            <w:tcW w:w="1100" w:type="dxa"/>
            <w:vAlign w:val="bottom"/>
            <w:tcBorders>
              <w:bottom w:val="single" w:sz="8" w:color="auto"/>
            </w:tcBorders>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260" w:type="dxa"/>
            <w:vAlign w:val="bottom"/>
            <w:shd w:val="clear" w:color="auto" w:fill="DBDBDB"/>
          </w:tcPr>
          <w:p>
            <w:pPr>
              <w:spacing w:after="0"/>
              <w:rPr>
                <w:sz w:val="19"/>
                <w:szCs w:val="19"/>
                <w:color w:val="auto"/>
              </w:rPr>
            </w:pPr>
          </w:p>
        </w:tc>
        <w:tc>
          <w:tcPr>
            <w:tcW w:w="84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40" w:type="dxa"/>
            <w:vAlign w:val="bottom"/>
            <w:tcBorders>
              <w:bottom w:val="single" w:sz="8" w:color="auto"/>
            </w:tcBorders>
            <w:shd w:val="clear" w:color="auto" w:fill="DBDBDB"/>
          </w:tcPr>
          <w:p>
            <w:pPr>
              <w:spacing w:after="0"/>
              <w:rPr>
                <w:sz w:val="19"/>
                <w:szCs w:val="19"/>
                <w:color w:val="auto"/>
              </w:rPr>
            </w:pPr>
          </w:p>
        </w:tc>
        <w:tc>
          <w:tcPr>
            <w:tcW w:w="9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(6)</w:t>
            </w:r>
          </w:p>
        </w:tc>
        <w:tc>
          <w:tcPr>
            <w:tcW w:w="120" w:type="dxa"/>
            <w:vAlign w:val="bottom"/>
            <w:shd w:val="clear" w:color="auto" w:fill="DBDBDB"/>
          </w:tcPr>
          <w:p>
            <w:pPr>
              <w:spacing w:after="0"/>
              <w:rPr>
                <w:sz w:val="19"/>
                <w:szCs w:val="19"/>
                <w:color w:val="auto"/>
              </w:rPr>
            </w:pPr>
          </w:p>
        </w:tc>
        <w:tc>
          <w:tcPr>
            <w:tcW w:w="1080" w:type="dxa"/>
            <w:vAlign w:val="bottom"/>
            <w:tcBorders>
              <w:bottom w:val="single" w:sz="8" w:color="auto"/>
            </w:tcBorders>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260" w:type="dxa"/>
            <w:vAlign w:val="bottom"/>
            <w:shd w:val="clear" w:color="auto" w:fill="DBDBDB"/>
          </w:tcPr>
          <w:p>
            <w:pPr>
              <w:spacing w:after="0"/>
              <w:rPr>
                <w:sz w:val="19"/>
                <w:szCs w:val="19"/>
                <w:color w:val="auto"/>
              </w:rPr>
            </w:pPr>
          </w:p>
        </w:tc>
        <w:tc>
          <w:tcPr>
            <w:tcW w:w="840" w:type="dxa"/>
            <w:vAlign w:val="bottom"/>
            <w:shd w:val="clear" w:color="auto" w:fill="DBDBDB"/>
          </w:tcPr>
          <w:p>
            <w:pPr>
              <w:spacing w:after="0"/>
              <w:rPr>
                <w:sz w:val="19"/>
                <w:szCs w:val="19"/>
                <w:color w:val="auto"/>
              </w:rPr>
            </w:pPr>
          </w:p>
        </w:tc>
      </w:tr>
      <w:tr>
        <w:trPr>
          <w:trHeight w:val="223"/>
        </w:trPr>
        <w:tc>
          <w:tcPr>
            <w:tcW w:w="4080" w:type="dxa"/>
            <w:vAlign w:val="bottom"/>
          </w:tcPr>
          <w:p>
            <w:pPr>
              <w:ind w:left="140"/>
              <w:spacing w:after="0"/>
              <w:rPr>
                <w:sz w:val="20"/>
                <w:szCs w:val="20"/>
                <w:color w:val="auto"/>
              </w:rPr>
            </w:pPr>
            <w:r>
              <w:rPr>
                <w:rFonts w:ascii="Arial" w:cs="Arial" w:eastAsia="Arial" w:hAnsi="Arial"/>
                <w:sz w:val="18"/>
                <w:szCs w:val="18"/>
                <w:color w:val="auto"/>
              </w:rPr>
              <w:t>Income allocated to common stock</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1,536</w:t>
            </w:r>
          </w:p>
        </w:tc>
        <w:tc>
          <w:tcPr>
            <w:tcW w:w="100" w:type="dxa"/>
            <w:vAlign w:val="bottom"/>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914</w:t>
            </w:r>
          </w:p>
        </w:tc>
        <w:tc>
          <w:tcPr>
            <w:tcW w:w="3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1.68</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1,173</w:t>
            </w:r>
          </w:p>
        </w:tc>
        <w:tc>
          <w:tcPr>
            <w:tcW w:w="120" w:type="dxa"/>
            <w:vAlign w:val="bottom"/>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916</w:t>
            </w:r>
          </w:p>
        </w:tc>
        <w:tc>
          <w:tcPr>
            <w:tcW w:w="3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1.28</w:t>
            </w:r>
          </w:p>
        </w:tc>
      </w:tr>
      <w:tr>
        <w:trPr>
          <w:trHeight w:val="21"/>
        </w:trPr>
        <w:tc>
          <w:tcPr>
            <w:tcW w:w="40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bl>
    <w:p>
      <w:pPr>
        <w:spacing w:after="0" w:line="265" w:lineRule="exact"/>
        <w:rPr>
          <w:sz w:val="20"/>
          <w:szCs w:val="20"/>
          <w:color w:val="auto"/>
        </w:rPr>
      </w:pPr>
    </w:p>
    <w:p>
      <w:pPr>
        <w:jc w:val="both"/>
        <w:ind w:right="120"/>
        <w:spacing w:after="0" w:line="268" w:lineRule="auto"/>
        <w:rPr>
          <w:sz w:val="20"/>
          <w:szCs w:val="20"/>
          <w:color w:val="auto"/>
        </w:rPr>
      </w:pPr>
      <w:r>
        <w:rPr>
          <w:rFonts w:ascii="Arial" w:cs="Arial" w:eastAsia="Arial" w:hAnsi="Arial"/>
          <w:sz w:val="18"/>
          <w:szCs w:val="18"/>
          <w:color w:val="auto"/>
        </w:rPr>
        <w:t>Potentially dilutive securities representing 6 million and 10 million shares of common stock that were outstanding during the first quarters of 2026 and 2025, respectively, were excluded from the computation of diluted earnings per common share during these periods because their effect would have been anti-dilutive.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Derivatives and hedging</w:t>
      </w:r>
    </w:p>
    <w:p>
      <w:pPr>
        <w:spacing w:after="0" w:line="25"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We use derivative financial instruments to manage exposure to foreign exchange risk. These instruments are primarily forward foreign currency exchange contracts, which are used as economic hedges to reduce the earnings impact that exchange rate fluctuations may have on our non-U.S. dollar net balance sheet exposures. Gains and losses from changes in the fair value of these forward foreign currency exchange contracts are credited or charged to OI&amp;E. We do not apply hedge accounting to our foreign currency derivative instruments.</w:t>
      </w:r>
    </w:p>
    <w:p>
      <w:pPr>
        <w:spacing w:after="0" w:line="182"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We are exposed to variability in compensation charges related to certain deferred compensation obligations to employees. We use total return swaps to economically hedge this exposure and offset the related compensation expense, recognizing changes in the fair value of the swaps and the related deferred compensation liabilities in SG&amp;A.</w:t>
      </w:r>
    </w:p>
    <w:p>
      <w:pPr>
        <w:spacing w:after="0" w:line="171" w:lineRule="exact"/>
        <w:rPr>
          <w:sz w:val="20"/>
          <w:szCs w:val="20"/>
          <w:color w:val="auto"/>
        </w:rPr>
      </w:pPr>
    </w:p>
    <w:p>
      <w:pPr>
        <w:ind w:right="880"/>
        <w:spacing w:after="0" w:line="287" w:lineRule="auto"/>
        <w:rPr>
          <w:sz w:val="20"/>
          <w:szCs w:val="20"/>
          <w:color w:val="auto"/>
        </w:rPr>
      </w:pPr>
      <w:r>
        <w:rPr>
          <w:rFonts w:ascii="Arial" w:cs="Arial" w:eastAsia="Arial" w:hAnsi="Arial"/>
          <w:sz w:val="18"/>
          <w:szCs w:val="18"/>
          <w:color w:val="auto"/>
        </w:rPr>
        <w:t>In connection with the issuance of long-term debt, we may use financial derivatives such as treasury-rate lock agreements that are recognized in AOCI and amortized over the life of the related debt.</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The results of these derivative transactions were not material. We do not use derivatives for speculative or trading purposes.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Fair values of financial instruments</w:t>
      </w:r>
    </w:p>
    <w:p>
      <w:pPr>
        <w:spacing w:after="0" w:line="25" w:lineRule="exact"/>
        <w:rPr>
          <w:sz w:val="20"/>
          <w:szCs w:val="20"/>
          <w:color w:val="auto"/>
        </w:rPr>
      </w:pPr>
    </w:p>
    <w:p>
      <w:pPr>
        <w:ind w:right="140"/>
        <w:spacing w:after="0" w:line="250" w:lineRule="auto"/>
        <w:rPr>
          <w:sz w:val="20"/>
          <w:szCs w:val="20"/>
          <w:color w:val="auto"/>
        </w:rPr>
      </w:pPr>
      <w:r>
        <w:rPr>
          <w:rFonts w:ascii="Arial" w:cs="Arial" w:eastAsia="Arial" w:hAnsi="Arial"/>
          <w:sz w:val="18"/>
          <w:szCs w:val="18"/>
          <w:color w:val="auto"/>
        </w:rPr>
        <w:t>The fair values of our derivative financial instruments were not material as of March 31, 2026. Our investments in cash equivalents, short-term investments and certain long-term investments, as well as our deferred compensation liabilities, are carried at fair value. The carrying values for other current financial assets and liabilities, such as accounts receivable and accounts payable, approximate fair value due to the short maturity of such instruments. As of March 31, 2026, the carrying value of long-term debt, including the current portion, was</w:t>
      </w:r>
    </w:p>
    <w:p>
      <w:pPr>
        <w:spacing w:after="0" w:line="2" w:lineRule="exact"/>
        <w:rPr>
          <w:sz w:val="20"/>
          <w:szCs w:val="20"/>
          <w:color w:val="auto"/>
        </w:rPr>
      </w:pPr>
    </w:p>
    <w:p>
      <w:pPr>
        <w:ind w:right="260"/>
        <w:spacing w:after="0" w:line="266" w:lineRule="auto"/>
        <w:rPr>
          <w:sz w:val="20"/>
          <w:szCs w:val="20"/>
          <w:color w:val="auto"/>
        </w:rPr>
      </w:pPr>
      <w:r>
        <w:rPr>
          <w:rFonts w:ascii="Arial" w:cs="Arial" w:eastAsia="Arial" w:hAnsi="Arial"/>
          <w:sz w:val="18"/>
          <w:szCs w:val="18"/>
          <w:color w:val="auto"/>
        </w:rPr>
        <w:t>$14.05 billion, and the estimated fair value was $13.05 billion. The estimated fair value is measured using broker-dealer quotes, which are Level 2 inputs. See Note 4 for a description of fair value and the definition of Level 2 inputs.</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accounting standards – standards not yet adopted</w:t>
      </w:r>
    </w:p>
    <w:p>
      <w:pPr>
        <w:spacing w:after="0" w:line="223" w:lineRule="exact"/>
        <w:rPr>
          <w:sz w:val="20"/>
          <w:szCs w:val="20"/>
          <w:color w:val="auto"/>
        </w:rPr>
      </w:pPr>
    </w:p>
    <w:p>
      <w:pPr>
        <w:ind w:right="560"/>
        <w:spacing w:after="0" w:line="287" w:lineRule="auto"/>
        <w:rPr>
          <w:sz w:val="20"/>
          <w:szCs w:val="20"/>
          <w:color w:val="auto"/>
        </w:rPr>
      </w:pPr>
      <w:r>
        <w:rPr>
          <w:rFonts w:ascii="Arial" w:cs="Arial" w:eastAsia="Arial" w:hAnsi="Arial"/>
          <w:sz w:val="18"/>
          <w:szCs w:val="18"/>
          <w:color w:val="auto"/>
        </w:rPr>
        <w:t>We are currently evaluating the potential impact of the following Accounting Standards Updates (ASU) on our financial statements and related disclosures. We plan to adopt these ASUs as of their effective dates.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00" w:type="dxa"/>
            <w:vAlign w:val="bottom"/>
          </w:tcPr>
          <w:p>
            <w:pPr>
              <w:spacing w:after="0"/>
              <w:rPr>
                <w:sz w:val="17"/>
                <w:szCs w:val="17"/>
                <w:color w:val="auto"/>
              </w:rPr>
            </w:pPr>
          </w:p>
        </w:tc>
        <w:tc>
          <w:tcPr>
            <w:tcW w:w="202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rPr>
              <w:t>ASU</w:t>
            </w:r>
          </w:p>
        </w:tc>
        <w:tc>
          <w:tcPr>
            <w:tcW w:w="6220" w:type="dxa"/>
            <w:vAlign w:val="bottom"/>
          </w:tcPr>
          <w:p>
            <w:pPr>
              <w:ind w:left="2980"/>
              <w:spacing w:after="0"/>
              <w:rPr>
                <w:sz w:val="20"/>
                <w:szCs w:val="20"/>
                <w:color w:val="auto"/>
              </w:rPr>
            </w:pPr>
            <w:r>
              <w:rPr>
                <w:rFonts w:ascii="Arial" w:cs="Arial" w:eastAsia="Arial" w:hAnsi="Arial"/>
                <w:sz w:val="14"/>
                <w:szCs w:val="14"/>
                <w:b w:val="1"/>
                <w:bCs w:val="1"/>
                <w:color w:val="auto"/>
              </w:rPr>
              <w:t>Description</w:t>
            </w: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140" w:type="dxa"/>
            <w:vAlign w:val="bottom"/>
            <w:gridSpan w:val="5"/>
          </w:tcPr>
          <w:p>
            <w:pPr>
              <w:jc w:val="center"/>
              <w:spacing w:after="0"/>
              <w:rPr>
                <w:sz w:val="20"/>
                <w:szCs w:val="20"/>
                <w:color w:val="auto"/>
              </w:rPr>
            </w:pPr>
            <w:r>
              <w:rPr>
                <w:rFonts w:ascii="Arial" w:cs="Arial" w:eastAsia="Arial" w:hAnsi="Arial"/>
                <w:sz w:val="14"/>
                <w:szCs w:val="14"/>
                <w:b w:val="1"/>
                <w:bCs w:val="1"/>
                <w:color w:val="auto"/>
              </w:rPr>
              <w:t>Effective for Period Ending</w:t>
            </w:r>
          </w:p>
        </w:tc>
      </w:tr>
      <w:tr>
        <w:trPr>
          <w:trHeight w:val="170"/>
        </w:trPr>
        <w:tc>
          <w:tcPr>
            <w:tcW w:w="200" w:type="dxa"/>
            <w:vAlign w:val="bottom"/>
            <w:tcBorders>
              <w:top w:val="single" w:sz="8" w:color="auto"/>
            </w:tcBorders>
            <w:shd w:val="clear" w:color="auto" w:fill="DBDBDB"/>
          </w:tcPr>
          <w:p>
            <w:pPr>
              <w:spacing w:after="0"/>
              <w:rPr>
                <w:sz w:val="14"/>
                <w:szCs w:val="14"/>
                <w:color w:val="auto"/>
              </w:rPr>
            </w:pPr>
          </w:p>
        </w:tc>
        <w:tc>
          <w:tcPr>
            <w:tcW w:w="1920" w:type="dxa"/>
            <w:vAlign w:val="bottom"/>
            <w:tcBorders>
              <w:top w:val="single" w:sz="8" w:color="auto"/>
            </w:tcBorders>
            <w:gridSpan w:val="2"/>
            <w:shd w:val="clear" w:color="auto" w:fill="DBDBDB"/>
          </w:tcPr>
          <w:p>
            <w:pPr>
              <w:jc w:val="center"/>
              <w:ind w:right="200"/>
              <w:spacing w:after="0" w:line="170" w:lineRule="exact"/>
              <w:rPr>
                <w:sz w:val="20"/>
                <w:szCs w:val="20"/>
                <w:color w:val="auto"/>
              </w:rPr>
            </w:pPr>
            <w:r>
              <w:rPr>
                <w:rFonts w:ascii="Arial" w:cs="Arial" w:eastAsia="Arial" w:hAnsi="Arial"/>
                <w:sz w:val="18"/>
                <w:szCs w:val="18"/>
                <w:color w:val="auto"/>
                <w:w w:val="99"/>
              </w:rPr>
              <w:t>ASU No. 2024-03</w:t>
            </w:r>
          </w:p>
        </w:tc>
        <w:tc>
          <w:tcPr>
            <w:tcW w:w="100" w:type="dxa"/>
            <w:vAlign w:val="bottom"/>
            <w:tcBorders>
              <w:top w:val="single" w:sz="8" w:color="DBDBDB"/>
            </w:tcBorders>
            <w:shd w:val="clear" w:color="auto" w:fill="DBDBDB"/>
          </w:tcPr>
          <w:p>
            <w:pPr>
              <w:spacing w:after="0"/>
              <w:rPr>
                <w:sz w:val="14"/>
                <w:szCs w:val="14"/>
                <w:color w:val="auto"/>
              </w:rPr>
            </w:pPr>
          </w:p>
        </w:tc>
        <w:tc>
          <w:tcPr>
            <w:tcW w:w="6640" w:type="dxa"/>
            <w:vAlign w:val="bottom"/>
            <w:tcBorders>
              <w:top w:val="single" w:sz="8" w:color="auto"/>
            </w:tcBorders>
            <w:gridSpan w:val="2"/>
            <w:shd w:val="clear" w:color="auto" w:fill="DBDBDB"/>
          </w:tcPr>
          <w:p>
            <w:pPr>
              <w:ind w:left="20"/>
              <w:spacing w:after="0" w:line="170" w:lineRule="exact"/>
              <w:rPr>
                <w:sz w:val="20"/>
                <w:szCs w:val="20"/>
                <w:color w:val="auto"/>
              </w:rPr>
            </w:pPr>
            <w:r>
              <w:rPr>
                <w:rFonts w:ascii="Arial" w:cs="Arial" w:eastAsia="Arial" w:hAnsi="Arial"/>
                <w:sz w:val="18"/>
                <w:szCs w:val="18"/>
                <w:i w:val="1"/>
                <w:iCs w:val="1"/>
                <w:color w:val="auto"/>
              </w:rPr>
              <w:t>Income Statement – Reporting Comprehensive Income – Expense Disaggregation</w:t>
            </w:r>
          </w:p>
        </w:tc>
        <w:tc>
          <w:tcPr>
            <w:tcW w:w="120" w:type="dxa"/>
            <w:vAlign w:val="bottom"/>
            <w:tcBorders>
              <w:top w:val="single" w:sz="8" w:color="auto"/>
            </w:tcBorders>
            <w:shd w:val="clear" w:color="auto" w:fill="DBDBDB"/>
          </w:tcPr>
          <w:p>
            <w:pPr>
              <w:spacing w:after="0"/>
              <w:rPr>
                <w:sz w:val="14"/>
                <w:szCs w:val="14"/>
                <w:color w:val="auto"/>
              </w:rPr>
            </w:pPr>
          </w:p>
        </w:tc>
        <w:tc>
          <w:tcPr>
            <w:tcW w:w="120" w:type="dxa"/>
            <w:vAlign w:val="bottom"/>
            <w:tcBorders>
              <w:top w:val="single" w:sz="8" w:color="DBDBDB"/>
            </w:tcBorders>
            <w:shd w:val="clear" w:color="auto" w:fill="DBDBDB"/>
          </w:tcPr>
          <w:p>
            <w:pPr>
              <w:spacing w:after="0"/>
              <w:rPr>
                <w:sz w:val="14"/>
                <w:szCs w:val="14"/>
                <w:color w:val="auto"/>
              </w:rPr>
            </w:pPr>
          </w:p>
        </w:tc>
        <w:tc>
          <w:tcPr>
            <w:tcW w:w="2140" w:type="dxa"/>
            <w:vAlign w:val="bottom"/>
            <w:tcBorders>
              <w:top w:val="single" w:sz="8" w:color="auto"/>
            </w:tcBorders>
            <w:gridSpan w:val="5"/>
            <w:shd w:val="clear" w:color="auto" w:fill="DBDBDB"/>
          </w:tcPr>
          <w:p>
            <w:pPr>
              <w:jc w:val="center"/>
              <w:spacing w:after="0" w:line="170" w:lineRule="exact"/>
              <w:rPr>
                <w:sz w:val="20"/>
                <w:szCs w:val="20"/>
                <w:color w:val="auto"/>
              </w:rPr>
            </w:pPr>
            <w:r>
              <w:rPr>
                <w:rFonts w:ascii="Arial" w:cs="Arial" w:eastAsia="Arial" w:hAnsi="Arial"/>
                <w:sz w:val="18"/>
                <w:szCs w:val="18"/>
                <w:color w:val="auto"/>
                <w:w w:val="99"/>
              </w:rPr>
              <w:t>December 31, 2027</w:t>
            </w:r>
          </w:p>
        </w:tc>
      </w:tr>
      <w:tr>
        <w:trPr>
          <w:trHeight w:val="243"/>
        </w:trPr>
        <w:tc>
          <w:tcPr>
            <w:tcW w:w="200" w:type="dxa"/>
            <w:vAlign w:val="bottom"/>
            <w:shd w:val="clear" w:color="auto" w:fill="DBDBDB"/>
          </w:tcPr>
          <w:p>
            <w:pPr>
              <w:spacing w:after="0"/>
              <w:rPr>
                <w:sz w:val="21"/>
                <w:szCs w:val="21"/>
                <w:color w:val="auto"/>
              </w:rPr>
            </w:pPr>
          </w:p>
        </w:tc>
        <w:tc>
          <w:tcPr>
            <w:tcW w:w="1080" w:type="dxa"/>
            <w:vAlign w:val="bottom"/>
            <w:shd w:val="clear" w:color="auto" w:fill="DBDBDB"/>
          </w:tcPr>
          <w:p>
            <w:pPr>
              <w:spacing w:after="0"/>
              <w:rPr>
                <w:sz w:val="21"/>
                <w:szCs w:val="21"/>
                <w:color w:val="auto"/>
              </w:rPr>
            </w:pPr>
          </w:p>
        </w:tc>
        <w:tc>
          <w:tcPr>
            <w:tcW w:w="840" w:type="dxa"/>
            <w:vAlign w:val="bottom"/>
            <w:shd w:val="clear" w:color="auto" w:fill="DBDBDB"/>
          </w:tcPr>
          <w:p>
            <w:pPr>
              <w:spacing w:after="0"/>
              <w:rPr>
                <w:sz w:val="21"/>
                <w:szCs w:val="21"/>
                <w:color w:val="auto"/>
              </w:rPr>
            </w:pPr>
          </w:p>
        </w:tc>
        <w:tc>
          <w:tcPr>
            <w:tcW w:w="100" w:type="dxa"/>
            <w:vAlign w:val="bottom"/>
            <w:shd w:val="clear" w:color="auto" w:fill="DBDBDB"/>
          </w:tcPr>
          <w:p>
            <w:pPr>
              <w:spacing w:after="0"/>
              <w:rPr>
                <w:sz w:val="21"/>
                <w:szCs w:val="21"/>
                <w:color w:val="auto"/>
              </w:rPr>
            </w:pPr>
          </w:p>
        </w:tc>
        <w:tc>
          <w:tcPr>
            <w:tcW w:w="6640" w:type="dxa"/>
            <w:vAlign w:val="bottom"/>
            <w:gridSpan w:val="2"/>
            <w:shd w:val="clear" w:color="auto" w:fill="DBDBDB"/>
          </w:tcPr>
          <w:p>
            <w:pPr>
              <w:ind w:left="20"/>
              <w:spacing w:after="0"/>
              <w:rPr>
                <w:sz w:val="20"/>
                <w:szCs w:val="20"/>
                <w:color w:val="auto"/>
              </w:rPr>
            </w:pPr>
            <w:r>
              <w:rPr>
                <w:rFonts w:ascii="Arial" w:cs="Arial" w:eastAsia="Arial" w:hAnsi="Arial"/>
                <w:sz w:val="18"/>
                <w:szCs w:val="18"/>
                <w:i w:val="1"/>
                <w:iCs w:val="1"/>
                <w:color w:val="auto"/>
              </w:rPr>
              <w:t>Disclosures (Subtopic 220-40): Disaggregation of Income Statement Expenses</w:t>
            </w:r>
          </w:p>
        </w:tc>
        <w:tc>
          <w:tcPr>
            <w:tcW w:w="120" w:type="dxa"/>
            <w:vAlign w:val="bottom"/>
            <w:shd w:val="clear" w:color="auto" w:fill="DBDBDB"/>
          </w:tcPr>
          <w:p>
            <w:pPr>
              <w:spacing w:after="0"/>
              <w:rPr>
                <w:sz w:val="21"/>
                <w:szCs w:val="21"/>
                <w:color w:val="auto"/>
              </w:rPr>
            </w:pPr>
          </w:p>
        </w:tc>
        <w:tc>
          <w:tcPr>
            <w:tcW w:w="120" w:type="dxa"/>
            <w:vAlign w:val="bottom"/>
            <w:shd w:val="clear" w:color="auto" w:fill="DBDBDB"/>
          </w:tcPr>
          <w:p>
            <w:pPr>
              <w:spacing w:after="0"/>
              <w:rPr>
                <w:sz w:val="21"/>
                <w:szCs w:val="21"/>
                <w:color w:val="auto"/>
              </w:rPr>
            </w:pPr>
          </w:p>
        </w:tc>
        <w:tc>
          <w:tcPr>
            <w:tcW w:w="440" w:type="dxa"/>
            <w:vAlign w:val="bottom"/>
            <w:shd w:val="clear" w:color="auto" w:fill="DBDBDB"/>
          </w:tcPr>
          <w:p>
            <w:pPr>
              <w:spacing w:after="0"/>
              <w:rPr>
                <w:sz w:val="21"/>
                <w:szCs w:val="21"/>
                <w:color w:val="auto"/>
              </w:rPr>
            </w:pPr>
          </w:p>
        </w:tc>
        <w:tc>
          <w:tcPr>
            <w:tcW w:w="240" w:type="dxa"/>
            <w:vAlign w:val="bottom"/>
            <w:shd w:val="clear" w:color="auto" w:fill="DBDBDB"/>
          </w:tcPr>
          <w:p>
            <w:pPr>
              <w:spacing w:after="0"/>
              <w:rPr>
                <w:sz w:val="21"/>
                <w:szCs w:val="21"/>
                <w:color w:val="auto"/>
              </w:rPr>
            </w:pPr>
          </w:p>
        </w:tc>
        <w:tc>
          <w:tcPr>
            <w:tcW w:w="100" w:type="dxa"/>
            <w:vAlign w:val="bottom"/>
            <w:shd w:val="clear" w:color="auto" w:fill="DBDBDB"/>
          </w:tcPr>
          <w:p>
            <w:pPr>
              <w:spacing w:after="0"/>
              <w:rPr>
                <w:sz w:val="21"/>
                <w:szCs w:val="21"/>
                <w:color w:val="auto"/>
              </w:rPr>
            </w:pPr>
          </w:p>
        </w:tc>
        <w:tc>
          <w:tcPr>
            <w:tcW w:w="400" w:type="dxa"/>
            <w:vAlign w:val="bottom"/>
            <w:shd w:val="clear" w:color="auto" w:fill="DBDBDB"/>
          </w:tcPr>
          <w:p>
            <w:pPr>
              <w:spacing w:after="0"/>
              <w:rPr>
                <w:sz w:val="21"/>
                <w:szCs w:val="21"/>
                <w:color w:val="auto"/>
              </w:rPr>
            </w:pPr>
          </w:p>
        </w:tc>
        <w:tc>
          <w:tcPr>
            <w:tcW w:w="960" w:type="dxa"/>
            <w:vAlign w:val="bottom"/>
            <w:shd w:val="clear" w:color="auto" w:fill="DBDBDB"/>
          </w:tcPr>
          <w:p>
            <w:pPr>
              <w:spacing w:after="0"/>
              <w:rPr>
                <w:sz w:val="21"/>
                <w:szCs w:val="21"/>
                <w:color w:val="auto"/>
              </w:rPr>
            </w:pPr>
          </w:p>
        </w:tc>
      </w:tr>
      <w:tr>
        <w:trPr>
          <w:trHeight w:val="175"/>
        </w:trPr>
        <w:tc>
          <w:tcPr>
            <w:tcW w:w="200" w:type="dxa"/>
            <w:vAlign w:val="bottom"/>
          </w:tcPr>
          <w:p>
            <w:pPr>
              <w:spacing w:after="0"/>
              <w:rPr>
                <w:sz w:val="15"/>
                <w:szCs w:val="15"/>
                <w:color w:val="auto"/>
              </w:rPr>
            </w:pPr>
          </w:p>
        </w:tc>
        <w:tc>
          <w:tcPr>
            <w:tcW w:w="2020" w:type="dxa"/>
            <w:vAlign w:val="bottom"/>
            <w:gridSpan w:val="3"/>
          </w:tcPr>
          <w:p>
            <w:pPr>
              <w:jc w:val="center"/>
              <w:ind w:right="300"/>
              <w:spacing w:after="0" w:line="176" w:lineRule="exact"/>
              <w:rPr>
                <w:sz w:val="20"/>
                <w:szCs w:val="20"/>
                <w:color w:val="auto"/>
              </w:rPr>
            </w:pPr>
            <w:r>
              <w:rPr>
                <w:rFonts w:ascii="Arial" w:cs="Arial" w:eastAsia="Arial" w:hAnsi="Arial"/>
                <w:sz w:val="18"/>
                <w:szCs w:val="18"/>
                <w:color w:val="auto"/>
                <w:w w:val="99"/>
              </w:rPr>
              <w:t>ASU No. 2025-06</w:t>
            </w:r>
          </w:p>
        </w:tc>
        <w:tc>
          <w:tcPr>
            <w:tcW w:w="6220" w:type="dxa"/>
            <w:vAlign w:val="bottom"/>
          </w:tcPr>
          <w:p>
            <w:pPr>
              <w:ind w:left="20"/>
              <w:spacing w:after="0" w:line="176" w:lineRule="exact"/>
              <w:rPr>
                <w:sz w:val="20"/>
                <w:szCs w:val="20"/>
                <w:color w:val="auto"/>
              </w:rPr>
            </w:pPr>
            <w:r>
              <w:rPr>
                <w:rFonts w:ascii="Arial" w:cs="Arial" w:eastAsia="Arial" w:hAnsi="Arial"/>
                <w:sz w:val="18"/>
                <w:szCs w:val="18"/>
                <w:i w:val="1"/>
                <w:iCs w:val="1"/>
                <w:color w:val="auto"/>
              </w:rPr>
              <w:t>Intangibles – Goodwill and Other – Internal-Use Software (Subtopic 350-40):</w:t>
            </w: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700" w:type="dxa"/>
            <w:vAlign w:val="bottom"/>
            <w:gridSpan w:val="4"/>
          </w:tcPr>
          <w:p>
            <w:pPr>
              <w:jc w:val="center"/>
              <w:ind w:right="354"/>
              <w:spacing w:after="0" w:line="176" w:lineRule="exact"/>
              <w:rPr>
                <w:sz w:val="20"/>
                <w:szCs w:val="20"/>
                <w:color w:val="auto"/>
              </w:rPr>
            </w:pPr>
            <w:r>
              <w:rPr>
                <w:rFonts w:ascii="Arial" w:cs="Arial" w:eastAsia="Arial" w:hAnsi="Arial"/>
                <w:sz w:val="18"/>
                <w:szCs w:val="18"/>
                <w:color w:val="auto"/>
              </w:rPr>
              <w:t>March 31, 2028</w:t>
            </w:r>
          </w:p>
        </w:tc>
      </w:tr>
      <w:tr>
        <w:trPr>
          <w:trHeight w:val="240"/>
        </w:trPr>
        <w:tc>
          <w:tcPr>
            <w:tcW w:w="2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20" w:type="dxa"/>
            <w:vAlign w:val="bottom"/>
          </w:tcPr>
          <w:p>
            <w:pPr>
              <w:ind w:left="20"/>
              <w:spacing w:after="0"/>
              <w:rPr>
                <w:sz w:val="20"/>
                <w:szCs w:val="20"/>
                <w:color w:val="auto"/>
              </w:rPr>
            </w:pPr>
            <w:r>
              <w:rPr>
                <w:rFonts w:ascii="Arial" w:cs="Arial" w:eastAsia="Arial" w:hAnsi="Arial"/>
                <w:sz w:val="18"/>
                <w:szCs w:val="18"/>
                <w:i w:val="1"/>
                <w:iCs w:val="1"/>
                <w:color w:val="auto"/>
              </w:rPr>
              <w:t>Targeted Improvements to the Accounting for Internal-Use Software</w:t>
            </w: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179"/>
        </w:trPr>
        <w:tc>
          <w:tcPr>
            <w:tcW w:w="200" w:type="dxa"/>
            <w:vAlign w:val="bottom"/>
            <w:shd w:val="clear" w:color="auto" w:fill="DBDBDB"/>
          </w:tcPr>
          <w:p>
            <w:pPr>
              <w:spacing w:after="0"/>
              <w:rPr>
                <w:sz w:val="15"/>
                <w:szCs w:val="15"/>
                <w:color w:val="auto"/>
              </w:rPr>
            </w:pPr>
          </w:p>
        </w:tc>
        <w:tc>
          <w:tcPr>
            <w:tcW w:w="2020" w:type="dxa"/>
            <w:vAlign w:val="bottom"/>
            <w:gridSpan w:val="3"/>
            <w:shd w:val="clear" w:color="auto" w:fill="DBDBDB"/>
          </w:tcPr>
          <w:p>
            <w:pPr>
              <w:jc w:val="center"/>
              <w:ind w:right="300"/>
              <w:spacing w:after="0" w:line="179" w:lineRule="exact"/>
              <w:rPr>
                <w:sz w:val="20"/>
                <w:szCs w:val="20"/>
                <w:color w:val="auto"/>
              </w:rPr>
            </w:pPr>
            <w:r>
              <w:rPr>
                <w:rFonts w:ascii="Arial" w:cs="Arial" w:eastAsia="Arial" w:hAnsi="Arial"/>
                <w:sz w:val="18"/>
                <w:szCs w:val="18"/>
                <w:color w:val="auto"/>
                <w:w w:val="99"/>
              </w:rPr>
              <w:t>ASU No. 2025-10</w:t>
            </w:r>
          </w:p>
        </w:tc>
        <w:tc>
          <w:tcPr>
            <w:tcW w:w="6640" w:type="dxa"/>
            <w:vAlign w:val="bottom"/>
            <w:gridSpan w:val="2"/>
            <w:shd w:val="clear" w:color="auto" w:fill="DBDBDB"/>
          </w:tcPr>
          <w:p>
            <w:pPr>
              <w:ind w:left="20"/>
              <w:spacing w:after="0" w:line="179" w:lineRule="exact"/>
              <w:rPr>
                <w:sz w:val="20"/>
                <w:szCs w:val="20"/>
                <w:color w:val="auto"/>
              </w:rPr>
            </w:pPr>
            <w:r>
              <w:rPr>
                <w:rFonts w:ascii="Arial" w:cs="Arial" w:eastAsia="Arial" w:hAnsi="Arial"/>
                <w:sz w:val="18"/>
                <w:szCs w:val="18"/>
                <w:i w:val="1"/>
                <w:iCs w:val="1"/>
                <w:color w:val="auto"/>
              </w:rPr>
              <w:t>Government Grants (Topic 832): Accounting for Government Grants Received by</w:t>
            </w:r>
          </w:p>
        </w:tc>
        <w:tc>
          <w:tcPr>
            <w:tcW w:w="120" w:type="dxa"/>
            <w:vAlign w:val="bottom"/>
            <w:shd w:val="clear" w:color="auto" w:fill="DBDBDB"/>
          </w:tcPr>
          <w:p>
            <w:pPr>
              <w:spacing w:after="0"/>
              <w:rPr>
                <w:sz w:val="15"/>
                <w:szCs w:val="15"/>
                <w:color w:val="auto"/>
              </w:rPr>
            </w:pPr>
          </w:p>
        </w:tc>
        <w:tc>
          <w:tcPr>
            <w:tcW w:w="120" w:type="dxa"/>
            <w:vAlign w:val="bottom"/>
            <w:shd w:val="clear" w:color="auto" w:fill="DBDBDB"/>
          </w:tcPr>
          <w:p>
            <w:pPr>
              <w:spacing w:after="0"/>
              <w:rPr>
                <w:sz w:val="15"/>
                <w:szCs w:val="15"/>
                <w:color w:val="auto"/>
              </w:rPr>
            </w:pPr>
          </w:p>
        </w:tc>
        <w:tc>
          <w:tcPr>
            <w:tcW w:w="440" w:type="dxa"/>
            <w:vAlign w:val="bottom"/>
            <w:shd w:val="clear" w:color="auto" w:fill="DBDBDB"/>
          </w:tcPr>
          <w:p>
            <w:pPr>
              <w:spacing w:after="0"/>
              <w:rPr>
                <w:sz w:val="15"/>
                <w:szCs w:val="15"/>
                <w:color w:val="auto"/>
              </w:rPr>
            </w:pPr>
          </w:p>
        </w:tc>
        <w:tc>
          <w:tcPr>
            <w:tcW w:w="1700" w:type="dxa"/>
            <w:vAlign w:val="bottom"/>
            <w:gridSpan w:val="4"/>
            <w:shd w:val="clear" w:color="auto" w:fill="DBDBDB"/>
          </w:tcPr>
          <w:p>
            <w:pPr>
              <w:jc w:val="center"/>
              <w:ind w:right="354"/>
              <w:spacing w:after="0" w:line="179" w:lineRule="exact"/>
              <w:rPr>
                <w:sz w:val="20"/>
                <w:szCs w:val="20"/>
                <w:color w:val="auto"/>
              </w:rPr>
            </w:pPr>
            <w:r>
              <w:rPr>
                <w:rFonts w:ascii="Arial" w:cs="Arial" w:eastAsia="Arial" w:hAnsi="Arial"/>
                <w:sz w:val="18"/>
                <w:szCs w:val="18"/>
                <w:color w:val="auto"/>
              </w:rPr>
              <w:t>March 31, 2029</w:t>
            </w:r>
          </w:p>
        </w:tc>
      </w:tr>
      <w:tr>
        <w:trPr>
          <w:trHeight w:val="243"/>
        </w:trPr>
        <w:tc>
          <w:tcPr>
            <w:tcW w:w="200" w:type="dxa"/>
            <w:vAlign w:val="bottom"/>
            <w:shd w:val="clear" w:color="auto" w:fill="DBDBDB"/>
          </w:tcPr>
          <w:p>
            <w:pPr>
              <w:spacing w:after="0"/>
              <w:rPr>
                <w:sz w:val="21"/>
                <w:szCs w:val="21"/>
                <w:color w:val="auto"/>
              </w:rPr>
            </w:pPr>
          </w:p>
        </w:tc>
        <w:tc>
          <w:tcPr>
            <w:tcW w:w="1080" w:type="dxa"/>
            <w:vAlign w:val="bottom"/>
            <w:shd w:val="clear" w:color="auto" w:fill="DBDBDB"/>
          </w:tcPr>
          <w:p>
            <w:pPr>
              <w:spacing w:after="0"/>
              <w:rPr>
                <w:sz w:val="21"/>
                <w:szCs w:val="21"/>
                <w:color w:val="auto"/>
              </w:rPr>
            </w:pPr>
          </w:p>
        </w:tc>
        <w:tc>
          <w:tcPr>
            <w:tcW w:w="840" w:type="dxa"/>
            <w:vAlign w:val="bottom"/>
            <w:shd w:val="clear" w:color="auto" w:fill="DBDBDB"/>
          </w:tcPr>
          <w:p>
            <w:pPr>
              <w:spacing w:after="0"/>
              <w:rPr>
                <w:sz w:val="21"/>
                <w:szCs w:val="21"/>
                <w:color w:val="auto"/>
              </w:rPr>
            </w:pPr>
          </w:p>
        </w:tc>
        <w:tc>
          <w:tcPr>
            <w:tcW w:w="100" w:type="dxa"/>
            <w:vAlign w:val="bottom"/>
            <w:shd w:val="clear" w:color="auto" w:fill="DBDBDB"/>
          </w:tcPr>
          <w:p>
            <w:pPr>
              <w:spacing w:after="0"/>
              <w:rPr>
                <w:sz w:val="21"/>
                <w:szCs w:val="21"/>
                <w:color w:val="auto"/>
              </w:rPr>
            </w:pPr>
          </w:p>
        </w:tc>
        <w:tc>
          <w:tcPr>
            <w:tcW w:w="6220" w:type="dxa"/>
            <w:vAlign w:val="bottom"/>
            <w:shd w:val="clear" w:color="auto" w:fill="DBDBDB"/>
          </w:tcPr>
          <w:p>
            <w:pPr>
              <w:ind w:left="20"/>
              <w:spacing w:after="0"/>
              <w:rPr>
                <w:sz w:val="20"/>
                <w:szCs w:val="20"/>
                <w:color w:val="auto"/>
              </w:rPr>
            </w:pPr>
            <w:r>
              <w:rPr>
                <w:rFonts w:ascii="Arial" w:cs="Arial" w:eastAsia="Arial" w:hAnsi="Arial"/>
                <w:sz w:val="18"/>
                <w:szCs w:val="18"/>
                <w:i w:val="1"/>
                <w:iCs w:val="1"/>
                <w:color w:val="auto"/>
              </w:rPr>
              <w:t>Business Entities</w:t>
            </w:r>
          </w:p>
        </w:tc>
        <w:tc>
          <w:tcPr>
            <w:tcW w:w="420" w:type="dxa"/>
            <w:vAlign w:val="bottom"/>
            <w:shd w:val="clear" w:color="auto" w:fill="DBDBDB"/>
          </w:tcPr>
          <w:p>
            <w:pPr>
              <w:spacing w:after="0"/>
              <w:rPr>
                <w:sz w:val="21"/>
                <w:szCs w:val="21"/>
                <w:color w:val="auto"/>
              </w:rPr>
            </w:pPr>
          </w:p>
        </w:tc>
        <w:tc>
          <w:tcPr>
            <w:tcW w:w="120" w:type="dxa"/>
            <w:vAlign w:val="bottom"/>
            <w:shd w:val="clear" w:color="auto" w:fill="DBDBDB"/>
          </w:tcPr>
          <w:p>
            <w:pPr>
              <w:spacing w:after="0"/>
              <w:rPr>
                <w:sz w:val="21"/>
                <w:szCs w:val="21"/>
                <w:color w:val="auto"/>
              </w:rPr>
            </w:pPr>
          </w:p>
        </w:tc>
        <w:tc>
          <w:tcPr>
            <w:tcW w:w="120" w:type="dxa"/>
            <w:vAlign w:val="bottom"/>
            <w:shd w:val="clear" w:color="auto" w:fill="DBDBDB"/>
          </w:tcPr>
          <w:p>
            <w:pPr>
              <w:spacing w:after="0"/>
              <w:rPr>
                <w:sz w:val="21"/>
                <w:szCs w:val="21"/>
                <w:color w:val="auto"/>
              </w:rPr>
            </w:pPr>
          </w:p>
        </w:tc>
        <w:tc>
          <w:tcPr>
            <w:tcW w:w="440" w:type="dxa"/>
            <w:vAlign w:val="bottom"/>
            <w:shd w:val="clear" w:color="auto" w:fill="DBDBDB"/>
          </w:tcPr>
          <w:p>
            <w:pPr>
              <w:spacing w:after="0"/>
              <w:rPr>
                <w:sz w:val="21"/>
                <w:szCs w:val="21"/>
                <w:color w:val="auto"/>
              </w:rPr>
            </w:pPr>
          </w:p>
        </w:tc>
        <w:tc>
          <w:tcPr>
            <w:tcW w:w="240" w:type="dxa"/>
            <w:vAlign w:val="bottom"/>
            <w:shd w:val="clear" w:color="auto" w:fill="DBDBDB"/>
          </w:tcPr>
          <w:p>
            <w:pPr>
              <w:spacing w:after="0"/>
              <w:rPr>
                <w:sz w:val="21"/>
                <w:szCs w:val="21"/>
                <w:color w:val="auto"/>
              </w:rPr>
            </w:pPr>
          </w:p>
        </w:tc>
        <w:tc>
          <w:tcPr>
            <w:tcW w:w="100" w:type="dxa"/>
            <w:vAlign w:val="bottom"/>
            <w:shd w:val="clear" w:color="auto" w:fill="DBDBDB"/>
          </w:tcPr>
          <w:p>
            <w:pPr>
              <w:spacing w:after="0"/>
              <w:rPr>
                <w:sz w:val="21"/>
                <w:szCs w:val="21"/>
                <w:color w:val="auto"/>
              </w:rPr>
            </w:pPr>
          </w:p>
        </w:tc>
        <w:tc>
          <w:tcPr>
            <w:tcW w:w="400" w:type="dxa"/>
            <w:vAlign w:val="bottom"/>
            <w:shd w:val="clear" w:color="auto" w:fill="DBDBDB"/>
          </w:tcPr>
          <w:p>
            <w:pPr>
              <w:spacing w:after="0"/>
              <w:rPr>
                <w:sz w:val="21"/>
                <w:szCs w:val="21"/>
                <w:color w:val="auto"/>
              </w:rPr>
            </w:pPr>
          </w:p>
        </w:tc>
        <w:tc>
          <w:tcPr>
            <w:tcW w:w="960" w:type="dxa"/>
            <w:vAlign w:val="bottom"/>
            <w:shd w:val="clear" w:color="auto" w:fill="DBDBDB"/>
          </w:tcPr>
          <w:p>
            <w:pPr>
              <w:spacing w:after="0"/>
              <w:rPr>
                <w:sz w:val="21"/>
                <w:szCs w:val="21"/>
                <w:color w:val="auto"/>
              </w:rPr>
            </w:pPr>
          </w:p>
        </w:tc>
      </w:tr>
      <w:tr>
        <w:trPr>
          <w:trHeight w:val="486"/>
        </w:trPr>
        <w:tc>
          <w:tcPr>
            <w:tcW w:w="2220" w:type="dxa"/>
            <w:vAlign w:val="bottom"/>
            <w:gridSpan w:val="4"/>
          </w:tcPr>
          <w:p>
            <w:pPr>
              <w:spacing w:after="0"/>
              <w:rPr>
                <w:sz w:val="20"/>
                <w:szCs w:val="20"/>
                <w:color w:val="auto"/>
              </w:rPr>
            </w:pPr>
            <w:r>
              <w:rPr>
                <w:rFonts w:ascii="Arial" w:cs="Arial" w:eastAsia="Arial" w:hAnsi="Arial"/>
                <w:sz w:val="18"/>
                <w:szCs w:val="18"/>
                <w:color w:val="auto"/>
              </w:rPr>
              <w:t>3. Income taxes</w:t>
            </w:r>
          </w:p>
        </w:tc>
        <w:tc>
          <w:tcPr>
            <w:tcW w:w="6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0"/>
        </w:trPr>
        <w:tc>
          <w:tcPr>
            <w:tcW w:w="20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7160" w:type="dxa"/>
            <w:vAlign w:val="bottom"/>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457"/>
        </w:trPr>
        <w:tc>
          <w:tcPr>
            <w:tcW w:w="8440" w:type="dxa"/>
            <w:vAlign w:val="bottom"/>
            <w:gridSpan w:val="5"/>
          </w:tcPr>
          <w:p>
            <w:pPr>
              <w:spacing w:after="0"/>
              <w:rPr>
                <w:sz w:val="20"/>
                <w:szCs w:val="20"/>
                <w:color w:val="auto"/>
              </w:rPr>
            </w:pPr>
            <w:r>
              <w:rPr>
                <w:rFonts w:ascii="Arial" w:cs="Arial" w:eastAsia="Arial" w:hAnsi="Arial"/>
                <w:sz w:val="18"/>
                <w:szCs w:val="18"/>
                <w:color w:val="auto"/>
              </w:rPr>
              <w:t>Provision for income taxes is based on the following:</w:t>
            </w: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23"/>
        </w:trPr>
        <w:tc>
          <w:tcPr>
            <w:tcW w:w="2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60" w:type="dxa"/>
            <w:vAlign w:val="bottom"/>
            <w:gridSpan w:val="6"/>
          </w:tcPr>
          <w:p>
            <w:pPr>
              <w:jc w:val="right"/>
              <w:ind w:right="474"/>
              <w:spacing w:after="0"/>
              <w:rPr>
                <w:sz w:val="20"/>
                <w:szCs w:val="20"/>
                <w:color w:val="auto"/>
              </w:rPr>
            </w:pPr>
            <w:r>
              <w:rPr>
                <w:rFonts w:ascii="Arial" w:cs="Arial" w:eastAsia="Arial" w:hAnsi="Arial"/>
                <w:sz w:val="14"/>
                <w:szCs w:val="14"/>
                <w:b w:val="1"/>
                <w:bCs w:val="1"/>
                <w:color w:val="auto"/>
              </w:rPr>
              <w:t>For Three Months Ended</w:t>
            </w:r>
          </w:p>
        </w:tc>
      </w:tr>
      <w:tr>
        <w:trPr>
          <w:trHeight w:val="204"/>
        </w:trPr>
        <w:tc>
          <w:tcPr>
            <w:tcW w:w="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2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gridSpan w:val="4"/>
          </w:tcPr>
          <w:p>
            <w:pPr>
              <w:jc w:val="right"/>
              <w:ind w:right="30"/>
              <w:spacing w:after="0"/>
              <w:rPr>
                <w:sz w:val="20"/>
                <w:szCs w:val="20"/>
                <w:color w:val="auto"/>
              </w:rPr>
            </w:pPr>
            <w:r>
              <w:rPr>
                <w:rFonts w:ascii="Arial" w:cs="Arial" w:eastAsia="Arial" w:hAnsi="Arial"/>
                <w:sz w:val="14"/>
                <w:szCs w:val="14"/>
                <w:b w:val="1"/>
                <w:bCs w:val="1"/>
                <w:color w:val="auto"/>
              </w:rPr>
              <w:t>March 31,</w:t>
            </w:r>
          </w:p>
        </w:tc>
        <w:tc>
          <w:tcPr>
            <w:tcW w:w="960" w:type="dxa"/>
            <w:vAlign w:val="bottom"/>
            <w:tcBorders>
              <w:bottom w:val="single" w:sz="8" w:color="auto"/>
            </w:tcBorders>
          </w:tcPr>
          <w:p>
            <w:pPr>
              <w:spacing w:after="0"/>
              <w:rPr>
                <w:sz w:val="17"/>
                <w:szCs w:val="17"/>
                <w:color w:val="auto"/>
              </w:rPr>
            </w:pPr>
          </w:p>
        </w:tc>
      </w:tr>
      <w:tr>
        <w:trPr>
          <w:trHeight w:val="196"/>
        </w:trPr>
        <w:tc>
          <w:tcPr>
            <w:tcW w:w="200" w:type="dxa"/>
            <w:vAlign w:val="bottom"/>
            <w:tcBorders>
              <w:bottom w:val="single" w:sz="8" w:color="DBDBDB"/>
            </w:tcBorders>
          </w:tcPr>
          <w:p>
            <w:pPr>
              <w:spacing w:after="0"/>
              <w:rPr>
                <w:sz w:val="17"/>
                <w:szCs w:val="17"/>
                <w:color w:val="auto"/>
              </w:rPr>
            </w:pPr>
          </w:p>
        </w:tc>
        <w:tc>
          <w:tcPr>
            <w:tcW w:w="1080" w:type="dxa"/>
            <w:vAlign w:val="bottom"/>
            <w:tcBorders>
              <w:bottom w:val="single" w:sz="8" w:color="DBDBDB"/>
            </w:tcBorders>
          </w:tcPr>
          <w:p>
            <w:pPr>
              <w:spacing w:after="0"/>
              <w:rPr>
                <w:sz w:val="17"/>
                <w:szCs w:val="17"/>
                <w:color w:val="auto"/>
              </w:rPr>
            </w:pPr>
          </w:p>
        </w:tc>
        <w:tc>
          <w:tcPr>
            <w:tcW w:w="840" w:type="dxa"/>
            <w:vAlign w:val="bottom"/>
            <w:tcBorders>
              <w:bottom w:val="single" w:sz="8" w:color="DBDBDB"/>
            </w:tcBorders>
          </w:tcPr>
          <w:p>
            <w:pPr>
              <w:spacing w:after="0"/>
              <w:rPr>
                <w:sz w:val="17"/>
                <w:szCs w:val="17"/>
                <w:color w:val="auto"/>
              </w:rPr>
            </w:pPr>
          </w:p>
        </w:tc>
        <w:tc>
          <w:tcPr>
            <w:tcW w:w="100" w:type="dxa"/>
            <w:vAlign w:val="bottom"/>
            <w:tcBorders>
              <w:bottom w:val="single" w:sz="8" w:color="DBDBDB"/>
            </w:tcBorders>
          </w:tcPr>
          <w:p>
            <w:pPr>
              <w:spacing w:after="0"/>
              <w:rPr>
                <w:sz w:val="17"/>
                <w:szCs w:val="17"/>
                <w:color w:val="auto"/>
              </w:rPr>
            </w:pPr>
          </w:p>
        </w:tc>
        <w:tc>
          <w:tcPr>
            <w:tcW w:w="6220" w:type="dxa"/>
            <w:vAlign w:val="bottom"/>
            <w:tcBorders>
              <w:bottom w:val="single" w:sz="8" w:color="DBDBDB"/>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gridSpan w:val="3"/>
          </w:tcPr>
          <w:p>
            <w:pPr>
              <w:jc w:val="right"/>
              <w:ind w:right="202"/>
              <w:spacing w:after="0"/>
              <w:rPr>
                <w:sz w:val="20"/>
                <w:szCs w:val="20"/>
                <w:color w:val="auto"/>
              </w:rPr>
            </w:pPr>
            <w:r>
              <w:rPr>
                <w:rFonts w:ascii="Arial" w:cs="Arial" w:eastAsia="Arial" w:hAnsi="Arial"/>
                <w:sz w:val="14"/>
                <w:szCs w:val="14"/>
                <w:b w:val="1"/>
                <w:bCs w:val="1"/>
                <w:color w:val="auto"/>
              </w:rPr>
              <w:t>2026</w:t>
            </w:r>
          </w:p>
        </w:tc>
        <w:tc>
          <w:tcPr>
            <w:tcW w:w="240" w:type="dxa"/>
            <w:vAlign w:val="bottom"/>
            <w:tcBorders>
              <w:bottom w:val="single" w:sz="8" w:color="auto"/>
            </w:tcBorders>
          </w:tcPr>
          <w:p>
            <w:pPr>
              <w:spacing w:after="0"/>
              <w:rPr>
                <w:sz w:val="17"/>
                <w:szCs w:val="17"/>
                <w:color w:val="auto"/>
              </w:rPr>
            </w:pPr>
          </w:p>
        </w:tc>
        <w:tc>
          <w:tcPr>
            <w:tcW w:w="100" w:type="dxa"/>
            <w:vAlign w:val="bottom"/>
            <w:tcBorders>
              <w:bottom w:val="single" w:sz="8" w:color="DBDBDB"/>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2025</w:t>
            </w:r>
          </w:p>
        </w:tc>
      </w:tr>
      <w:tr>
        <w:trPr>
          <w:trHeight w:val="224"/>
        </w:trPr>
        <w:tc>
          <w:tcPr>
            <w:tcW w:w="8440" w:type="dxa"/>
            <w:vAlign w:val="bottom"/>
            <w:gridSpan w:val="5"/>
            <w:shd w:val="clear" w:color="auto" w:fill="DBDBDB"/>
          </w:tcPr>
          <w:p>
            <w:pPr>
              <w:ind w:left="20"/>
              <w:spacing w:after="0"/>
              <w:rPr>
                <w:sz w:val="20"/>
                <w:szCs w:val="20"/>
                <w:color w:val="auto"/>
              </w:rPr>
            </w:pPr>
            <w:r>
              <w:rPr>
                <w:rFonts w:ascii="Arial" w:cs="Arial" w:eastAsia="Arial" w:hAnsi="Arial"/>
                <w:sz w:val="18"/>
                <w:szCs w:val="18"/>
                <w:color w:val="auto"/>
              </w:rPr>
              <w:t>Taxes calculated using the estimated annual effective tax rate</w:t>
            </w:r>
          </w:p>
        </w:tc>
        <w:tc>
          <w:tcPr>
            <w:tcW w:w="420" w:type="dxa"/>
            <w:vAlign w:val="bottom"/>
            <w:shd w:val="clear" w:color="auto" w:fill="DBDBDB"/>
          </w:tcPr>
          <w:p>
            <w:pPr>
              <w:jc w:val="right"/>
              <w:ind w:right="210"/>
              <w:spacing w:after="0"/>
              <w:rPr>
                <w:sz w:val="20"/>
                <w:szCs w:val="20"/>
                <w:color w:val="auto"/>
              </w:rPr>
            </w:pPr>
            <w:r>
              <w:rPr>
                <w:rFonts w:ascii="Arial" w:cs="Arial" w:eastAsia="Arial" w:hAnsi="Arial"/>
                <w:sz w:val="18"/>
                <w:szCs w:val="18"/>
                <w:b w:val="1"/>
                <w:bCs w:val="1"/>
                <w:color w:val="auto"/>
                <w:w w:val="99"/>
              </w:rPr>
              <w:t>$</w:t>
            </w:r>
          </w:p>
        </w:tc>
        <w:tc>
          <w:tcPr>
            <w:tcW w:w="680" w:type="dxa"/>
            <w:vAlign w:val="bottom"/>
            <w:gridSpan w:val="3"/>
            <w:shd w:val="clear" w:color="auto" w:fill="DBDBDB"/>
          </w:tcPr>
          <w:p>
            <w:pPr>
              <w:jc w:val="right"/>
              <w:spacing w:after="0"/>
              <w:rPr>
                <w:sz w:val="20"/>
                <w:szCs w:val="20"/>
                <w:color w:val="auto"/>
              </w:rPr>
            </w:pPr>
            <w:r>
              <w:rPr>
                <w:rFonts w:ascii="Arial" w:cs="Arial" w:eastAsia="Arial" w:hAnsi="Arial"/>
                <w:sz w:val="18"/>
                <w:szCs w:val="18"/>
                <w:b w:val="1"/>
                <w:bCs w:val="1"/>
                <w:color w:val="auto"/>
              </w:rPr>
              <w:t>229</w:t>
            </w:r>
          </w:p>
        </w:tc>
        <w:tc>
          <w:tcPr>
            <w:tcW w:w="24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400" w:type="dxa"/>
            <w:vAlign w:val="bottom"/>
            <w:shd w:val="clear" w:color="auto" w:fill="DBDBDB"/>
          </w:tcPr>
          <w:p>
            <w:pPr>
              <w:jc w:val="right"/>
              <w:ind w:right="1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DBDBDB"/>
          </w:tcPr>
          <w:p>
            <w:pPr>
              <w:jc w:val="right"/>
              <w:ind w:right="154"/>
              <w:spacing w:after="0"/>
              <w:rPr>
                <w:sz w:val="20"/>
                <w:szCs w:val="20"/>
                <w:color w:val="auto"/>
              </w:rPr>
            </w:pPr>
            <w:r>
              <w:rPr>
                <w:rFonts w:ascii="Arial" w:cs="Arial" w:eastAsia="Arial" w:hAnsi="Arial"/>
                <w:sz w:val="18"/>
                <w:szCs w:val="18"/>
                <w:color w:val="auto"/>
              </w:rPr>
              <w:t>166</w:t>
            </w:r>
          </w:p>
        </w:tc>
      </w:tr>
      <w:tr>
        <w:trPr>
          <w:trHeight w:val="230"/>
        </w:trPr>
        <w:tc>
          <w:tcPr>
            <w:tcW w:w="2220" w:type="dxa"/>
            <w:vAlign w:val="bottom"/>
            <w:tcBorders>
              <w:bottom w:val="single" w:sz="8" w:color="DBDBDB"/>
            </w:tcBorders>
            <w:gridSpan w:val="4"/>
          </w:tcPr>
          <w:p>
            <w:pPr>
              <w:ind w:left="20"/>
              <w:spacing w:after="0"/>
              <w:rPr>
                <w:sz w:val="20"/>
                <w:szCs w:val="20"/>
                <w:color w:val="auto"/>
              </w:rPr>
            </w:pPr>
            <w:r>
              <w:rPr>
                <w:rFonts w:ascii="Arial" w:cs="Arial" w:eastAsia="Arial" w:hAnsi="Arial"/>
                <w:sz w:val="18"/>
                <w:szCs w:val="18"/>
                <w:color w:val="auto"/>
              </w:rPr>
              <w:t>Discrete tax items</w:t>
            </w:r>
          </w:p>
        </w:tc>
        <w:tc>
          <w:tcPr>
            <w:tcW w:w="6220" w:type="dxa"/>
            <w:vAlign w:val="bottom"/>
            <w:tcBorders>
              <w:bottom w:val="single" w:sz="8" w:color="DBDBDB"/>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gridSpan w:val="4"/>
          </w:tcPr>
          <w:p>
            <w:pPr>
              <w:jc w:val="right"/>
              <w:ind w:right="90"/>
              <w:spacing w:after="0"/>
              <w:rPr>
                <w:sz w:val="20"/>
                <w:szCs w:val="20"/>
                <w:color w:val="auto"/>
              </w:rPr>
            </w:pPr>
            <w:r>
              <w:rPr>
                <w:rFonts w:ascii="Arial" w:cs="Arial" w:eastAsia="Arial" w:hAnsi="Arial"/>
                <w:sz w:val="18"/>
                <w:szCs w:val="18"/>
                <w:b w:val="1"/>
                <w:bCs w:val="1"/>
                <w:color w:val="auto"/>
              </w:rPr>
              <w:t>(60)</w:t>
            </w:r>
          </w:p>
        </w:tc>
        <w:tc>
          <w:tcPr>
            <w:tcW w:w="100" w:type="dxa"/>
            <w:vAlign w:val="bottom"/>
            <w:tcBorders>
              <w:bottom w:val="single" w:sz="8" w:color="DBDBDB"/>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94"/>
              <w:spacing w:after="0"/>
              <w:rPr>
                <w:sz w:val="20"/>
                <w:szCs w:val="20"/>
                <w:color w:val="auto"/>
              </w:rPr>
            </w:pPr>
            <w:r>
              <w:rPr>
                <w:rFonts w:ascii="Arial" w:cs="Arial" w:eastAsia="Arial" w:hAnsi="Arial"/>
                <w:sz w:val="18"/>
                <w:szCs w:val="18"/>
                <w:color w:val="auto"/>
              </w:rPr>
              <w:t>(69)</w:t>
            </w:r>
          </w:p>
        </w:tc>
      </w:tr>
      <w:tr>
        <w:trPr>
          <w:trHeight w:val="248"/>
        </w:trPr>
        <w:tc>
          <w:tcPr>
            <w:tcW w:w="2220" w:type="dxa"/>
            <w:vAlign w:val="bottom"/>
            <w:tcBorders>
              <w:bottom w:val="single" w:sz="8" w:color="DBDBDB"/>
            </w:tcBorders>
            <w:gridSpan w:val="4"/>
            <w:shd w:val="clear" w:color="auto" w:fill="DBDBDB"/>
          </w:tcPr>
          <w:p>
            <w:pPr>
              <w:ind w:left="20"/>
              <w:spacing w:after="0"/>
              <w:rPr>
                <w:sz w:val="20"/>
                <w:szCs w:val="20"/>
                <w:color w:val="auto"/>
              </w:rPr>
            </w:pPr>
            <w:r>
              <w:rPr>
                <w:rFonts w:ascii="Arial" w:cs="Arial" w:eastAsia="Arial" w:hAnsi="Arial"/>
                <w:sz w:val="18"/>
                <w:szCs w:val="18"/>
                <w:color w:val="auto"/>
              </w:rPr>
              <w:t>Provision for income taxes</w:t>
            </w:r>
          </w:p>
        </w:tc>
        <w:tc>
          <w:tcPr>
            <w:tcW w:w="6220" w:type="dxa"/>
            <w:vAlign w:val="bottom"/>
            <w:tcBorders>
              <w:bottom w:val="single" w:sz="8" w:color="DBDBDB"/>
            </w:tcBorders>
            <w:shd w:val="clear" w:color="auto" w:fill="DBDBDB"/>
          </w:tcPr>
          <w:p>
            <w:pPr>
              <w:spacing w:after="0"/>
              <w:rPr>
                <w:sz w:val="21"/>
                <w:szCs w:val="21"/>
                <w:color w:val="auto"/>
              </w:rPr>
            </w:pPr>
          </w:p>
        </w:tc>
        <w:tc>
          <w:tcPr>
            <w:tcW w:w="420" w:type="dxa"/>
            <w:vAlign w:val="bottom"/>
            <w:tcBorders>
              <w:bottom w:val="single" w:sz="8" w:color="auto"/>
            </w:tcBorders>
            <w:shd w:val="clear" w:color="auto" w:fill="DBDBDB"/>
          </w:tcPr>
          <w:p>
            <w:pPr>
              <w:jc w:val="right"/>
              <w:ind w:right="210"/>
              <w:spacing w:after="0"/>
              <w:rPr>
                <w:sz w:val="20"/>
                <w:szCs w:val="20"/>
                <w:color w:val="auto"/>
              </w:rPr>
            </w:pPr>
            <w:r>
              <w:rPr>
                <w:rFonts w:ascii="Arial" w:cs="Arial" w:eastAsia="Arial" w:hAnsi="Arial"/>
                <w:sz w:val="18"/>
                <w:szCs w:val="18"/>
                <w:b w:val="1"/>
                <w:bCs w:val="1"/>
                <w:color w:val="auto"/>
                <w:w w:val="99"/>
              </w:rPr>
              <w:t>$</w:t>
            </w:r>
          </w:p>
        </w:tc>
        <w:tc>
          <w:tcPr>
            <w:tcW w:w="680" w:type="dxa"/>
            <w:vAlign w:val="bottom"/>
            <w:tcBorders>
              <w:bottom w:val="single" w:sz="8" w:color="auto"/>
            </w:tcBorders>
            <w:gridSpan w:val="3"/>
            <w:shd w:val="clear" w:color="auto" w:fill="DBDBDB"/>
          </w:tcPr>
          <w:p>
            <w:pPr>
              <w:jc w:val="right"/>
              <w:spacing w:after="0"/>
              <w:rPr>
                <w:sz w:val="20"/>
                <w:szCs w:val="20"/>
                <w:color w:val="auto"/>
              </w:rPr>
            </w:pPr>
            <w:r>
              <w:rPr>
                <w:rFonts w:ascii="Arial" w:cs="Arial" w:eastAsia="Arial" w:hAnsi="Arial"/>
                <w:sz w:val="18"/>
                <w:szCs w:val="18"/>
                <w:b w:val="1"/>
                <w:bCs w:val="1"/>
                <w:color w:val="auto"/>
              </w:rPr>
              <w:t>169</w:t>
            </w:r>
          </w:p>
        </w:tc>
        <w:tc>
          <w:tcPr>
            <w:tcW w:w="240" w:type="dxa"/>
            <w:vAlign w:val="bottom"/>
            <w:tcBorders>
              <w:bottom w:val="single" w:sz="8" w:color="auto"/>
            </w:tcBorders>
            <w:shd w:val="clear" w:color="auto" w:fill="DBDBDB"/>
          </w:tcPr>
          <w:p>
            <w:pPr>
              <w:spacing w:after="0"/>
              <w:rPr>
                <w:sz w:val="21"/>
                <w:szCs w:val="21"/>
                <w:color w:val="auto"/>
              </w:rPr>
            </w:pPr>
          </w:p>
        </w:tc>
        <w:tc>
          <w:tcPr>
            <w:tcW w:w="100" w:type="dxa"/>
            <w:vAlign w:val="bottom"/>
            <w:tcBorders>
              <w:bottom w:val="single" w:sz="8" w:color="DBDBDB"/>
            </w:tcBorders>
            <w:shd w:val="clear" w:color="auto" w:fill="DBDBDB"/>
          </w:tcPr>
          <w:p>
            <w:pPr>
              <w:spacing w:after="0"/>
              <w:rPr>
                <w:sz w:val="21"/>
                <w:szCs w:val="21"/>
                <w:color w:val="auto"/>
              </w:rPr>
            </w:pPr>
          </w:p>
        </w:tc>
        <w:tc>
          <w:tcPr>
            <w:tcW w:w="400" w:type="dxa"/>
            <w:vAlign w:val="bottom"/>
            <w:tcBorders>
              <w:bottom w:val="single" w:sz="8" w:color="auto"/>
            </w:tcBorders>
            <w:shd w:val="clear" w:color="auto" w:fill="DBDBDB"/>
          </w:tcPr>
          <w:p>
            <w:pPr>
              <w:jc w:val="right"/>
              <w:ind w:right="1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DBDBDB"/>
          </w:tcPr>
          <w:p>
            <w:pPr>
              <w:jc w:val="right"/>
              <w:ind w:right="154"/>
              <w:spacing w:after="0"/>
              <w:rPr>
                <w:sz w:val="20"/>
                <w:szCs w:val="20"/>
                <w:color w:val="auto"/>
              </w:rPr>
            </w:pPr>
            <w:r>
              <w:rPr>
                <w:rFonts w:ascii="Arial" w:cs="Arial" w:eastAsia="Arial" w:hAnsi="Arial"/>
                <w:sz w:val="18"/>
                <w:szCs w:val="18"/>
                <w:color w:val="auto"/>
              </w:rPr>
              <w:t>97</w:t>
            </w:r>
          </w:p>
        </w:tc>
      </w:tr>
      <w:tr>
        <w:trPr>
          <w:trHeight w:val="20"/>
        </w:trPr>
        <w:tc>
          <w:tcPr>
            <w:tcW w:w="2220" w:type="dxa"/>
            <w:vAlign w:val="bottom"/>
            <w:tcBorders>
              <w:top w:val="single" w:sz="8" w:color="DBDBDB"/>
            </w:tcBorders>
            <w:gridSpan w:val="4"/>
          </w:tcPr>
          <w:p>
            <w:pPr>
              <w:spacing w:after="0" w:line="20" w:lineRule="exact"/>
              <w:rPr>
                <w:sz w:val="1"/>
                <w:szCs w:val="1"/>
                <w:color w:val="auto"/>
              </w:rPr>
            </w:pPr>
          </w:p>
        </w:tc>
        <w:tc>
          <w:tcPr>
            <w:tcW w:w="6220" w:type="dxa"/>
            <w:vAlign w:val="bottom"/>
            <w:tcBorders>
              <w:top w:val="single" w:sz="8" w:color="DBDBDB"/>
            </w:tcBorders>
          </w:tcPr>
          <w:p>
            <w:pPr>
              <w:spacing w:after="0" w:line="20" w:lineRule="exact"/>
              <w:rPr>
                <w:sz w:val="1"/>
                <w:szCs w:val="1"/>
                <w:color w:val="auto"/>
              </w:rPr>
            </w:pPr>
          </w:p>
        </w:tc>
        <w:tc>
          <w:tcPr>
            <w:tcW w:w="420" w:type="dxa"/>
            <w:vAlign w:val="bottom"/>
            <w:tcBorders>
              <w:top w:val="single" w:sz="8" w:color="DBDBDB"/>
              <w:bottom w:val="single" w:sz="8" w:color="auto"/>
            </w:tcBorders>
          </w:tcPr>
          <w:p>
            <w:pPr>
              <w:spacing w:after="0" w:line="20" w:lineRule="exact"/>
              <w:rPr>
                <w:sz w:val="1"/>
                <w:szCs w:val="1"/>
                <w:color w:val="auto"/>
              </w:rPr>
            </w:pPr>
          </w:p>
        </w:tc>
        <w:tc>
          <w:tcPr>
            <w:tcW w:w="920" w:type="dxa"/>
            <w:vAlign w:val="bottom"/>
            <w:tcBorders>
              <w:top w:val="single" w:sz="8" w:color="DBDBDB"/>
              <w:bottom w:val="single" w:sz="8" w:color="auto"/>
            </w:tcBorders>
            <w:gridSpan w:val="4"/>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400" w:type="dxa"/>
            <w:vAlign w:val="bottom"/>
            <w:tcBorders>
              <w:top w:val="single" w:sz="8" w:color="DBDBDB"/>
              <w:bottom w:val="single" w:sz="8" w:color="auto"/>
            </w:tcBorders>
          </w:tcPr>
          <w:p>
            <w:pPr>
              <w:spacing w:after="0" w:line="20" w:lineRule="exact"/>
              <w:rPr>
                <w:sz w:val="1"/>
                <w:szCs w:val="1"/>
                <w:color w:val="auto"/>
              </w:rPr>
            </w:pPr>
          </w:p>
        </w:tc>
        <w:tc>
          <w:tcPr>
            <w:tcW w:w="960" w:type="dxa"/>
            <w:vAlign w:val="bottom"/>
            <w:tcBorders>
              <w:top w:val="single" w:sz="8" w:color="DBDBDB"/>
              <w:bottom w:val="single" w:sz="8" w:color="auto"/>
            </w:tcBorders>
          </w:tcPr>
          <w:p>
            <w:pPr>
              <w:spacing w:after="0" w:line="20" w:lineRule="exact"/>
              <w:rPr>
                <w:sz w:val="1"/>
                <w:szCs w:val="1"/>
                <w:color w:val="auto"/>
              </w:rPr>
            </w:pPr>
          </w:p>
        </w:tc>
      </w:tr>
      <w:tr>
        <w:trPr>
          <w:trHeight w:val="163"/>
        </w:trPr>
        <w:tc>
          <w:tcPr>
            <w:tcW w:w="2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229"/>
        </w:trPr>
        <w:tc>
          <w:tcPr>
            <w:tcW w:w="2220" w:type="dxa"/>
            <w:vAlign w:val="bottom"/>
            <w:gridSpan w:val="4"/>
            <w:shd w:val="clear" w:color="auto" w:fill="DBDBDB"/>
          </w:tcPr>
          <w:p>
            <w:pPr>
              <w:ind w:left="20"/>
              <w:spacing w:after="0"/>
              <w:rPr>
                <w:sz w:val="20"/>
                <w:szCs w:val="20"/>
                <w:color w:val="auto"/>
              </w:rPr>
            </w:pPr>
            <w:r>
              <w:rPr>
                <w:rFonts w:ascii="Arial" w:cs="Arial" w:eastAsia="Arial" w:hAnsi="Arial"/>
                <w:sz w:val="18"/>
                <w:szCs w:val="18"/>
                <w:color w:val="auto"/>
              </w:rPr>
              <w:t>Effective tax rate</w:t>
            </w:r>
          </w:p>
        </w:tc>
        <w:tc>
          <w:tcPr>
            <w:tcW w:w="6220" w:type="dxa"/>
            <w:vAlign w:val="bottom"/>
            <w:shd w:val="clear" w:color="auto" w:fill="DBDBDB"/>
          </w:tcPr>
          <w:p>
            <w:pPr>
              <w:spacing w:after="0"/>
              <w:rPr>
                <w:sz w:val="19"/>
                <w:szCs w:val="19"/>
                <w:color w:val="auto"/>
              </w:rPr>
            </w:pPr>
          </w:p>
        </w:tc>
        <w:tc>
          <w:tcPr>
            <w:tcW w:w="420" w:type="dxa"/>
            <w:vAlign w:val="bottom"/>
            <w:shd w:val="clear" w:color="auto" w:fill="DBDBDB"/>
          </w:tcPr>
          <w:p>
            <w:pPr>
              <w:spacing w:after="0"/>
              <w:rPr>
                <w:sz w:val="19"/>
                <w:szCs w:val="19"/>
                <w:color w:val="auto"/>
              </w:rPr>
            </w:pPr>
          </w:p>
        </w:tc>
        <w:tc>
          <w:tcPr>
            <w:tcW w:w="920" w:type="dxa"/>
            <w:vAlign w:val="bottom"/>
            <w:gridSpan w:val="4"/>
            <w:shd w:val="clear" w:color="auto" w:fill="DBDBDB"/>
          </w:tcPr>
          <w:p>
            <w:pPr>
              <w:jc w:val="right"/>
              <w:spacing w:after="0"/>
              <w:rPr>
                <w:sz w:val="20"/>
                <w:szCs w:val="20"/>
                <w:color w:val="auto"/>
              </w:rPr>
            </w:pPr>
            <w:r>
              <w:rPr>
                <w:rFonts w:ascii="Arial" w:cs="Arial" w:eastAsia="Arial" w:hAnsi="Arial"/>
                <w:sz w:val="18"/>
                <w:szCs w:val="18"/>
                <w:b w:val="1"/>
                <w:bCs w:val="1"/>
                <w:color w:val="auto"/>
              </w:rPr>
              <w:t>10 %</w:t>
            </w:r>
          </w:p>
        </w:tc>
        <w:tc>
          <w:tcPr>
            <w:tcW w:w="100" w:type="dxa"/>
            <w:vAlign w:val="bottom"/>
            <w:shd w:val="clear" w:color="auto" w:fill="DBDBDB"/>
          </w:tcPr>
          <w:p>
            <w:pPr>
              <w:spacing w:after="0"/>
              <w:rPr>
                <w:sz w:val="19"/>
                <w:szCs w:val="19"/>
                <w:color w:val="auto"/>
              </w:rPr>
            </w:pPr>
          </w:p>
        </w:tc>
        <w:tc>
          <w:tcPr>
            <w:tcW w:w="400" w:type="dxa"/>
            <w:vAlign w:val="bottom"/>
            <w:shd w:val="clear" w:color="auto" w:fill="DBDBDB"/>
          </w:tcPr>
          <w:p>
            <w:pPr>
              <w:spacing w:after="0"/>
              <w:rPr>
                <w:sz w:val="19"/>
                <w:szCs w:val="19"/>
                <w:color w:val="auto"/>
              </w:rPr>
            </w:pPr>
          </w:p>
        </w:tc>
        <w:tc>
          <w:tcPr>
            <w:tcW w:w="9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8 %</w:t>
            </w:r>
          </w:p>
        </w:tc>
      </w:tr>
    </w:tbl>
    <w:p>
      <w:pPr>
        <w:spacing w:after="0" w:line="278" w:lineRule="exact"/>
        <w:rPr>
          <w:sz w:val="20"/>
          <w:szCs w:val="20"/>
          <w:color w:val="auto"/>
        </w:rPr>
      </w:pPr>
    </w:p>
    <w:p>
      <w:pPr>
        <w:spacing w:after="0"/>
        <w:rPr>
          <w:sz w:val="20"/>
          <w:szCs w:val="20"/>
          <w:color w:val="auto"/>
        </w:rPr>
      </w:pPr>
      <w:r>
        <w:rPr>
          <w:rFonts w:ascii="Arial" w:cs="Arial" w:eastAsia="Arial" w:hAnsi="Arial"/>
          <w:sz w:val="18"/>
          <w:szCs w:val="18"/>
          <w:color w:val="auto"/>
        </w:rPr>
        <w:t>The effective tax rate differs from the 21% U.S. statutory corporate tax rate due to the effect of U.S. tax benefits.</w:t>
      </w:r>
    </w:p>
    <w:p>
      <w:pPr>
        <w:spacing w:after="0" w:line="225" w:lineRule="exact"/>
        <w:rPr>
          <w:sz w:val="20"/>
          <w:szCs w:val="20"/>
          <w:color w:val="auto"/>
        </w:rPr>
      </w:pPr>
    </w:p>
    <w:p>
      <w:pPr>
        <w:ind w:left="200" w:hanging="192"/>
        <w:spacing w:after="0"/>
        <w:tabs>
          <w:tab w:leader="none" w:pos="200" w:val="left"/>
        </w:tabs>
        <w:numPr>
          <w:ilvl w:val="0"/>
          <w:numId w:val="6"/>
        </w:numPr>
        <w:rPr>
          <w:rFonts w:ascii="Arial" w:cs="Arial" w:eastAsia="Arial" w:hAnsi="Arial"/>
          <w:sz w:val="18"/>
          <w:szCs w:val="18"/>
          <w:color w:val="auto"/>
        </w:rPr>
      </w:pPr>
      <w:r>
        <w:rPr>
          <w:rFonts w:ascii="Arial" w:cs="Arial" w:eastAsia="Arial" w:hAnsi="Arial"/>
          <w:sz w:val="18"/>
          <w:szCs w:val="18"/>
          <w:u w:val="single" w:color="auto"/>
          <w:color w:val="auto"/>
        </w:rPr>
        <w:t>Valuation of debt and equity investments and certain liabilities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Investments measured at fair value</w:t>
      </w:r>
    </w:p>
    <w:p>
      <w:pPr>
        <w:spacing w:after="0" w:line="223"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 xml:space="preserve">Money market funds, debt investments and mutual funds are stated at fair value, which is generally based on market prices or broker quotes. We classify all debt investments as available-for-sale. See </w:t>
      </w:r>
      <w:r>
        <w:rPr>
          <w:rFonts w:ascii="Arial" w:cs="Arial" w:eastAsia="Arial" w:hAnsi="Arial"/>
          <w:sz w:val="18"/>
          <w:szCs w:val="18"/>
          <w:i w:val="1"/>
          <w:iCs w:val="1"/>
          <w:color w:val="auto"/>
        </w:rPr>
        <w:t>Fair-value considerations</w:t>
      </w:r>
      <w:r>
        <w:rPr>
          <w:rFonts w:ascii="Arial" w:cs="Arial" w:eastAsia="Arial" w:hAnsi="Arial"/>
          <w:sz w:val="18"/>
          <w:szCs w:val="18"/>
          <w:color w:val="auto"/>
        </w:rPr>
        <w:t>. Unrealized gains and losses are recorded as an increase or decrease, net of taxes, in AOCI on our Consolidated Balance Sheets, and any credit losses are recorded as an allowance for credit losses with an offset recognized in OI&amp;E in our Consolidated Statements of Income.</w:t>
      </w:r>
    </w:p>
    <w:p>
      <w:pPr>
        <w:spacing w:after="0" w:line="176"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color w:val="auto"/>
        </w:rPr>
        <w:t>Our mutual funds hold a variety of debt and equity investments intended to generate returns that offset changes in certain deferred compensation liabilities. We record changes in the fair value of these mutual funds and the related deferred compensation liabilities in SG&amp;A.</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investments</w:t>
      </w:r>
    </w:p>
    <w:p>
      <w:pPr>
        <w:spacing w:after="0" w:line="223" w:lineRule="exact"/>
        <w:rPr>
          <w:sz w:val="20"/>
          <w:szCs w:val="20"/>
          <w:color w:val="auto"/>
        </w:rPr>
      </w:pPr>
    </w:p>
    <w:p>
      <w:pPr>
        <w:ind w:right="380"/>
        <w:spacing w:after="0" w:line="259" w:lineRule="auto"/>
        <w:rPr>
          <w:sz w:val="20"/>
          <w:szCs w:val="20"/>
          <w:color w:val="auto"/>
        </w:rPr>
      </w:pPr>
      <w:r>
        <w:rPr>
          <w:rFonts w:ascii="Arial" w:cs="Arial" w:eastAsia="Arial" w:hAnsi="Arial"/>
          <w:sz w:val="18"/>
          <w:szCs w:val="18"/>
          <w:color w:val="auto"/>
        </w:rPr>
        <w:t>Our other investments include equity-method investments and nonmarketable investments, which are not measured at fair value. These investments consist of interests in venture capital funds and other nonmarketable securities. Gains and losses from equity-method investments are recognized in OI&amp;E based on our ownership share of the investee’s financial results. Nonmarketable securities are measured at cost with adjustments for observable changes in price or impairments. Gains and losses on nonmarketable investments are recognized in OI&amp;E.</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color w:val="auto"/>
        </w:rPr>
        <w:t>Details of our investments are as follows: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6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4"/>
                <w:szCs w:val="14"/>
                <w:b w:val="1"/>
                <w:bCs w:val="1"/>
                <w:color w:val="auto"/>
              </w:rPr>
              <w:t>March 31, 2026</w:t>
            </w:r>
          </w:p>
        </w:tc>
        <w:tc>
          <w:tcPr>
            <w:tcW w:w="1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rPr>
              <w:t>December 31, 2025</w:t>
            </w:r>
          </w:p>
        </w:tc>
        <w:tc>
          <w:tcPr>
            <w:tcW w:w="1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7"/>
        </w:trPr>
        <w:tc>
          <w:tcPr>
            <w:tcW w:w="3660" w:type="dxa"/>
            <w:vAlign w:val="bottom"/>
          </w:tcPr>
          <w:p>
            <w:pPr>
              <w:spacing w:after="0"/>
              <w:rPr>
                <w:sz w:val="12"/>
                <w:szCs w:val="12"/>
                <w:color w:val="auto"/>
              </w:rPr>
            </w:pPr>
          </w:p>
        </w:tc>
        <w:tc>
          <w:tcPr>
            <w:tcW w:w="1280" w:type="dxa"/>
            <w:vAlign w:val="bottom"/>
            <w:gridSpan w:val="3"/>
          </w:tcPr>
          <w:p>
            <w:pPr>
              <w:jc w:val="center"/>
              <w:ind w:right="120"/>
              <w:spacing w:after="0" w:line="147" w:lineRule="exact"/>
              <w:rPr>
                <w:sz w:val="20"/>
                <w:szCs w:val="20"/>
                <w:color w:val="auto"/>
              </w:rPr>
            </w:pPr>
            <w:r>
              <w:rPr>
                <w:rFonts w:ascii="Arial" w:cs="Arial" w:eastAsia="Arial" w:hAnsi="Arial"/>
                <w:sz w:val="14"/>
                <w:szCs w:val="14"/>
                <w:b w:val="1"/>
                <w:bCs w:val="1"/>
                <w:color w:val="auto"/>
              </w:rPr>
              <w:t>Cash and Cash</w:t>
            </w:r>
          </w:p>
        </w:tc>
        <w:tc>
          <w:tcPr>
            <w:tcW w:w="140" w:type="dxa"/>
            <w:vAlign w:val="bottom"/>
          </w:tcPr>
          <w:p>
            <w:pPr>
              <w:spacing w:after="0"/>
              <w:rPr>
                <w:sz w:val="12"/>
                <w:szCs w:val="12"/>
                <w:color w:val="auto"/>
              </w:rPr>
            </w:pPr>
          </w:p>
        </w:tc>
        <w:tc>
          <w:tcPr>
            <w:tcW w:w="1140" w:type="dxa"/>
            <w:vAlign w:val="bottom"/>
            <w:gridSpan w:val="2"/>
          </w:tcPr>
          <w:p>
            <w:pPr>
              <w:jc w:val="center"/>
              <w:ind w:right="260"/>
              <w:spacing w:after="0" w:line="147" w:lineRule="exact"/>
              <w:rPr>
                <w:sz w:val="20"/>
                <w:szCs w:val="20"/>
                <w:color w:val="auto"/>
              </w:rPr>
            </w:pPr>
            <w:r>
              <w:rPr>
                <w:rFonts w:ascii="Arial" w:cs="Arial" w:eastAsia="Arial" w:hAnsi="Arial"/>
                <w:sz w:val="14"/>
                <w:szCs w:val="14"/>
                <w:b w:val="1"/>
                <w:bCs w:val="1"/>
                <w:color w:val="auto"/>
              </w:rPr>
              <w:t>Short-Term</w:t>
            </w:r>
          </w:p>
        </w:tc>
        <w:tc>
          <w:tcPr>
            <w:tcW w:w="140" w:type="dxa"/>
            <w:vAlign w:val="bottom"/>
          </w:tcPr>
          <w:p>
            <w:pPr>
              <w:spacing w:after="0"/>
              <w:rPr>
                <w:sz w:val="12"/>
                <w:szCs w:val="12"/>
                <w:color w:val="auto"/>
              </w:rPr>
            </w:pPr>
          </w:p>
        </w:tc>
        <w:tc>
          <w:tcPr>
            <w:tcW w:w="1140" w:type="dxa"/>
            <w:vAlign w:val="bottom"/>
            <w:gridSpan w:val="2"/>
          </w:tcPr>
          <w:p>
            <w:pPr>
              <w:jc w:val="center"/>
              <w:ind w:right="240"/>
              <w:spacing w:after="0" w:line="147" w:lineRule="exact"/>
              <w:rPr>
                <w:sz w:val="20"/>
                <w:szCs w:val="20"/>
                <w:color w:val="auto"/>
              </w:rPr>
            </w:pPr>
            <w:r>
              <w:rPr>
                <w:rFonts w:ascii="Arial" w:cs="Arial" w:eastAsia="Arial" w:hAnsi="Arial"/>
                <w:sz w:val="14"/>
                <w:szCs w:val="14"/>
                <w:b w:val="1"/>
                <w:bCs w:val="1"/>
                <w:color w:val="auto"/>
              </w:rPr>
              <w:t>Long-Term</w:t>
            </w:r>
          </w:p>
        </w:tc>
        <w:tc>
          <w:tcPr>
            <w:tcW w:w="1180" w:type="dxa"/>
            <w:vAlign w:val="bottom"/>
            <w:gridSpan w:val="2"/>
          </w:tcPr>
          <w:p>
            <w:pPr>
              <w:jc w:val="right"/>
              <w:spacing w:after="0" w:line="147" w:lineRule="exact"/>
              <w:rPr>
                <w:sz w:val="20"/>
                <w:szCs w:val="20"/>
                <w:color w:val="auto"/>
              </w:rPr>
            </w:pPr>
            <w:r>
              <w:rPr>
                <w:rFonts w:ascii="Arial" w:cs="Arial" w:eastAsia="Arial" w:hAnsi="Arial"/>
                <w:sz w:val="14"/>
                <w:szCs w:val="14"/>
                <w:b w:val="1"/>
                <w:bCs w:val="1"/>
                <w:color w:val="auto"/>
              </w:rPr>
              <w:t>Cash and Cash</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tcPr>
          <w:p>
            <w:pPr>
              <w:jc w:val="center"/>
              <w:ind w:right="240"/>
              <w:spacing w:after="0" w:line="147" w:lineRule="exact"/>
              <w:rPr>
                <w:sz w:val="20"/>
                <w:szCs w:val="20"/>
                <w:color w:val="auto"/>
              </w:rPr>
            </w:pPr>
            <w:r>
              <w:rPr>
                <w:rFonts w:ascii="Arial" w:cs="Arial" w:eastAsia="Arial" w:hAnsi="Arial"/>
                <w:sz w:val="14"/>
                <w:szCs w:val="14"/>
                <w:b w:val="1"/>
                <w:bCs w:val="1"/>
                <w:color w:val="auto"/>
              </w:rPr>
              <w:t>Short-Term</w:t>
            </w:r>
          </w:p>
        </w:tc>
        <w:tc>
          <w:tcPr>
            <w:tcW w:w="140" w:type="dxa"/>
            <w:vAlign w:val="bottom"/>
          </w:tcPr>
          <w:p>
            <w:pPr>
              <w:spacing w:after="0"/>
              <w:rPr>
                <w:sz w:val="12"/>
                <w:szCs w:val="12"/>
                <w:color w:val="auto"/>
              </w:rPr>
            </w:pPr>
          </w:p>
        </w:tc>
        <w:tc>
          <w:tcPr>
            <w:tcW w:w="1040" w:type="dxa"/>
            <w:vAlign w:val="bottom"/>
          </w:tcPr>
          <w:p>
            <w:pPr>
              <w:jc w:val="right"/>
              <w:ind w:right="133"/>
              <w:spacing w:after="0" w:line="147" w:lineRule="exact"/>
              <w:rPr>
                <w:sz w:val="20"/>
                <w:szCs w:val="20"/>
                <w:color w:val="auto"/>
              </w:rPr>
            </w:pPr>
            <w:r>
              <w:rPr>
                <w:rFonts w:ascii="Arial" w:cs="Arial" w:eastAsia="Arial" w:hAnsi="Arial"/>
                <w:sz w:val="14"/>
                <w:szCs w:val="14"/>
                <w:b w:val="1"/>
                <w:bCs w:val="1"/>
                <w:color w:val="auto"/>
              </w:rPr>
              <w:t>Long-Term</w:t>
            </w:r>
          </w:p>
        </w:tc>
        <w:tc>
          <w:tcPr>
            <w:tcW w:w="0" w:type="dxa"/>
            <w:vAlign w:val="bottom"/>
          </w:tcPr>
          <w:p>
            <w:pPr>
              <w:spacing w:after="0"/>
              <w:rPr>
                <w:sz w:val="1"/>
                <w:szCs w:val="1"/>
                <w:color w:val="auto"/>
              </w:rPr>
            </w:pPr>
          </w:p>
        </w:tc>
      </w:tr>
      <w:tr>
        <w:trPr>
          <w:trHeight w:val="185"/>
        </w:trPr>
        <w:tc>
          <w:tcPr>
            <w:tcW w:w="3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Equivalents</w:t>
            </w:r>
          </w:p>
        </w:tc>
        <w:tc>
          <w:tcPr>
            <w:tcW w:w="140" w:type="dxa"/>
            <w:vAlign w:val="bottom"/>
          </w:tcPr>
          <w:p>
            <w:pPr>
              <w:spacing w:after="0"/>
              <w:rPr>
                <w:sz w:val="16"/>
                <w:szCs w:val="16"/>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Investments</w:t>
            </w:r>
          </w:p>
        </w:tc>
        <w:tc>
          <w:tcPr>
            <w:tcW w:w="140" w:type="dxa"/>
            <w:vAlign w:val="bottom"/>
          </w:tcPr>
          <w:p>
            <w:pPr>
              <w:spacing w:after="0"/>
              <w:rPr>
                <w:sz w:val="16"/>
                <w:szCs w:val="16"/>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Investments</w:t>
            </w:r>
          </w:p>
        </w:tc>
        <w:tc>
          <w:tcPr>
            <w:tcW w:w="160" w:type="dxa"/>
            <w:vAlign w:val="bottom"/>
          </w:tcPr>
          <w:p>
            <w:pPr>
              <w:spacing w:after="0"/>
              <w:rPr>
                <w:sz w:val="16"/>
                <w:szCs w:val="16"/>
                <w:color w:val="auto"/>
              </w:rPr>
            </w:pPr>
          </w:p>
        </w:tc>
        <w:tc>
          <w:tcPr>
            <w:tcW w:w="1020" w:type="dxa"/>
            <w:vAlign w:val="bottom"/>
          </w:tcPr>
          <w:p>
            <w:pPr>
              <w:jc w:val="right"/>
              <w:ind w:right="92"/>
              <w:spacing w:after="0"/>
              <w:rPr>
                <w:sz w:val="20"/>
                <w:szCs w:val="20"/>
                <w:color w:val="auto"/>
              </w:rPr>
            </w:pPr>
            <w:r>
              <w:rPr>
                <w:rFonts w:ascii="Arial" w:cs="Arial" w:eastAsia="Arial" w:hAnsi="Arial"/>
                <w:sz w:val="14"/>
                <w:szCs w:val="14"/>
                <w:b w:val="1"/>
                <w:bCs w:val="1"/>
                <w:color w:val="auto"/>
              </w:rPr>
              <w:t>Equivalents</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Investments</w:t>
            </w:r>
          </w:p>
        </w:tc>
        <w:tc>
          <w:tcPr>
            <w:tcW w:w="140" w:type="dxa"/>
            <w:vAlign w:val="bottom"/>
          </w:tcPr>
          <w:p>
            <w:pPr>
              <w:spacing w:after="0"/>
              <w:rPr>
                <w:sz w:val="16"/>
                <w:szCs w:val="16"/>
                <w:color w:val="auto"/>
              </w:rPr>
            </w:pPr>
          </w:p>
        </w:tc>
        <w:tc>
          <w:tcPr>
            <w:tcW w:w="1040" w:type="dxa"/>
            <w:vAlign w:val="bottom"/>
          </w:tcPr>
          <w:p>
            <w:pPr>
              <w:jc w:val="right"/>
              <w:ind w:right="73"/>
              <w:spacing w:after="0"/>
              <w:rPr>
                <w:sz w:val="20"/>
                <w:szCs w:val="20"/>
                <w:color w:val="auto"/>
              </w:rPr>
            </w:pPr>
            <w:r>
              <w:rPr>
                <w:rFonts w:ascii="Arial" w:cs="Arial" w:eastAsia="Arial" w:hAnsi="Arial"/>
                <w:sz w:val="14"/>
                <w:szCs w:val="14"/>
                <w:b w:val="1"/>
                <w:bCs w:val="1"/>
                <w:color w:val="auto"/>
              </w:rPr>
              <w:t>Investments</w:t>
            </w:r>
          </w:p>
        </w:tc>
        <w:tc>
          <w:tcPr>
            <w:tcW w:w="0" w:type="dxa"/>
            <w:vAlign w:val="bottom"/>
          </w:tcPr>
          <w:p>
            <w:pPr>
              <w:spacing w:after="0"/>
              <w:rPr>
                <w:sz w:val="1"/>
                <w:szCs w:val="1"/>
                <w:color w:val="auto"/>
              </w:rPr>
            </w:pPr>
          </w:p>
        </w:tc>
      </w:tr>
      <w:tr>
        <w:trPr>
          <w:trHeight w:val="223"/>
        </w:trPr>
        <w:tc>
          <w:tcPr>
            <w:tcW w:w="366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8"/>
                <w:szCs w:val="18"/>
                <w:b w:val="1"/>
                <w:bCs w:val="1"/>
                <w:color w:val="auto"/>
              </w:rPr>
              <w:t>Measured at fair value:</w:t>
            </w:r>
          </w:p>
        </w:tc>
        <w:tc>
          <w:tcPr>
            <w:tcW w:w="140" w:type="dxa"/>
            <w:vAlign w:val="bottom"/>
            <w:tcBorders>
              <w:top w:val="single" w:sz="8" w:color="auto"/>
            </w:tcBorders>
            <w:shd w:val="clear" w:color="auto" w:fill="DBDBDB"/>
          </w:tcPr>
          <w:p>
            <w:pPr>
              <w:spacing w:after="0"/>
              <w:rPr>
                <w:sz w:val="19"/>
                <w:szCs w:val="19"/>
                <w:color w:val="auto"/>
              </w:rPr>
            </w:pPr>
          </w:p>
        </w:tc>
        <w:tc>
          <w:tcPr>
            <w:tcW w:w="1020" w:type="dxa"/>
            <w:vAlign w:val="bottom"/>
            <w:tcBorders>
              <w:top w:val="single" w:sz="8" w:color="auto"/>
            </w:tcBorders>
            <w:shd w:val="clear" w:color="auto" w:fill="DBDBDB"/>
          </w:tcPr>
          <w:p>
            <w:pPr>
              <w:spacing w:after="0"/>
              <w:rPr>
                <w:sz w:val="19"/>
                <w:szCs w:val="19"/>
                <w:color w:val="auto"/>
              </w:rPr>
            </w:pPr>
          </w:p>
        </w:tc>
        <w:tc>
          <w:tcPr>
            <w:tcW w:w="120" w:type="dxa"/>
            <w:vAlign w:val="bottom"/>
            <w:tcBorders>
              <w:top w:val="single" w:sz="8" w:color="DBDBDB"/>
            </w:tcBorders>
            <w:shd w:val="clear" w:color="auto" w:fill="DBDBDB"/>
          </w:tcPr>
          <w:p>
            <w:pPr>
              <w:spacing w:after="0"/>
              <w:rPr>
                <w:sz w:val="19"/>
                <w:szCs w:val="19"/>
                <w:color w:val="auto"/>
              </w:rPr>
            </w:pPr>
          </w:p>
        </w:tc>
        <w:tc>
          <w:tcPr>
            <w:tcW w:w="140" w:type="dxa"/>
            <w:vAlign w:val="bottom"/>
            <w:tcBorders>
              <w:top w:val="single" w:sz="8" w:color="auto"/>
            </w:tcBorders>
            <w:shd w:val="clear" w:color="auto" w:fill="DBDBDB"/>
          </w:tcPr>
          <w:p>
            <w:pPr>
              <w:spacing w:after="0"/>
              <w:rPr>
                <w:sz w:val="19"/>
                <w:szCs w:val="19"/>
                <w:color w:val="auto"/>
              </w:rPr>
            </w:pPr>
          </w:p>
        </w:tc>
        <w:tc>
          <w:tcPr>
            <w:tcW w:w="1020" w:type="dxa"/>
            <w:vAlign w:val="bottom"/>
            <w:tcBorders>
              <w:top w:val="single" w:sz="8" w:color="auto"/>
            </w:tcBorders>
            <w:shd w:val="clear" w:color="auto" w:fill="DBDBDB"/>
          </w:tcPr>
          <w:p>
            <w:pPr>
              <w:spacing w:after="0"/>
              <w:rPr>
                <w:sz w:val="19"/>
                <w:szCs w:val="19"/>
                <w:color w:val="auto"/>
              </w:rPr>
            </w:pPr>
          </w:p>
        </w:tc>
        <w:tc>
          <w:tcPr>
            <w:tcW w:w="120" w:type="dxa"/>
            <w:vAlign w:val="bottom"/>
            <w:tcBorders>
              <w:top w:val="single" w:sz="8" w:color="DBDBDB"/>
            </w:tcBorders>
            <w:shd w:val="clear" w:color="auto" w:fill="DBDBDB"/>
          </w:tcPr>
          <w:p>
            <w:pPr>
              <w:spacing w:after="0"/>
              <w:rPr>
                <w:sz w:val="19"/>
                <w:szCs w:val="19"/>
                <w:color w:val="auto"/>
              </w:rPr>
            </w:pPr>
          </w:p>
        </w:tc>
        <w:tc>
          <w:tcPr>
            <w:tcW w:w="140" w:type="dxa"/>
            <w:vAlign w:val="bottom"/>
            <w:tcBorders>
              <w:top w:val="single" w:sz="8" w:color="auto"/>
            </w:tcBorders>
            <w:shd w:val="clear" w:color="auto" w:fill="DBDBDB"/>
          </w:tcPr>
          <w:p>
            <w:pPr>
              <w:spacing w:after="0"/>
              <w:rPr>
                <w:sz w:val="19"/>
                <w:szCs w:val="19"/>
                <w:color w:val="auto"/>
              </w:rPr>
            </w:pPr>
          </w:p>
        </w:tc>
        <w:tc>
          <w:tcPr>
            <w:tcW w:w="1040" w:type="dxa"/>
            <w:vAlign w:val="bottom"/>
            <w:tcBorders>
              <w:top w:val="single" w:sz="8" w:color="auto"/>
            </w:tcBorders>
            <w:shd w:val="clear" w:color="auto" w:fill="DBDBDB"/>
          </w:tcPr>
          <w:p>
            <w:pPr>
              <w:spacing w:after="0"/>
              <w:rPr>
                <w:sz w:val="19"/>
                <w:szCs w:val="19"/>
                <w:color w:val="auto"/>
              </w:rPr>
            </w:pPr>
          </w:p>
        </w:tc>
        <w:tc>
          <w:tcPr>
            <w:tcW w:w="100" w:type="dxa"/>
            <w:vAlign w:val="bottom"/>
            <w:tcBorders>
              <w:top w:val="single" w:sz="8" w:color="DBDBDB"/>
            </w:tcBorders>
            <w:shd w:val="clear" w:color="auto" w:fill="DBDBDB"/>
          </w:tcPr>
          <w:p>
            <w:pPr>
              <w:spacing w:after="0"/>
              <w:rPr>
                <w:sz w:val="19"/>
                <w:szCs w:val="19"/>
                <w:color w:val="auto"/>
              </w:rPr>
            </w:pPr>
          </w:p>
        </w:tc>
        <w:tc>
          <w:tcPr>
            <w:tcW w:w="160" w:type="dxa"/>
            <w:vAlign w:val="bottom"/>
            <w:tcBorders>
              <w:top w:val="single" w:sz="8" w:color="auto"/>
            </w:tcBorders>
            <w:shd w:val="clear" w:color="auto" w:fill="DBDBDB"/>
          </w:tcPr>
          <w:p>
            <w:pPr>
              <w:spacing w:after="0"/>
              <w:rPr>
                <w:sz w:val="19"/>
                <w:szCs w:val="19"/>
                <w:color w:val="auto"/>
              </w:rPr>
            </w:pPr>
          </w:p>
        </w:tc>
        <w:tc>
          <w:tcPr>
            <w:tcW w:w="1020" w:type="dxa"/>
            <w:vAlign w:val="bottom"/>
            <w:tcBorders>
              <w:top w:val="single" w:sz="8" w:color="auto"/>
            </w:tcBorders>
            <w:shd w:val="clear" w:color="auto" w:fill="DBDBDB"/>
          </w:tcPr>
          <w:p>
            <w:pPr>
              <w:spacing w:after="0"/>
              <w:rPr>
                <w:sz w:val="19"/>
                <w:szCs w:val="19"/>
                <w:color w:val="auto"/>
              </w:rPr>
            </w:pPr>
          </w:p>
        </w:tc>
        <w:tc>
          <w:tcPr>
            <w:tcW w:w="100" w:type="dxa"/>
            <w:vAlign w:val="bottom"/>
            <w:tcBorders>
              <w:top w:val="single" w:sz="8" w:color="DBDBDB"/>
            </w:tcBorders>
            <w:shd w:val="clear" w:color="auto" w:fill="DBDBDB"/>
          </w:tcPr>
          <w:p>
            <w:pPr>
              <w:spacing w:after="0"/>
              <w:rPr>
                <w:sz w:val="19"/>
                <w:szCs w:val="19"/>
                <w:color w:val="auto"/>
              </w:rPr>
            </w:pPr>
          </w:p>
        </w:tc>
        <w:tc>
          <w:tcPr>
            <w:tcW w:w="140" w:type="dxa"/>
            <w:vAlign w:val="bottom"/>
            <w:tcBorders>
              <w:top w:val="single" w:sz="8" w:color="auto"/>
            </w:tcBorders>
            <w:shd w:val="clear" w:color="auto" w:fill="DBDBDB"/>
          </w:tcPr>
          <w:p>
            <w:pPr>
              <w:spacing w:after="0"/>
              <w:rPr>
                <w:sz w:val="19"/>
                <w:szCs w:val="19"/>
                <w:color w:val="auto"/>
              </w:rPr>
            </w:pPr>
          </w:p>
        </w:tc>
        <w:tc>
          <w:tcPr>
            <w:tcW w:w="1040" w:type="dxa"/>
            <w:vAlign w:val="bottom"/>
            <w:tcBorders>
              <w:top w:val="single" w:sz="8" w:color="auto"/>
            </w:tcBorders>
            <w:shd w:val="clear" w:color="auto" w:fill="DBDBDB"/>
          </w:tcPr>
          <w:p>
            <w:pPr>
              <w:spacing w:after="0"/>
              <w:rPr>
                <w:sz w:val="19"/>
                <w:szCs w:val="19"/>
                <w:color w:val="auto"/>
              </w:rPr>
            </w:pPr>
          </w:p>
        </w:tc>
        <w:tc>
          <w:tcPr>
            <w:tcW w:w="100" w:type="dxa"/>
            <w:vAlign w:val="bottom"/>
            <w:tcBorders>
              <w:top w:val="single" w:sz="8" w:color="DBDBDB"/>
            </w:tcBorders>
            <w:shd w:val="clear" w:color="auto" w:fill="DBDBDB"/>
          </w:tcPr>
          <w:p>
            <w:pPr>
              <w:spacing w:after="0"/>
              <w:rPr>
                <w:sz w:val="19"/>
                <w:szCs w:val="19"/>
                <w:color w:val="auto"/>
              </w:rPr>
            </w:pPr>
          </w:p>
        </w:tc>
        <w:tc>
          <w:tcPr>
            <w:tcW w:w="140" w:type="dxa"/>
            <w:vAlign w:val="bottom"/>
            <w:tcBorders>
              <w:top w:val="single" w:sz="8" w:color="auto"/>
            </w:tcBorders>
            <w:shd w:val="clear" w:color="auto" w:fill="DBDBDB"/>
          </w:tcPr>
          <w:p>
            <w:pPr>
              <w:spacing w:after="0"/>
              <w:rPr>
                <w:sz w:val="19"/>
                <w:szCs w:val="19"/>
                <w:color w:val="auto"/>
              </w:rPr>
            </w:pPr>
          </w:p>
        </w:tc>
        <w:tc>
          <w:tcPr>
            <w:tcW w:w="1040" w:type="dxa"/>
            <w:vAlign w:val="bottom"/>
            <w:tcBorders>
              <w:top w:val="single" w:sz="8" w:color="auto"/>
            </w:tcBorders>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60" w:type="dxa"/>
            <w:vAlign w:val="bottom"/>
          </w:tcPr>
          <w:p>
            <w:pPr>
              <w:ind w:left="140"/>
              <w:spacing w:after="0"/>
              <w:rPr>
                <w:sz w:val="20"/>
                <w:szCs w:val="20"/>
                <w:color w:val="auto"/>
              </w:rPr>
            </w:pPr>
            <w:r>
              <w:rPr>
                <w:rFonts w:ascii="Arial" w:cs="Arial" w:eastAsia="Arial" w:hAnsi="Arial"/>
                <w:sz w:val="18"/>
                <w:szCs w:val="18"/>
                <w:color w:val="auto"/>
              </w:rPr>
              <w:t>Money market funds</w:t>
            </w: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1,122</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1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1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844</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660" w:type="dxa"/>
            <w:vAlign w:val="bottom"/>
            <w:shd w:val="clear" w:color="auto" w:fill="DBDBDB"/>
          </w:tcPr>
          <w:p>
            <w:pPr>
              <w:ind w:left="140"/>
              <w:spacing w:after="0"/>
              <w:rPr>
                <w:sz w:val="20"/>
                <w:szCs w:val="20"/>
                <w:color w:val="auto"/>
              </w:rPr>
            </w:pPr>
            <w:r>
              <w:rPr>
                <w:rFonts w:ascii="Arial" w:cs="Arial" w:eastAsia="Arial" w:hAnsi="Arial"/>
                <w:sz w:val="18"/>
                <w:szCs w:val="18"/>
                <w:color w:val="auto"/>
              </w:rPr>
              <w:t>Corporate obligations</w:t>
            </w:r>
          </w:p>
        </w:tc>
        <w:tc>
          <w:tcPr>
            <w:tcW w:w="140" w:type="dxa"/>
            <w:vAlign w:val="bottom"/>
            <w:shd w:val="clear" w:color="auto" w:fill="DBDBDB"/>
          </w:tcPr>
          <w:p>
            <w:pPr>
              <w:spacing w:after="0"/>
              <w:rPr>
                <w:sz w:val="19"/>
                <w:szCs w:val="19"/>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797</w:t>
            </w:r>
          </w:p>
        </w:tc>
        <w:tc>
          <w:tcPr>
            <w:tcW w:w="12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526</w:t>
            </w:r>
          </w:p>
        </w:tc>
        <w:tc>
          <w:tcPr>
            <w:tcW w:w="12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114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DBDBDB"/>
          </w:tcPr>
          <w:p>
            <w:pPr>
              <w:spacing w:after="0"/>
              <w:rPr>
                <w:sz w:val="19"/>
                <w:szCs w:val="19"/>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517</w:t>
            </w:r>
          </w:p>
        </w:tc>
        <w:tc>
          <w:tcPr>
            <w:tcW w:w="10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522</w:t>
            </w:r>
          </w:p>
        </w:tc>
        <w:tc>
          <w:tcPr>
            <w:tcW w:w="10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660" w:type="dxa"/>
            <w:vAlign w:val="bottom"/>
          </w:tcPr>
          <w:p>
            <w:pPr>
              <w:ind w:left="140"/>
              <w:spacing w:after="0"/>
              <w:rPr>
                <w:sz w:val="20"/>
                <w:szCs w:val="20"/>
                <w:color w:val="auto"/>
              </w:rPr>
            </w:pPr>
            <w:r>
              <w:rPr>
                <w:rFonts w:ascii="Arial" w:cs="Arial" w:eastAsia="Arial" w:hAnsi="Arial"/>
                <w:sz w:val="18"/>
                <w:szCs w:val="18"/>
                <w:color w:val="auto"/>
              </w:rPr>
              <w:t>U.S. government and agency securities</w:t>
            </w: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1,136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978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1,296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1,035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5"/>
        </w:trPr>
        <w:tc>
          <w:tcPr>
            <w:tcW w:w="3660" w:type="dxa"/>
            <w:vAlign w:val="bottom"/>
            <w:shd w:val="clear" w:color="auto" w:fill="DBDBDB"/>
          </w:tcPr>
          <w:p>
            <w:pPr>
              <w:ind w:left="140"/>
              <w:spacing w:after="0" w:line="176" w:lineRule="exact"/>
              <w:rPr>
                <w:sz w:val="20"/>
                <w:szCs w:val="20"/>
                <w:color w:val="auto"/>
              </w:rPr>
            </w:pPr>
            <w:r>
              <w:rPr>
                <w:rFonts w:ascii="Arial" w:cs="Arial" w:eastAsia="Arial" w:hAnsi="Arial"/>
                <w:sz w:val="18"/>
                <w:szCs w:val="18"/>
                <w:color w:val="auto"/>
              </w:rPr>
              <w:t>Non-U.S. government and agency</w:t>
            </w:r>
          </w:p>
        </w:tc>
        <w:tc>
          <w:tcPr>
            <w:tcW w:w="140" w:type="dxa"/>
            <w:vAlign w:val="bottom"/>
            <w:shd w:val="clear" w:color="auto" w:fill="DBDBDB"/>
          </w:tcPr>
          <w:p>
            <w:pPr>
              <w:spacing w:after="0"/>
              <w:rPr>
                <w:sz w:val="15"/>
                <w:szCs w:val="15"/>
                <w:color w:val="auto"/>
              </w:rPr>
            </w:pPr>
          </w:p>
        </w:tc>
        <w:tc>
          <w:tcPr>
            <w:tcW w:w="1020" w:type="dxa"/>
            <w:vAlign w:val="bottom"/>
            <w:vMerge w:val="restart"/>
            <w:shd w:val="clear" w:color="auto" w:fill="DBDBDB"/>
          </w:tcPr>
          <w:p>
            <w:pPr>
              <w:jc w:val="right"/>
              <w:spacing w:after="0"/>
              <w:rPr>
                <w:sz w:val="20"/>
                <w:szCs w:val="20"/>
                <w:color w:val="auto"/>
              </w:rPr>
            </w:pPr>
            <w:r>
              <w:rPr>
                <w:rFonts w:ascii="Arial" w:cs="Arial" w:eastAsia="Arial" w:hAnsi="Arial"/>
                <w:sz w:val="18"/>
                <w:szCs w:val="18"/>
                <w:b w:val="1"/>
                <w:bCs w:val="1"/>
                <w:color w:val="auto"/>
              </w:rPr>
              <w:t>90</w:t>
            </w:r>
          </w:p>
        </w:tc>
        <w:tc>
          <w:tcPr>
            <w:tcW w:w="120" w:type="dxa"/>
            <w:vAlign w:val="bottom"/>
            <w:shd w:val="clear" w:color="auto" w:fill="DBDBDB"/>
          </w:tcPr>
          <w:p>
            <w:pPr>
              <w:spacing w:after="0"/>
              <w:rPr>
                <w:sz w:val="15"/>
                <w:szCs w:val="15"/>
                <w:color w:val="auto"/>
              </w:rPr>
            </w:pPr>
          </w:p>
        </w:tc>
        <w:tc>
          <w:tcPr>
            <w:tcW w:w="140" w:type="dxa"/>
            <w:vAlign w:val="bottom"/>
            <w:shd w:val="clear" w:color="auto" w:fill="DBDBDB"/>
          </w:tcPr>
          <w:p>
            <w:pPr>
              <w:spacing w:after="0"/>
              <w:rPr>
                <w:sz w:val="15"/>
                <w:szCs w:val="15"/>
                <w:color w:val="auto"/>
              </w:rPr>
            </w:pPr>
          </w:p>
        </w:tc>
        <w:tc>
          <w:tcPr>
            <w:tcW w:w="1020" w:type="dxa"/>
            <w:vAlign w:val="bottom"/>
            <w:vMerge w:val="restart"/>
            <w:shd w:val="clear" w:color="auto" w:fill="DBDBDB"/>
          </w:tcPr>
          <w:p>
            <w:pPr>
              <w:jc w:val="right"/>
              <w:spacing w:after="0"/>
              <w:rPr>
                <w:sz w:val="20"/>
                <w:szCs w:val="20"/>
                <w:color w:val="auto"/>
              </w:rPr>
            </w:pPr>
            <w:r>
              <w:rPr>
                <w:rFonts w:ascii="Arial" w:cs="Arial" w:eastAsia="Arial" w:hAnsi="Arial"/>
                <w:sz w:val="18"/>
                <w:szCs w:val="18"/>
                <w:b w:val="1"/>
                <w:bCs w:val="1"/>
                <w:color w:val="auto"/>
              </w:rPr>
              <w:t>50</w:t>
            </w:r>
          </w:p>
        </w:tc>
        <w:tc>
          <w:tcPr>
            <w:tcW w:w="120" w:type="dxa"/>
            <w:vAlign w:val="bottom"/>
            <w:shd w:val="clear" w:color="auto" w:fill="DBDBDB"/>
          </w:tcPr>
          <w:p>
            <w:pPr>
              <w:spacing w:after="0"/>
              <w:rPr>
                <w:sz w:val="15"/>
                <w:szCs w:val="15"/>
                <w:color w:val="auto"/>
              </w:rPr>
            </w:pPr>
          </w:p>
        </w:tc>
        <w:tc>
          <w:tcPr>
            <w:tcW w:w="140" w:type="dxa"/>
            <w:vAlign w:val="bottom"/>
            <w:shd w:val="clear" w:color="auto" w:fill="DBDBDB"/>
          </w:tcPr>
          <w:p>
            <w:pPr>
              <w:spacing w:after="0"/>
              <w:rPr>
                <w:sz w:val="15"/>
                <w:szCs w:val="15"/>
                <w:color w:val="auto"/>
              </w:rPr>
            </w:pPr>
          </w:p>
        </w:tc>
        <w:tc>
          <w:tcPr>
            <w:tcW w:w="1140" w:type="dxa"/>
            <w:vAlign w:val="bottom"/>
            <w:gridSpan w:val="2"/>
            <w:vMerge w:val="restart"/>
            <w:shd w:val="clear" w:color="auto" w:fill="DBDBDB"/>
          </w:tcPr>
          <w:p>
            <w:pPr>
              <w:jc w:val="right"/>
              <w:ind w:right="180"/>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DBDBDB"/>
          </w:tcPr>
          <w:p>
            <w:pPr>
              <w:spacing w:after="0"/>
              <w:rPr>
                <w:sz w:val="15"/>
                <w:szCs w:val="15"/>
                <w:color w:val="auto"/>
              </w:rPr>
            </w:pPr>
          </w:p>
        </w:tc>
        <w:tc>
          <w:tcPr>
            <w:tcW w:w="1020" w:type="dxa"/>
            <w:vAlign w:val="bottom"/>
            <w:vMerge w:val="restart"/>
            <w:shd w:val="clear" w:color="auto" w:fill="DBDBDB"/>
          </w:tcPr>
          <w:p>
            <w:pPr>
              <w:jc w:val="right"/>
              <w:spacing w:after="0"/>
              <w:rPr>
                <w:sz w:val="20"/>
                <w:szCs w:val="20"/>
                <w:color w:val="auto"/>
              </w:rPr>
            </w:pPr>
            <w:r>
              <w:rPr>
                <w:rFonts w:ascii="Arial" w:cs="Arial" w:eastAsia="Arial" w:hAnsi="Arial"/>
                <w:sz w:val="18"/>
                <w:szCs w:val="18"/>
                <w:color w:val="auto"/>
              </w:rPr>
              <w:t>184</w:t>
            </w:r>
          </w:p>
        </w:tc>
        <w:tc>
          <w:tcPr>
            <w:tcW w:w="100" w:type="dxa"/>
            <w:vAlign w:val="bottom"/>
            <w:shd w:val="clear" w:color="auto" w:fill="DBDBDB"/>
          </w:tcPr>
          <w:p>
            <w:pPr>
              <w:spacing w:after="0"/>
              <w:rPr>
                <w:sz w:val="15"/>
                <w:szCs w:val="15"/>
                <w:color w:val="auto"/>
              </w:rPr>
            </w:pPr>
          </w:p>
        </w:tc>
        <w:tc>
          <w:tcPr>
            <w:tcW w:w="140" w:type="dxa"/>
            <w:vAlign w:val="bottom"/>
            <w:shd w:val="clear" w:color="auto" w:fill="DBDBDB"/>
          </w:tcPr>
          <w:p>
            <w:pPr>
              <w:spacing w:after="0"/>
              <w:rPr>
                <w:sz w:val="15"/>
                <w:szCs w:val="15"/>
                <w:color w:val="auto"/>
              </w:rPr>
            </w:pPr>
          </w:p>
        </w:tc>
        <w:tc>
          <w:tcPr>
            <w:tcW w:w="1040" w:type="dxa"/>
            <w:vAlign w:val="bottom"/>
            <w:vMerge w:val="restart"/>
            <w:shd w:val="clear" w:color="auto" w:fill="DBDBDB"/>
          </w:tcPr>
          <w:p>
            <w:pPr>
              <w:jc w:val="right"/>
              <w:spacing w:after="0"/>
              <w:rPr>
                <w:sz w:val="20"/>
                <w:szCs w:val="20"/>
                <w:color w:val="auto"/>
              </w:rPr>
            </w:pPr>
            <w:r>
              <w:rPr>
                <w:rFonts w:ascii="Arial" w:cs="Arial" w:eastAsia="Arial" w:hAnsi="Arial"/>
                <w:sz w:val="18"/>
                <w:szCs w:val="18"/>
                <w:color w:val="auto"/>
              </w:rPr>
              <w:t>99</w:t>
            </w:r>
          </w:p>
        </w:tc>
        <w:tc>
          <w:tcPr>
            <w:tcW w:w="100" w:type="dxa"/>
            <w:vAlign w:val="bottom"/>
            <w:shd w:val="clear" w:color="auto" w:fill="DBDBDB"/>
          </w:tcPr>
          <w:p>
            <w:pPr>
              <w:spacing w:after="0"/>
              <w:rPr>
                <w:sz w:val="15"/>
                <w:szCs w:val="15"/>
                <w:color w:val="auto"/>
              </w:rPr>
            </w:pPr>
          </w:p>
        </w:tc>
        <w:tc>
          <w:tcPr>
            <w:tcW w:w="140" w:type="dxa"/>
            <w:vAlign w:val="bottom"/>
            <w:shd w:val="clear" w:color="auto" w:fill="DBDBDB"/>
          </w:tcPr>
          <w:p>
            <w:pPr>
              <w:spacing w:after="0"/>
              <w:rPr>
                <w:sz w:val="15"/>
                <w:szCs w:val="15"/>
                <w:color w:val="auto"/>
              </w:rPr>
            </w:pPr>
          </w:p>
        </w:tc>
        <w:tc>
          <w:tcPr>
            <w:tcW w:w="1040" w:type="dxa"/>
            <w:vAlign w:val="bottom"/>
            <w:vMerge w:val="restart"/>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660" w:type="dxa"/>
            <w:vAlign w:val="bottom"/>
            <w:shd w:val="clear" w:color="auto" w:fill="DBDBDB"/>
          </w:tcPr>
          <w:p>
            <w:pPr>
              <w:ind w:left="140"/>
              <w:spacing w:after="0"/>
              <w:rPr>
                <w:sz w:val="20"/>
                <w:szCs w:val="20"/>
                <w:color w:val="auto"/>
              </w:rPr>
            </w:pPr>
            <w:r>
              <w:rPr>
                <w:rFonts w:ascii="Arial" w:cs="Arial" w:eastAsia="Arial" w:hAnsi="Arial"/>
                <w:sz w:val="18"/>
                <w:szCs w:val="18"/>
                <w:color w:val="auto"/>
              </w:rPr>
              <w:t>securities</w:t>
            </w:r>
          </w:p>
        </w:tc>
        <w:tc>
          <w:tcPr>
            <w:tcW w:w="140" w:type="dxa"/>
            <w:vAlign w:val="bottom"/>
            <w:shd w:val="clear" w:color="auto" w:fill="DBDBDB"/>
          </w:tcPr>
          <w:p>
            <w:pPr>
              <w:spacing w:after="0"/>
              <w:rPr>
                <w:sz w:val="21"/>
                <w:szCs w:val="21"/>
                <w:color w:val="auto"/>
              </w:rPr>
            </w:pPr>
          </w:p>
        </w:tc>
        <w:tc>
          <w:tcPr>
            <w:tcW w:w="1020" w:type="dxa"/>
            <w:vAlign w:val="bottom"/>
            <w:vMerge w:val="continue"/>
            <w:shd w:val="clear" w:color="auto" w:fill="DBDBDB"/>
          </w:tcPr>
          <w:p>
            <w:pPr>
              <w:spacing w:after="0"/>
              <w:rPr>
                <w:sz w:val="21"/>
                <w:szCs w:val="21"/>
                <w:color w:val="auto"/>
              </w:rPr>
            </w:pPr>
          </w:p>
        </w:tc>
        <w:tc>
          <w:tcPr>
            <w:tcW w:w="120" w:type="dxa"/>
            <w:vAlign w:val="bottom"/>
            <w:shd w:val="clear" w:color="auto" w:fill="DBDBDB"/>
          </w:tcPr>
          <w:p>
            <w:pPr>
              <w:spacing w:after="0"/>
              <w:rPr>
                <w:sz w:val="21"/>
                <w:szCs w:val="21"/>
                <w:color w:val="auto"/>
              </w:rPr>
            </w:pPr>
          </w:p>
        </w:tc>
        <w:tc>
          <w:tcPr>
            <w:tcW w:w="140" w:type="dxa"/>
            <w:vAlign w:val="bottom"/>
            <w:shd w:val="clear" w:color="auto" w:fill="DBDBDB"/>
          </w:tcPr>
          <w:p>
            <w:pPr>
              <w:spacing w:after="0"/>
              <w:rPr>
                <w:sz w:val="21"/>
                <w:szCs w:val="21"/>
                <w:color w:val="auto"/>
              </w:rPr>
            </w:pPr>
          </w:p>
        </w:tc>
        <w:tc>
          <w:tcPr>
            <w:tcW w:w="1020" w:type="dxa"/>
            <w:vAlign w:val="bottom"/>
            <w:vMerge w:val="continue"/>
            <w:shd w:val="clear" w:color="auto" w:fill="DBDBDB"/>
          </w:tcPr>
          <w:p>
            <w:pPr>
              <w:spacing w:after="0"/>
              <w:rPr>
                <w:sz w:val="21"/>
                <w:szCs w:val="21"/>
                <w:color w:val="auto"/>
              </w:rPr>
            </w:pPr>
          </w:p>
        </w:tc>
        <w:tc>
          <w:tcPr>
            <w:tcW w:w="120" w:type="dxa"/>
            <w:vAlign w:val="bottom"/>
            <w:shd w:val="clear" w:color="auto" w:fill="DBDBDB"/>
          </w:tcPr>
          <w:p>
            <w:pPr>
              <w:spacing w:after="0"/>
              <w:rPr>
                <w:sz w:val="21"/>
                <w:szCs w:val="21"/>
                <w:color w:val="auto"/>
              </w:rPr>
            </w:pPr>
          </w:p>
        </w:tc>
        <w:tc>
          <w:tcPr>
            <w:tcW w:w="140" w:type="dxa"/>
            <w:vAlign w:val="bottom"/>
            <w:shd w:val="clear" w:color="auto" w:fill="DBDBDB"/>
          </w:tcPr>
          <w:p>
            <w:pPr>
              <w:spacing w:after="0"/>
              <w:rPr>
                <w:sz w:val="21"/>
                <w:szCs w:val="21"/>
                <w:color w:val="auto"/>
              </w:rPr>
            </w:pPr>
          </w:p>
        </w:tc>
        <w:tc>
          <w:tcPr>
            <w:tcW w:w="1140" w:type="dxa"/>
            <w:vAlign w:val="bottom"/>
            <w:gridSpan w:val="2"/>
            <w:vMerge w:val="continue"/>
            <w:shd w:val="clear" w:color="auto" w:fill="DBDBDB"/>
          </w:tcPr>
          <w:p>
            <w:pPr>
              <w:spacing w:after="0"/>
              <w:rPr>
                <w:sz w:val="21"/>
                <w:szCs w:val="21"/>
                <w:color w:val="auto"/>
              </w:rPr>
            </w:pPr>
          </w:p>
        </w:tc>
        <w:tc>
          <w:tcPr>
            <w:tcW w:w="160" w:type="dxa"/>
            <w:vAlign w:val="bottom"/>
            <w:shd w:val="clear" w:color="auto" w:fill="DBDBDB"/>
          </w:tcPr>
          <w:p>
            <w:pPr>
              <w:spacing w:after="0"/>
              <w:rPr>
                <w:sz w:val="21"/>
                <w:szCs w:val="21"/>
                <w:color w:val="auto"/>
              </w:rPr>
            </w:pPr>
          </w:p>
        </w:tc>
        <w:tc>
          <w:tcPr>
            <w:tcW w:w="1020" w:type="dxa"/>
            <w:vAlign w:val="bottom"/>
            <w:vMerge w:val="continue"/>
            <w:shd w:val="clear" w:color="auto" w:fill="DBDBDB"/>
          </w:tcPr>
          <w:p>
            <w:pPr>
              <w:spacing w:after="0"/>
              <w:rPr>
                <w:sz w:val="21"/>
                <w:szCs w:val="21"/>
                <w:color w:val="auto"/>
              </w:rPr>
            </w:pPr>
          </w:p>
        </w:tc>
        <w:tc>
          <w:tcPr>
            <w:tcW w:w="100" w:type="dxa"/>
            <w:vAlign w:val="bottom"/>
            <w:shd w:val="clear" w:color="auto" w:fill="DBDBDB"/>
          </w:tcPr>
          <w:p>
            <w:pPr>
              <w:spacing w:after="0"/>
              <w:rPr>
                <w:sz w:val="21"/>
                <w:szCs w:val="21"/>
                <w:color w:val="auto"/>
              </w:rPr>
            </w:pPr>
          </w:p>
        </w:tc>
        <w:tc>
          <w:tcPr>
            <w:tcW w:w="140" w:type="dxa"/>
            <w:vAlign w:val="bottom"/>
            <w:shd w:val="clear" w:color="auto" w:fill="DBDBDB"/>
          </w:tcPr>
          <w:p>
            <w:pPr>
              <w:spacing w:after="0"/>
              <w:rPr>
                <w:sz w:val="21"/>
                <w:szCs w:val="21"/>
                <w:color w:val="auto"/>
              </w:rPr>
            </w:pPr>
          </w:p>
        </w:tc>
        <w:tc>
          <w:tcPr>
            <w:tcW w:w="1040" w:type="dxa"/>
            <w:vAlign w:val="bottom"/>
            <w:vMerge w:val="continue"/>
            <w:shd w:val="clear" w:color="auto" w:fill="DBDBDB"/>
          </w:tcPr>
          <w:p>
            <w:pPr>
              <w:spacing w:after="0"/>
              <w:rPr>
                <w:sz w:val="21"/>
                <w:szCs w:val="21"/>
                <w:color w:val="auto"/>
              </w:rPr>
            </w:pPr>
          </w:p>
        </w:tc>
        <w:tc>
          <w:tcPr>
            <w:tcW w:w="100" w:type="dxa"/>
            <w:vAlign w:val="bottom"/>
            <w:shd w:val="clear" w:color="auto" w:fill="DBDBDB"/>
          </w:tcPr>
          <w:p>
            <w:pPr>
              <w:spacing w:after="0"/>
              <w:rPr>
                <w:sz w:val="21"/>
                <w:szCs w:val="21"/>
                <w:color w:val="auto"/>
              </w:rPr>
            </w:pPr>
          </w:p>
        </w:tc>
        <w:tc>
          <w:tcPr>
            <w:tcW w:w="140" w:type="dxa"/>
            <w:vAlign w:val="bottom"/>
            <w:shd w:val="clear" w:color="auto" w:fill="DBDBDB"/>
          </w:tcPr>
          <w:p>
            <w:pPr>
              <w:spacing w:after="0"/>
              <w:rPr>
                <w:sz w:val="21"/>
                <w:szCs w:val="21"/>
                <w:color w:val="auto"/>
              </w:rPr>
            </w:pPr>
          </w:p>
        </w:tc>
        <w:tc>
          <w:tcPr>
            <w:tcW w:w="1040" w:type="dxa"/>
            <w:vAlign w:val="bottom"/>
            <w:vMerge w:val="continue"/>
            <w:shd w:val="clear" w:color="auto" w:fill="DBDBDB"/>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3660" w:type="dxa"/>
            <w:vAlign w:val="bottom"/>
          </w:tcPr>
          <w:p>
            <w:pPr>
              <w:ind w:left="140"/>
              <w:spacing w:after="0"/>
              <w:rPr>
                <w:sz w:val="20"/>
                <w:szCs w:val="20"/>
                <w:color w:val="auto"/>
              </w:rPr>
            </w:pPr>
            <w:r>
              <w:rPr>
                <w:rFonts w:ascii="Arial" w:cs="Arial" w:eastAsia="Arial" w:hAnsi="Arial"/>
                <w:sz w:val="18"/>
                <w:szCs w:val="18"/>
                <w:color w:val="auto"/>
              </w:rPr>
              <w:t>Mutual funds</w:t>
            </w:r>
          </w:p>
        </w:tc>
        <w:tc>
          <w:tcPr>
            <w:tcW w:w="1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10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23"/>
        </w:trPr>
        <w:tc>
          <w:tcPr>
            <w:tcW w:w="366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auto"/>
            </w:tcBorders>
            <w:shd w:val="clear" w:color="auto" w:fill="DBDBDB"/>
          </w:tcPr>
          <w:p>
            <w:pPr>
              <w:spacing w:after="0"/>
              <w:rPr>
                <w:sz w:val="19"/>
                <w:szCs w:val="19"/>
                <w:color w:val="auto"/>
              </w:rPr>
            </w:pPr>
          </w:p>
        </w:tc>
        <w:tc>
          <w:tcPr>
            <w:tcW w:w="102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3,145</w:t>
            </w:r>
          </w:p>
        </w:tc>
        <w:tc>
          <w:tcPr>
            <w:tcW w:w="120" w:type="dxa"/>
            <w:vAlign w:val="bottom"/>
            <w:tcBorders>
              <w:top w:val="single" w:sz="8" w:color="DBDBDB"/>
            </w:tcBorders>
            <w:shd w:val="clear" w:color="auto" w:fill="DBDBDB"/>
          </w:tcPr>
          <w:p>
            <w:pPr>
              <w:spacing w:after="0"/>
              <w:rPr>
                <w:sz w:val="19"/>
                <w:szCs w:val="19"/>
                <w:color w:val="auto"/>
              </w:rPr>
            </w:pPr>
          </w:p>
        </w:tc>
        <w:tc>
          <w:tcPr>
            <w:tcW w:w="140" w:type="dxa"/>
            <w:vAlign w:val="bottom"/>
            <w:tcBorders>
              <w:top w:val="single" w:sz="8" w:color="auto"/>
            </w:tcBorders>
            <w:shd w:val="clear" w:color="auto" w:fill="DBDBDB"/>
          </w:tcPr>
          <w:p>
            <w:pPr>
              <w:spacing w:after="0"/>
              <w:rPr>
                <w:sz w:val="19"/>
                <w:szCs w:val="19"/>
                <w:color w:val="auto"/>
              </w:rPr>
            </w:pPr>
          </w:p>
        </w:tc>
        <w:tc>
          <w:tcPr>
            <w:tcW w:w="102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1,554</w:t>
            </w:r>
          </w:p>
        </w:tc>
        <w:tc>
          <w:tcPr>
            <w:tcW w:w="120" w:type="dxa"/>
            <w:vAlign w:val="bottom"/>
            <w:tcBorders>
              <w:top w:val="single" w:sz="8" w:color="DBDBDB"/>
            </w:tcBorders>
            <w:shd w:val="clear" w:color="auto" w:fill="DBDBDB"/>
          </w:tcPr>
          <w:p>
            <w:pPr>
              <w:spacing w:after="0"/>
              <w:rPr>
                <w:sz w:val="19"/>
                <w:szCs w:val="19"/>
                <w:color w:val="auto"/>
              </w:rPr>
            </w:pPr>
          </w:p>
        </w:tc>
        <w:tc>
          <w:tcPr>
            <w:tcW w:w="140" w:type="dxa"/>
            <w:vAlign w:val="bottom"/>
            <w:tcBorders>
              <w:top w:val="single" w:sz="8" w:color="auto"/>
            </w:tcBorders>
            <w:shd w:val="clear" w:color="auto" w:fill="DBDBDB"/>
          </w:tcPr>
          <w:p>
            <w:pPr>
              <w:spacing w:after="0"/>
              <w:rPr>
                <w:sz w:val="19"/>
                <w:szCs w:val="19"/>
                <w:color w:val="auto"/>
              </w:rPr>
            </w:pPr>
          </w:p>
        </w:tc>
        <w:tc>
          <w:tcPr>
            <w:tcW w:w="104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10</w:t>
            </w:r>
          </w:p>
        </w:tc>
        <w:tc>
          <w:tcPr>
            <w:tcW w:w="100" w:type="dxa"/>
            <w:vAlign w:val="bottom"/>
            <w:tcBorders>
              <w:top w:val="single" w:sz="8" w:color="DBDBDB"/>
            </w:tcBorders>
            <w:shd w:val="clear" w:color="auto" w:fill="DBDBDB"/>
          </w:tcPr>
          <w:p>
            <w:pPr>
              <w:spacing w:after="0"/>
              <w:rPr>
                <w:sz w:val="19"/>
                <w:szCs w:val="19"/>
                <w:color w:val="auto"/>
              </w:rPr>
            </w:pPr>
          </w:p>
        </w:tc>
        <w:tc>
          <w:tcPr>
            <w:tcW w:w="160" w:type="dxa"/>
            <w:vAlign w:val="bottom"/>
            <w:tcBorders>
              <w:top w:val="single" w:sz="8" w:color="auto"/>
            </w:tcBorders>
            <w:shd w:val="clear" w:color="auto" w:fill="DBDBDB"/>
          </w:tcPr>
          <w:p>
            <w:pPr>
              <w:spacing w:after="0"/>
              <w:rPr>
                <w:sz w:val="19"/>
                <w:szCs w:val="19"/>
                <w:color w:val="auto"/>
              </w:rPr>
            </w:pPr>
          </w:p>
        </w:tc>
        <w:tc>
          <w:tcPr>
            <w:tcW w:w="102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2,841</w:t>
            </w:r>
          </w:p>
        </w:tc>
        <w:tc>
          <w:tcPr>
            <w:tcW w:w="100" w:type="dxa"/>
            <w:vAlign w:val="bottom"/>
            <w:tcBorders>
              <w:top w:val="single" w:sz="8" w:color="DBDBDB"/>
            </w:tcBorders>
            <w:shd w:val="clear" w:color="auto" w:fill="DBDBDB"/>
          </w:tcPr>
          <w:p>
            <w:pPr>
              <w:spacing w:after="0"/>
              <w:rPr>
                <w:sz w:val="19"/>
                <w:szCs w:val="19"/>
                <w:color w:val="auto"/>
              </w:rPr>
            </w:pPr>
          </w:p>
        </w:tc>
        <w:tc>
          <w:tcPr>
            <w:tcW w:w="140" w:type="dxa"/>
            <w:vAlign w:val="bottom"/>
            <w:tcBorders>
              <w:top w:val="single" w:sz="8" w:color="auto"/>
            </w:tcBorders>
            <w:shd w:val="clear" w:color="auto" w:fill="DBDBDB"/>
          </w:tcPr>
          <w:p>
            <w:pPr>
              <w:spacing w:after="0"/>
              <w:rPr>
                <w:sz w:val="19"/>
                <w:szCs w:val="19"/>
                <w:color w:val="auto"/>
              </w:rPr>
            </w:pPr>
          </w:p>
        </w:tc>
        <w:tc>
          <w:tcPr>
            <w:tcW w:w="104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1,656</w:t>
            </w:r>
          </w:p>
        </w:tc>
        <w:tc>
          <w:tcPr>
            <w:tcW w:w="100" w:type="dxa"/>
            <w:vAlign w:val="bottom"/>
            <w:tcBorders>
              <w:top w:val="single" w:sz="8" w:color="DBDBDB"/>
            </w:tcBorders>
            <w:shd w:val="clear" w:color="auto" w:fill="DBDBDB"/>
          </w:tcPr>
          <w:p>
            <w:pPr>
              <w:spacing w:after="0"/>
              <w:rPr>
                <w:sz w:val="19"/>
                <w:szCs w:val="19"/>
                <w:color w:val="auto"/>
              </w:rPr>
            </w:pPr>
          </w:p>
        </w:tc>
        <w:tc>
          <w:tcPr>
            <w:tcW w:w="140" w:type="dxa"/>
            <w:vAlign w:val="bottom"/>
            <w:tcBorders>
              <w:top w:val="single" w:sz="8" w:color="auto"/>
            </w:tcBorders>
            <w:shd w:val="clear" w:color="auto" w:fill="DBDBDB"/>
          </w:tcPr>
          <w:p>
            <w:pPr>
              <w:spacing w:after="0"/>
              <w:rPr>
                <w:sz w:val="19"/>
                <w:szCs w:val="19"/>
                <w:color w:val="auto"/>
              </w:rPr>
            </w:pPr>
          </w:p>
        </w:tc>
        <w:tc>
          <w:tcPr>
            <w:tcW w:w="104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56"/>
        </w:trPr>
        <w:tc>
          <w:tcPr>
            <w:tcW w:w="36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3660" w:type="dxa"/>
            <w:vAlign w:val="bottom"/>
            <w:shd w:val="clear" w:color="auto" w:fill="DBDBDB"/>
          </w:tcPr>
          <w:p>
            <w:pPr>
              <w:ind w:left="20"/>
              <w:spacing w:after="0"/>
              <w:rPr>
                <w:sz w:val="20"/>
                <w:szCs w:val="20"/>
                <w:color w:val="auto"/>
              </w:rPr>
            </w:pPr>
            <w:r>
              <w:rPr>
                <w:rFonts w:ascii="Arial" w:cs="Arial" w:eastAsia="Arial" w:hAnsi="Arial"/>
                <w:sz w:val="18"/>
                <w:szCs w:val="18"/>
                <w:b w:val="1"/>
                <w:bCs w:val="1"/>
                <w:color w:val="auto"/>
              </w:rPr>
              <w:t>Other investments</w:t>
            </w:r>
          </w:p>
        </w:tc>
        <w:tc>
          <w:tcPr>
            <w:tcW w:w="140" w:type="dxa"/>
            <w:vAlign w:val="bottom"/>
            <w:shd w:val="clear" w:color="auto" w:fill="DBDBDB"/>
          </w:tcPr>
          <w:p>
            <w:pPr>
              <w:spacing w:after="0"/>
              <w:rPr>
                <w:sz w:val="19"/>
                <w:szCs w:val="19"/>
                <w:color w:val="auto"/>
              </w:rPr>
            </w:pPr>
          </w:p>
        </w:tc>
        <w:tc>
          <w:tcPr>
            <w:tcW w:w="114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DBDBDB"/>
          </w:tcPr>
          <w:p>
            <w:pPr>
              <w:spacing w:after="0"/>
              <w:rPr>
                <w:sz w:val="19"/>
                <w:szCs w:val="19"/>
                <w:color w:val="auto"/>
              </w:rPr>
            </w:pPr>
          </w:p>
        </w:tc>
        <w:tc>
          <w:tcPr>
            <w:tcW w:w="114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DBDBDB"/>
          </w:tcPr>
          <w:p>
            <w:pPr>
              <w:spacing w:after="0"/>
              <w:rPr>
                <w:sz w:val="19"/>
                <w:szCs w:val="19"/>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5</w:t>
            </w:r>
          </w:p>
        </w:tc>
        <w:tc>
          <w:tcPr>
            <w:tcW w:w="100" w:type="dxa"/>
            <w:vAlign w:val="bottom"/>
            <w:shd w:val="clear" w:color="auto" w:fill="DBDBDB"/>
          </w:tcPr>
          <w:p>
            <w:pPr>
              <w:spacing w:after="0"/>
              <w:rPr>
                <w:sz w:val="19"/>
                <w:szCs w:val="19"/>
                <w:color w:val="auto"/>
              </w:rPr>
            </w:pPr>
          </w:p>
        </w:tc>
        <w:tc>
          <w:tcPr>
            <w:tcW w:w="160" w:type="dxa"/>
            <w:vAlign w:val="bottom"/>
            <w:shd w:val="clear" w:color="auto" w:fill="DBDBDB"/>
          </w:tcPr>
          <w:p>
            <w:pPr>
              <w:spacing w:after="0"/>
              <w:rPr>
                <w:sz w:val="19"/>
                <w:szCs w:val="19"/>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114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DBDBDB"/>
          </w:tcPr>
          <w:p>
            <w:pPr>
              <w:spacing w:after="0"/>
              <w:rPr>
                <w:sz w:val="19"/>
                <w:szCs w:val="19"/>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0"/>
        </w:trPr>
        <w:tc>
          <w:tcPr>
            <w:tcW w:w="36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3660" w:type="dxa"/>
            <w:vAlign w:val="bottom"/>
            <w:shd w:val="clear" w:color="auto" w:fill="DBDBDB"/>
          </w:tcPr>
          <w:p>
            <w:pPr>
              <w:ind w:left="20"/>
              <w:spacing w:after="0"/>
              <w:rPr>
                <w:sz w:val="20"/>
                <w:szCs w:val="20"/>
                <w:color w:val="auto"/>
              </w:rPr>
            </w:pPr>
            <w:r>
              <w:rPr>
                <w:rFonts w:ascii="Arial" w:cs="Arial" w:eastAsia="Arial" w:hAnsi="Arial"/>
                <w:sz w:val="18"/>
                <w:szCs w:val="18"/>
                <w:b w:val="1"/>
                <w:bCs w:val="1"/>
                <w:color w:val="auto"/>
              </w:rPr>
              <w:t>Cash on hand</w:t>
            </w:r>
          </w:p>
        </w:tc>
        <w:tc>
          <w:tcPr>
            <w:tcW w:w="140" w:type="dxa"/>
            <w:vAlign w:val="bottom"/>
            <w:shd w:val="clear" w:color="auto" w:fill="DBDBDB"/>
          </w:tcPr>
          <w:p>
            <w:pPr>
              <w:spacing w:after="0"/>
              <w:rPr>
                <w:sz w:val="19"/>
                <w:szCs w:val="19"/>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404</w:t>
            </w:r>
          </w:p>
        </w:tc>
        <w:tc>
          <w:tcPr>
            <w:tcW w:w="12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114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DBDBDB"/>
          </w:tcPr>
          <w:p>
            <w:pPr>
              <w:spacing w:after="0"/>
              <w:rPr>
                <w:sz w:val="19"/>
                <w:szCs w:val="19"/>
                <w:color w:val="auto"/>
              </w:rPr>
            </w:pPr>
          </w:p>
        </w:tc>
        <w:tc>
          <w:tcPr>
            <w:tcW w:w="114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DBDBDB"/>
          </w:tcPr>
          <w:p>
            <w:pPr>
              <w:spacing w:after="0"/>
              <w:rPr>
                <w:sz w:val="19"/>
                <w:szCs w:val="19"/>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384</w:t>
            </w:r>
          </w:p>
        </w:tc>
        <w:tc>
          <w:tcPr>
            <w:tcW w:w="10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114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DBDBDB"/>
          </w:tcPr>
          <w:p>
            <w:pPr>
              <w:spacing w:after="0"/>
              <w:rPr>
                <w:sz w:val="19"/>
                <w:szCs w:val="19"/>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660" w:type="dxa"/>
            <w:vAlign w:val="bottom"/>
          </w:tcPr>
          <w:p>
            <w:pPr>
              <w:ind w:left="20"/>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3,549</w:t>
            </w: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1,554</w:t>
            </w: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3,225</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1,656</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jc w:val="both"/>
        <w:ind w:right="80"/>
        <w:spacing w:after="0" w:line="287" w:lineRule="auto"/>
        <w:rPr>
          <w:sz w:val="20"/>
          <w:szCs w:val="20"/>
          <w:color w:val="auto"/>
        </w:rPr>
      </w:pPr>
      <w:r>
        <w:rPr>
          <w:rFonts w:ascii="Arial" w:cs="Arial" w:eastAsia="Arial" w:hAnsi="Arial"/>
          <w:sz w:val="18"/>
          <w:szCs w:val="18"/>
          <w:color w:val="auto"/>
        </w:rPr>
        <w:t>As of March 31, 2026, and December 31, 2025, unrealized gains and losses associated with our debt investments were not material. We did not recognize any credit losses related to debt investments for the first three months of 2026 and 2025.</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aggregate maturities of our debt investments as of March 31, 2026:</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9760" w:type="dxa"/>
            <w:vAlign w:val="bottom"/>
            <w:tcBorders>
              <w:bottom w:val="single" w:sz="8" w:color="DBDBDB"/>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Fair Value</w:t>
            </w:r>
          </w:p>
        </w:tc>
      </w:tr>
      <w:tr>
        <w:trPr>
          <w:trHeight w:val="224"/>
        </w:trPr>
        <w:tc>
          <w:tcPr>
            <w:tcW w:w="9760" w:type="dxa"/>
            <w:vAlign w:val="bottom"/>
            <w:shd w:val="clear" w:color="auto" w:fill="DBDBDB"/>
          </w:tcPr>
          <w:p>
            <w:pPr>
              <w:ind w:left="20"/>
              <w:spacing w:after="0"/>
              <w:rPr>
                <w:sz w:val="20"/>
                <w:szCs w:val="20"/>
                <w:color w:val="auto"/>
              </w:rPr>
            </w:pPr>
            <w:r>
              <w:rPr>
                <w:rFonts w:ascii="Arial" w:cs="Arial" w:eastAsia="Arial" w:hAnsi="Arial"/>
                <w:sz w:val="18"/>
                <w:szCs w:val="18"/>
                <w:color w:val="auto"/>
              </w:rPr>
              <w:t>One year or less</w:t>
            </w:r>
          </w:p>
        </w:tc>
        <w:tc>
          <w:tcPr>
            <w:tcW w:w="240" w:type="dxa"/>
            <w:vAlign w:val="bottom"/>
            <w:shd w:val="clear" w:color="auto" w:fill="DBDBDB"/>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3,138</w:t>
            </w:r>
          </w:p>
        </w:tc>
      </w:tr>
      <w:tr>
        <w:trPr>
          <w:trHeight w:val="239"/>
        </w:trPr>
        <w:tc>
          <w:tcPr>
            <w:tcW w:w="9760" w:type="dxa"/>
            <w:vAlign w:val="bottom"/>
          </w:tcPr>
          <w:p>
            <w:pPr>
              <w:ind w:left="20"/>
              <w:spacing w:after="0"/>
              <w:rPr>
                <w:sz w:val="20"/>
                <w:szCs w:val="20"/>
                <w:color w:val="auto"/>
              </w:rPr>
            </w:pPr>
            <w:r>
              <w:rPr>
                <w:rFonts w:ascii="Arial" w:cs="Arial" w:eastAsia="Arial" w:hAnsi="Arial"/>
                <w:sz w:val="18"/>
                <w:szCs w:val="18"/>
                <w:color w:val="auto"/>
              </w:rPr>
              <w:t>One to two years</w:t>
            </w:r>
          </w:p>
        </w:tc>
        <w:tc>
          <w:tcPr>
            <w:tcW w:w="2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439</w:t>
            </w:r>
          </w:p>
        </w:tc>
      </w:tr>
    </w:tbl>
    <w:p>
      <w:pPr>
        <w:spacing w:after="0" w:line="269" w:lineRule="exact"/>
        <w:rPr>
          <w:sz w:val="20"/>
          <w:szCs w:val="20"/>
          <w:color w:val="auto"/>
        </w:rPr>
      </w:pPr>
    </w:p>
    <w:p>
      <w:pPr>
        <w:ind w:right="220"/>
        <w:spacing w:after="0" w:line="287" w:lineRule="auto"/>
        <w:rPr>
          <w:sz w:val="20"/>
          <w:szCs w:val="20"/>
          <w:color w:val="auto"/>
        </w:rPr>
      </w:pPr>
      <w:r>
        <w:rPr>
          <w:rFonts w:ascii="Arial" w:cs="Arial" w:eastAsia="Arial" w:hAnsi="Arial"/>
          <w:sz w:val="18"/>
          <w:szCs w:val="18"/>
          <w:color w:val="auto"/>
        </w:rPr>
        <w:t>Proceeds from sales, redemptions and maturities of short-term debt investments were $1.04 billion and $2.81 billion for the first quarters of 2026 and 2025, respectively. Gross realized gains and losses from these sales were not material.</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Fair-value considerations</w:t>
      </w:r>
    </w:p>
    <w:p>
      <w:pPr>
        <w:spacing w:after="0" w:line="223"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We measure and report certain financial assets and liabilities at fair value on a recurring basis. Fair value is defined as the price that would be received to sell an asset or paid to transfer a liability in an orderly transaction between market participants on the measurement date. The three-level hierarchy described below indicates the inputs used to estimate fair-value measurements.</w:t>
      </w:r>
    </w:p>
    <w:p>
      <w:pPr>
        <w:spacing w:after="0" w:line="171" w:lineRule="exact"/>
        <w:rPr>
          <w:sz w:val="20"/>
          <w:szCs w:val="20"/>
          <w:color w:val="auto"/>
        </w:rPr>
      </w:pPr>
    </w:p>
    <w:p>
      <w:pPr>
        <w:ind w:left="620" w:right="180" w:hanging="329"/>
        <w:spacing w:after="0" w:line="287" w:lineRule="auto"/>
        <w:tabs>
          <w:tab w:leader="none" w:pos="615"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 xml:space="preserve">Level 1 </w:t>
      </w:r>
      <w:r>
        <w:rPr>
          <w:rFonts w:ascii="Arial" w:cs="Arial" w:eastAsia="Arial" w:hAnsi="Arial"/>
          <w:sz w:val="18"/>
          <w:szCs w:val="18"/>
          <w:color w:val="auto"/>
        </w:rPr>
        <w:t>– Uses unadjusted quoted prices that are available in active markets for identical assets or liabilities as of the measurement</w:t>
      </w:r>
      <w:r>
        <w:rPr>
          <w:rFonts w:ascii="Arial" w:cs="Arial" w:eastAsia="Arial" w:hAnsi="Arial"/>
          <w:sz w:val="18"/>
          <w:szCs w:val="18"/>
          <w:i w:val="1"/>
          <w:iCs w:val="1"/>
          <w:color w:val="auto"/>
        </w:rPr>
        <w:t xml:space="preserve"> </w:t>
      </w:r>
      <w:r>
        <w:rPr>
          <w:rFonts w:ascii="Arial" w:cs="Arial" w:eastAsia="Arial" w:hAnsi="Arial"/>
          <w:sz w:val="18"/>
          <w:szCs w:val="18"/>
          <w:color w:val="auto"/>
        </w:rPr>
        <w:t>date.</w:t>
      </w:r>
    </w:p>
    <w:p>
      <w:pPr>
        <w:spacing w:after="0" w:line="44" w:lineRule="exact"/>
        <w:rPr>
          <w:rFonts w:ascii="Arial" w:cs="Arial" w:eastAsia="Arial" w:hAnsi="Arial"/>
          <w:sz w:val="18"/>
          <w:szCs w:val="18"/>
          <w:color w:val="auto"/>
        </w:rPr>
      </w:pPr>
    </w:p>
    <w:p>
      <w:pPr>
        <w:ind w:left="620" w:right="140" w:hanging="329"/>
        <w:spacing w:after="0" w:line="262" w:lineRule="auto"/>
        <w:tabs>
          <w:tab w:leader="none" w:pos="615"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 xml:space="preserve">Level 2 </w:t>
      </w:r>
      <w:r>
        <w:rPr>
          <w:rFonts w:ascii="Arial" w:cs="Arial" w:eastAsia="Arial" w:hAnsi="Arial"/>
          <w:sz w:val="18"/>
          <w:szCs w:val="18"/>
          <w:color w:val="auto"/>
        </w:rPr>
        <w:t>– Uses inputs other than Level 1 that are either directly or indirectly observable as of the measurement date through</w:t>
      </w:r>
      <w:r>
        <w:rPr>
          <w:rFonts w:ascii="Arial" w:cs="Arial" w:eastAsia="Arial" w:hAnsi="Arial"/>
          <w:sz w:val="18"/>
          <w:szCs w:val="18"/>
          <w:i w:val="1"/>
          <w:iCs w:val="1"/>
          <w:color w:val="auto"/>
        </w:rPr>
        <w:t xml:space="preserve"> </w:t>
      </w:r>
      <w:r>
        <w:rPr>
          <w:rFonts w:ascii="Arial" w:cs="Arial" w:eastAsia="Arial" w:hAnsi="Arial"/>
          <w:sz w:val="18"/>
          <w:szCs w:val="18"/>
          <w:color w:val="auto"/>
        </w:rPr>
        <w:t>correlation with market data. Inputs include quoted prices for similar assets and liabilities in active markets, quoted prices in markets that are not active and models or other pricing methodologies that do not require significant judgment. We utilize a third-party data service to provide Level 2 valuations, and we verify these valuations for reasonableness.</w:t>
      </w:r>
    </w:p>
    <w:p>
      <w:pPr>
        <w:spacing w:after="0" w:line="68" w:lineRule="exact"/>
        <w:rPr>
          <w:rFonts w:ascii="Arial" w:cs="Arial" w:eastAsia="Arial" w:hAnsi="Arial"/>
          <w:sz w:val="18"/>
          <w:szCs w:val="18"/>
          <w:color w:val="auto"/>
        </w:rPr>
      </w:pPr>
    </w:p>
    <w:p>
      <w:pPr>
        <w:ind w:left="620" w:right="260" w:hanging="329"/>
        <w:spacing w:after="0" w:line="287" w:lineRule="auto"/>
        <w:tabs>
          <w:tab w:leader="none" w:pos="615"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 xml:space="preserve">Level 3 </w:t>
      </w:r>
      <w:r>
        <w:rPr>
          <w:rFonts w:ascii="Arial" w:cs="Arial" w:eastAsia="Arial" w:hAnsi="Arial"/>
          <w:sz w:val="18"/>
          <w:szCs w:val="18"/>
          <w:color w:val="auto"/>
        </w:rPr>
        <w:t>– Uses inputs that are unobservable, supported by little or no market activity and reflect the use of significant management</w:t>
      </w:r>
      <w:r>
        <w:rPr>
          <w:rFonts w:ascii="Arial" w:cs="Arial" w:eastAsia="Arial" w:hAnsi="Arial"/>
          <w:sz w:val="18"/>
          <w:szCs w:val="18"/>
          <w:i w:val="1"/>
          <w:iCs w:val="1"/>
          <w:color w:val="auto"/>
        </w:rPr>
        <w:t xml:space="preserve"> </w:t>
      </w:r>
      <w:r>
        <w:rPr>
          <w:rFonts w:ascii="Arial" w:cs="Arial" w:eastAsia="Arial" w:hAnsi="Arial"/>
          <w:sz w:val="18"/>
          <w:szCs w:val="18"/>
          <w:color w:val="auto"/>
        </w:rPr>
        <w:t>judgment. As of March 31, 2026, and December 31, 2025, we had no Level 3 assets or liabilities.</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right="120"/>
        <w:spacing w:after="0" w:line="279" w:lineRule="auto"/>
        <w:rPr>
          <w:sz w:val="20"/>
          <w:szCs w:val="20"/>
          <w:color w:val="auto"/>
        </w:rPr>
      </w:pPr>
      <w:r>
        <w:rPr>
          <w:rFonts w:ascii="Arial" w:cs="Arial" w:eastAsia="Arial" w:hAnsi="Arial"/>
          <w:sz w:val="18"/>
          <w:szCs w:val="18"/>
          <w:color w:val="auto"/>
        </w:rPr>
        <w:t>The following are our assets and liabilities that were accounted for at fair value on a recurring basis. These tables do not include cash on hand, assets held by our postretirement plans, or assets and liabilities that are measured at historical cost or any basis other than fair value.</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76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rPr>
              <w:t>March 31, 2026</w:t>
            </w: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gridSpan w:val="6"/>
          </w:tcPr>
          <w:p>
            <w:pPr>
              <w:jc w:val="center"/>
              <w:ind w:right="70"/>
              <w:spacing w:after="0"/>
              <w:rPr>
                <w:sz w:val="20"/>
                <w:szCs w:val="20"/>
                <w:color w:val="auto"/>
              </w:rPr>
            </w:pPr>
            <w:r>
              <w:rPr>
                <w:rFonts w:ascii="Arial" w:cs="Arial" w:eastAsia="Arial" w:hAnsi="Arial"/>
                <w:sz w:val="14"/>
                <w:szCs w:val="14"/>
                <w:b w:val="1"/>
                <w:bCs w:val="1"/>
                <w:color w:val="auto"/>
              </w:rPr>
              <w:t>December 31, 2025</w:t>
            </w:r>
          </w:p>
        </w:tc>
        <w:tc>
          <w:tcPr>
            <w:tcW w:w="780" w:type="dxa"/>
            <w:vAlign w:val="bottom"/>
            <w:tcBorders>
              <w:bottom w:val="single" w:sz="8" w:color="auto"/>
            </w:tcBorders>
          </w:tcPr>
          <w:p>
            <w:pPr>
              <w:spacing w:after="0"/>
              <w:rPr>
                <w:sz w:val="17"/>
                <w:szCs w:val="17"/>
                <w:color w:val="auto"/>
              </w:rPr>
            </w:pPr>
          </w:p>
        </w:tc>
      </w:tr>
      <w:tr>
        <w:trPr>
          <w:trHeight w:val="196"/>
        </w:trPr>
        <w:tc>
          <w:tcPr>
            <w:tcW w:w="4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jc w:val="right"/>
              <w:ind w:right="152"/>
              <w:spacing w:after="0"/>
              <w:rPr>
                <w:sz w:val="20"/>
                <w:szCs w:val="20"/>
                <w:color w:val="auto"/>
              </w:rPr>
            </w:pPr>
            <w:r>
              <w:rPr>
                <w:rFonts w:ascii="Arial" w:cs="Arial" w:eastAsia="Arial" w:hAnsi="Arial"/>
                <w:sz w:val="14"/>
                <w:szCs w:val="14"/>
                <w:b w:val="1"/>
                <w:bCs w:val="1"/>
                <w:color w:val="auto"/>
              </w:rPr>
              <w:t>Level 1</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Level 2</w:t>
            </w:r>
          </w:p>
        </w:tc>
        <w:tc>
          <w:tcPr>
            <w:tcW w:w="220" w:type="dxa"/>
            <w:vAlign w:val="bottom"/>
          </w:tcPr>
          <w:p>
            <w:pPr>
              <w:spacing w:after="0"/>
              <w:rPr>
                <w:sz w:val="17"/>
                <w:szCs w:val="17"/>
                <w:color w:val="auto"/>
              </w:rPr>
            </w:pPr>
          </w:p>
        </w:tc>
        <w:tc>
          <w:tcPr>
            <w:tcW w:w="880" w:type="dxa"/>
            <w:vAlign w:val="bottom"/>
            <w:gridSpan w:val="2"/>
          </w:tcPr>
          <w:p>
            <w:pPr>
              <w:ind w:left="120"/>
              <w:spacing w:after="0"/>
              <w:rPr>
                <w:sz w:val="20"/>
                <w:szCs w:val="20"/>
                <w:color w:val="auto"/>
              </w:rPr>
            </w:pPr>
            <w:r>
              <w:rPr>
                <w:rFonts w:ascii="Arial" w:cs="Arial" w:eastAsia="Arial" w:hAnsi="Arial"/>
                <w:sz w:val="14"/>
                <w:szCs w:val="14"/>
                <w:b w:val="1"/>
                <w:bCs w:val="1"/>
                <w:color w:val="auto"/>
              </w:rPr>
              <w:t>Total</w:t>
            </w:r>
          </w:p>
        </w:tc>
        <w:tc>
          <w:tcPr>
            <w:tcW w:w="180" w:type="dxa"/>
            <w:vAlign w:val="bottom"/>
          </w:tcPr>
          <w:p>
            <w:pPr>
              <w:spacing w:after="0"/>
              <w:rPr>
                <w:sz w:val="17"/>
                <w:szCs w:val="17"/>
                <w:color w:val="auto"/>
              </w:rPr>
            </w:pPr>
          </w:p>
        </w:tc>
        <w:tc>
          <w:tcPr>
            <w:tcW w:w="760" w:type="dxa"/>
            <w:vAlign w:val="bottom"/>
          </w:tcPr>
          <w:p>
            <w:pPr>
              <w:jc w:val="right"/>
              <w:ind w:right="112"/>
              <w:spacing w:after="0"/>
              <w:rPr>
                <w:sz w:val="20"/>
                <w:szCs w:val="20"/>
                <w:color w:val="auto"/>
              </w:rPr>
            </w:pPr>
            <w:r>
              <w:rPr>
                <w:rFonts w:ascii="Arial" w:cs="Arial" w:eastAsia="Arial" w:hAnsi="Arial"/>
                <w:sz w:val="14"/>
                <w:szCs w:val="14"/>
                <w:b w:val="1"/>
                <w:bCs w:val="1"/>
                <w:color w:val="auto"/>
              </w:rPr>
              <w:t>Level 1</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Level 2</w:t>
            </w:r>
          </w:p>
        </w:tc>
        <w:tc>
          <w:tcPr>
            <w:tcW w:w="220" w:type="dxa"/>
            <w:vAlign w:val="bottom"/>
          </w:tcPr>
          <w:p>
            <w:pPr>
              <w:spacing w:after="0"/>
              <w:rPr>
                <w:sz w:val="17"/>
                <w:szCs w:val="17"/>
                <w:color w:val="auto"/>
              </w:rPr>
            </w:pPr>
          </w:p>
        </w:tc>
        <w:tc>
          <w:tcPr>
            <w:tcW w:w="780" w:type="dxa"/>
            <w:vAlign w:val="bottom"/>
          </w:tcPr>
          <w:p>
            <w:pPr>
              <w:jc w:val="right"/>
              <w:ind w:right="252"/>
              <w:spacing w:after="0"/>
              <w:rPr>
                <w:sz w:val="20"/>
                <w:szCs w:val="20"/>
                <w:color w:val="auto"/>
              </w:rPr>
            </w:pPr>
            <w:r>
              <w:rPr>
                <w:rFonts w:ascii="Arial" w:cs="Arial" w:eastAsia="Arial" w:hAnsi="Arial"/>
                <w:sz w:val="14"/>
                <w:szCs w:val="14"/>
                <w:b w:val="1"/>
                <w:bCs w:val="1"/>
                <w:color w:val="auto"/>
              </w:rPr>
              <w:t>Total</w:t>
            </w:r>
          </w:p>
        </w:tc>
      </w:tr>
      <w:tr>
        <w:trPr>
          <w:trHeight w:val="224"/>
        </w:trPr>
        <w:tc>
          <w:tcPr>
            <w:tcW w:w="476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8"/>
                <w:szCs w:val="18"/>
                <w:b w:val="1"/>
                <w:bCs w:val="1"/>
                <w:color w:val="auto"/>
              </w:rPr>
              <w:t>Assets:</w:t>
            </w:r>
          </w:p>
        </w:tc>
        <w:tc>
          <w:tcPr>
            <w:tcW w:w="180" w:type="dxa"/>
            <w:vAlign w:val="bottom"/>
            <w:tcBorders>
              <w:top w:val="single" w:sz="8" w:color="auto"/>
            </w:tcBorders>
            <w:shd w:val="clear" w:color="auto" w:fill="DBDBDB"/>
          </w:tcPr>
          <w:p>
            <w:pPr>
              <w:spacing w:after="0"/>
              <w:rPr>
                <w:sz w:val="19"/>
                <w:szCs w:val="19"/>
                <w:color w:val="auto"/>
              </w:rPr>
            </w:pPr>
          </w:p>
        </w:tc>
        <w:tc>
          <w:tcPr>
            <w:tcW w:w="800" w:type="dxa"/>
            <w:vAlign w:val="bottom"/>
            <w:tcBorders>
              <w:top w:val="single" w:sz="8" w:color="auto"/>
            </w:tcBorders>
            <w:shd w:val="clear" w:color="auto" w:fill="DBDBDB"/>
          </w:tcPr>
          <w:p>
            <w:pPr>
              <w:spacing w:after="0"/>
              <w:rPr>
                <w:sz w:val="19"/>
                <w:szCs w:val="19"/>
                <w:color w:val="auto"/>
              </w:rPr>
            </w:pPr>
          </w:p>
        </w:tc>
        <w:tc>
          <w:tcPr>
            <w:tcW w:w="120" w:type="dxa"/>
            <w:vAlign w:val="bottom"/>
            <w:tcBorders>
              <w:top w:val="single" w:sz="8" w:color="DBDBDB"/>
            </w:tcBorders>
            <w:shd w:val="clear" w:color="auto" w:fill="DBDBDB"/>
          </w:tcPr>
          <w:p>
            <w:pPr>
              <w:spacing w:after="0"/>
              <w:rPr>
                <w:sz w:val="19"/>
                <w:szCs w:val="19"/>
                <w:color w:val="auto"/>
              </w:rPr>
            </w:pPr>
          </w:p>
        </w:tc>
        <w:tc>
          <w:tcPr>
            <w:tcW w:w="180" w:type="dxa"/>
            <w:vAlign w:val="bottom"/>
            <w:tcBorders>
              <w:top w:val="single" w:sz="8" w:color="auto"/>
            </w:tcBorders>
            <w:shd w:val="clear" w:color="auto" w:fill="DBDBDB"/>
          </w:tcPr>
          <w:p>
            <w:pPr>
              <w:spacing w:after="0"/>
              <w:rPr>
                <w:sz w:val="19"/>
                <w:szCs w:val="19"/>
                <w:color w:val="auto"/>
              </w:rPr>
            </w:pPr>
          </w:p>
        </w:tc>
        <w:tc>
          <w:tcPr>
            <w:tcW w:w="800" w:type="dxa"/>
            <w:vAlign w:val="bottom"/>
            <w:tcBorders>
              <w:top w:val="single" w:sz="8" w:color="auto"/>
            </w:tcBorders>
            <w:shd w:val="clear" w:color="auto" w:fill="DBDBDB"/>
          </w:tcPr>
          <w:p>
            <w:pPr>
              <w:spacing w:after="0"/>
              <w:rPr>
                <w:sz w:val="19"/>
                <w:szCs w:val="19"/>
                <w:color w:val="auto"/>
              </w:rPr>
            </w:pPr>
          </w:p>
        </w:tc>
        <w:tc>
          <w:tcPr>
            <w:tcW w:w="100" w:type="dxa"/>
            <w:vAlign w:val="bottom"/>
            <w:tcBorders>
              <w:top w:val="single" w:sz="8" w:color="DBDBDB"/>
            </w:tcBorders>
            <w:shd w:val="clear" w:color="auto" w:fill="DBDBDB"/>
          </w:tcPr>
          <w:p>
            <w:pPr>
              <w:spacing w:after="0"/>
              <w:rPr>
                <w:sz w:val="19"/>
                <w:szCs w:val="19"/>
                <w:color w:val="auto"/>
              </w:rPr>
            </w:pPr>
          </w:p>
        </w:tc>
        <w:tc>
          <w:tcPr>
            <w:tcW w:w="220" w:type="dxa"/>
            <w:vAlign w:val="bottom"/>
            <w:tcBorders>
              <w:top w:val="single" w:sz="8" w:color="auto"/>
            </w:tcBorders>
            <w:shd w:val="clear" w:color="auto" w:fill="DBDBDB"/>
          </w:tcPr>
          <w:p>
            <w:pPr>
              <w:spacing w:after="0"/>
              <w:rPr>
                <w:sz w:val="19"/>
                <w:szCs w:val="19"/>
                <w:color w:val="auto"/>
              </w:rPr>
            </w:pPr>
          </w:p>
        </w:tc>
        <w:tc>
          <w:tcPr>
            <w:tcW w:w="780" w:type="dxa"/>
            <w:vAlign w:val="bottom"/>
            <w:tcBorders>
              <w:top w:val="single" w:sz="8" w:color="auto"/>
            </w:tcBorders>
            <w:shd w:val="clear" w:color="auto" w:fill="DBDBDB"/>
          </w:tcPr>
          <w:p>
            <w:pPr>
              <w:spacing w:after="0"/>
              <w:rPr>
                <w:sz w:val="19"/>
                <w:szCs w:val="19"/>
                <w:color w:val="auto"/>
              </w:rPr>
            </w:pPr>
          </w:p>
        </w:tc>
        <w:tc>
          <w:tcPr>
            <w:tcW w:w="100" w:type="dxa"/>
            <w:vAlign w:val="bottom"/>
            <w:tcBorders>
              <w:top w:val="single" w:sz="8" w:color="DBDBDB"/>
            </w:tcBorders>
            <w:shd w:val="clear" w:color="auto" w:fill="DBDBDB"/>
          </w:tcPr>
          <w:p>
            <w:pPr>
              <w:spacing w:after="0"/>
              <w:rPr>
                <w:sz w:val="19"/>
                <w:szCs w:val="19"/>
                <w:color w:val="auto"/>
              </w:rPr>
            </w:pPr>
          </w:p>
        </w:tc>
        <w:tc>
          <w:tcPr>
            <w:tcW w:w="180" w:type="dxa"/>
            <w:vAlign w:val="bottom"/>
            <w:tcBorders>
              <w:top w:val="single" w:sz="8" w:color="auto"/>
            </w:tcBorders>
            <w:shd w:val="clear" w:color="auto" w:fill="DBDBDB"/>
          </w:tcPr>
          <w:p>
            <w:pPr>
              <w:spacing w:after="0"/>
              <w:rPr>
                <w:sz w:val="19"/>
                <w:szCs w:val="19"/>
                <w:color w:val="auto"/>
              </w:rPr>
            </w:pPr>
          </w:p>
        </w:tc>
        <w:tc>
          <w:tcPr>
            <w:tcW w:w="760" w:type="dxa"/>
            <w:vAlign w:val="bottom"/>
            <w:tcBorders>
              <w:top w:val="single" w:sz="8" w:color="auto"/>
            </w:tcBorders>
            <w:shd w:val="clear" w:color="auto" w:fill="DBDBDB"/>
          </w:tcPr>
          <w:p>
            <w:pPr>
              <w:spacing w:after="0"/>
              <w:rPr>
                <w:sz w:val="19"/>
                <w:szCs w:val="19"/>
                <w:color w:val="auto"/>
              </w:rPr>
            </w:pPr>
          </w:p>
        </w:tc>
        <w:tc>
          <w:tcPr>
            <w:tcW w:w="40" w:type="dxa"/>
            <w:vAlign w:val="bottom"/>
            <w:tcBorders>
              <w:top w:val="single" w:sz="8" w:color="auto"/>
            </w:tcBorders>
            <w:shd w:val="clear" w:color="auto" w:fill="DBDBDB"/>
          </w:tcPr>
          <w:p>
            <w:pPr>
              <w:spacing w:after="0"/>
              <w:rPr>
                <w:sz w:val="19"/>
                <w:szCs w:val="19"/>
                <w:color w:val="auto"/>
              </w:rPr>
            </w:pPr>
          </w:p>
        </w:tc>
        <w:tc>
          <w:tcPr>
            <w:tcW w:w="120" w:type="dxa"/>
            <w:vAlign w:val="bottom"/>
            <w:tcBorders>
              <w:top w:val="single" w:sz="8" w:color="DBDBDB"/>
            </w:tcBorders>
            <w:shd w:val="clear" w:color="auto" w:fill="DBDBDB"/>
          </w:tcPr>
          <w:p>
            <w:pPr>
              <w:spacing w:after="0"/>
              <w:rPr>
                <w:sz w:val="19"/>
                <w:szCs w:val="19"/>
                <w:color w:val="auto"/>
              </w:rPr>
            </w:pPr>
          </w:p>
        </w:tc>
        <w:tc>
          <w:tcPr>
            <w:tcW w:w="180" w:type="dxa"/>
            <w:vAlign w:val="bottom"/>
            <w:tcBorders>
              <w:top w:val="single" w:sz="8" w:color="auto"/>
            </w:tcBorders>
            <w:shd w:val="clear" w:color="auto" w:fill="DBDBDB"/>
          </w:tcPr>
          <w:p>
            <w:pPr>
              <w:spacing w:after="0"/>
              <w:rPr>
                <w:sz w:val="19"/>
                <w:szCs w:val="19"/>
                <w:color w:val="auto"/>
              </w:rPr>
            </w:pPr>
          </w:p>
        </w:tc>
        <w:tc>
          <w:tcPr>
            <w:tcW w:w="820" w:type="dxa"/>
            <w:vAlign w:val="bottom"/>
            <w:tcBorders>
              <w:top w:val="single" w:sz="8" w:color="auto"/>
            </w:tcBorders>
            <w:shd w:val="clear" w:color="auto" w:fill="DBDBDB"/>
          </w:tcPr>
          <w:p>
            <w:pPr>
              <w:spacing w:after="0"/>
              <w:rPr>
                <w:sz w:val="19"/>
                <w:szCs w:val="19"/>
                <w:color w:val="auto"/>
              </w:rPr>
            </w:pPr>
          </w:p>
        </w:tc>
        <w:tc>
          <w:tcPr>
            <w:tcW w:w="100" w:type="dxa"/>
            <w:vAlign w:val="bottom"/>
            <w:tcBorders>
              <w:top w:val="single" w:sz="8" w:color="DBDBDB"/>
            </w:tcBorders>
            <w:shd w:val="clear" w:color="auto" w:fill="DBDBDB"/>
          </w:tcPr>
          <w:p>
            <w:pPr>
              <w:spacing w:after="0"/>
              <w:rPr>
                <w:sz w:val="19"/>
                <w:szCs w:val="19"/>
                <w:color w:val="auto"/>
              </w:rPr>
            </w:pPr>
          </w:p>
        </w:tc>
        <w:tc>
          <w:tcPr>
            <w:tcW w:w="220" w:type="dxa"/>
            <w:vAlign w:val="bottom"/>
            <w:tcBorders>
              <w:top w:val="single" w:sz="8" w:color="auto"/>
            </w:tcBorders>
            <w:shd w:val="clear" w:color="auto" w:fill="DBDBDB"/>
          </w:tcPr>
          <w:p>
            <w:pPr>
              <w:spacing w:after="0"/>
              <w:rPr>
                <w:sz w:val="19"/>
                <w:szCs w:val="19"/>
                <w:color w:val="auto"/>
              </w:rPr>
            </w:pPr>
          </w:p>
        </w:tc>
        <w:tc>
          <w:tcPr>
            <w:tcW w:w="780" w:type="dxa"/>
            <w:vAlign w:val="bottom"/>
            <w:tcBorders>
              <w:top w:val="single" w:sz="8" w:color="auto"/>
            </w:tcBorders>
            <w:shd w:val="clear" w:color="auto" w:fill="DBDBDB"/>
          </w:tcPr>
          <w:p>
            <w:pPr>
              <w:spacing w:after="0"/>
              <w:rPr>
                <w:sz w:val="19"/>
                <w:szCs w:val="19"/>
                <w:color w:val="auto"/>
              </w:rPr>
            </w:pPr>
          </w:p>
        </w:tc>
      </w:tr>
      <w:tr>
        <w:trPr>
          <w:trHeight w:val="230"/>
        </w:trPr>
        <w:tc>
          <w:tcPr>
            <w:tcW w:w="4760" w:type="dxa"/>
            <w:vAlign w:val="bottom"/>
          </w:tcPr>
          <w:p>
            <w:pPr>
              <w:ind w:left="140"/>
              <w:spacing w:after="0"/>
              <w:rPr>
                <w:sz w:val="20"/>
                <w:szCs w:val="20"/>
                <w:color w:val="auto"/>
              </w:rPr>
            </w:pPr>
            <w:r>
              <w:rPr>
                <w:rFonts w:ascii="Arial" w:cs="Arial" w:eastAsia="Arial" w:hAnsi="Arial"/>
                <w:sz w:val="18"/>
                <w:szCs w:val="18"/>
                <w:color w:val="auto"/>
              </w:rPr>
              <w:t>Money market funds</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1,122</w:t>
            </w:r>
          </w:p>
        </w:tc>
        <w:tc>
          <w:tcPr>
            <w:tcW w:w="30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9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1,122</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844</w:t>
            </w:r>
          </w:p>
        </w:tc>
        <w:tc>
          <w:tcPr>
            <w:tcW w:w="3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844</w:t>
            </w:r>
          </w:p>
        </w:tc>
      </w:tr>
      <w:tr>
        <w:trPr>
          <w:trHeight w:val="229"/>
        </w:trPr>
        <w:tc>
          <w:tcPr>
            <w:tcW w:w="4760" w:type="dxa"/>
            <w:vAlign w:val="bottom"/>
            <w:shd w:val="clear" w:color="auto" w:fill="DBDBDB"/>
          </w:tcPr>
          <w:p>
            <w:pPr>
              <w:ind w:left="140"/>
              <w:spacing w:after="0"/>
              <w:rPr>
                <w:sz w:val="20"/>
                <w:szCs w:val="20"/>
                <w:color w:val="auto"/>
              </w:rPr>
            </w:pPr>
            <w:r>
              <w:rPr>
                <w:rFonts w:ascii="Arial" w:cs="Arial" w:eastAsia="Arial" w:hAnsi="Arial"/>
                <w:sz w:val="18"/>
                <w:szCs w:val="18"/>
                <w:color w:val="auto"/>
              </w:rPr>
              <w:t>Corporate obligations</w:t>
            </w:r>
          </w:p>
        </w:tc>
        <w:tc>
          <w:tcPr>
            <w:tcW w:w="180" w:type="dxa"/>
            <w:vAlign w:val="bottom"/>
            <w:shd w:val="clear" w:color="auto" w:fill="DBDBDB"/>
          </w:tcPr>
          <w:p>
            <w:pPr>
              <w:spacing w:after="0"/>
              <w:rPr>
                <w:sz w:val="19"/>
                <w:szCs w:val="19"/>
                <w:color w:val="auto"/>
              </w:rPr>
            </w:pPr>
          </w:p>
        </w:tc>
        <w:tc>
          <w:tcPr>
            <w:tcW w:w="80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80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1,323</w:t>
            </w:r>
          </w:p>
        </w:tc>
        <w:tc>
          <w:tcPr>
            <w:tcW w:w="100" w:type="dxa"/>
            <w:vAlign w:val="bottom"/>
            <w:shd w:val="clear" w:color="auto" w:fill="DBDBDB"/>
          </w:tcPr>
          <w:p>
            <w:pPr>
              <w:spacing w:after="0"/>
              <w:rPr>
                <w:sz w:val="19"/>
                <w:szCs w:val="19"/>
                <w:color w:val="auto"/>
              </w:rPr>
            </w:pPr>
          </w:p>
        </w:tc>
        <w:tc>
          <w:tcPr>
            <w:tcW w:w="220" w:type="dxa"/>
            <w:vAlign w:val="bottom"/>
            <w:shd w:val="clear" w:color="auto" w:fill="DBDBDB"/>
          </w:tcPr>
          <w:p>
            <w:pPr>
              <w:spacing w:after="0"/>
              <w:rPr>
                <w:sz w:val="19"/>
                <w:szCs w:val="19"/>
                <w:color w:val="auto"/>
              </w:rPr>
            </w:pPr>
          </w:p>
        </w:tc>
        <w:tc>
          <w:tcPr>
            <w:tcW w:w="78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1,323</w:t>
            </w:r>
          </w:p>
        </w:tc>
        <w:tc>
          <w:tcPr>
            <w:tcW w:w="10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7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8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1,039</w:t>
            </w:r>
          </w:p>
        </w:tc>
        <w:tc>
          <w:tcPr>
            <w:tcW w:w="100" w:type="dxa"/>
            <w:vAlign w:val="bottom"/>
            <w:shd w:val="clear" w:color="auto" w:fill="DBDBDB"/>
          </w:tcPr>
          <w:p>
            <w:pPr>
              <w:spacing w:after="0"/>
              <w:rPr>
                <w:sz w:val="19"/>
                <w:szCs w:val="19"/>
                <w:color w:val="auto"/>
              </w:rPr>
            </w:pPr>
          </w:p>
        </w:tc>
        <w:tc>
          <w:tcPr>
            <w:tcW w:w="220" w:type="dxa"/>
            <w:vAlign w:val="bottom"/>
            <w:shd w:val="clear" w:color="auto" w:fill="DBDBDB"/>
          </w:tcPr>
          <w:p>
            <w:pPr>
              <w:spacing w:after="0"/>
              <w:rPr>
                <w:sz w:val="19"/>
                <w:szCs w:val="19"/>
                <w:color w:val="auto"/>
              </w:rPr>
            </w:pPr>
          </w:p>
        </w:tc>
        <w:tc>
          <w:tcPr>
            <w:tcW w:w="7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1,039</w:t>
            </w:r>
          </w:p>
        </w:tc>
      </w:tr>
      <w:tr>
        <w:trPr>
          <w:trHeight w:val="229"/>
        </w:trPr>
        <w:tc>
          <w:tcPr>
            <w:tcW w:w="4760" w:type="dxa"/>
            <w:vAlign w:val="bottom"/>
          </w:tcPr>
          <w:p>
            <w:pPr>
              <w:ind w:left="140"/>
              <w:spacing w:after="0"/>
              <w:rPr>
                <w:sz w:val="20"/>
                <w:szCs w:val="20"/>
                <w:color w:val="auto"/>
              </w:rPr>
            </w:pPr>
            <w:r>
              <w:rPr>
                <w:rFonts w:ascii="Arial" w:cs="Arial" w:eastAsia="Arial" w:hAnsi="Arial"/>
                <w:sz w:val="18"/>
                <w:szCs w:val="18"/>
                <w:color w:val="auto"/>
              </w:rPr>
              <w:t>U.S. government and agency securities</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1,815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299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2,114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1,932</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399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2,331</w:t>
            </w:r>
          </w:p>
        </w:tc>
      </w:tr>
      <w:tr>
        <w:trPr>
          <w:trHeight w:val="230"/>
        </w:trPr>
        <w:tc>
          <w:tcPr>
            <w:tcW w:w="4760" w:type="dxa"/>
            <w:vAlign w:val="bottom"/>
            <w:shd w:val="clear" w:color="auto" w:fill="DBDBDB"/>
          </w:tcPr>
          <w:p>
            <w:pPr>
              <w:ind w:left="140"/>
              <w:spacing w:after="0"/>
              <w:rPr>
                <w:sz w:val="20"/>
                <w:szCs w:val="20"/>
                <w:color w:val="auto"/>
              </w:rPr>
            </w:pPr>
            <w:r>
              <w:rPr>
                <w:rFonts w:ascii="Arial" w:cs="Arial" w:eastAsia="Arial" w:hAnsi="Arial"/>
                <w:sz w:val="18"/>
                <w:szCs w:val="18"/>
                <w:color w:val="auto"/>
              </w:rPr>
              <w:t>Non-U.S. government and agency securities</w:t>
            </w:r>
          </w:p>
        </w:tc>
        <w:tc>
          <w:tcPr>
            <w:tcW w:w="180" w:type="dxa"/>
            <w:vAlign w:val="bottom"/>
            <w:shd w:val="clear" w:color="auto" w:fill="DBDBDB"/>
          </w:tcPr>
          <w:p>
            <w:pPr>
              <w:spacing w:after="0"/>
              <w:rPr>
                <w:sz w:val="19"/>
                <w:szCs w:val="19"/>
                <w:color w:val="auto"/>
              </w:rPr>
            </w:pPr>
          </w:p>
        </w:tc>
        <w:tc>
          <w:tcPr>
            <w:tcW w:w="80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80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140</w:t>
            </w:r>
          </w:p>
        </w:tc>
        <w:tc>
          <w:tcPr>
            <w:tcW w:w="100" w:type="dxa"/>
            <w:vAlign w:val="bottom"/>
            <w:shd w:val="clear" w:color="auto" w:fill="DBDBDB"/>
          </w:tcPr>
          <w:p>
            <w:pPr>
              <w:spacing w:after="0"/>
              <w:rPr>
                <w:sz w:val="19"/>
                <w:szCs w:val="19"/>
                <w:color w:val="auto"/>
              </w:rPr>
            </w:pPr>
          </w:p>
        </w:tc>
        <w:tc>
          <w:tcPr>
            <w:tcW w:w="220" w:type="dxa"/>
            <w:vAlign w:val="bottom"/>
            <w:shd w:val="clear" w:color="auto" w:fill="DBDBDB"/>
          </w:tcPr>
          <w:p>
            <w:pPr>
              <w:spacing w:after="0"/>
              <w:rPr>
                <w:sz w:val="19"/>
                <w:szCs w:val="19"/>
                <w:color w:val="auto"/>
              </w:rPr>
            </w:pPr>
          </w:p>
        </w:tc>
        <w:tc>
          <w:tcPr>
            <w:tcW w:w="78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140</w:t>
            </w:r>
          </w:p>
        </w:tc>
        <w:tc>
          <w:tcPr>
            <w:tcW w:w="10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7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8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283</w:t>
            </w:r>
          </w:p>
        </w:tc>
        <w:tc>
          <w:tcPr>
            <w:tcW w:w="100" w:type="dxa"/>
            <w:vAlign w:val="bottom"/>
            <w:shd w:val="clear" w:color="auto" w:fill="DBDBDB"/>
          </w:tcPr>
          <w:p>
            <w:pPr>
              <w:spacing w:after="0"/>
              <w:rPr>
                <w:sz w:val="19"/>
                <w:szCs w:val="19"/>
                <w:color w:val="auto"/>
              </w:rPr>
            </w:pPr>
          </w:p>
        </w:tc>
        <w:tc>
          <w:tcPr>
            <w:tcW w:w="220" w:type="dxa"/>
            <w:vAlign w:val="bottom"/>
            <w:shd w:val="clear" w:color="auto" w:fill="DBDBDB"/>
          </w:tcPr>
          <w:p>
            <w:pPr>
              <w:spacing w:after="0"/>
              <w:rPr>
                <w:sz w:val="19"/>
                <w:szCs w:val="19"/>
                <w:color w:val="auto"/>
              </w:rPr>
            </w:pPr>
          </w:p>
        </w:tc>
        <w:tc>
          <w:tcPr>
            <w:tcW w:w="7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283</w:t>
            </w:r>
          </w:p>
        </w:tc>
      </w:tr>
      <w:tr>
        <w:trPr>
          <w:trHeight w:val="229"/>
        </w:trPr>
        <w:tc>
          <w:tcPr>
            <w:tcW w:w="4760" w:type="dxa"/>
            <w:vAlign w:val="bottom"/>
          </w:tcPr>
          <w:p>
            <w:pPr>
              <w:ind w:left="140"/>
              <w:spacing w:after="0"/>
              <w:rPr>
                <w:sz w:val="20"/>
                <w:szCs w:val="20"/>
                <w:color w:val="auto"/>
              </w:rPr>
            </w:pPr>
            <w:r>
              <w:rPr>
                <w:rFonts w:ascii="Arial" w:cs="Arial" w:eastAsia="Arial" w:hAnsi="Arial"/>
                <w:sz w:val="18"/>
                <w:szCs w:val="18"/>
                <w:color w:val="auto"/>
              </w:rPr>
              <w:t>Mutual funds</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10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10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48"/>
        </w:trPr>
        <w:tc>
          <w:tcPr>
            <w:tcW w:w="4760" w:type="dxa"/>
            <w:vAlign w:val="bottom"/>
            <w:tcBorders>
              <w:top w:val="single" w:sz="8" w:color="DBDBDB"/>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Total assets</w:t>
            </w:r>
          </w:p>
        </w:tc>
        <w:tc>
          <w:tcPr>
            <w:tcW w:w="18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w w:val="99"/>
              </w:rPr>
              <w:t>$</w:t>
            </w:r>
          </w:p>
        </w:tc>
        <w:tc>
          <w:tcPr>
            <w:tcW w:w="80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2,947</w:t>
            </w:r>
          </w:p>
        </w:tc>
        <w:tc>
          <w:tcPr>
            <w:tcW w:w="120" w:type="dxa"/>
            <w:vAlign w:val="bottom"/>
            <w:tcBorders>
              <w:top w:val="single" w:sz="8" w:color="DBDBDB"/>
              <w:bottom w:val="single" w:sz="8" w:color="DBDBDB"/>
            </w:tcBorders>
            <w:shd w:val="clear" w:color="auto" w:fill="DBDBDB"/>
          </w:tcPr>
          <w:p>
            <w:pPr>
              <w:spacing w:after="0"/>
              <w:rPr>
                <w:sz w:val="21"/>
                <w:szCs w:val="21"/>
                <w:color w:val="auto"/>
              </w:rPr>
            </w:pPr>
          </w:p>
        </w:tc>
        <w:tc>
          <w:tcPr>
            <w:tcW w:w="18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w w:val="99"/>
              </w:rPr>
              <w:t>$</w:t>
            </w:r>
          </w:p>
        </w:tc>
        <w:tc>
          <w:tcPr>
            <w:tcW w:w="80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1,762</w:t>
            </w:r>
          </w:p>
        </w:tc>
        <w:tc>
          <w:tcPr>
            <w:tcW w:w="100" w:type="dxa"/>
            <w:vAlign w:val="bottom"/>
            <w:tcBorders>
              <w:top w:val="single" w:sz="8" w:color="DBDBDB"/>
              <w:bottom w:val="single" w:sz="8" w:color="DBDBDB"/>
            </w:tcBorders>
            <w:shd w:val="clear" w:color="auto" w:fill="DBDBDB"/>
          </w:tcPr>
          <w:p>
            <w:pPr>
              <w:spacing w:after="0"/>
              <w:rPr>
                <w:sz w:val="21"/>
                <w:szCs w:val="21"/>
                <w:color w:val="auto"/>
              </w:rPr>
            </w:pPr>
          </w:p>
        </w:tc>
        <w:tc>
          <w:tcPr>
            <w:tcW w:w="220" w:type="dxa"/>
            <w:vAlign w:val="bottom"/>
            <w:tcBorders>
              <w:top w:val="single" w:sz="8" w:color="auto"/>
              <w:bottom w:val="single" w:sz="8" w:color="auto"/>
            </w:tcBorders>
            <w:shd w:val="clear" w:color="auto" w:fill="DBDBDB"/>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78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4,709</w:t>
            </w:r>
          </w:p>
        </w:tc>
        <w:tc>
          <w:tcPr>
            <w:tcW w:w="100" w:type="dxa"/>
            <w:vAlign w:val="bottom"/>
            <w:tcBorders>
              <w:top w:val="single" w:sz="8" w:color="DBDBDB"/>
              <w:bottom w:val="single" w:sz="8" w:color="DBDBDB"/>
            </w:tcBorders>
            <w:shd w:val="clear" w:color="auto" w:fill="DBDBDB"/>
          </w:tcPr>
          <w:p>
            <w:pPr>
              <w:spacing w:after="0"/>
              <w:rPr>
                <w:sz w:val="21"/>
                <w:szCs w:val="21"/>
                <w:color w:val="auto"/>
              </w:rPr>
            </w:pPr>
          </w:p>
        </w:tc>
        <w:tc>
          <w:tcPr>
            <w:tcW w:w="18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2,787</w:t>
            </w:r>
          </w:p>
        </w:tc>
        <w:tc>
          <w:tcPr>
            <w:tcW w:w="40" w:type="dxa"/>
            <w:vAlign w:val="bottom"/>
            <w:tcBorders>
              <w:top w:val="single" w:sz="8" w:color="auto"/>
              <w:bottom w:val="single" w:sz="8" w:color="auto"/>
            </w:tcBorders>
            <w:shd w:val="clear" w:color="auto" w:fill="DBDBDB"/>
          </w:tcPr>
          <w:p>
            <w:pPr>
              <w:spacing w:after="0"/>
              <w:rPr>
                <w:sz w:val="21"/>
                <w:szCs w:val="21"/>
                <w:color w:val="auto"/>
              </w:rPr>
            </w:pPr>
          </w:p>
        </w:tc>
        <w:tc>
          <w:tcPr>
            <w:tcW w:w="120" w:type="dxa"/>
            <w:vAlign w:val="bottom"/>
            <w:tcBorders>
              <w:top w:val="single" w:sz="8" w:color="DBDBDB"/>
              <w:bottom w:val="single" w:sz="8" w:color="DBDBDB"/>
            </w:tcBorders>
            <w:shd w:val="clear" w:color="auto" w:fill="DBDBDB"/>
          </w:tcPr>
          <w:p>
            <w:pPr>
              <w:spacing w:after="0"/>
              <w:rPr>
                <w:sz w:val="21"/>
                <w:szCs w:val="21"/>
                <w:color w:val="auto"/>
              </w:rPr>
            </w:pPr>
          </w:p>
        </w:tc>
        <w:tc>
          <w:tcPr>
            <w:tcW w:w="18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1,721</w:t>
            </w:r>
          </w:p>
        </w:tc>
        <w:tc>
          <w:tcPr>
            <w:tcW w:w="100" w:type="dxa"/>
            <w:vAlign w:val="bottom"/>
            <w:tcBorders>
              <w:top w:val="single" w:sz="8" w:color="DBDBDB"/>
              <w:bottom w:val="single" w:sz="8" w:color="DBDBDB"/>
            </w:tcBorders>
            <w:shd w:val="clear" w:color="auto" w:fill="DBDBDB"/>
          </w:tcPr>
          <w:p>
            <w:pPr>
              <w:spacing w:after="0"/>
              <w:rPr>
                <w:sz w:val="21"/>
                <w:szCs w:val="21"/>
                <w:color w:val="auto"/>
              </w:rPr>
            </w:pPr>
          </w:p>
        </w:tc>
        <w:tc>
          <w:tcPr>
            <w:tcW w:w="220" w:type="dxa"/>
            <w:vAlign w:val="bottom"/>
            <w:tcBorders>
              <w:top w:val="single" w:sz="8" w:color="auto"/>
              <w:bottom w:val="single" w:sz="8" w:color="auto"/>
            </w:tcBorders>
            <w:shd w:val="clear" w:color="auto" w:fill="DBDBDB"/>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4,508</w:t>
            </w:r>
          </w:p>
        </w:tc>
      </w:tr>
      <w:tr>
        <w:trPr>
          <w:trHeight w:val="20"/>
        </w:trPr>
        <w:tc>
          <w:tcPr>
            <w:tcW w:w="4760" w:type="dxa"/>
            <w:vAlign w:val="bottom"/>
            <w:tcBorders>
              <w:top w:val="single" w:sz="8" w:color="DBDBDB"/>
            </w:tcBorders>
          </w:tcPr>
          <w:p>
            <w:pPr>
              <w:spacing w:after="0" w:line="20" w:lineRule="exact"/>
              <w:rPr>
                <w:sz w:val="1"/>
                <w:szCs w:val="1"/>
                <w:color w:val="auto"/>
              </w:rPr>
            </w:pPr>
          </w:p>
        </w:tc>
        <w:tc>
          <w:tcPr>
            <w:tcW w:w="180" w:type="dxa"/>
            <w:vAlign w:val="bottom"/>
            <w:tcBorders>
              <w:top w:val="single" w:sz="8" w:color="DBDBDB"/>
              <w:bottom w:val="single" w:sz="8" w:color="auto"/>
            </w:tcBorders>
          </w:tcPr>
          <w:p>
            <w:pPr>
              <w:spacing w:after="0" w:line="20" w:lineRule="exact"/>
              <w:rPr>
                <w:sz w:val="1"/>
                <w:szCs w:val="1"/>
                <w:color w:val="auto"/>
              </w:rPr>
            </w:pPr>
          </w:p>
        </w:tc>
        <w:tc>
          <w:tcPr>
            <w:tcW w:w="80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180" w:type="dxa"/>
            <w:vAlign w:val="bottom"/>
            <w:tcBorders>
              <w:top w:val="single" w:sz="8" w:color="DBDBDB"/>
              <w:bottom w:val="single" w:sz="8" w:color="auto"/>
            </w:tcBorders>
          </w:tcPr>
          <w:p>
            <w:pPr>
              <w:spacing w:after="0" w:line="20" w:lineRule="exact"/>
              <w:rPr>
                <w:sz w:val="1"/>
                <w:szCs w:val="1"/>
                <w:color w:val="auto"/>
              </w:rPr>
            </w:pPr>
          </w:p>
        </w:tc>
        <w:tc>
          <w:tcPr>
            <w:tcW w:w="80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220" w:type="dxa"/>
            <w:vAlign w:val="bottom"/>
            <w:tcBorders>
              <w:top w:val="single" w:sz="8" w:color="DBDBDB"/>
              <w:bottom w:val="single" w:sz="8" w:color="auto"/>
            </w:tcBorders>
          </w:tcPr>
          <w:p>
            <w:pPr>
              <w:spacing w:after="0" w:line="20" w:lineRule="exact"/>
              <w:rPr>
                <w:sz w:val="1"/>
                <w:szCs w:val="1"/>
                <w:color w:val="auto"/>
              </w:rPr>
            </w:pPr>
          </w:p>
        </w:tc>
        <w:tc>
          <w:tcPr>
            <w:tcW w:w="78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80" w:type="dxa"/>
            <w:vAlign w:val="bottom"/>
            <w:tcBorders>
              <w:top w:val="single" w:sz="8" w:color="DBDBDB"/>
              <w:bottom w:val="single" w:sz="8" w:color="auto"/>
            </w:tcBorders>
          </w:tcPr>
          <w:p>
            <w:pPr>
              <w:spacing w:after="0" w:line="20" w:lineRule="exact"/>
              <w:rPr>
                <w:sz w:val="1"/>
                <w:szCs w:val="1"/>
                <w:color w:val="auto"/>
              </w:rPr>
            </w:pPr>
          </w:p>
        </w:tc>
        <w:tc>
          <w:tcPr>
            <w:tcW w:w="760" w:type="dxa"/>
            <w:vAlign w:val="bottom"/>
            <w:tcBorders>
              <w:top w:val="single" w:sz="8" w:color="DBDBDB"/>
              <w:bottom w:val="single" w:sz="8" w:color="auto"/>
            </w:tcBorders>
          </w:tcPr>
          <w:p>
            <w:pPr>
              <w:spacing w:after="0" w:line="20" w:lineRule="exact"/>
              <w:rPr>
                <w:sz w:val="1"/>
                <w:szCs w:val="1"/>
                <w:color w:val="auto"/>
              </w:rPr>
            </w:pPr>
          </w:p>
        </w:tc>
        <w:tc>
          <w:tcPr>
            <w:tcW w:w="4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180" w:type="dxa"/>
            <w:vAlign w:val="bottom"/>
            <w:tcBorders>
              <w:top w:val="single" w:sz="8" w:color="DBDBDB"/>
              <w:bottom w:val="single" w:sz="8" w:color="auto"/>
            </w:tcBorders>
          </w:tcPr>
          <w:p>
            <w:pPr>
              <w:spacing w:after="0" w:line="20" w:lineRule="exact"/>
              <w:rPr>
                <w:sz w:val="1"/>
                <w:szCs w:val="1"/>
                <w:color w:val="auto"/>
              </w:rPr>
            </w:pPr>
          </w:p>
        </w:tc>
        <w:tc>
          <w:tcPr>
            <w:tcW w:w="82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220" w:type="dxa"/>
            <w:vAlign w:val="bottom"/>
            <w:tcBorders>
              <w:top w:val="single" w:sz="8" w:color="DBDBDB"/>
              <w:bottom w:val="single" w:sz="8" w:color="auto"/>
            </w:tcBorders>
          </w:tcPr>
          <w:p>
            <w:pPr>
              <w:spacing w:after="0" w:line="20" w:lineRule="exact"/>
              <w:rPr>
                <w:sz w:val="1"/>
                <w:szCs w:val="1"/>
                <w:color w:val="auto"/>
              </w:rPr>
            </w:pPr>
          </w:p>
        </w:tc>
        <w:tc>
          <w:tcPr>
            <w:tcW w:w="780" w:type="dxa"/>
            <w:vAlign w:val="bottom"/>
            <w:tcBorders>
              <w:top w:val="single" w:sz="8" w:color="DBDBDB"/>
              <w:bottom w:val="single" w:sz="8" w:color="auto"/>
            </w:tcBorders>
          </w:tcPr>
          <w:p>
            <w:pPr>
              <w:spacing w:after="0" w:line="20" w:lineRule="exact"/>
              <w:rPr>
                <w:sz w:val="1"/>
                <w:szCs w:val="1"/>
                <w:color w:val="auto"/>
              </w:rPr>
            </w:pPr>
          </w:p>
        </w:tc>
      </w:tr>
      <w:tr>
        <w:trPr>
          <w:trHeight w:val="163"/>
        </w:trPr>
        <w:tc>
          <w:tcPr>
            <w:tcW w:w="4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230"/>
        </w:trPr>
        <w:tc>
          <w:tcPr>
            <w:tcW w:w="4760" w:type="dxa"/>
            <w:vAlign w:val="bottom"/>
            <w:shd w:val="clear" w:color="auto" w:fill="DBDBDB"/>
          </w:tcPr>
          <w:p>
            <w:pPr>
              <w:ind w:left="20"/>
              <w:spacing w:after="0"/>
              <w:rPr>
                <w:sz w:val="20"/>
                <w:szCs w:val="20"/>
                <w:color w:val="auto"/>
              </w:rPr>
            </w:pPr>
            <w:r>
              <w:rPr>
                <w:rFonts w:ascii="Arial" w:cs="Arial" w:eastAsia="Arial" w:hAnsi="Arial"/>
                <w:sz w:val="18"/>
                <w:szCs w:val="18"/>
                <w:b w:val="1"/>
                <w:bCs w:val="1"/>
                <w:color w:val="auto"/>
              </w:rPr>
              <w:t>Liabilities:</w:t>
            </w:r>
          </w:p>
        </w:tc>
        <w:tc>
          <w:tcPr>
            <w:tcW w:w="180" w:type="dxa"/>
            <w:vAlign w:val="bottom"/>
            <w:shd w:val="clear" w:color="auto" w:fill="DBDBDB"/>
          </w:tcPr>
          <w:p>
            <w:pPr>
              <w:spacing w:after="0"/>
              <w:rPr>
                <w:sz w:val="19"/>
                <w:szCs w:val="19"/>
                <w:color w:val="auto"/>
              </w:rPr>
            </w:pPr>
          </w:p>
        </w:tc>
        <w:tc>
          <w:tcPr>
            <w:tcW w:w="80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80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220" w:type="dxa"/>
            <w:vAlign w:val="bottom"/>
            <w:shd w:val="clear" w:color="auto" w:fill="DBDBDB"/>
          </w:tcPr>
          <w:p>
            <w:pPr>
              <w:spacing w:after="0"/>
              <w:rPr>
                <w:sz w:val="19"/>
                <w:szCs w:val="19"/>
                <w:color w:val="auto"/>
              </w:rPr>
            </w:pPr>
          </w:p>
        </w:tc>
        <w:tc>
          <w:tcPr>
            <w:tcW w:w="78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760" w:type="dxa"/>
            <w:vAlign w:val="bottom"/>
            <w:shd w:val="clear" w:color="auto" w:fill="DBDBDB"/>
          </w:tcPr>
          <w:p>
            <w:pPr>
              <w:spacing w:after="0"/>
              <w:rPr>
                <w:sz w:val="19"/>
                <w:szCs w:val="19"/>
                <w:color w:val="auto"/>
              </w:rPr>
            </w:pPr>
          </w:p>
        </w:tc>
        <w:tc>
          <w:tcPr>
            <w:tcW w:w="4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82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220" w:type="dxa"/>
            <w:vAlign w:val="bottom"/>
            <w:shd w:val="clear" w:color="auto" w:fill="DBDBDB"/>
          </w:tcPr>
          <w:p>
            <w:pPr>
              <w:spacing w:after="0"/>
              <w:rPr>
                <w:sz w:val="19"/>
                <w:szCs w:val="19"/>
                <w:color w:val="auto"/>
              </w:rPr>
            </w:pPr>
          </w:p>
        </w:tc>
        <w:tc>
          <w:tcPr>
            <w:tcW w:w="780" w:type="dxa"/>
            <w:vAlign w:val="bottom"/>
            <w:shd w:val="clear" w:color="auto" w:fill="DBDBDB"/>
          </w:tcPr>
          <w:p>
            <w:pPr>
              <w:spacing w:after="0"/>
              <w:rPr>
                <w:sz w:val="19"/>
                <w:szCs w:val="19"/>
                <w:color w:val="auto"/>
              </w:rPr>
            </w:pPr>
          </w:p>
        </w:tc>
      </w:tr>
      <w:tr>
        <w:trPr>
          <w:trHeight w:val="229"/>
        </w:trPr>
        <w:tc>
          <w:tcPr>
            <w:tcW w:w="4760" w:type="dxa"/>
            <w:vAlign w:val="bottom"/>
          </w:tcPr>
          <w:p>
            <w:pPr>
              <w:ind w:left="140"/>
              <w:spacing w:after="0"/>
              <w:rPr>
                <w:sz w:val="20"/>
                <w:szCs w:val="20"/>
                <w:color w:val="auto"/>
              </w:rPr>
            </w:pPr>
            <w:r>
              <w:rPr>
                <w:rFonts w:ascii="Arial" w:cs="Arial" w:eastAsia="Arial" w:hAnsi="Arial"/>
                <w:sz w:val="18"/>
                <w:szCs w:val="18"/>
                <w:color w:val="auto"/>
              </w:rPr>
              <w:t>Deferred compensation</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444</w:t>
            </w:r>
          </w:p>
        </w:tc>
        <w:tc>
          <w:tcPr>
            <w:tcW w:w="30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9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444</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492</w:t>
            </w:r>
          </w:p>
        </w:tc>
        <w:tc>
          <w:tcPr>
            <w:tcW w:w="3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492</w:t>
            </w:r>
          </w:p>
        </w:tc>
      </w:tr>
      <w:tr>
        <w:trPr>
          <w:trHeight w:val="248"/>
        </w:trPr>
        <w:tc>
          <w:tcPr>
            <w:tcW w:w="4760" w:type="dxa"/>
            <w:vAlign w:val="bottom"/>
            <w:tcBorders>
              <w:top w:val="single" w:sz="8" w:color="DBDBDB"/>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Total liabilities</w:t>
            </w:r>
          </w:p>
        </w:tc>
        <w:tc>
          <w:tcPr>
            <w:tcW w:w="18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w w:val="99"/>
              </w:rPr>
              <w:t>$</w:t>
            </w:r>
          </w:p>
        </w:tc>
        <w:tc>
          <w:tcPr>
            <w:tcW w:w="80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444</w:t>
            </w:r>
          </w:p>
        </w:tc>
        <w:tc>
          <w:tcPr>
            <w:tcW w:w="120" w:type="dxa"/>
            <w:vAlign w:val="bottom"/>
            <w:tcBorders>
              <w:top w:val="single" w:sz="8" w:color="DBDBDB"/>
              <w:bottom w:val="single" w:sz="8" w:color="DBDBDB"/>
            </w:tcBorders>
            <w:shd w:val="clear" w:color="auto" w:fill="DBDBDB"/>
          </w:tcPr>
          <w:p>
            <w:pPr>
              <w:spacing w:after="0"/>
              <w:rPr>
                <w:sz w:val="21"/>
                <w:szCs w:val="21"/>
                <w:color w:val="auto"/>
              </w:rPr>
            </w:pPr>
          </w:p>
        </w:tc>
        <w:tc>
          <w:tcPr>
            <w:tcW w:w="18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w w:val="99"/>
              </w:rPr>
              <w:t>$</w:t>
            </w:r>
          </w:p>
        </w:tc>
        <w:tc>
          <w:tcPr>
            <w:tcW w:w="80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Borders>
              <w:top w:val="single" w:sz="8" w:color="DBDBDB"/>
              <w:bottom w:val="single" w:sz="8" w:color="DBDBDB"/>
            </w:tcBorders>
            <w:shd w:val="clear" w:color="auto" w:fill="DBDBDB"/>
          </w:tcPr>
          <w:p>
            <w:pPr>
              <w:spacing w:after="0"/>
              <w:rPr>
                <w:sz w:val="21"/>
                <w:szCs w:val="21"/>
                <w:color w:val="auto"/>
              </w:rPr>
            </w:pPr>
          </w:p>
        </w:tc>
        <w:tc>
          <w:tcPr>
            <w:tcW w:w="220" w:type="dxa"/>
            <w:vAlign w:val="bottom"/>
            <w:tcBorders>
              <w:top w:val="single" w:sz="8" w:color="auto"/>
              <w:bottom w:val="single" w:sz="8" w:color="auto"/>
            </w:tcBorders>
            <w:shd w:val="clear" w:color="auto" w:fill="DBDBDB"/>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78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444</w:t>
            </w:r>
          </w:p>
        </w:tc>
        <w:tc>
          <w:tcPr>
            <w:tcW w:w="100" w:type="dxa"/>
            <w:vAlign w:val="bottom"/>
            <w:tcBorders>
              <w:top w:val="single" w:sz="8" w:color="DBDBDB"/>
              <w:bottom w:val="single" w:sz="8" w:color="DBDBDB"/>
            </w:tcBorders>
            <w:shd w:val="clear" w:color="auto" w:fill="DBDBDB"/>
          </w:tcPr>
          <w:p>
            <w:pPr>
              <w:spacing w:after="0"/>
              <w:rPr>
                <w:sz w:val="21"/>
                <w:szCs w:val="21"/>
                <w:color w:val="auto"/>
              </w:rPr>
            </w:pPr>
          </w:p>
        </w:tc>
        <w:tc>
          <w:tcPr>
            <w:tcW w:w="18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492</w:t>
            </w:r>
          </w:p>
        </w:tc>
        <w:tc>
          <w:tcPr>
            <w:tcW w:w="40" w:type="dxa"/>
            <w:vAlign w:val="bottom"/>
            <w:tcBorders>
              <w:top w:val="single" w:sz="8" w:color="auto"/>
              <w:bottom w:val="single" w:sz="8" w:color="auto"/>
            </w:tcBorders>
            <w:shd w:val="clear" w:color="auto" w:fill="DBDBDB"/>
          </w:tcPr>
          <w:p>
            <w:pPr>
              <w:spacing w:after="0"/>
              <w:rPr>
                <w:sz w:val="21"/>
                <w:szCs w:val="21"/>
                <w:color w:val="auto"/>
              </w:rPr>
            </w:pPr>
          </w:p>
        </w:tc>
        <w:tc>
          <w:tcPr>
            <w:tcW w:w="120" w:type="dxa"/>
            <w:vAlign w:val="bottom"/>
            <w:tcBorders>
              <w:top w:val="single" w:sz="8" w:color="DBDBDB"/>
              <w:bottom w:val="single" w:sz="8" w:color="DBDBDB"/>
            </w:tcBorders>
            <w:shd w:val="clear" w:color="auto" w:fill="DBDBDB"/>
          </w:tcPr>
          <w:p>
            <w:pPr>
              <w:spacing w:after="0"/>
              <w:rPr>
                <w:sz w:val="21"/>
                <w:szCs w:val="21"/>
                <w:color w:val="auto"/>
              </w:rPr>
            </w:pPr>
          </w:p>
        </w:tc>
        <w:tc>
          <w:tcPr>
            <w:tcW w:w="18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DBDBDB"/>
              <w:bottom w:val="single" w:sz="8" w:color="DBDBDB"/>
            </w:tcBorders>
            <w:shd w:val="clear" w:color="auto" w:fill="DBDBDB"/>
          </w:tcPr>
          <w:p>
            <w:pPr>
              <w:spacing w:after="0"/>
              <w:rPr>
                <w:sz w:val="21"/>
                <w:szCs w:val="21"/>
                <w:color w:val="auto"/>
              </w:rPr>
            </w:pPr>
          </w:p>
        </w:tc>
        <w:tc>
          <w:tcPr>
            <w:tcW w:w="220" w:type="dxa"/>
            <w:vAlign w:val="bottom"/>
            <w:tcBorders>
              <w:top w:val="single" w:sz="8" w:color="auto"/>
              <w:bottom w:val="single" w:sz="8" w:color="auto"/>
            </w:tcBorders>
            <w:shd w:val="clear" w:color="auto" w:fill="DBDBDB"/>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492</w:t>
            </w:r>
          </w:p>
        </w:tc>
      </w:tr>
      <w:tr>
        <w:trPr>
          <w:trHeight w:val="20"/>
        </w:trPr>
        <w:tc>
          <w:tcPr>
            <w:tcW w:w="4760" w:type="dxa"/>
            <w:vAlign w:val="bottom"/>
            <w:tcBorders>
              <w:top w:val="single" w:sz="8" w:color="DBDBDB"/>
            </w:tcBorders>
          </w:tcPr>
          <w:p>
            <w:pPr>
              <w:spacing w:after="0" w:line="20" w:lineRule="exact"/>
              <w:rPr>
                <w:sz w:val="1"/>
                <w:szCs w:val="1"/>
                <w:color w:val="auto"/>
              </w:rPr>
            </w:pPr>
          </w:p>
        </w:tc>
        <w:tc>
          <w:tcPr>
            <w:tcW w:w="180" w:type="dxa"/>
            <w:vAlign w:val="bottom"/>
            <w:tcBorders>
              <w:top w:val="single" w:sz="8" w:color="DBDBDB"/>
              <w:bottom w:val="single" w:sz="8" w:color="auto"/>
            </w:tcBorders>
          </w:tcPr>
          <w:p>
            <w:pPr>
              <w:spacing w:after="0" w:line="20" w:lineRule="exact"/>
              <w:rPr>
                <w:sz w:val="1"/>
                <w:szCs w:val="1"/>
                <w:color w:val="auto"/>
              </w:rPr>
            </w:pPr>
          </w:p>
        </w:tc>
        <w:tc>
          <w:tcPr>
            <w:tcW w:w="80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180" w:type="dxa"/>
            <w:vAlign w:val="bottom"/>
            <w:tcBorders>
              <w:top w:val="single" w:sz="8" w:color="DBDBDB"/>
              <w:bottom w:val="single" w:sz="8" w:color="auto"/>
            </w:tcBorders>
          </w:tcPr>
          <w:p>
            <w:pPr>
              <w:spacing w:after="0" w:line="20" w:lineRule="exact"/>
              <w:rPr>
                <w:sz w:val="1"/>
                <w:szCs w:val="1"/>
                <w:color w:val="auto"/>
              </w:rPr>
            </w:pPr>
          </w:p>
        </w:tc>
        <w:tc>
          <w:tcPr>
            <w:tcW w:w="80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220" w:type="dxa"/>
            <w:vAlign w:val="bottom"/>
            <w:tcBorders>
              <w:top w:val="single" w:sz="8" w:color="DBDBDB"/>
              <w:bottom w:val="single" w:sz="8" w:color="auto"/>
            </w:tcBorders>
          </w:tcPr>
          <w:p>
            <w:pPr>
              <w:spacing w:after="0" w:line="20" w:lineRule="exact"/>
              <w:rPr>
                <w:sz w:val="1"/>
                <w:szCs w:val="1"/>
                <w:color w:val="auto"/>
              </w:rPr>
            </w:pPr>
          </w:p>
        </w:tc>
        <w:tc>
          <w:tcPr>
            <w:tcW w:w="78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80" w:type="dxa"/>
            <w:vAlign w:val="bottom"/>
            <w:tcBorders>
              <w:top w:val="single" w:sz="8" w:color="DBDBDB"/>
              <w:bottom w:val="single" w:sz="8" w:color="auto"/>
            </w:tcBorders>
          </w:tcPr>
          <w:p>
            <w:pPr>
              <w:spacing w:after="0" w:line="20" w:lineRule="exact"/>
              <w:rPr>
                <w:sz w:val="1"/>
                <w:szCs w:val="1"/>
                <w:color w:val="auto"/>
              </w:rPr>
            </w:pPr>
          </w:p>
        </w:tc>
        <w:tc>
          <w:tcPr>
            <w:tcW w:w="760" w:type="dxa"/>
            <w:vAlign w:val="bottom"/>
            <w:tcBorders>
              <w:top w:val="single" w:sz="8" w:color="DBDBDB"/>
              <w:bottom w:val="single" w:sz="8" w:color="auto"/>
            </w:tcBorders>
          </w:tcPr>
          <w:p>
            <w:pPr>
              <w:spacing w:after="0" w:line="20" w:lineRule="exact"/>
              <w:rPr>
                <w:sz w:val="1"/>
                <w:szCs w:val="1"/>
                <w:color w:val="auto"/>
              </w:rPr>
            </w:pPr>
          </w:p>
        </w:tc>
        <w:tc>
          <w:tcPr>
            <w:tcW w:w="4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180" w:type="dxa"/>
            <w:vAlign w:val="bottom"/>
            <w:tcBorders>
              <w:top w:val="single" w:sz="8" w:color="DBDBDB"/>
              <w:bottom w:val="single" w:sz="8" w:color="auto"/>
            </w:tcBorders>
          </w:tcPr>
          <w:p>
            <w:pPr>
              <w:spacing w:after="0" w:line="20" w:lineRule="exact"/>
              <w:rPr>
                <w:sz w:val="1"/>
                <w:szCs w:val="1"/>
                <w:color w:val="auto"/>
              </w:rPr>
            </w:pPr>
          </w:p>
        </w:tc>
        <w:tc>
          <w:tcPr>
            <w:tcW w:w="82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220" w:type="dxa"/>
            <w:vAlign w:val="bottom"/>
            <w:tcBorders>
              <w:top w:val="single" w:sz="8" w:color="DBDBDB"/>
              <w:bottom w:val="single" w:sz="8" w:color="auto"/>
            </w:tcBorders>
          </w:tcPr>
          <w:p>
            <w:pPr>
              <w:spacing w:after="0" w:line="20" w:lineRule="exact"/>
              <w:rPr>
                <w:sz w:val="1"/>
                <w:szCs w:val="1"/>
                <w:color w:val="auto"/>
              </w:rPr>
            </w:pPr>
          </w:p>
        </w:tc>
        <w:tc>
          <w:tcPr>
            <w:tcW w:w="780" w:type="dxa"/>
            <w:vAlign w:val="bottom"/>
            <w:tcBorders>
              <w:top w:val="single" w:sz="8" w:color="DBDBDB"/>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left="200" w:hanging="192"/>
        <w:spacing w:after="0"/>
        <w:tabs>
          <w:tab w:leader="none" w:pos="200" w:val="left"/>
        </w:tabs>
        <w:numPr>
          <w:ilvl w:val="0"/>
          <w:numId w:val="8"/>
        </w:numPr>
        <w:rPr>
          <w:rFonts w:ascii="Arial" w:cs="Arial" w:eastAsia="Arial" w:hAnsi="Arial"/>
          <w:sz w:val="18"/>
          <w:szCs w:val="18"/>
          <w:color w:val="auto"/>
        </w:rPr>
      </w:pPr>
      <w:r>
        <w:rPr>
          <w:rFonts w:ascii="Arial" w:cs="Arial" w:eastAsia="Arial" w:hAnsi="Arial"/>
          <w:sz w:val="18"/>
          <w:szCs w:val="18"/>
          <w:u w:val="single" w:color="auto"/>
          <w:color w:val="auto"/>
        </w:rPr>
        <w:t>Postretirement benefit plans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Expenses related to defined benefit and retiree health care benefit plans are as follows: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100" w:type="dxa"/>
            <w:vAlign w:val="bottom"/>
          </w:tcPr>
          <w:p>
            <w:pPr>
              <w:spacing w:after="0"/>
              <w:rPr>
                <w:sz w:val="17"/>
                <w:szCs w:val="17"/>
                <w:color w:val="auto"/>
              </w:rPr>
            </w:pPr>
          </w:p>
        </w:tc>
        <w:tc>
          <w:tcPr>
            <w:tcW w:w="1980" w:type="dxa"/>
            <w:vAlign w:val="bottom"/>
            <w:tcBorders>
              <w:bottom w:val="single" w:sz="8" w:color="auto"/>
            </w:tcBorders>
            <w:gridSpan w:val="4"/>
          </w:tcPr>
          <w:p>
            <w:pPr>
              <w:jc w:val="right"/>
              <w:ind w:right="56"/>
              <w:spacing w:after="0"/>
              <w:rPr>
                <w:sz w:val="20"/>
                <w:szCs w:val="20"/>
                <w:color w:val="auto"/>
              </w:rPr>
            </w:pPr>
            <w:r>
              <w:rPr>
                <w:rFonts w:ascii="Arial" w:cs="Arial" w:eastAsia="Arial" w:hAnsi="Arial"/>
                <w:sz w:val="14"/>
                <w:szCs w:val="14"/>
                <w:b w:val="1"/>
                <w:bCs w:val="1"/>
                <w:color w:val="auto"/>
              </w:rPr>
              <w:t>U.S. Defined Benefit</w:t>
            </w:r>
          </w:p>
        </w:tc>
        <w:tc>
          <w:tcPr>
            <w:tcW w:w="3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0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U.S. Retiree Health Care</w:t>
            </w:r>
          </w:p>
        </w:tc>
        <w:tc>
          <w:tcPr>
            <w:tcW w:w="28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100" w:type="dxa"/>
            <w:vAlign w:val="bottom"/>
            <w:tcBorders>
              <w:bottom w:val="single" w:sz="8" w:color="auto"/>
            </w:tcBorders>
            <w:gridSpan w:val="4"/>
          </w:tcPr>
          <w:p>
            <w:pPr>
              <w:jc w:val="right"/>
              <w:ind w:right="213"/>
              <w:spacing w:after="0"/>
              <w:rPr>
                <w:sz w:val="20"/>
                <w:szCs w:val="20"/>
                <w:color w:val="auto"/>
              </w:rPr>
            </w:pPr>
            <w:r>
              <w:rPr>
                <w:rFonts w:ascii="Arial" w:cs="Arial" w:eastAsia="Arial" w:hAnsi="Arial"/>
                <w:sz w:val="14"/>
                <w:szCs w:val="14"/>
                <w:b w:val="1"/>
                <w:bCs w:val="1"/>
                <w:color w:val="auto"/>
              </w:rPr>
              <w:t>Non-U.S. Defined Benefit</w:t>
            </w:r>
          </w:p>
        </w:tc>
      </w:tr>
      <w:tr>
        <w:trPr>
          <w:trHeight w:val="197"/>
        </w:trPr>
        <w:tc>
          <w:tcPr>
            <w:tcW w:w="4100" w:type="dxa"/>
            <w:vAlign w:val="bottom"/>
            <w:tcBorders>
              <w:bottom w:val="single" w:sz="8" w:color="DBDBDB"/>
            </w:tcBorders>
          </w:tcPr>
          <w:p>
            <w:pPr>
              <w:ind w:left="20"/>
              <w:spacing w:after="0"/>
              <w:rPr>
                <w:sz w:val="20"/>
                <w:szCs w:val="20"/>
                <w:color w:val="auto"/>
              </w:rPr>
            </w:pPr>
            <w:r>
              <w:rPr>
                <w:rFonts w:ascii="Arial" w:cs="Arial" w:eastAsia="Arial" w:hAnsi="Arial"/>
                <w:sz w:val="14"/>
                <w:szCs w:val="14"/>
                <w:b w:val="1"/>
                <w:bCs w:val="1"/>
                <w:color w:val="auto"/>
              </w:rPr>
              <w:t>For Three Months Ended March 31,</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2026</w:t>
            </w:r>
          </w:p>
        </w:tc>
        <w:tc>
          <w:tcPr>
            <w:tcW w:w="320" w:type="dxa"/>
            <w:vAlign w:val="bottom"/>
            <w:tcBorders>
              <w:bottom w:val="single" w:sz="8" w:color="auto"/>
            </w:tcBorders>
          </w:tcPr>
          <w:p>
            <w:pPr>
              <w:spacing w:after="0"/>
              <w:rPr>
                <w:sz w:val="17"/>
                <w:szCs w:val="17"/>
                <w:color w:val="auto"/>
              </w:rPr>
            </w:pPr>
          </w:p>
        </w:tc>
        <w:tc>
          <w:tcPr>
            <w:tcW w:w="100" w:type="dxa"/>
            <w:vAlign w:val="bottom"/>
            <w:tcBorders>
              <w:bottom w:val="single" w:sz="8" w:color="DBDBDB"/>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2025</w:t>
            </w:r>
          </w:p>
        </w:tc>
        <w:tc>
          <w:tcPr>
            <w:tcW w:w="320" w:type="dxa"/>
            <w:vAlign w:val="bottom"/>
            <w:tcBorders>
              <w:bottom w:val="single" w:sz="8" w:color="auto"/>
            </w:tcBorders>
          </w:tcPr>
          <w:p>
            <w:pPr>
              <w:spacing w:after="0"/>
              <w:rPr>
                <w:sz w:val="17"/>
                <w:szCs w:val="17"/>
                <w:color w:val="auto"/>
              </w:rPr>
            </w:pPr>
          </w:p>
        </w:tc>
        <w:tc>
          <w:tcPr>
            <w:tcW w:w="120" w:type="dxa"/>
            <w:vAlign w:val="bottom"/>
            <w:tcBorders>
              <w:bottom w:val="single" w:sz="8" w:color="DBDBDB"/>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2026</w:t>
            </w:r>
          </w:p>
        </w:tc>
        <w:tc>
          <w:tcPr>
            <w:tcW w:w="320" w:type="dxa"/>
            <w:vAlign w:val="bottom"/>
            <w:tcBorders>
              <w:bottom w:val="single" w:sz="8" w:color="auto"/>
            </w:tcBorders>
          </w:tcPr>
          <w:p>
            <w:pPr>
              <w:spacing w:after="0"/>
              <w:rPr>
                <w:sz w:val="17"/>
                <w:szCs w:val="17"/>
                <w:color w:val="auto"/>
              </w:rPr>
            </w:pPr>
          </w:p>
        </w:tc>
        <w:tc>
          <w:tcPr>
            <w:tcW w:w="120" w:type="dxa"/>
            <w:vAlign w:val="bottom"/>
            <w:tcBorders>
              <w:bottom w:val="single" w:sz="8" w:color="DBDBDB"/>
            </w:tcBorders>
          </w:tcPr>
          <w:p>
            <w:pPr>
              <w:spacing w:after="0"/>
              <w:rPr>
                <w:sz w:val="17"/>
                <w:szCs w:val="17"/>
                <w:color w:val="auto"/>
              </w:rPr>
            </w:pPr>
          </w:p>
        </w:tc>
        <w:tc>
          <w:tcPr>
            <w:tcW w:w="80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rPr>
              <w:t>2025</w:t>
            </w:r>
          </w:p>
        </w:tc>
        <w:tc>
          <w:tcPr>
            <w:tcW w:w="280" w:type="dxa"/>
            <w:vAlign w:val="bottom"/>
            <w:tcBorders>
              <w:bottom w:val="single" w:sz="8" w:color="auto"/>
            </w:tcBorders>
          </w:tcPr>
          <w:p>
            <w:pPr>
              <w:spacing w:after="0"/>
              <w:rPr>
                <w:sz w:val="17"/>
                <w:szCs w:val="17"/>
                <w:color w:val="auto"/>
              </w:rPr>
            </w:pPr>
          </w:p>
        </w:tc>
        <w:tc>
          <w:tcPr>
            <w:tcW w:w="120" w:type="dxa"/>
            <w:vAlign w:val="bottom"/>
            <w:tcBorders>
              <w:bottom w:val="single" w:sz="8" w:color="DBDBDB"/>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2026</w:t>
            </w:r>
          </w:p>
        </w:tc>
        <w:tc>
          <w:tcPr>
            <w:tcW w:w="120" w:type="dxa"/>
            <w:vAlign w:val="bottom"/>
            <w:tcBorders>
              <w:bottom w:val="single" w:sz="8" w:color="DBDBDB"/>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2025</w:t>
            </w:r>
          </w:p>
        </w:tc>
      </w:tr>
      <w:tr>
        <w:trPr>
          <w:trHeight w:val="224"/>
        </w:trPr>
        <w:tc>
          <w:tcPr>
            <w:tcW w:w="4100" w:type="dxa"/>
            <w:vAlign w:val="bottom"/>
            <w:shd w:val="clear" w:color="auto" w:fill="DBDBDB"/>
          </w:tcPr>
          <w:p>
            <w:pPr>
              <w:ind w:left="20"/>
              <w:spacing w:after="0"/>
              <w:rPr>
                <w:sz w:val="20"/>
                <w:szCs w:val="20"/>
                <w:color w:val="auto"/>
              </w:rPr>
            </w:pPr>
            <w:r>
              <w:rPr>
                <w:rFonts w:ascii="Arial" w:cs="Arial" w:eastAsia="Arial" w:hAnsi="Arial"/>
                <w:sz w:val="18"/>
                <w:szCs w:val="18"/>
                <w:color w:val="auto"/>
              </w:rPr>
              <w:t>Service cost</w:t>
            </w:r>
          </w:p>
        </w:tc>
        <w:tc>
          <w:tcPr>
            <w:tcW w:w="780" w:type="dxa"/>
            <w:vAlign w:val="bottom"/>
            <w:shd w:val="clear" w:color="auto" w:fill="DBDBDB"/>
          </w:tcPr>
          <w:p>
            <w:pPr>
              <w:jc w:val="right"/>
              <w:ind w:right="579"/>
              <w:spacing w:after="0"/>
              <w:rPr>
                <w:sz w:val="20"/>
                <w:szCs w:val="20"/>
                <w:color w:val="auto"/>
              </w:rPr>
            </w:pPr>
            <w:r>
              <w:rPr>
                <w:rFonts w:ascii="Arial" w:cs="Arial" w:eastAsia="Arial" w:hAnsi="Arial"/>
                <w:sz w:val="18"/>
                <w:szCs w:val="18"/>
                <w:b w:val="1"/>
                <w:bCs w:val="1"/>
                <w:color w:val="auto"/>
                <w:w w:val="99"/>
              </w:rPr>
              <w:t>$</w:t>
            </w:r>
          </w:p>
        </w:tc>
        <w:tc>
          <w:tcPr>
            <w:tcW w:w="3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2</w:t>
            </w:r>
          </w:p>
        </w:tc>
        <w:tc>
          <w:tcPr>
            <w:tcW w:w="100" w:type="dxa"/>
            <w:vAlign w:val="bottom"/>
            <w:shd w:val="clear" w:color="auto" w:fill="DBDBDB"/>
          </w:tcPr>
          <w:p>
            <w:pPr>
              <w:spacing w:after="0"/>
              <w:rPr>
                <w:sz w:val="19"/>
                <w:szCs w:val="19"/>
                <w:color w:val="auto"/>
              </w:rPr>
            </w:pPr>
          </w:p>
        </w:tc>
        <w:tc>
          <w:tcPr>
            <w:tcW w:w="780" w:type="dxa"/>
            <w:vAlign w:val="bottom"/>
            <w:shd w:val="clear" w:color="auto" w:fill="DBDBDB"/>
          </w:tcPr>
          <w:p>
            <w:pPr>
              <w:jc w:val="right"/>
              <w:ind w:right="576"/>
              <w:spacing w:after="0"/>
              <w:rPr>
                <w:sz w:val="20"/>
                <w:szCs w:val="20"/>
                <w:color w:val="auto"/>
              </w:rPr>
            </w:pPr>
            <w:r>
              <w:rPr>
                <w:rFonts w:ascii="Arial" w:cs="Arial" w:eastAsia="Arial" w:hAnsi="Arial"/>
                <w:sz w:val="18"/>
                <w:szCs w:val="18"/>
                <w:color w:val="auto"/>
                <w:w w:val="99"/>
              </w:rPr>
              <w:t>$</w:t>
            </w:r>
          </w:p>
        </w:tc>
        <w:tc>
          <w:tcPr>
            <w:tcW w:w="3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DBDBDB"/>
          </w:tcPr>
          <w:p>
            <w:pPr>
              <w:spacing w:after="0"/>
              <w:rPr>
                <w:sz w:val="19"/>
                <w:szCs w:val="19"/>
                <w:color w:val="auto"/>
              </w:rPr>
            </w:pPr>
          </w:p>
        </w:tc>
        <w:tc>
          <w:tcPr>
            <w:tcW w:w="760" w:type="dxa"/>
            <w:vAlign w:val="bottom"/>
            <w:shd w:val="clear" w:color="auto" w:fill="DBDBDB"/>
          </w:tcPr>
          <w:p>
            <w:pPr>
              <w:jc w:val="right"/>
              <w:ind w:right="559"/>
              <w:spacing w:after="0"/>
              <w:rPr>
                <w:sz w:val="20"/>
                <w:szCs w:val="20"/>
                <w:color w:val="auto"/>
              </w:rPr>
            </w:pPr>
            <w:r>
              <w:rPr>
                <w:rFonts w:ascii="Arial" w:cs="Arial" w:eastAsia="Arial" w:hAnsi="Arial"/>
                <w:sz w:val="18"/>
                <w:szCs w:val="18"/>
                <w:b w:val="1"/>
                <w:bCs w:val="1"/>
                <w:color w:val="auto"/>
                <w:w w:val="99"/>
              </w:rPr>
              <w:t>$</w:t>
            </w:r>
          </w:p>
        </w:tc>
        <w:tc>
          <w:tcPr>
            <w:tcW w:w="3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DBDBDB"/>
          </w:tcPr>
          <w:p>
            <w:pPr>
              <w:spacing w:after="0"/>
              <w:rPr>
                <w:sz w:val="19"/>
                <w:szCs w:val="19"/>
                <w:color w:val="auto"/>
              </w:rPr>
            </w:pPr>
          </w:p>
        </w:tc>
        <w:tc>
          <w:tcPr>
            <w:tcW w:w="800" w:type="dxa"/>
            <w:vAlign w:val="bottom"/>
            <w:shd w:val="clear" w:color="auto" w:fill="DBDBDB"/>
          </w:tcPr>
          <w:p>
            <w:pPr>
              <w:jc w:val="right"/>
              <w:ind w:right="596"/>
              <w:spacing w:after="0"/>
              <w:rPr>
                <w:sz w:val="20"/>
                <w:szCs w:val="20"/>
                <w:color w:val="auto"/>
              </w:rPr>
            </w:pPr>
            <w:r>
              <w:rPr>
                <w:rFonts w:ascii="Arial" w:cs="Arial" w:eastAsia="Arial" w:hAnsi="Arial"/>
                <w:sz w:val="18"/>
                <w:szCs w:val="18"/>
                <w:color w:val="auto"/>
                <w:w w:val="99"/>
              </w:rPr>
              <w:t>$</w:t>
            </w:r>
          </w:p>
        </w:tc>
        <w:tc>
          <w:tcPr>
            <w:tcW w:w="2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DBDBDB"/>
          </w:tcPr>
          <w:p>
            <w:pPr>
              <w:spacing w:after="0"/>
              <w:rPr>
                <w:sz w:val="19"/>
                <w:szCs w:val="19"/>
                <w:color w:val="auto"/>
              </w:rPr>
            </w:pPr>
          </w:p>
        </w:tc>
        <w:tc>
          <w:tcPr>
            <w:tcW w:w="220" w:type="dxa"/>
            <w:vAlign w:val="bottom"/>
            <w:shd w:val="clear" w:color="auto" w:fill="DBDBDB"/>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88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4</w:t>
            </w:r>
          </w:p>
        </w:tc>
        <w:tc>
          <w:tcPr>
            <w:tcW w:w="120" w:type="dxa"/>
            <w:vAlign w:val="bottom"/>
            <w:shd w:val="clear" w:color="auto" w:fill="DBDBDB"/>
          </w:tcPr>
          <w:p>
            <w:pPr>
              <w:spacing w:after="0"/>
              <w:rPr>
                <w:sz w:val="19"/>
                <w:szCs w:val="19"/>
                <w:color w:val="auto"/>
              </w:rPr>
            </w:pPr>
          </w:p>
        </w:tc>
        <w:tc>
          <w:tcPr>
            <w:tcW w:w="240" w:type="dxa"/>
            <w:vAlign w:val="bottom"/>
            <w:shd w:val="clear" w:color="auto" w:fill="DBDBDB"/>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w:t>
            </w:r>
          </w:p>
        </w:tc>
      </w:tr>
      <w:tr>
        <w:trPr>
          <w:trHeight w:val="229"/>
        </w:trPr>
        <w:tc>
          <w:tcPr>
            <w:tcW w:w="4100" w:type="dxa"/>
            <w:vAlign w:val="bottom"/>
          </w:tcPr>
          <w:p>
            <w:pPr>
              <w:ind w:left="20"/>
              <w:spacing w:after="0"/>
              <w:rPr>
                <w:sz w:val="20"/>
                <w:szCs w:val="20"/>
                <w:color w:val="auto"/>
              </w:rPr>
            </w:pPr>
            <w:r>
              <w:rPr>
                <w:rFonts w:ascii="Arial" w:cs="Arial" w:eastAsia="Arial" w:hAnsi="Arial"/>
                <w:sz w:val="18"/>
                <w:szCs w:val="18"/>
                <w:color w:val="auto"/>
              </w:rPr>
              <w:t>Interest cost</w:t>
            </w:r>
          </w:p>
        </w:tc>
        <w:tc>
          <w:tcPr>
            <w:tcW w:w="78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b w:val="1"/>
                <w:bCs w:val="1"/>
                <w:color w:val="auto"/>
              </w:rPr>
              <w:t>6</w:t>
            </w: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b w:val="1"/>
                <w:bCs w:val="1"/>
                <w:color w:val="auto"/>
              </w:rPr>
              <w:t>3</w:t>
            </w: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16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30"/>
        </w:trPr>
        <w:tc>
          <w:tcPr>
            <w:tcW w:w="4100" w:type="dxa"/>
            <w:vAlign w:val="bottom"/>
            <w:shd w:val="clear" w:color="auto" w:fill="DBDBDB"/>
          </w:tcPr>
          <w:p>
            <w:pPr>
              <w:ind w:left="20"/>
              <w:spacing w:after="0"/>
              <w:rPr>
                <w:sz w:val="20"/>
                <w:szCs w:val="20"/>
                <w:color w:val="auto"/>
              </w:rPr>
            </w:pPr>
            <w:r>
              <w:rPr>
                <w:rFonts w:ascii="Arial" w:cs="Arial" w:eastAsia="Arial" w:hAnsi="Arial"/>
                <w:sz w:val="18"/>
                <w:szCs w:val="18"/>
                <w:color w:val="auto"/>
              </w:rPr>
              <w:t>Expected return on plan assets</w:t>
            </w:r>
          </w:p>
        </w:tc>
        <w:tc>
          <w:tcPr>
            <w:tcW w:w="780" w:type="dxa"/>
            <w:vAlign w:val="bottom"/>
            <w:shd w:val="clear" w:color="auto" w:fill="DBDBDB"/>
          </w:tcPr>
          <w:p>
            <w:pPr>
              <w:spacing w:after="0"/>
              <w:rPr>
                <w:sz w:val="19"/>
                <w:szCs w:val="19"/>
                <w:color w:val="auto"/>
              </w:rPr>
            </w:pPr>
          </w:p>
        </w:tc>
        <w:tc>
          <w:tcPr>
            <w:tcW w:w="3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(6)</w:t>
            </w:r>
          </w:p>
        </w:tc>
        <w:tc>
          <w:tcPr>
            <w:tcW w:w="100" w:type="dxa"/>
            <w:vAlign w:val="bottom"/>
            <w:shd w:val="clear" w:color="auto" w:fill="DBDBDB"/>
          </w:tcPr>
          <w:p>
            <w:pPr>
              <w:spacing w:after="0"/>
              <w:rPr>
                <w:sz w:val="19"/>
                <w:szCs w:val="19"/>
                <w:color w:val="auto"/>
              </w:rPr>
            </w:pPr>
          </w:p>
        </w:tc>
        <w:tc>
          <w:tcPr>
            <w:tcW w:w="780" w:type="dxa"/>
            <w:vAlign w:val="bottom"/>
            <w:shd w:val="clear" w:color="auto" w:fill="DBDBDB"/>
          </w:tcPr>
          <w:p>
            <w:pPr>
              <w:spacing w:after="0"/>
              <w:rPr>
                <w:sz w:val="19"/>
                <w:szCs w:val="19"/>
                <w:color w:val="auto"/>
              </w:rPr>
            </w:pPr>
          </w:p>
        </w:tc>
        <w:tc>
          <w:tcPr>
            <w:tcW w:w="3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DBDBDB"/>
          </w:tcPr>
          <w:p>
            <w:pPr>
              <w:spacing w:after="0"/>
              <w:rPr>
                <w:sz w:val="19"/>
                <w:szCs w:val="19"/>
                <w:color w:val="auto"/>
              </w:rPr>
            </w:pPr>
          </w:p>
        </w:tc>
        <w:tc>
          <w:tcPr>
            <w:tcW w:w="760" w:type="dxa"/>
            <w:vAlign w:val="bottom"/>
            <w:shd w:val="clear" w:color="auto" w:fill="DBDBDB"/>
          </w:tcPr>
          <w:p>
            <w:pPr>
              <w:spacing w:after="0"/>
              <w:rPr>
                <w:sz w:val="19"/>
                <w:szCs w:val="19"/>
                <w:color w:val="auto"/>
              </w:rPr>
            </w:pPr>
          </w:p>
        </w:tc>
        <w:tc>
          <w:tcPr>
            <w:tcW w:w="3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(3)</w:t>
            </w:r>
          </w:p>
        </w:tc>
        <w:tc>
          <w:tcPr>
            <w:tcW w:w="120" w:type="dxa"/>
            <w:vAlign w:val="bottom"/>
            <w:shd w:val="clear" w:color="auto" w:fill="DBDBDB"/>
          </w:tcPr>
          <w:p>
            <w:pPr>
              <w:spacing w:after="0"/>
              <w:rPr>
                <w:sz w:val="19"/>
                <w:szCs w:val="19"/>
                <w:color w:val="auto"/>
              </w:rPr>
            </w:pPr>
          </w:p>
        </w:tc>
        <w:tc>
          <w:tcPr>
            <w:tcW w:w="800" w:type="dxa"/>
            <w:vAlign w:val="bottom"/>
            <w:shd w:val="clear" w:color="auto" w:fill="DBDBDB"/>
          </w:tcPr>
          <w:p>
            <w:pPr>
              <w:spacing w:after="0"/>
              <w:rPr>
                <w:sz w:val="19"/>
                <w:szCs w:val="19"/>
                <w:color w:val="auto"/>
              </w:rPr>
            </w:pPr>
          </w:p>
        </w:tc>
        <w:tc>
          <w:tcPr>
            <w:tcW w:w="2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DBDBDB"/>
          </w:tcPr>
          <w:p>
            <w:pPr>
              <w:spacing w:after="0"/>
              <w:rPr>
                <w:sz w:val="19"/>
                <w:szCs w:val="19"/>
                <w:color w:val="auto"/>
              </w:rPr>
            </w:pPr>
          </w:p>
        </w:tc>
        <w:tc>
          <w:tcPr>
            <w:tcW w:w="220" w:type="dxa"/>
            <w:vAlign w:val="bottom"/>
            <w:shd w:val="clear" w:color="auto" w:fill="DBDBDB"/>
          </w:tcPr>
          <w:p>
            <w:pPr>
              <w:spacing w:after="0"/>
              <w:rPr>
                <w:sz w:val="19"/>
                <w:szCs w:val="19"/>
                <w:color w:val="auto"/>
              </w:rPr>
            </w:pPr>
          </w:p>
        </w:tc>
        <w:tc>
          <w:tcPr>
            <w:tcW w:w="88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(19)</w:t>
            </w:r>
          </w:p>
        </w:tc>
        <w:tc>
          <w:tcPr>
            <w:tcW w:w="120" w:type="dxa"/>
            <w:vAlign w:val="bottom"/>
            <w:shd w:val="clear" w:color="auto" w:fill="DBDBDB"/>
          </w:tcPr>
          <w:p>
            <w:pPr>
              <w:spacing w:after="0"/>
              <w:rPr>
                <w:sz w:val="19"/>
                <w:szCs w:val="19"/>
                <w:color w:val="auto"/>
              </w:rPr>
            </w:pPr>
          </w:p>
        </w:tc>
        <w:tc>
          <w:tcPr>
            <w:tcW w:w="240" w:type="dxa"/>
            <w:vAlign w:val="bottom"/>
            <w:shd w:val="clear" w:color="auto" w:fill="DBDBDB"/>
          </w:tcPr>
          <w:p>
            <w:pPr>
              <w:spacing w:after="0"/>
              <w:rPr>
                <w:sz w:val="19"/>
                <w:szCs w:val="19"/>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(18)</w:t>
            </w:r>
          </w:p>
        </w:tc>
      </w:tr>
      <w:tr>
        <w:trPr>
          <w:trHeight w:val="230"/>
        </w:trPr>
        <w:tc>
          <w:tcPr>
            <w:tcW w:w="4100" w:type="dxa"/>
            <w:vAlign w:val="bottom"/>
          </w:tcPr>
          <w:p>
            <w:pPr>
              <w:ind w:left="20"/>
              <w:spacing w:after="0"/>
              <w:rPr>
                <w:sz w:val="20"/>
                <w:szCs w:val="20"/>
                <w:color w:val="auto"/>
              </w:rPr>
            </w:pPr>
            <w:r>
              <w:rPr>
                <w:rFonts w:ascii="Arial" w:cs="Arial" w:eastAsia="Arial" w:hAnsi="Arial"/>
                <w:sz w:val="18"/>
                <w:szCs w:val="18"/>
                <w:color w:val="auto"/>
              </w:rPr>
              <w:t>Recognized net actuarial losses (gains)</w:t>
            </w:r>
          </w:p>
        </w:tc>
        <w:tc>
          <w:tcPr>
            <w:tcW w:w="78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800" w:type="dxa"/>
            <w:vAlign w:val="bottom"/>
          </w:tcPr>
          <w:p>
            <w:pPr>
              <w:spacing w:after="0"/>
              <w:rPr>
                <w:sz w:val="19"/>
                <w:szCs w:val="19"/>
                <w:color w:val="auto"/>
              </w:rPr>
            </w:pPr>
          </w:p>
        </w:tc>
        <w:tc>
          <w:tcPr>
            <w:tcW w:w="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30"/>
        </w:trPr>
        <w:tc>
          <w:tcPr>
            <w:tcW w:w="4100" w:type="dxa"/>
            <w:vAlign w:val="bottom"/>
            <w:shd w:val="clear" w:color="auto" w:fill="DBDBDB"/>
          </w:tcPr>
          <w:p>
            <w:pPr>
              <w:ind w:left="20"/>
              <w:spacing w:after="0"/>
              <w:rPr>
                <w:sz w:val="20"/>
                <w:szCs w:val="20"/>
                <w:color w:val="auto"/>
              </w:rPr>
            </w:pPr>
            <w:r>
              <w:rPr>
                <w:rFonts w:ascii="Arial" w:cs="Arial" w:eastAsia="Arial" w:hAnsi="Arial"/>
                <w:sz w:val="18"/>
                <w:szCs w:val="18"/>
                <w:color w:val="auto"/>
              </w:rPr>
              <w:t>Amortization of prior service cost (credit)</w:t>
            </w:r>
          </w:p>
        </w:tc>
        <w:tc>
          <w:tcPr>
            <w:tcW w:w="780" w:type="dxa"/>
            <w:vAlign w:val="bottom"/>
            <w:shd w:val="clear" w:color="auto" w:fill="DBDBDB"/>
          </w:tcPr>
          <w:p>
            <w:pPr>
              <w:spacing w:after="0"/>
              <w:rPr>
                <w:sz w:val="19"/>
                <w:szCs w:val="19"/>
                <w:color w:val="auto"/>
              </w:rPr>
            </w:pPr>
          </w:p>
        </w:tc>
        <w:tc>
          <w:tcPr>
            <w:tcW w:w="42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b w:val="1"/>
                <w:bCs w:val="1"/>
                <w:color w:val="auto"/>
              </w:rPr>
              <w:t>—</w:t>
            </w:r>
          </w:p>
        </w:tc>
        <w:tc>
          <w:tcPr>
            <w:tcW w:w="780" w:type="dxa"/>
            <w:vAlign w:val="bottom"/>
            <w:shd w:val="clear" w:color="auto" w:fill="DBDBDB"/>
          </w:tcPr>
          <w:p>
            <w:pPr>
              <w:spacing w:after="0"/>
              <w:rPr>
                <w:sz w:val="19"/>
                <w:szCs w:val="19"/>
                <w:color w:val="auto"/>
              </w:rPr>
            </w:pPr>
          </w:p>
        </w:tc>
        <w:tc>
          <w:tcPr>
            <w:tcW w:w="44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760" w:type="dxa"/>
            <w:vAlign w:val="bottom"/>
            <w:shd w:val="clear" w:color="auto" w:fill="DBDBDB"/>
          </w:tcPr>
          <w:p>
            <w:pPr>
              <w:spacing w:after="0"/>
              <w:rPr>
                <w:sz w:val="19"/>
                <w:szCs w:val="19"/>
                <w:color w:val="auto"/>
              </w:rPr>
            </w:pPr>
          </w:p>
        </w:tc>
        <w:tc>
          <w:tcPr>
            <w:tcW w:w="44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b w:val="1"/>
                <w:bCs w:val="1"/>
                <w:color w:val="auto"/>
              </w:rPr>
              <w:t>—</w:t>
            </w:r>
          </w:p>
        </w:tc>
        <w:tc>
          <w:tcPr>
            <w:tcW w:w="800" w:type="dxa"/>
            <w:vAlign w:val="bottom"/>
            <w:shd w:val="clear" w:color="auto" w:fill="DBDBDB"/>
          </w:tcPr>
          <w:p>
            <w:pPr>
              <w:spacing w:after="0"/>
              <w:rPr>
                <w:sz w:val="19"/>
                <w:szCs w:val="19"/>
                <w:color w:val="auto"/>
              </w:rPr>
            </w:pPr>
          </w:p>
        </w:tc>
        <w:tc>
          <w:tcPr>
            <w:tcW w:w="40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DBDBDB"/>
          </w:tcPr>
          <w:p>
            <w:pPr>
              <w:spacing w:after="0"/>
              <w:rPr>
                <w:sz w:val="19"/>
                <w:szCs w:val="19"/>
                <w:color w:val="auto"/>
              </w:rPr>
            </w:pPr>
          </w:p>
        </w:tc>
        <w:tc>
          <w:tcPr>
            <w:tcW w:w="88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w:t>
            </w:r>
          </w:p>
        </w:tc>
        <w:tc>
          <w:tcPr>
            <w:tcW w:w="120" w:type="dxa"/>
            <w:vAlign w:val="bottom"/>
            <w:shd w:val="clear" w:color="auto" w:fill="DBDBDB"/>
          </w:tcPr>
          <w:p>
            <w:pPr>
              <w:spacing w:after="0"/>
              <w:rPr>
                <w:sz w:val="19"/>
                <w:szCs w:val="19"/>
                <w:color w:val="auto"/>
              </w:rPr>
            </w:pPr>
          </w:p>
        </w:tc>
        <w:tc>
          <w:tcPr>
            <w:tcW w:w="240" w:type="dxa"/>
            <w:vAlign w:val="bottom"/>
            <w:shd w:val="clear" w:color="auto" w:fill="DBDBDB"/>
          </w:tcPr>
          <w:p>
            <w:pPr>
              <w:spacing w:after="0"/>
              <w:rPr>
                <w:sz w:val="19"/>
                <w:szCs w:val="19"/>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4100" w:type="dxa"/>
            <w:vAlign w:val="bottom"/>
          </w:tcPr>
          <w:p>
            <w:pPr>
              <w:ind w:left="20"/>
              <w:spacing w:after="0"/>
              <w:rPr>
                <w:sz w:val="20"/>
                <w:szCs w:val="20"/>
                <w:color w:val="auto"/>
              </w:rPr>
            </w:pPr>
            <w:r>
              <w:rPr>
                <w:rFonts w:ascii="Arial" w:cs="Arial" w:eastAsia="Arial" w:hAnsi="Arial"/>
                <w:sz w:val="18"/>
                <w:szCs w:val="18"/>
                <w:color w:val="auto"/>
              </w:rPr>
              <w:t>Net periodic benefit costs (credits)</w:t>
            </w:r>
          </w:p>
        </w:tc>
        <w:tc>
          <w:tcPr>
            <w:tcW w:w="780" w:type="dxa"/>
            <w:vAlign w:val="bottom"/>
            <w:tcBorders>
              <w:top w:val="single" w:sz="8" w:color="auto"/>
              <w:bottom w:val="single" w:sz="8" w:color="auto"/>
            </w:tcBorders>
          </w:tcPr>
          <w:p>
            <w:pPr>
              <w:jc w:val="right"/>
              <w:ind w:right="579"/>
              <w:spacing w:after="0"/>
              <w:rPr>
                <w:sz w:val="20"/>
                <w:szCs w:val="20"/>
                <w:color w:val="auto"/>
              </w:rPr>
            </w:pPr>
            <w:r>
              <w:rPr>
                <w:rFonts w:ascii="Arial" w:cs="Arial" w:eastAsia="Arial" w:hAnsi="Arial"/>
                <w:sz w:val="18"/>
                <w:szCs w:val="18"/>
                <w:b w:val="1"/>
                <w:bCs w:val="1"/>
                <w:color w:val="auto"/>
                <w:w w:val="99"/>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w:t>
            </w:r>
          </w:p>
        </w:tc>
        <w:tc>
          <w:tcPr>
            <w:tcW w:w="10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ind w:right="576"/>
              <w:spacing w:after="0"/>
              <w:rPr>
                <w:sz w:val="20"/>
                <w:szCs w:val="20"/>
                <w:color w:val="auto"/>
              </w:rPr>
            </w:pPr>
            <w:r>
              <w:rPr>
                <w:rFonts w:ascii="Arial" w:cs="Arial" w:eastAsia="Arial" w:hAnsi="Arial"/>
                <w:sz w:val="18"/>
                <w:szCs w:val="18"/>
                <w:color w:val="auto"/>
                <w:w w:val="99"/>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9"/>
                <w:szCs w:val="19"/>
                <w:color w:val="auto"/>
              </w:rPr>
            </w:pPr>
          </w:p>
        </w:tc>
        <w:tc>
          <w:tcPr>
            <w:tcW w:w="760" w:type="dxa"/>
            <w:vAlign w:val="bottom"/>
            <w:tcBorders>
              <w:top w:val="single" w:sz="8" w:color="auto"/>
              <w:bottom w:val="single" w:sz="8" w:color="auto"/>
            </w:tcBorders>
          </w:tcPr>
          <w:p>
            <w:pPr>
              <w:jc w:val="right"/>
              <w:ind w:right="559"/>
              <w:spacing w:after="0"/>
              <w:rPr>
                <w:sz w:val="20"/>
                <w:szCs w:val="20"/>
                <w:color w:val="auto"/>
              </w:rPr>
            </w:pPr>
            <w:r>
              <w:rPr>
                <w:rFonts w:ascii="Arial" w:cs="Arial" w:eastAsia="Arial" w:hAnsi="Arial"/>
                <w:sz w:val="18"/>
                <w:szCs w:val="18"/>
                <w:b w:val="1"/>
                <w:bCs w:val="1"/>
                <w:color w:val="auto"/>
                <w:w w:val="99"/>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9"/>
                <w:szCs w:val="19"/>
                <w:color w:val="auto"/>
              </w:rPr>
            </w:pPr>
          </w:p>
        </w:tc>
        <w:tc>
          <w:tcPr>
            <w:tcW w:w="800" w:type="dxa"/>
            <w:vAlign w:val="bottom"/>
            <w:tcBorders>
              <w:top w:val="single" w:sz="8" w:color="auto"/>
              <w:bottom w:val="single" w:sz="8" w:color="auto"/>
            </w:tcBorders>
          </w:tcPr>
          <w:p>
            <w:pPr>
              <w:jc w:val="right"/>
              <w:ind w:right="596"/>
              <w:spacing w:after="0"/>
              <w:rPr>
                <w:sz w:val="20"/>
                <w:szCs w:val="20"/>
                <w:color w:val="auto"/>
              </w:rPr>
            </w:pPr>
            <w:r>
              <w:rPr>
                <w:rFonts w:ascii="Arial" w:cs="Arial" w:eastAsia="Arial" w:hAnsi="Arial"/>
                <w:sz w:val="18"/>
                <w:szCs w:val="18"/>
                <w:color w:val="auto"/>
                <w:w w:val="99"/>
              </w:rPr>
              <w:t>$</w:t>
            </w:r>
          </w:p>
        </w:tc>
        <w:tc>
          <w:tcPr>
            <w:tcW w:w="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w:t>
            </w:r>
          </w:p>
        </w:tc>
        <w:tc>
          <w:tcPr>
            <w:tcW w:w="1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w:t>
            </w:r>
          </w:p>
        </w:tc>
      </w:tr>
      <w:tr>
        <w:trPr>
          <w:trHeight w:val="20"/>
        </w:trPr>
        <w:tc>
          <w:tcPr>
            <w:tcW w:w="4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6. </w:t>
      </w:r>
      <w:r>
        <w:rPr>
          <w:rFonts w:ascii="Arial" w:cs="Arial" w:eastAsia="Arial" w:hAnsi="Arial"/>
          <w:sz w:val="18"/>
          <w:szCs w:val="18"/>
          <w:u w:val="single" w:color="auto"/>
          <w:color w:val="auto"/>
        </w:rPr>
        <w:t>Debt and lines of credit</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Short-term borrowings</w:t>
      </w:r>
    </w:p>
    <w:p>
      <w:pPr>
        <w:spacing w:after="0" w:line="223"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maintain a line of credit to provide additional liquidity through bank loans and, if necessary, to support commercial paper borrowings. As of March 31, 2026, the aforementioned line of credit was a variable-rate, revolving credit facility from a consortium of investment-grade banks that allows us to borrow up to $1 billion until March 2027. The interest rate on borrowings under this credit facility, if drawn, is indexed to the applicable Term Secured Overnight Financing Rate (Term SOFR). As of March 31, 2026, our credit facility was undrawn, and we had no commercial paper outstanding.</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color w:val="auto"/>
        </w:rPr>
        <w:t>Long-term debt outstanding is as follows: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80" w:type="dxa"/>
            <w:vAlign w:val="bottom"/>
            <w:gridSpan w:val="2"/>
          </w:tcPr>
          <w:p>
            <w:pPr>
              <w:ind w:left="140"/>
              <w:spacing w:after="0"/>
              <w:rPr>
                <w:sz w:val="20"/>
                <w:szCs w:val="20"/>
                <w:color w:val="auto"/>
              </w:rPr>
            </w:pPr>
            <w:r>
              <w:rPr>
                <w:rFonts w:ascii="Arial" w:cs="Arial" w:eastAsia="Arial" w:hAnsi="Arial"/>
                <w:sz w:val="14"/>
                <w:szCs w:val="14"/>
                <w:b w:val="1"/>
                <w:bCs w:val="1"/>
                <w:color w:val="auto"/>
              </w:rPr>
              <w:t>March 31,</w:t>
            </w:r>
          </w:p>
        </w:tc>
        <w:tc>
          <w:tcPr>
            <w:tcW w:w="180" w:type="dxa"/>
            <w:vAlign w:val="bottom"/>
          </w:tcPr>
          <w:p>
            <w:pPr>
              <w:spacing w:after="0"/>
              <w:rPr>
                <w:sz w:val="17"/>
                <w:szCs w:val="17"/>
                <w:color w:val="auto"/>
              </w:rPr>
            </w:pPr>
          </w:p>
        </w:tc>
        <w:tc>
          <w:tcPr>
            <w:tcW w:w="1220" w:type="dxa"/>
            <w:vAlign w:val="bottom"/>
          </w:tcPr>
          <w:p>
            <w:pPr>
              <w:jc w:val="right"/>
              <w:ind w:right="151"/>
              <w:spacing w:after="0"/>
              <w:rPr>
                <w:sz w:val="20"/>
                <w:szCs w:val="20"/>
                <w:color w:val="auto"/>
              </w:rPr>
            </w:pPr>
            <w:r>
              <w:rPr>
                <w:rFonts w:ascii="Arial" w:cs="Arial" w:eastAsia="Arial" w:hAnsi="Arial"/>
                <w:sz w:val="14"/>
                <w:szCs w:val="14"/>
                <w:b w:val="1"/>
                <w:bCs w:val="1"/>
                <w:color w:val="auto"/>
              </w:rPr>
              <w:t>December 31,</w:t>
            </w:r>
          </w:p>
        </w:tc>
      </w:tr>
      <w:tr>
        <w:trPr>
          <w:trHeight w:val="203"/>
        </w:trPr>
        <w:tc>
          <w:tcPr>
            <w:tcW w:w="8320" w:type="dxa"/>
            <w:vAlign w:val="bottom"/>
            <w:tcBorders>
              <w:bottom w:val="single" w:sz="8" w:color="DBDBDB"/>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2026</w:t>
            </w:r>
          </w:p>
        </w:tc>
        <w:tc>
          <w:tcPr>
            <w:tcW w:w="120" w:type="dxa"/>
            <w:vAlign w:val="bottom"/>
            <w:tcBorders>
              <w:bottom w:val="single" w:sz="8" w:color="DBDBDB"/>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2025</w:t>
            </w:r>
          </w:p>
        </w:tc>
      </w:tr>
      <w:tr>
        <w:trPr>
          <w:trHeight w:val="224"/>
        </w:trPr>
        <w:tc>
          <w:tcPr>
            <w:tcW w:w="8320" w:type="dxa"/>
            <w:vAlign w:val="bottom"/>
            <w:shd w:val="clear" w:color="auto" w:fill="DBDBDB"/>
          </w:tcPr>
          <w:p>
            <w:pPr>
              <w:ind w:left="20"/>
              <w:spacing w:after="0"/>
              <w:rPr>
                <w:sz w:val="20"/>
                <w:szCs w:val="20"/>
                <w:color w:val="auto"/>
              </w:rPr>
            </w:pPr>
            <w:r>
              <w:rPr>
                <w:rFonts w:ascii="Arial" w:cs="Arial" w:eastAsia="Arial" w:hAnsi="Arial"/>
                <w:sz w:val="18"/>
                <w:szCs w:val="18"/>
                <w:color w:val="auto"/>
              </w:rPr>
              <w:t>Notes due 2026 at 1.125%</w:t>
            </w:r>
          </w:p>
        </w:tc>
        <w:tc>
          <w:tcPr>
            <w:tcW w:w="240" w:type="dxa"/>
            <w:vAlign w:val="bottom"/>
            <w:shd w:val="clear" w:color="auto" w:fill="DBDBDB"/>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16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500</w:t>
            </w:r>
          </w:p>
        </w:tc>
        <w:tc>
          <w:tcPr>
            <w:tcW w:w="120" w:type="dxa"/>
            <w:vAlign w:val="bottom"/>
            <w:shd w:val="clear" w:color="auto" w:fill="DBDBDB"/>
          </w:tcPr>
          <w:p>
            <w:pPr>
              <w:spacing w:after="0"/>
              <w:rPr>
                <w:sz w:val="19"/>
                <w:szCs w:val="19"/>
                <w:color w:val="auto"/>
              </w:rPr>
            </w:pPr>
          </w:p>
        </w:tc>
        <w:tc>
          <w:tcPr>
            <w:tcW w:w="18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500</w:t>
            </w:r>
          </w:p>
        </w:tc>
      </w:tr>
      <w:tr>
        <w:trPr>
          <w:trHeight w:val="229"/>
        </w:trPr>
        <w:tc>
          <w:tcPr>
            <w:tcW w:w="8320" w:type="dxa"/>
            <w:vAlign w:val="bottom"/>
          </w:tcPr>
          <w:p>
            <w:pPr>
              <w:ind w:left="20"/>
              <w:spacing w:after="0"/>
              <w:rPr>
                <w:sz w:val="20"/>
                <w:szCs w:val="20"/>
                <w:color w:val="auto"/>
              </w:rPr>
            </w:pPr>
            <w:r>
              <w:rPr>
                <w:rFonts w:ascii="Arial" w:cs="Arial" w:eastAsia="Arial" w:hAnsi="Arial"/>
                <w:sz w:val="18"/>
                <w:szCs w:val="18"/>
                <w:color w:val="auto"/>
              </w:rPr>
              <w:t>Notes due 2027 at 4.60%</w:t>
            </w: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650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650</w:t>
            </w:r>
          </w:p>
        </w:tc>
      </w:tr>
      <w:tr>
        <w:trPr>
          <w:trHeight w:val="230"/>
        </w:trPr>
        <w:tc>
          <w:tcPr>
            <w:tcW w:w="8320" w:type="dxa"/>
            <w:vAlign w:val="bottom"/>
            <w:shd w:val="clear" w:color="auto" w:fill="DBDBDB"/>
          </w:tcPr>
          <w:p>
            <w:pPr>
              <w:ind w:left="20"/>
              <w:spacing w:after="0"/>
              <w:rPr>
                <w:sz w:val="20"/>
                <w:szCs w:val="20"/>
                <w:color w:val="auto"/>
              </w:rPr>
            </w:pPr>
            <w:r>
              <w:rPr>
                <w:rFonts w:ascii="Arial" w:cs="Arial" w:eastAsia="Arial" w:hAnsi="Arial"/>
                <w:sz w:val="18"/>
                <w:szCs w:val="18"/>
                <w:color w:val="auto"/>
              </w:rPr>
              <w:t>Notes due 2027 at 2.90%</w:t>
            </w:r>
          </w:p>
        </w:tc>
        <w:tc>
          <w:tcPr>
            <w:tcW w:w="240" w:type="dxa"/>
            <w:vAlign w:val="bottom"/>
            <w:shd w:val="clear" w:color="auto" w:fill="DBDBDB"/>
          </w:tcPr>
          <w:p>
            <w:pPr>
              <w:spacing w:after="0"/>
              <w:rPr>
                <w:sz w:val="19"/>
                <w:szCs w:val="19"/>
                <w:color w:val="auto"/>
              </w:rPr>
            </w:pPr>
          </w:p>
        </w:tc>
        <w:tc>
          <w:tcPr>
            <w:tcW w:w="116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500</w:t>
            </w:r>
          </w:p>
        </w:tc>
        <w:tc>
          <w:tcPr>
            <w:tcW w:w="12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2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500</w:t>
            </w:r>
          </w:p>
        </w:tc>
      </w:tr>
      <w:tr>
        <w:trPr>
          <w:trHeight w:val="229"/>
        </w:trPr>
        <w:tc>
          <w:tcPr>
            <w:tcW w:w="8320" w:type="dxa"/>
            <w:vAlign w:val="bottom"/>
          </w:tcPr>
          <w:p>
            <w:pPr>
              <w:ind w:left="20"/>
              <w:spacing w:after="0"/>
              <w:rPr>
                <w:sz w:val="20"/>
                <w:szCs w:val="20"/>
                <w:color w:val="auto"/>
              </w:rPr>
            </w:pPr>
            <w:r>
              <w:rPr>
                <w:rFonts w:ascii="Arial" w:cs="Arial" w:eastAsia="Arial" w:hAnsi="Arial"/>
                <w:sz w:val="18"/>
                <w:szCs w:val="18"/>
                <w:color w:val="auto"/>
              </w:rPr>
              <w:t>Notes due 2028 at 4.60%</w:t>
            </w: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700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700</w:t>
            </w:r>
          </w:p>
        </w:tc>
      </w:tr>
      <w:tr>
        <w:trPr>
          <w:trHeight w:val="230"/>
        </w:trPr>
        <w:tc>
          <w:tcPr>
            <w:tcW w:w="8320" w:type="dxa"/>
            <w:vAlign w:val="bottom"/>
            <w:shd w:val="clear" w:color="auto" w:fill="DBDBDB"/>
          </w:tcPr>
          <w:p>
            <w:pPr>
              <w:ind w:left="20"/>
              <w:spacing w:after="0"/>
              <w:rPr>
                <w:sz w:val="20"/>
                <w:szCs w:val="20"/>
                <w:color w:val="auto"/>
              </w:rPr>
            </w:pPr>
            <w:r>
              <w:rPr>
                <w:rFonts w:ascii="Arial" w:cs="Arial" w:eastAsia="Arial" w:hAnsi="Arial"/>
                <w:sz w:val="18"/>
                <w:szCs w:val="18"/>
                <w:color w:val="auto"/>
              </w:rPr>
              <w:t>Notes due 2029 at 4.60%</w:t>
            </w:r>
          </w:p>
        </w:tc>
        <w:tc>
          <w:tcPr>
            <w:tcW w:w="240" w:type="dxa"/>
            <w:vAlign w:val="bottom"/>
            <w:shd w:val="clear" w:color="auto" w:fill="DBDBDB"/>
          </w:tcPr>
          <w:p>
            <w:pPr>
              <w:spacing w:after="0"/>
              <w:rPr>
                <w:sz w:val="19"/>
                <w:szCs w:val="19"/>
                <w:color w:val="auto"/>
              </w:rPr>
            </w:pPr>
          </w:p>
        </w:tc>
        <w:tc>
          <w:tcPr>
            <w:tcW w:w="116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650</w:t>
            </w:r>
          </w:p>
        </w:tc>
        <w:tc>
          <w:tcPr>
            <w:tcW w:w="12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2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650</w:t>
            </w:r>
          </w:p>
        </w:tc>
      </w:tr>
      <w:tr>
        <w:trPr>
          <w:trHeight w:val="229"/>
        </w:trPr>
        <w:tc>
          <w:tcPr>
            <w:tcW w:w="8320" w:type="dxa"/>
            <w:vAlign w:val="bottom"/>
          </w:tcPr>
          <w:p>
            <w:pPr>
              <w:ind w:left="20"/>
              <w:spacing w:after="0"/>
              <w:rPr>
                <w:sz w:val="20"/>
                <w:szCs w:val="20"/>
                <w:color w:val="auto"/>
              </w:rPr>
            </w:pPr>
            <w:r>
              <w:rPr>
                <w:rFonts w:ascii="Arial" w:cs="Arial" w:eastAsia="Arial" w:hAnsi="Arial"/>
                <w:sz w:val="18"/>
                <w:szCs w:val="18"/>
                <w:color w:val="auto"/>
              </w:rPr>
              <w:t>Notes due 2029 at 2.25%</w:t>
            </w: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750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750</w:t>
            </w:r>
          </w:p>
        </w:tc>
      </w:tr>
      <w:tr>
        <w:trPr>
          <w:trHeight w:val="229"/>
        </w:trPr>
        <w:tc>
          <w:tcPr>
            <w:tcW w:w="8320" w:type="dxa"/>
            <w:vAlign w:val="bottom"/>
            <w:shd w:val="clear" w:color="auto" w:fill="DBDBDB"/>
          </w:tcPr>
          <w:p>
            <w:pPr>
              <w:ind w:left="20"/>
              <w:spacing w:after="0"/>
              <w:rPr>
                <w:sz w:val="20"/>
                <w:szCs w:val="20"/>
                <w:color w:val="auto"/>
              </w:rPr>
            </w:pPr>
            <w:r>
              <w:rPr>
                <w:rFonts w:ascii="Arial" w:cs="Arial" w:eastAsia="Arial" w:hAnsi="Arial"/>
                <w:sz w:val="18"/>
                <w:szCs w:val="18"/>
                <w:color w:val="auto"/>
              </w:rPr>
              <w:t>Notes due 2030 at 1.75%</w:t>
            </w:r>
          </w:p>
        </w:tc>
        <w:tc>
          <w:tcPr>
            <w:tcW w:w="240" w:type="dxa"/>
            <w:vAlign w:val="bottom"/>
            <w:shd w:val="clear" w:color="auto" w:fill="DBDBDB"/>
          </w:tcPr>
          <w:p>
            <w:pPr>
              <w:spacing w:after="0"/>
              <w:rPr>
                <w:sz w:val="19"/>
                <w:szCs w:val="19"/>
                <w:color w:val="auto"/>
              </w:rPr>
            </w:pPr>
          </w:p>
        </w:tc>
        <w:tc>
          <w:tcPr>
            <w:tcW w:w="116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750</w:t>
            </w:r>
          </w:p>
        </w:tc>
        <w:tc>
          <w:tcPr>
            <w:tcW w:w="12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2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750</w:t>
            </w:r>
          </w:p>
        </w:tc>
      </w:tr>
      <w:tr>
        <w:trPr>
          <w:trHeight w:val="230"/>
        </w:trPr>
        <w:tc>
          <w:tcPr>
            <w:tcW w:w="8320" w:type="dxa"/>
            <w:vAlign w:val="bottom"/>
          </w:tcPr>
          <w:p>
            <w:pPr>
              <w:ind w:left="20"/>
              <w:spacing w:after="0"/>
              <w:rPr>
                <w:sz w:val="20"/>
                <w:szCs w:val="20"/>
                <w:color w:val="auto"/>
              </w:rPr>
            </w:pPr>
            <w:r>
              <w:rPr>
                <w:rFonts w:ascii="Arial" w:cs="Arial" w:eastAsia="Arial" w:hAnsi="Arial"/>
                <w:sz w:val="18"/>
                <w:szCs w:val="18"/>
                <w:color w:val="auto"/>
              </w:rPr>
              <w:t>Notes due 2030 at 4.50%</w:t>
            </w: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550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550</w:t>
            </w:r>
          </w:p>
        </w:tc>
      </w:tr>
      <w:tr>
        <w:trPr>
          <w:trHeight w:val="229"/>
        </w:trPr>
        <w:tc>
          <w:tcPr>
            <w:tcW w:w="8320" w:type="dxa"/>
            <w:vAlign w:val="bottom"/>
            <w:shd w:val="clear" w:color="auto" w:fill="DBDBDB"/>
          </w:tcPr>
          <w:p>
            <w:pPr>
              <w:ind w:left="20"/>
              <w:spacing w:after="0"/>
              <w:rPr>
                <w:sz w:val="20"/>
                <w:szCs w:val="20"/>
                <w:color w:val="auto"/>
              </w:rPr>
            </w:pPr>
            <w:r>
              <w:rPr>
                <w:rFonts w:ascii="Arial" w:cs="Arial" w:eastAsia="Arial" w:hAnsi="Arial"/>
                <w:sz w:val="18"/>
                <w:szCs w:val="18"/>
                <w:color w:val="auto"/>
              </w:rPr>
              <w:t>Notes due 2031 at 1.90%</w:t>
            </w:r>
          </w:p>
        </w:tc>
        <w:tc>
          <w:tcPr>
            <w:tcW w:w="240" w:type="dxa"/>
            <w:vAlign w:val="bottom"/>
            <w:shd w:val="clear" w:color="auto" w:fill="DBDBDB"/>
          </w:tcPr>
          <w:p>
            <w:pPr>
              <w:spacing w:after="0"/>
              <w:rPr>
                <w:sz w:val="19"/>
                <w:szCs w:val="19"/>
                <w:color w:val="auto"/>
              </w:rPr>
            </w:pPr>
          </w:p>
        </w:tc>
        <w:tc>
          <w:tcPr>
            <w:tcW w:w="116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500</w:t>
            </w:r>
          </w:p>
        </w:tc>
        <w:tc>
          <w:tcPr>
            <w:tcW w:w="12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2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500</w:t>
            </w:r>
          </w:p>
        </w:tc>
      </w:tr>
      <w:tr>
        <w:trPr>
          <w:trHeight w:val="229"/>
        </w:trPr>
        <w:tc>
          <w:tcPr>
            <w:tcW w:w="8320" w:type="dxa"/>
            <w:vAlign w:val="bottom"/>
          </w:tcPr>
          <w:p>
            <w:pPr>
              <w:ind w:left="20"/>
              <w:spacing w:after="0"/>
              <w:rPr>
                <w:sz w:val="20"/>
                <w:szCs w:val="20"/>
                <w:color w:val="auto"/>
              </w:rPr>
            </w:pPr>
            <w:r>
              <w:rPr>
                <w:rFonts w:ascii="Arial" w:cs="Arial" w:eastAsia="Arial" w:hAnsi="Arial"/>
                <w:sz w:val="18"/>
                <w:szCs w:val="18"/>
                <w:color w:val="auto"/>
              </w:rPr>
              <w:t>Notes due 2032 at 3.65%</w:t>
            </w: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400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400</w:t>
            </w:r>
          </w:p>
        </w:tc>
      </w:tr>
      <w:tr>
        <w:trPr>
          <w:trHeight w:val="230"/>
        </w:trPr>
        <w:tc>
          <w:tcPr>
            <w:tcW w:w="8320" w:type="dxa"/>
            <w:vAlign w:val="bottom"/>
            <w:shd w:val="clear" w:color="auto" w:fill="DBDBDB"/>
          </w:tcPr>
          <w:p>
            <w:pPr>
              <w:ind w:left="20"/>
              <w:spacing w:after="0"/>
              <w:rPr>
                <w:sz w:val="20"/>
                <w:szCs w:val="20"/>
                <w:color w:val="auto"/>
              </w:rPr>
            </w:pPr>
            <w:r>
              <w:rPr>
                <w:rFonts w:ascii="Arial" w:cs="Arial" w:eastAsia="Arial" w:hAnsi="Arial"/>
                <w:sz w:val="18"/>
                <w:szCs w:val="18"/>
                <w:color w:val="auto"/>
              </w:rPr>
              <w:t>Notes due 2033 at 4.90%</w:t>
            </w:r>
          </w:p>
        </w:tc>
        <w:tc>
          <w:tcPr>
            <w:tcW w:w="240" w:type="dxa"/>
            <w:vAlign w:val="bottom"/>
            <w:shd w:val="clear" w:color="auto" w:fill="DBDBDB"/>
          </w:tcPr>
          <w:p>
            <w:pPr>
              <w:spacing w:after="0"/>
              <w:rPr>
                <w:sz w:val="19"/>
                <w:szCs w:val="19"/>
                <w:color w:val="auto"/>
              </w:rPr>
            </w:pPr>
          </w:p>
        </w:tc>
        <w:tc>
          <w:tcPr>
            <w:tcW w:w="116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950</w:t>
            </w:r>
          </w:p>
        </w:tc>
        <w:tc>
          <w:tcPr>
            <w:tcW w:w="12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2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950</w:t>
            </w:r>
          </w:p>
        </w:tc>
      </w:tr>
      <w:tr>
        <w:trPr>
          <w:trHeight w:val="229"/>
        </w:trPr>
        <w:tc>
          <w:tcPr>
            <w:tcW w:w="8320" w:type="dxa"/>
            <w:vAlign w:val="bottom"/>
          </w:tcPr>
          <w:p>
            <w:pPr>
              <w:ind w:left="20"/>
              <w:spacing w:after="0"/>
              <w:rPr>
                <w:sz w:val="20"/>
                <w:szCs w:val="20"/>
                <w:color w:val="auto"/>
              </w:rPr>
            </w:pPr>
            <w:r>
              <w:rPr>
                <w:rFonts w:ascii="Arial" w:cs="Arial" w:eastAsia="Arial" w:hAnsi="Arial"/>
                <w:sz w:val="18"/>
                <w:szCs w:val="18"/>
                <w:color w:val="auto"/>
              </w:rPr>
              <w:t>Notes due 2034 at 4.85%</w:t>
            </w: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600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600</w:t>
            </w:r>
          </w:p>
        </w:tc>
      </w:tr>
      <w:tr>
        <w:trPr>
          <w:trHeight w:val="230"/>
        </w:trPr>
        <w:tc>
          <w:tcPr>
            <w:tcW w:w="8320" w:type="dxa"/>
            <w:vAlign w:val="bottom"/>
            <w:shd w:val="clear" w:color="auto" w:fill="DBDBDB"/>
          </w:tcPr>
          <w:p>
            <w:pPr>
              <w:ind w:left="20"/>
              <w:spacing w:after="0"/>
              <w:rPr>
                <w:sz w:val="20"/>
                <w:szCs w:val="20"/>
                <w:color w:val="auto"/>
              </w:rPr>
            </w:pPr>
            <w:r>
              <w:rPr>
                <w:rFonts w:ascii="Arial" w:cs="Arial" w:eastAsia="Arial" w:hAnsi="Arial"/>
                <w:sz w:val="18"/>
                <w:szCs w:val="18"/>
                <w:color w:val="auto"/>
              </w:rPr>
              <w:t>Notes due 2035 at 5.10%</w:t>
            </w:r>
          </w:p>
        </w:tc>
        <w:tc>
          <w:tcPr>
            <w:tcW w:w="240" w:type="dxa"/>
            <w:vAlign w:val="bottom"/>
            <w:shd w:val="clear" w:color="auto" w:fill="DBDBDB"/>
          </w:tcPr>
          <w:p>
            <w:pPr>
              <w:spacing w:after="0"/>
              <w:rPr>
                <w:sz w:val="19"/>
                <w:szCs w:val="19"/>
                <w:color w:val="auto"/>
              </w:rPr>
            </w:pPr>
          </w:p>
        </w:tc>
        <w:tc>
          <w:tcPr>
            <w:tcW w:w="116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650</w:t>
            </w:r>
          </w:p>
        </w:tc>
        <w:tc>
          <w:tcPr>
            <w:tcW w:w="12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2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650</w:t>
            </w:r>
          </w:p>
        </w:tc>
      </w:tr>
      <w:tr>
        <w:trPr>
          <w:trHeight w:val="229"/>
        </w:trPr>
        <w:tc>
          <w:tcPr>
            <w:tcW w:w="8320" w:type="dxa"/>
            <w:vAlign w:val="bottom"/>
          </w:tcPr>
          <w:p>
            <w:pPr>
              <w:ind w:left="20"/>
              <w:spacing w:after="0"/>
              <w:rPr>
                <w:sz w:val="20"/>
                <w:szCs w:val="20"/>
                <w:color w:val="auto"/>
              </w:rPr>
            </w:pPr>
            <w:r>
              <w:rPr>
                <w:rFonts w:ascii="Arial" w:cs="Arial" w:eastAsia="Arial" w:hAnsi="Arial"/>
                <w:sz w:val="18"/>
                <w:szCs w:val="18"/>
                <w:color w:val="auto"/>
              </w:rPr>
              <w:t>Notes due 2039 at 3.875%</w:t>
            </w: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750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750</w:t>
            </w:r>
          </w:p>
        </w:tc>
      </w:tr>
      <w:tr>
        <w:trPr>
          <w:trHeight w:val="229"/>
        </w:trPr>
        <w:tc>
          <w:tcPr>
            <w:tcW w:w="8320" w:type="dxa"/>
            <w:vAlign w:val="bottom"/>
            <w:shd w:val="clear" w:color="auto" w:fill="DBDBDB"/>
          </w:tcPr>
          <w:p>
            <w:pPr>
              <w:ind w:left="20"/>
              <w:spacing w:after="0"/>
              <w:rPr>
                <w:sz w:val="20"/>
                <w:szCs w:val="20"/>
                <w:color w:val="auto"/>
              </w:rPr>
            </w:pPr>
            <w:r>
              <w:rPr>
                <w:rFonts w:ascii="Arial" w:cs="Arial" w:eastAsia="Arial" w:hAnsi="Arial"/>
                <w:sz w:val="18"/>
                <w:szCs w:val="18"/>
                <w:color w:val="auto"/>
              </w:rPr>
              <w:t>Notes due 2048 at 4.15%</w:t>
            </w:r>
          </w:p>
        </w:tc>
        <w:tc>
          <w:tcPr>
            <w:tcW w:w="240" w:type="dxa"/>
            <w:vAlign w:val="bottom"/>
            <w:shd w:val="clear" w:color="auto" w:fill="DBDBDB"/>
          </w:tcPr>
          <w:p>
            <w:pPr>
              <w:spacing w:after="0"/>
              <w:rPr>
                <w:sz w:val="19"/>
                <w:szCs w:val="19"/>
                <w:color w:val="auto"/>
              </w:rPr>
            </w:pPr>
          </w:p>
        </w:tc>
        <w:tc>
          <w:tcPr>
            <w:tcW w:w="116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1,500</w:t>
            </w:r>
          </w:p>
        </w:tc>
        <w:tc>
          <w:tcPr>
            <w:tcW w:w="12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2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1,500</w:t>
            </w:r>
          </w:p>
        </w:tc>
      </w:tr>
      <w:tr>
        <w:trPr>
          <w:trHeight w:val="230"/>
        </w:trPr>
        <w:tc>
          <w:tcPr>
            <w:tcW w:w="8320" w:type="dxa"/>
            <w:vAlign w:val="bottom"/>
          </w:tcPr>
          <w:p>
            <w:pPr>
              <w:ind w:left="20"/>
              <w:spacing w:after="0"/>
              <w:rPr>
                <w:sz w:val="20"/>
                <w:szCs w:val="20"/>
                <w:color w:val="auto"/>
              </w:rPr>
            </w:pPr>
            <w:r>
              <w:rPr>
                <w:rFonts w:ascii="Arial" w:cs="Arial" w:eastAsia="Arial" w:hAnsi="Arial"/>
                <w:sz w:val="18"/>
                <w:szCs w:val="18"/>
                <w:color w:val="auto"/>
              </w:rPr>
              <w:t>Notes due 2051 at 2.70%</w:t>
            </w: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500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500</w:t>
            </w:r>
          </w:p>
        </w:tc>
      </w:tr>
      <w:tr>
        <w:trPr>
          <w:trHeight w:val="229"/>
        </w:trPr>
        <w:tc>
          <w:tcPr>
            <w:tcW w:w="8320" w:type="dxa"/>
            <w:vAlign w:val="bottom"/>
            <w:shd w:val="clear" w:color="auto" w:fill="DBDBDB"/>
          </w:tcPr>
          <w:p>
            <w:pPr>
              <w:ind w:left="20"/>
              <w:spacing w:after="0"/>
              <w:rPr>
                <w:sz w:val="20"/>
                <w:szCs w:val="20"/>
                <w:color w:val="auto"/>
              </w:rPr>
            </w:pPr>
            <w:r>
              <w:rPr>
                <w:rFonts w:ascii="Arial" w:cs="Arial" w:eastAsia="Arial" w:hAnsi="Arial"/>
                <w:sz w:val="18"/>
                <w:szCs w:val="18"/>
                <w:color w:val="auto"/>
              </w:rPr>
              <w:t>Notes due 2052 at 4.10%</w:t>
            </w:r>
          </w:p>
        </w:tc>
        <w:tc>
          <w:tcPr>
            <w:tcW w:w="240" w:type="dxa"/>
            <w:vAlign w:val="bottom"/>
            <w:shd w:val="clear" w:color="auto" w:fill="DBDBDB"/>
          </w:tcPr>
          <w:p>
            <w:pPr>
              <w:spacing w:after="0"/>
              <w:rPr>
                <w:sz w:val="19"/>
                <w:szCs w:val="19"/>
                <w:color w:val="auto"/>
              </w:rPr>
            </w:pPr>
          </w:p>
        </w:tc>
        <w:tc>
          <w:tcPr>
            <w:tcW w:w="116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300</w:t>
            </w:r>
          </w:p>
        </w:tc>
        <w:tc>
          <w:tcPr>
            <w:tcW w:w="12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2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300</w:t>
            </w:r>
          </w:p>
        </w:tc>
      </w:tr>
      <w:tr>
        <w:trPr>
          <w:trHeight w:val="229"/>
        </w:trPr>
        <w:tc>
          <w:tcPr>
            <w:tcW w:w="8320" w:type="dxa"/>
            <w:vAlign w:val="bottom"/>
          </w:tcPr>
          <w:p>
            <w:pPr>
              <w:ind w:left="20"/>
              <w:spacing w:after="0"/>
              <w:rPr>
                <w:sz w:val="20"/>
                <w:szCs w:val="20"/>
                <w:color w:val="auto"/>
              </w:rPr>
            </w:pPr>
            <w:r>
              <w:rPr>
                <w:rFonts w:ascii="Arial" w:cs="Arial" w:eastAsia="Arial" w:hAnsi="Arial"/>
                <w:sz w:val="18"/>
                <w:szCs w:val="18"/>
                <w:color w:val="auto"/>
              </w:rPr>
              <w:t>Notes due 2053 at 5.00%</w:t>
            </w: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650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650</w:t>
            </w:r>
          </w:p>
        </w:tc>
      </w:tr>
      <w:tr>
        <w:trPr>
          <w:trHeight w:val="230"/>
        </w:trPr>
        <w:tc>
          <w:tcPr>
            <w:tcW w:w="8320" w:type="dxa"/>
            <w:vAlign w:val="bottom"/>
            <w:shd w:val="clear" w:color="auto" w:fill="DBDBDB"/>
          </w:tcPr>
          <w:p>
            <w:pPr>
              <w:ind w:left="20"/>
              <w:spacing w:after="0"/>
              <w:rPr>
                <w:sz w:val="20"/>
                <w:szCs w:val="20"/>
                <w:color w:val="auto"/>
              </w:rPr>
            </w:pPr>
            <w:r>
              <w:rPr>
                <w:rFonts w:ascii="Arial" w:cs="Arial" w:eastAsia="Arial" w:hAnsi="Arial"/>
                <w:sz w:val="18"/>
                <w:szCs w:val="18"/>
                <w:color w:val="auto"/>
              </w:rPr>
              <w:t>Notes due 2054 at 5.15%</w:t>
            </w:r>
          </w:p>
        </w:tc>
        <w:tc>
          <w:tcPr>
            <w:tcW w:w="240" w:type="dxa"/>
            <w:vAlign w:val="bottom"/>
            <w:shd w:val="clear" w:color="auto" w:fill="DBDBDB"/>
          </w:tcPr>
          <w:p>
            <w:pPr>
              <w:spacing w:after="0"/>
              <w:rPr>
                <w:sz w:val="19"/>
                <w:szCs w:val="19"/>
                <w:color w:val="auto"/>
              </w:rPr>
            </w:pPr>
          </w:p>
        </w:tc>
        <w:tc>
          <w:tcPr>
            <w:tcW w:w="116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750</w:t>
            </w:r>
          </w:p>
        </w:tc>
        <w:tc>
          <w:tcPr>
            <w:tcW w:w="12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2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750</w:t>
            </w:r>
          </w:p>
        </w:tc>
      </w:tr>
      <w:tr>
        <w:trPr>
          <w:trHeight w:val="229"/>
        </w:trPr>
        <w:tc>
          <w:tcPr>
            <w:tcW w:w="832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Notes due 2063 at 5.05%</w:t>
            </w:r>
          </w:p>
        </w:tc>
        <w:tc>
          <w:tcPr>
            <w:tcW w:w="2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1,550</w:t>
            </w:r>
          </w:p>
        </w:tc>
        <w:tc>
          <w:tcPr>
            <w:tcW w:w="120" w:type="dxa"/>
            <w:vAlign w:val="bottom"/>
            <w:tcBorders>
              <w:bottom w:val="single" w:sz="8" w:color="DBDBDB"/>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1,550</w:t>
            </w:r>
          </w:p>
        </w:tc>
      </w:tr>
      <w:tr>
        <w:trPr>
          <w:trHeight w:val="223"/>
        </w:trPr>
        <w:tc>
          <w:tcPr>
            <w:tcW w:w="8320" w:type="dxa"/>
            <w:vAlign w:val="bottom"/>
            <w:shd w:val="clear" w:color="auto" w:fill="DBDBDB"/>
          </w:tcPr>
          <w:p>
            <w:pPr>
              <w:ind w:left="20"/>
              <w:spacing w:after="0"/>
              <w:rPr>
                <w:sz w:val="20"/>
                <w:szCs w:val="20"/>
                <w:color w:val="auto"/>
              </w:rPr>
            </w:pPr>
            <w:r>
              <w:rPr>
                <w:rFonts w:ascii="Arial" w:cs="Arial" w:eastAsia="Arial" w:hAnsi="Arial"/>
                <w:sz w:val="18"/>
                <w:szCs w:val="18"/>
                <w:color w:val="auto"/>
              </w:rPr>
              <w:t>Total debt</w:t>
            </w:r>
          </w:p>
        </w:tc>
        <w:tc>
          <w:tcPr>
            <w:tcW w:w="240" w:type="dxa"/>
            <w:vAlign w:val="bottom"/>
            <w:shd w:val="clear" w:color="auto" w:fill="DBDBDB"/>
          </w:tcPr>
          <w:p>
            <w:pPr>
              <w:spacing w:after="0"/>
              <w:rPr>
                <w:sz w:val="19"/>
                <w:szCs w:val="19"/>
                <w:color w:val="auto"/>
              </w:rPr>
            </w:pPr>
          </w:p>
        </w:tc>
        <w:tc>
          <w:tcPr>
            <w:tcW w:w="116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14,150</w:t>
            </w:r>
          </w:p>
        </w:tc>
        <w:tc>
          <w:tcPr>
            <w:tcW w:w="12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2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14,150</w:t>
            </w:r>
          </w:p>
        </w:tc>
      </w:tr>
      <w:tr>
        <w:trPr>
          <w:trHeight w:val="229"/>
        </w:trPr>
        <w:tc>
          <w:tcPr>
            <w:tcW w:w="832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Net unamortized discounts, premiums and issuance costs</w:t>
            </w:r>
          </w:p>
        </w:tc>
        <w:tc>
          <w:tcPr>
            <w:tcW w:w="2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(100)</w:t>
            </w:r>
          </w:p>
        </w:tc>
        <w:tc>
          <w:tcPr>
            <w:tcW w:w="120" w:type="dxa"/>
            <w:vAlign w:val="bottom"/>
            <w:tcBorders>
              <w:bottom w:val="single" w:sz="8" w:color="DBDBDB"/>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w:t>
            </w:r>
          </w:p>
        </w:tc>
      </w:tr>
      <w:tr>
        <w:trPr>
          <w:trHeight w:val="223"/>
        </w:trPr>
        <w:tc>
          <w:tcPr>
            <w:tcW w:w="8320" w:type="dxa"/>
            <w:vAlign w:val="bottom"/>
            <w:shd w:val="clear" w:color="auto" w:fill="DBDBDB"/>
          </w:tcPr>
          <w:p>
            <w:pPr>
              <w:ind w:left="20"/>
              <w:spacing w:after="0"/>
              <w:rPr>
                <w:sz w:val="20"/>
                <w:szCs w:val="20"/>
                <w:color w:val="auto"/>
              </w:rPr>
            </w:pPr>
            <w:r>
              <w:rPr>
                <w:rFonts w:ascii="Arial" w:cs="Arial" w:eastAsia="Arial" w:hAnsi="Arial"/>
                <w:sz w:val="18"/>
                <w:szCs w:val="18"/>
                <w:color w:val="auto"/>
              </w:rPr>
              <w:t>Total debt, including net unamortized discounts, premiums and issuance costs</w:t>
            </w:r>
          </w:p>
        </w:tc>
        <w:tc>
          <w:tcPr>
            <w:tcW w:w="240" w:type="dxa"/>
            <w:vAlign w:val="bottom"/>
            <w:shd w:val="clear" w:color="auto" w:fill="DBDBDB"/>
          </w:tcPr>
          <w:p>
            <w:pPr>
              <w:spacing w:after="0"/>
              <w:rPr>
                <w:sz w:val="19"/>
                <w:szCs w:val="19"/>
                <w:color w:val="auto"/>
              </w:rPr>
            </w:pPr>
          </w:p>
        </w:tc>
        <w:tc>
          <w:tcPr>
            <w:tcW w:w="116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14,050</w:t>
            </w:r>
          </w:p>
        </w:tc>
        <w:tc>
          <w:tcPr>
            <w:tcW w:w="12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2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14,048</w:t>
            </w:r>
          </w:p>
        </w:tc>
      </w:tr>
      <w:tr>
        <w:trPr>
          <w:trHeight w:val="230"/>
        </w:trPr>
        <w:tc>
          <w:tcPr>
            <w:tcW w:w="832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Current portion of long-term debt</w:t>
            </w:r>
          </w:p>
        </w:tc>
        <w:tc>
          <w:tcPr>
            <w:tcW w:w="2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(1,149)</w:t>
            </w:r>
          </w:p>
        </w:tc>
        <w:tc>
          <w:tcPr>
            <w:tcW w:w="120" w:type="dxa"/>
            <w:vAlign w:val="bottom"/>
            <w:tcBorders>
              <w:bottom w:val="single" w:sz="8" w:color="DBDBDB"/>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w:t>
            </w:r>
          </w:p>
        </w:tc>
      </w:tr>
      <w:tr>
        <w:trPr>
          <w:trHeight w:val="248"/>
        </w:trPr>
        <w:tc>
          <w:tcPr>
            <w:tcW w:w="832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Long-term debt</w:t>
            </w:r>
          </w:p>
        </w:tc>
        <w:tc>
          <w:tcPr>
            <w:tcW w:w="240" w:type="dxa"/>
            <w:vAlign w:val="bottom"/>
            <w:tcBorders>
              <w:bottom w:val="single" w:sz="8" w:color="auto"/>
            </w:tcBorders>
            <w:shd w:val="clear" w:color="auto" w:fill="DBDBDB"/>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12,901</w:t>
            </w:r>
          </w:p>
        </w:tc>
        <w:tc>
          <w:tcPr>
            <w:tcW w:w="120" w:type="dxa"/>
            <w:vAlign w:val="bottom"/>
            <w:tcBorders>
              <w:bottom w:val="single" w:sz="8" w:color="DBDBDB"/>
            </w:tcBorders>
            <w:shd w:val="clear" w:color="auto" w:fill="DBDBDB"/>
          </w:tcPr>
          <w:p>
            <w:pPr>
              <w:spacing w:after="0"/>
              <w:rPr>
                <w:sz w:val="21"/>
                <w:szCs w:val="21"/>
                <w:color w:val="auto"/>
              </w:rPr>
            </w:pPr>
          </w:p>
        </w:tc>
        <w:tc>
          <w:tcPr>
            <w:tcW w:w="1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13,548</w:t>
            </w:r>
          </w:p>
        </w:tc>
      </w:tr>
      <w:tr>
        <w:trPr>
          <w:trHeight w:val="20"/>
        </w:trPr>
        <w:tc>
          <w:tcPr>
            <w:tcW w:w="8320" w:type="dxa"/>
            <w:vAlign w:val="bottom"/>
            <w:tcBorders>
              <w:top w:val="single" w:sz="8" w:color="DBDBDB"/>
            </w:tcBorders>
          </w:tcPr>
          <w:p>
            <w:pPr>
              <w:spacing w:after="0" w:line="20" w:lineRule="exact"/>
              <w:rPr>
                <w:sz w:val="1"/>
                <w:szCs w:val="1"/>
                <w:color w:val="auto"/>
              </w:rPr>
            </w:pPr>
          </w:p>
        </w:tc>
        <w:tc>
          <w:tcPr>
            <w:tcW w:w="240" w:type="dxa"/>
            <w:vAlign w:val="bottom"/>
            <w:tcBorders>
              <w:top w:val="single" w:sz="8" w:color="DBDBDB"/>
              <w:bottom w:val="single" w:sz="8" w:color="auto"/>
            </w:tcBorders>
          </w:tcPr>
          <w:p>
            <w:pPr>
              <w:spacing w:after="0" w:line="20" w:lineRule="exact"/>
              <w:rPr>
                <w:sz w:val="1"/>
                <w:szCs w:val="1"/>
                <w:color w:val="auto"/>
              </w:rPr>
            </w:pPr>
          </w:p>
        </w:tc>
        <w:tc>
          <w:tcPr>
            <w:tcW w:w="116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180" w:type="dxa"/>
            <w:vAlign w:val="bottom"/>
            <w:tcBorders>
              <w:top w:val="single" w:sz="8" w:color="DBDBDB"/>
              <w:bottom w:val="single" w:sz="8" w:color="auto"/>
            </w:tcBorders>
          </w:tcPr>
          <w:p>
            <w:pPr>
              <w:spacing w:after="0" w:line="20" w:lineRule="exact"/>
              <w:rPr>
                <w:sz w:val="1"/>
                <w:szCs w:val="1"/>
                <w:color w:val="auto"/>
              </w:rPr>
            </w:pPr>
          </w:p>
        </w:tc>
        <w:tc>
          <w:tcPr>
            <w:tcW w:w="1220" w:type="dxa"/>
            <w:vAlign w:val="bottom"/>
            <w:tcBorders>
              <w:top w:val="single" w:sz="8" w:color="DBDBDB"/>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Interest and debt expense was $141 million and $ 128 million for the first quarters of 2026 and 2025, respectively. This was net of the amortized discounts, premiums and issuance and other related costs. Capitalized interest was $3 million and $4 million for the first quarters of 2026 and 2025, respectively.</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7. </w:t>
      </w:r>
      <w:r>
        <w:rPr>
          <w:rFonts w:ascii="Arial" w:cs="Arial" w:eastAsia="Arial" w:hAnsi="Arial"/>
          <w:sz w:val="18"/>
          <w:szCs w:val="18"/>
          <w:u w:val="single" w:color="auto"/>
          <w:color w:val="auto"/>
        </w:rPr>
        <w:t>Stockholders’ equity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Changes in equity are as follows: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40" w:type="dxa"/>
            <w:vAlign w:val="bottom"/>
          </w:tcPr>
          <w:p>
            <w:pPr>
              <w:spacing w:after="0"/>
              <w:rPr>
                <w:sz w:val="14"/>
                <w:szCs w:val="14"/>
                <w:color w:val="auto"/>
              </w:rPr>
            </w:pPr>
          </w:p>
        </w:tc>
        <w:tc>
          <w:tcPr>
            <w:tcW w:w="12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Common Stock</w:t>
            </w:r>
          </w:p>
        </w:tc>
        <w:tc>
          <w:tcPr>
            <w:tcW w:w="122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Paid-in Capital</w:t>
            </w:r>
          </w:p>
        </w:tc>
        <w:tc>
          <w:tcPr>
            <w:tcW w:w="180" w:type="dxa"/>
            <w:vAlign w:val="bottom"/>
          </w:tcPr>
          <w:p>
            <w:pPr>
              <w:spacing w:after="0"/>
              <w:rPr>
                <w:sz w:val="14"/>
                <w:szCs w:val="14"/>
                <w:color w:val="auto"/>
              </w:rPr>
            </w:pPr>
          </w:p>
        </w:tc>
        <w:tc>
          <w:tcPr>
            <w:tcW w:w="1040" w:type="dxa"/>
            <w:vAlign w:val="bottom"/>
            <w:gridSpan w:val="2"/>
          </w:tcPr>
          <w:p>
            <w:pPr>
              <w:ind w:left="80"/>
              <w:spacing w:after="0"/>
              <w:rPr>
                <w:sz w:val="20"/>
                <w:szCs w:val="20"/>
                <w:color w:val="auto"/>
              </w:rPr>
            </w:pPr>
            <w:r>
              <w:rPr>
                <w:rFonts w:ascii="Arial" w:cs="Arial" w:eastAsia="Arial" w:hAnsi="Arial"/>
                <w:sz w:val="14"/>
                <w:szCs w:val="14"/>
                <w:b w:val="1"/>
                <w:bCs w:val="1"/>
                <w:color w:val="auto"/>
              </w:rPr>
              <w:t>Retained</w:t>
            </w:r>
          </w:p>
        </w:tc>
        <w:tc>
          <w:tcPr>
            <w:tcW w:w="180" w:type="dxa"/>
            <w:vAlign w:val="bottom"/>
          </w:tcPr>
          <w:p>
            <w:pPr>
              <w:spacing w:after="0"/>
              <w:rPr>
                <w:sz w:val="14"/>
                <w:szCs w:val="14"/>
                <w:color w:val="auto"/>
              </w:rPr>
            </w:pPr>
          </w:p>
        </w:tc>
        <w:tc>
          <w:tcPr>
            <w:tcW w:w="1040" w:type="dxa"/>
            <w:vAlign w:val="bottom"/>
            <w:gridSpan w:val="2"/>
          </w:tcPr>
          <w:p>
            <w:pPr>
              <w:ind w:left="80"/>
              <w:spacing w:after="0"/>
              <w:rPr>
                <w:sz w:val="20"/>
                <w:szCs w:val="20"/>
                <w:color w:val="auto"/>
              </w:rPr>
            </w:pPr>
            <w:r>
              <w:rPr>
                <w:rFonts w:ascii="Arial" w:cs="Arial" w:eastAsia="Arial" w:hAnsi="Arial"/>
                <w:sz w:val="14"/>
                <w:szCs w:val="14"/>
                <w:b w:val="1"/>
                <w:bCs w:val="1"/>
                <w:color w:val="auto"/>
              </w:rPr>
              <w:t>Treasury</w:t>
            </w:r>
          </w:p>
        </w:tc>
        <w:tc>
          <w:tcPr>
            <w:tcW w:w="260" w:type="dxa"/>
            <w:vAlign w:val="bottom"/>
          </w:tcPr>
          <w:p>
            <w:pPr>
              <w:spacing w:after="0"/>
              <w:rPr>
                <w:sz w:val="14"/>
                <w:szCs w:val="14"/>
                <w:color w:val="auto"/>
              </w:rPr>
            </w:pPr>
          </w:p>
        </w:tc>
        <w:tc>
          <w:tcPr>
            <w:tcW w:w="860" w:type="dxa"/>
            <w:vAlign w:val="bottom"/>
            <w:vMerge w:val="restart"/>
          </w:tcPr>
          <w:p>
            <w:pPr>
              <w:jc w:val="right"/>
              <w:ind w:right="292"/>
              <w:spacing w:after="0"/>
              <w:rPr>
                <w:sz w:val="20"/>
                <w:szCs w:val="20"/>
                <w:color w:val="auto"/>
              </w:rPr>
            </w:pPr>
            <w:r>
              <w:rPr>
                <w:rFonts w:ascii="Arial" w:cs="Arial" w:eastAsia="Arial" w:hAnsi="Arial"/>
                <w:sz w:val="14"/>
                <w:szCs w:val="14"/>
                <w:b w:val="1"/>
                <w:bCs w:val="1"/>
                <w:color w:val="auto"/>
              </w:rPr>
              <w:t>AOCI</w:t>
            </w:r>
          </w:p>
        </w:tc>
        <w:tc>
          <w:tcPr>
            <w:tcW w:w="0" w:type="dxa"/>
            <w:vAlign w:val="bottom"/>
          </w:tcPr>
          <w:p>
            <w:pPr>
              <w:spacing w:after="0"/>
              <w:rPr>
                <w:sz w:val="1"/>
                <w:szCs w:val="1"/>
                <w:color w:val="auto"/>
              </w:rPr>
            </w:pPr>
          </w:p>
        </w:tc>
      </w:tr>
      <w:tr>
        <w:trPr>
          <w:trHeight w:val="185"/>
        </w:trPr>
        <w:tc>
          <w:tcPr>
            <w:tcW w:w="5240" w:type="dxa"/>
            <w:vAlign w:val="bottom"/>
          </w:tcPr>
          <w:p>
            <w:pPr>
              <w:spacing w:after="0"/>
              <w:rPr>
                <w:sz w:val="16"/>
                <w:szCs w:val="16"/>
                <w:color w:val="auto"/>
              </w:rPr>
            </w:pPr>
          </w:p>
        </w:tc>
        <w:tc>
          <w:tcPr>
            <w:tcW w:w="1200" w:type="dxa"/>
            <w:vAlign w:val="bottom"/>
            <w:gridSpan w:val="3"/>
            <w:vMerge w:val="continue"/>
          </w:tcPr>
          <w:p>
            <w:pPr>
              <w:spacing w:after="0"/>
              <w:rPr>
                <w:sz w:val="16"/>
                <w:szCs w:val="16"/>
                <w:color w:val="auto"/>
              </w:rPr>
            </w:pPr>
          </w:p>
        </w:tc>
        <w:tc>
          <w:tcPr>
            <w:tcW w:w="1220" w:type="dxa"/>
            <w:vAlign w:val="bottom"/>
            <w:gridSpan w:val="3"/>
            <w:vMerge w:val="continue"/>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gridSpan w:val="2"/>
          </w:tcPr>
          <w:p>
            <w:pPr>
              <w:ind w:left="60"/>
              <w:spacing w:after="0"/>
              <w:rPr>
                <w:sz w:val="20"/>
                <w:szCs w:val="20"/>
                <w:color w:val="auto"/>
              </w:rPr>
            </w:pPr>
            <w:r>
              <w:rPr>
                <w:rFonts w:ascii="Arial" w:cs="Arial" w:eastAsia="Arial" w:hAnsi="Arial"/>
                <w:sz w:val="14"/>
                <w:szCs w:val="14"/>
                <w:b w:val="1"/>
                <w:bCs w:val="1"/>
                <w:color w:val="auto"/>
              </w:rPr>
              <w:t>Earnings</w:t>
            </w:r>
          </w:p>
        </w:tc>
        <w:tc>
          <w:tcPr>
            <w:tcW w:w="1220" w:type="dxa"/>
            <w:vAlign w:val="bottom"/>
            <w:gridSpan w:val="3"/>
          </w:tcPr>
          <w:p>
            <w:pPr>
              <w:ind w:left="40"/>
              <w:spacing w:after="0"/>
              <w:rPr>
                <w:sz w:val="20"/>
                <w:szCs w:val="20"/>
                <w:color w:val="auto"/>
              </w:rPr>
            </w:pPr>
            <w:r>
              <w:rPr>
                <w:rFonts w:ascii="Arial" w:cs="Arial" w:eastAsia="Arial" w:hAnsi="Arial"/>
                <w:sz w:val="14"/>
                <w:szCs w:val="14"/>
                <w:b w:val="1"/>
                <w:bCs w:val="1"/>
                <w:color w:val="auto"/>
              </w:rPr>
              <w:t>Common Stock</w:t>
            </w:r>
          </w:p>
        </w:tc>
        <w:tc>
          <w:tcPr>
            <w:tcW w:w="26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524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Balance, December 31, 2025</w:t>
            </w:r>
          </w:p>
        </w:tc>
        <w:tc>
          <w:tcPr>
            <w:tcW w:w="340" w:type="dxa"/>
            <w:vAlign w:val="bottom"/>
            <w:tcBorders>
              <w:top w:val="single" w:sz="8" w:color="auto"/>
              <w:bottom w:val="single" w:sz="8" w:color="auto"/>
            </w:tcBorders>
            <w:shd w:val="clear" w:color="auto" w:fill="DBDBDB"/>
          </w:tcPr>
          <w:p>
            <w:pPr>
              <w:ind w:left="20"/>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1,741</w:t>
            </w:r>
          </w:p>
        </w:tc>
        <w:tc>
          <w:tcPr>
            <w:tcW w:w="100" w:type="dxa"/>
            <w:vAlign w:val="bottom"/>
            <w:tcBorders>
              <w:top w:val="single" w:sz="8" w:color="DBDBDB"/>
            </w:tcBorders>
            <w:shd w:val="clear" w:color="auto" w:fill="DBDBDB"/>
          </w:tcPr>
          <w:p>
            <w:pPr>
              <w:spacing w:after="0"/>
              <w:rPr>
                <w:sz w:val="19"/>
                <w:szCs w:val="19"/>
                <w:color w:val="auto"/>
              </w:rPr>
            </w:pPr>
          </w:p>
        </w:tc>
        <w:tc>
          <w:tcPr>
            <w:tcW w:w="360" w:type="dxa"/>
            <w:vAlign w:val="bottom"/>
            <w:tcBorders>
              <w:top w:val="single" w:sz="8" w:color="auto"/>
              <w:bottom w:val="single" w:sz="8" w:color="auto"/>
            </w:tcBorders>
            <w:shd w:val="clear" w:color="auto" w:fill="DBDBDB"/>
          </w:tcPr>
          <w:p>
            <w:pPr>
              <w:jc w:val="right"/>
              <w:ind w:right="156"/>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4,511</w:t>
            </w:r>
          </w:p>
        </w:tc>
        <w:tc>
          <w:tcPr>
            <w:tcW w:w="100" w:type="dxa"/>
            <w:vAlign w:val="bottom"/>
            <w:tcBorders>
              <w:top w:val="single" w:sz="8" w:color="DBDBDB"/>
            </w:tcBorders>
            <w:shd w:val="clear" w:color="auto" w:fill="DBDBDB"/>
          </w:tcPr>
          <w:p>
            <w:pPr>
              <w:spacing w:after="0"/>
              <w:rPr>
                <w:sz w:val="19"/>
                <w:szCs w:val="19"/>
                <w:color w:val="auto"/>
              </w:rPr>
            </w:pPr>
          </w:p>
        </w:tc>
        <w:tc>
          <w:tcPr>
            <w:tcW w:w="18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52,236</w:t>
            </w:r>
          </w:p>
        </w:tc>
        <w:tc>
          <w:tcPr>
            <w:tcW w:w="120" w:type="dxa"/>
            <w:vAlign w:val="bottom"/>
            <w:tcBorders>
              <w:top w:val="single" w:sz="8" w:color="DBDBDB"/>
            </w:tcBorders>
            <w:shd w:val="clear" w:color="auto" w:fill="DBDBDB"/>
          </w:tcPr>
          <w:p>
            <w:pPr>
              <w:spacing w:after="0"/>
              <w:rPr>
                <w:sz w:val="19"/>
                <w:szCs w:val="19"/>
                <w:color w:val="auto"/>
              </w:rPr>
            </w:pPr>
          </w:p>
        </w:tc>
        <w:tc>
          <w:tcPr>
            <w:tcW w:w="180" w:type="dxa"/>
            <w:vAlign w:val="bottom"/>
            <w:tcBorders>
              <w:top w:val="single" w:sz="8" w:color="auto"/>
              <w:bottom w:val="single" w:sz="8" w:color="auto"/>
            </w:tcBorders>
            <w:shd w:val="clear" w:color="auto" w:fill="DBDBDB"/>
          </w:tcPr>
          <w:p>
            <w:pPr>
              <w:ind w:left="20"/>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(42,130)</w:t>
            </w:r>
          </w:p>
        </w:tc>
        <w:tc>
          <w:tcPr>
            <w:tcW w:w="100" w:type="dxa"/>
            <w:vAlign w:val="bottom"/>
            <w:tcBorders>
              <w:top w:val="single" w:sz="8" w:color="DBDBDB"/>
            </w:tcBorders>
            <w:shd w:val="clear" w:color="auto" w:fill="DBDBDB"/>
          </w:tcPr>
          <w:p>
            <w:pPr>
              <w:spacing w:after="0"/>
              <w:rPr>
                <w:sz w:val="19"/>
                <w:szCs w:val="19"/>
                <w:color w:val="auto"/>
              </w:rPr>
            </w:pPr>
          </w:p>
        </w:tc>
        <w:tc>
          <w:tcPr>
            <w:tcW w:w="260" w:type="dxa"/>
            <w:vAlign w:val="bottom"/>
            <w:tcBorders>
              <w:top w:val="single" w:sz="8" w:color="auto"/>
              <w:bottom w:val="single" w:sz="8" w:color="auto"/>
            </w:tcBorders>
            <w:shd w:val="clear" w:color="auto" w:fill="DBDBDB"/>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37"/>
        </w:trPr>
        <w:tc>
          <w:tcPr>
            <w:tcW w:w="5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240" w:type="dxa"/>
            <w:vAlign w:val="bottom"/>
            <w:shd w:val="clear" w:color="auto" w:fill="DBDBDB"/>
          </w:tcPr>
          <w:p>
            <w:pPr>
              <w:ind w:left="20"/>
              <w:spacing w:after="0"/>
              <w:rPr>
                <w:sz w:val="20"/>
                <w:szCs w:val="20"/>
                <w:color w:val="auto"/>
              </w:rPr>
            </w:pPr>
            <w:r>
              <w:rPr>
                <w:rFonts w:ascii="Arial" w:cs="Arial" w:eastAsia="Arial" w:hAnsi="Arial"/>
                <w:sz w:val="18"/>
                <w:szCs w:val="18"/>
                <w:b w:val="1"/>
                <w:bCs w:val="1"/>
                <w:color w:val="auto"/>
              </w:rPr>
              <w:t>2026</w:t>
            </w:r>
          </w:p>
        </w:tc>
        <w:tc>
          <w:tcPr>
            <w:tcW w:w="340" w:type="dxa"/>
            <w:vAlign w:val="bottom"/>
            <w:shd w:val="clear" w:color="auto" w:fill="DBDBDB"/>
          </w:tcPr>
          <w:p>
            <w:pPr>
              <w:spacing w:after="0"/>
              <w:rPr>
                <w:sz w:val="19"/>
                <w:szCs w:val="19"/>
                <w:color w:val="auto"/>
              </w:rPr>
            </w:pPr>
          </w:p>
        </w:tc>
        <w:tc>
          <w:tcPr>
            <w:tcW w:w="76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360" w:type="dxa"/>
            <w:vAlign w:val="bottom"/>
            <w:shd w:val="clear" w:color="auto" w:fill="DBDBDB"/>
          </w:tcPr>
          <w:p>
            <w:pPr>
              <w:spacing w:after="0"/>
              <w:rPr>
                <w:sz w:val="19"/>
                <w:szCs w:val="19"/>
                <w:color w:val="auto"/>
              </w:rPr>
            </w:pPr>
          </w:p>
        </w:tc>
        <w:tc>
          <w:tcPr>
            <w:tcW w:w="76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92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94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260" w:type="dxa"/>
            <w:vAlign w:val="bottom"/>
            <w:shd w:val="clear" w:color="auto" w:fill="DBDBDB"/>
          </w:tcPr>
          <w:p>
            <w:pPr>
              <w:spacing w:after="0"/>
              <w:rPr>
                <w:sz w:val="19"/>
                <w:szCs w:val="19"/>
                <w:color w:val="auto"/>
              </w:rPr>
            </w:pPr>
          </w:p>
        </w:tc>
        <w:tc>
          <w:tcPr>
            <w:tcW w:w="86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40" w:type="dxa"/>
            <w:vAlign w:val="bottom"/>
          </w:tcPr>
          <w:p>
            <w:pPr>
              <w:ind w:left="140"/>
              <w:spacing w:after="0"/>
              <w:rPr>
                <w:sz w:val="20"/>
                <w:szCs w:val="20"/>
                <w:color w:val="auto"/>
              </w:rPr>
            </w:pPr>
            <w:r>
              <w:rPr>
                <w:rFonts w:ascii="Arial" w:cs="Arial" w:eastAsia="Arial" w:hAnsi="Arial"/>
                <w:sz w:val="18"/>
                <w:szCs w:val="18"/>
                <w:b w:val="1"/>
                <w:bCs w:val="1"/>
                <w:color w:val="auto"/>
              </w:rPr>
              <w:t>Net income</w:t>
            </w:r>
          </w:p>
        </w:tc>
        <w:tc>
          <w:tcPr>
            <w:tcW w:w="34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36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1,545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29"/>
        </w:trPr>
        <w:tc>
          <w:tcPr>
            <w:tcW w:w="5240" w:type="dxa"/>
            <w:vAlign w:val="bottom"/>
            <w:shd w:val="clear" w:color="auto" w:fill="DBDBDB"/>
          </w:tcPr>
          <w:p>
            <w:pPr>
              <w:ind w:left="140"/>
              <w:spacing w:after="0"/>
              <w:rPr>
                <w:sz w:val="20"/>
                <w:szCs w:val="20"/>
                <w:color w:val="auto"/>
              </w:rPr>
            </w:pPr>
            <w:r>
              <w:rPr>
                <w:rFonts w:ascii="Arial" w:cs="Arial" w:eastAsia="Arial" w:hAnsi="Arial"/>
                <w:sz w:val="18"/>
                <w:szCs w:val="18"/>
                <w:b w:val="1"/>
                <w:bCs w:val="1"/>
                <w:color w:val="auto"/>
              </w:rPr>
              <w:t>Dividends declared and paid ($1.42 per share)</w:t>
            </w:r>
          </w:p>
        </w:tc>
        <w:tc>
          <w:tcPr>
            <w:tcW w:w="340" w:type="dxa"/>
            <w:vAlign w:val="bottom"/>
            <w:shd w:val="clear" w:color="auto" w:fill="DBDBDB"/>
          </w:tcPr>
          <w:p>
            <w:pPr>
              <w:spacing w:after="0"/>
              <w:rPr>
                <w:sz w:val="19"/>
                <w:szCs w:val="19"/>
                <w:color w:val="auto"/>
              </w:rPr>
            </w:pPr>
          </w:p>
        </w:tc>
        <w:tc>
          <w:tcPr>
            <w:tcW w:w="86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b w:val="1"/>
                <w:bCs w:val="1"/>
                <w:color w:val="auto"/>
              </w:rPr>
              <w:t>—</w:t>
            </w:r>
          </w:p>
        </w:tc>
        <w:tc>
          <w:tcPr>
            <w:tcW w:w="360" w:type="dxa"/>
            <w:vAlign w:val="bottom"/>
            <w:shd w:val="clear" w:color="auto" w:fill="DBDBDB"/>
          </w:tcPr>
          <w:p>
            <w:pPr>
              <w:spacing w:after="0"/>
              <w:rPr>
                <w:sz w:val="19"/>
                <w:szCs w:val="19"/>
                <w:color w:val="auto"/>
              </w:rPr>
            </w:pPr>
          </w:p>
        </w:tc>
        <w:tc>
          <w:tcPr>
            <w:tcW w:w="86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DBDBDB"/>
          </w:tcPr>
          <w:p>
            <w:pPr>
              <w:spacing w:after="0"/>
              <w:rPr>
                <w:sz w:val="19"/>
                <w:szCs w:val="19"/>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(1,291)</w:t>
            </w:r>
          </w:p>
        </w:tc>
        <w:tc>
          <w:tcPr>
            <w:tcW w:w="12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04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b w:val="1"/>
                <w:bCs w:val="1"/>
                <w:color w:val="auto"/>
              </w:rPr>
              <w:t>—</w:t>
            </w:r>
          </w:p>
        </w:tc>
        <w:tc>
          <w:tcPr>
            <w:tcW w:w="260" w:type="dxa"/>
            <w:vAlign w:val="bottom"/>
            <w:shd w:val="clear" w:color="auto" w:fill="DBDBDB"/>
          </w:tcPr>
          <w:p>
            <w:pPr>
              <w:spacing w:after="0"/>
              <w:rPr>
                <w:sz w:val="19"/>
                <w:szCs w:val="19"/>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30"/>
        </w:trPr>
        <w:tc>
          <w:tcPr>
            <w:tcW w:w="5240" w:type="dxa"/>
            <w:vAlign w:val="bottom"/>
          </w:tcPr>
          <w:p>
            <w:pPr>
              <w:ind w:left="140"/>
              <w:spacing w:after="0"/>
              <w:rPr>
                <w:sz w:val="20"/>
                <w:szCs w:val="20"/>
                <w:color w:val="auto"/>
              </w:rPr>
            </w:pPr>
            <w:r>
              <w:rPr>
                <w:rFonts w:ascii="Arial" w:cs="Arial" w:eastAsia="Arial" w:hAnsi="Arial"/>
                <w:sz w:val="18"/>
                <w:szCs w:val="18"/>
                <w:b w:val="1"/>
                <w:bCs w:val="1"/>
                <w:color w:val="auto"/>
              </w:rPr>
              <w:t>Common stock issued for stock-based awards</w:t>
            </w:r>
          </w:p>
        </w:tc>
        <w:tc>
          <w:tcPr>
            <w:tcW w:w="34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3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105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204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29"/>
        </w:trPr>
        <w:tc>
          <w:tcPr>
            <w:tcW w:w="5240" w:type="dxa"/>
            <w:vAlign w:val="bottom"/>
            <w:shd w:val="clear" w:color="auto" w:fill="DBDBDB"/>
          </w:tcPr>
          <w:p>
            <w:pPr>
              <w:ind w:left="140"/>
              <w:spacing w:after="0"/>
              <w:rPr>
                <w:sz w:val="20"/>
                <w:szCs w:val="20"/>
                <w:color w:val="auto"/>
              </w:rPr>
            </w:pPr>
            <w:r>
              <w:rPr>
                <w:rFonts w:ascii="Arial" w:cs="Arial" w:eastAsia="Arial" w:hAnsi="Arial"/>
                <w:sz w:val="18"/>
                <w:szCs w:val="18"/>
                <w:b w:val="1"/>
                <w:bCs w:val="1"/>
                <w:color w:val="auto"/>
              </w:rPr>
              <w:t>Stock repurchases</w:t>
            </w:r>
          </w:p>
        </w:tc>
        <w:tc>
          <w:tcPr>
            <w:tcW w:w="340" w:type="dxa"/>
            <w:vAlign w:val="bottom"/>
            <w:shd w:val="clear" w:color="auto" w:fill="DBDBDB"/>
          </w:tcPr>
          <w:p>
            <w:pPr>
              <w:spacing w:after="0"/>
              <w:rPr>
                <w:sz w:val="19"/>
                <w:szCs w:val="19"/>
                <w:color w:val="auto"/>
              </w:rPr>
            </w:pPr>
          </w:p>
        </w:tc>
        <w:tc>
          <w:tcPr>
            <w:tcW w:w="86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b w:val="1"/>
                <w:bCs w:val="1"/>
                <w:color w:val="auto"/>
              </w:rPr>
              <w:t>—</w:t>
            </w:r>
          </w:p>
        </w:tc>
        <w:tc>
          <w:tcPr>
            <w:tcW w:w="360" w:type="dxa"/>
            <w:vAlign w:val="bottom"/>
            <w:shd w:val="clear" w:color="auto" w:fill="DBDBDB"/>
          </w:tcPr>
          <w:p>
            <w:pPr>
              <w:spacing w:after="0"/>
              <w:rPr>
                <w:sz w:val="19"/>
                <w:szCs w:val="19"/>
                <w:color w:val="auto"/>
              </w:rPr>
            </w:pPr>
          </w:p>
        </w:tc>
        <w:tc>
          <w:tcPr>
            <w:tcW w:w="86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DBDBDB"/>
          </w:tcPr>
          <w:p>
            <w:pPr>
              <w:spacing w:after="0"/>
              <w:rPr>
                <w:sz w:val="19"/>
                <w:szCs w:val="19"/>
                <w:color w:val="auto"/>
              </w:rPr>
            </w:pPr>
          </w:p>
        </w:tc>
        <w:tc>
          <w:tcPr>
            <w:tcW w:w="104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DBDBDB"/>
          </w:tcPr>
          <w:p>
            <w:pPr>
              <w:spacing w:after="0"/>
              <w:rPr>
                <w:sz w:val="19"/>
                <w:szCs w:val="19"/>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(158)</w:t>
            </w:r>
          </w:p>
        </w:tc>
        <w:tc>
          <w:tcPr>
            <w:tcW w:w="100" w:type="dxa"/>
            <w:vAlign w:val="bottom"/>
            <w:shd w:val="clear" w:color="auto" w:fill="DBDBDB"/>
          </w:tcPr>
          <w:p>
            <w:pPr>
              <w:spacing w:after="0"/>
              <w:rPr>
                <w:sz w:val="19"/>
                <w:szCs w:val="19"/>
                <w:color w:val="auto"/>
              </w:rPr>
            </w:pPr>
          </w:p>
        </w:tc>
        <w:tc>
          <w:tcPr>
            <w:tcW w:w="260" w:type="dxa"/>
            <w:vAlign w:val="bottom"/>
            <w:shd w:val="clear" w:color="auto" w:fill="DBDBDB"/>
          </w:tcPr>
          <w:p>
            <w:pPr>
              <w:spacing w:after="0"/>
              <w:rPr>
                <w:sz w:val="19"/>
                <w:szCs w:val="19"/>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29"/>
        </w:trPr>
        <w:tc>
          <w:tcPr>
            <w:tcW w:w="5240" w:type="dxa"/>
            <w:vAlign w:val="bottom"/>
          </w:tcPr>
          <w:p>
            <w:pPr>
              <w:ind w:left="140"/>
              <w:spacing w:after="0"/>
              <w:rPr>
                <w:sz w:val="20"/>
                <w:szCs w:val="20"/>
                <w:color w:val="auto"/>
              </w:rPr>
            </w:pPr>
            <w:r>
              <w:rPr>
                <w:rFonts w:ascii="Arial" w:cs="Arial" w:eastAsia="Arial" w:hAnsi="Arial"/>
                <w:sz w:val="18"/>
                <w:szCs w:val="18"/>
                <w:b w:val="1"/>
                <w:bCs w:val="1"/>
                <w:color w:val="auto"/>
              </w:rPr>
              <w:t>Stock compensation</w:t>
            </w:r>
          </w:p>
        </w:tc>
        <w:tc>
          <w:tcPr>
            <w:tcW w:w="34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3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109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30"/>
        </w:trPr>
        <w:tc>
          <w:tcPr>
            <w:tcW w:w="5240" w:type="dxa"/>
            <w:vAlign w:val="bottom"/>
            <w:shd w:val="clear" w:color="auto" w:fill="DBDBDB"/>
          </w:tcPr>
          <w:p>
            <w:pPr>
              <w:ind w:left="140"/>
              <w:spacing w:after="0"/>
              <w:rPr>
                <w:sz w:val="20"/>
                <w:szCs w:val="20"/>
                <w:color w:val="auto"/>
              </w:rPr>
            </w:pPr>
            <w:r>
              <w:rPr>
                <w:rFonts w:ascii="Arial" w:cs="Arial" w:eastAsia="Arial" w:hAnsi="Arial"/>
                <w:sz w:val="18"/>
                <w:szCs w:val="18"/>
                <w:b w:val="1"/>
                <w:bCs w:val="1"/>
                <w:color w:val="auto"/>
              </w:rPr>
              <w:t>Other comprehensive income (loss), net of taxes</w:t>
            </w:r>
          </w:p>
        </w:tc>
        <w:tc>
          <w:tcPr>
            <w:tcW w:w="340" w:type="dxa"/>
            <w:vAlign w:val="bottom"/>
            <w:shd w:val="clear" w:color="auto" w:fill="DBDBDB"/>
          </w:tcPr>
          <w:p>
            <w:pPr>
              <w:spacing w:after="0"/>
              <w:rPr>
                <w:sz w:val="19"/>
                <w:szCs w:val="19"/>
                <w:color w:val="auto"/>
              </w:rPr>
            </w:pPr>
          </w:p>
        </w:tc>
        <w:tc>
          <w:tcPr>
            <w:tcW w:w="86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b w:val="1"/>
                <w:bCs w:val="1"/>
                <w:color w:val="auto"/>
              </w:rPr>
              <w:t>—</w:t>
            </w:r>
          </w:p>
        </w:tc>
        <w:tc>
          <w:tcPr>
            <w:tcW w:w="360" w:type="dxa"/>
            <w:vAlign w:val="bottom"/>
            <w:shd w:val="clear" w:color="auto" w:fill="DBDBDB"/>
          </w:tcPr>
          <w:p>
            <w:pPr>
              <w:spacing w:after="0"/>
              <w:rPr>
                <w:sz w:val="19"/>
                <w:szCs w:val="19"/>
                <w:color w:val="auto"/>
              </w:rPr>
            </w:pPr>
          </w:p>
        </w:tc>
        <w:tc>
          <w:tcPr>
            <w:tcW w:w="86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DBDBDB"/>
          </w:tcPr>
          <w:p>
            <w:pPr>
              <w:spacing w:after="0"/>
              <w:rPr>
                <w:sz w:val="19"/>
                <w:szCs w:val="19"/>
                <w:color w:val="auto"/>
              </w:rPr>
            </w:pPr>
          </w:p>
        </w:tc>
        <w:tc>
          <w:tcPr>
            <w:tcW w:w="104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DBDBDB"/>
          </w:tcPr>
          <w:p>
            <w:pPr>
              <w:spacing w:after="0"/>
              <w:rPr>
                <w:sz w:val="19"/>
                <w:szCs w:val="19"/>
                <w:color w:val="auto"/>
              </w:rPr>
            </w:pPr>
          </w:p>
        </w:tc>
        <w:tc>
          <w:tcPr>
            <w:tcW w:w="104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b w:val="1"/>
                <w:bCs w:val="1"/>
                <w:color w:val="auto"/>
              </w:rPr>
              <w:t>—</w:t>
            </w:r>
          </w:p>
        </w:tc>
        <w:tc>
          <w:tcPr>
            <w:tcW w:w="260" w:type="dxa"/>
            <w:vAlign w:val="bottom"/>
            <w:shd w:val="clear" w:color="auto" w:fill="DBDBDB"/>
          </w:tcPr>
          <w:p>
            <w:pPr>
              <w:spacing w:after="0"/>
              <w:rPr>
                <w:sz w:val="19"/>
                <w:szCs w:val="19"/>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w:t>
            </w:r>
          </w:p>
        </w:tc>
        <w:tc>
          <w:tcPr>
            <w:tcW w:w="0" w:type="dxa"/>
            <w:vAlign w:val="bottom"/>
          </w:tcPr>
          <w:p>
            <w:pPr>
              <w:spacing w:after="0"/>
              <w:rPr>
                <w:sz w:val="1"/>
                <w:szCs w:val="1"/>
                <w:color w:val="auto"/>
              </w:rPr>
            </w:pPr>
          </w:p>
        </w:tc>
      </w:tr>
      <w:tr>
        <w:trPr>
          <w:trHeight w:val="229"/>
        </w:trPr>
        <w:tc>
          <w:tcPr>
            <w:tcW w:w="5240" w:type="dxa"/>
            <w:vAlign w:val="bottom"/>
          </w:tcPr>
          <w:p>
            <w:pPr>
              <w:ind w:left="140"/>
              <w:spacing w:after="0"/>
              <w:rPr>
                <w:sz w:val="20"/>
                <w:szCs w:val="20"/>
                <w:color w:val="auto"/>
              </w:rPr>
            </w:pPr>
            <w:r>
              <w:rPr>
                <w:rFonts w:ascii="Arial" w:cs="Arial" w:eastAsia="Arial" w:hAnsi="Arial"/>
                <w:sz w:val="18"/>
                <w:szCs w:val="18"/>
                <w:b w:val="1"/>
                <w:bCs w:val="1"/>
                <w:color w:val="auto"/>
              </w:rPr>
              <w:t>Dividend equivalents on RSUs</w:t>
            </w:r>
          </w:p>
        </w:tc>
        <w:tc>
          <w:tcPr>
            <w:tcW w:w="34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36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30"/>
        </w:trPr>
        <w:tc>
          <w:tcPr>
            <w:tcW w:w="5240" w:type="dxa"/>
            <w:vAlign w:val="bottom"/>
            <w:shd w:val="clear" w:color="auto" w:fill="DBDBDB"/>
          </w:tcPr>
          <w:p>
            <w:pPr>
              <w:ind w:left="140"/>
              <w:spacing w:after="0"/>
              <w:rPr>
                <w:sz w:val="20"/>
                <w:szCs w:val="20"/>
                <w:color w:val="auto"/>
              </w:rPr>
            </w:pPr>
            <w:r>
              <w:rPr>
                <w:rFonts w:ascii="Arial" w:cs="Arial" w:eastAsia="Arial" w:hAnsi="Arial"/>
                <w:sz w:val="18"/>
                <w:szCs w:val="18"/>
                <w:b w:val="1"/>
                <w:bCs w:val="1"/>
                <w:color w:val="auto"/>
              </w:rPr>
              <w:t>Other</w:t>
            </w:r>
          </w:p>
        </w:tc>
        <w:tc>
          <w:tcPr>
            <w:tcW w:w="340" w:type="dxa"/>
            <w:vAlign w:val="bottom"/>
            <w:shd w:val="clear" w:color="auto" w:fill="DBDBDB"/>
          </w:tcPr>
          <w:p>
            <w:pPr>
              <w:spacing w:after="0"/>
              <w:rPr>
                <w:sz w:val="19"/>
                <w:szCs w:val="19"/>
                <w:color w:val="auto"/>
              </w:rPr>
            </w:pPr>
          </w:p>
        </w:tc>
        <w:tc>
          <w:tcPr>
            <w:tcW w:w="86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b w:val="1"/>
                <w:bCs w:val="1"/>
                <w:color w:val="auto"/>
              </w:rPr>
              <w:t>—</w:t>
            </w:r>
          </w:p>
        </w:tc>
        <w:tc>
          <w:tcPr>
            <w:tcW w:w="360" w:type="dxa"/>
            <w:vAlign w:val="bottom"/>
            <w:shd w:val="clear" w:color="auto" w:fill="DBDBDB"/>
          </w:tcPr>
          <w:p>
            <w:pPr>
              <w:spacing w:after="0"/>
              <w:rPr>
                <w:sz w:val="19"/>
                <w:szCs w:val="19"/>
                <w:color w:val="auto"/>
              </w:rPr>
            </w:pPr>
          </w:p>
        </w:tc>
        <w:tc>
          <w:tcPr>
            <w:tcW w:w="76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(3)</w:t>
            </w:r>
          </w:p>
        </w:tc>
        <w:tc>
          <w:tcPr>
            <w:tcW w:w="10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w:t>
            </w:r>
          </w:p>
        </w:tc>
        <w:tc>
          <w:tcPr>
            <w:tcW w:w="12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04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b w:val="1"/>
                <w:bCs w:val="1"/>
                <w:color w:val="auto"/>
              </w:rPr>
              <w:t>—</w:t>
            </w:r>
          </w:p>
        </w:tc>
        <w:tc>
          <w:tcPr>
            <w:tcW w:w="260" w:type="dxa"/>
            <w:vAlign w:val="bottom"/>
            <w:shd w:val="clear" w:color="auto" w:fill="DBDBDB"/>
          </w:tcPr>
          <w:p>
            <w:pPr>
              <w:spacing w:after="0"/>
              <w:rPr>
                <w:sz w:val="19"/>
                <w:szCs w:val="19"/>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23"/>
        </w:trPr>
        <w:tc>
          <w:tcPr>
            <w:tcW w:w="5240" w:type="dxa"/>
            <w:vAlign w:val="bottom"/>
          </w:tcPr>
          <w:p>
            <w:pPr>
              <w:ind w:left="20"/>
              <w:spacing w:after="0"/>
              <w:rPr>
                <w:sz w:val="20"/>
                <w:szCs w:val="20"/>
                <w:color w:val="auto"/>
              </w:rPr>
            </w:pPr>
            <w:r>
              <w:rPr>
                <w:rFonts w:ascii="Arial" w:cs="Arial" w:eastAsia="Arial" w:hAnsi="Arial"/>
                <w:sz w:val="18"/>
                <w:szCs w:val="18"/>
                <w:b w:val="1"/>
                <w:bCs w:val="1"/>
                <w:color w:val="auto"/>
              </w:rPr>
              <w:t>Balance, March 31, 2026</w:t>
            </w:r>
          </w:p>
        </w:tc>
        <w:tc>
          <w:tcPr>
            <w:tcW w:w="3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b w:val="1"/>
                <w:bCs w:val="1"/>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1,741</w:t>
            </w:r>
          </w:p>
        </w:tc>
        <w:tc>
          <w:tcPr>
            <w:tcW w:w="10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56"/>
              <w:spacing w:after="0"/>
              <w:rPr>
                <w:sz w:val="20"/>
                <w:szCs w:val="20"/>
                <w:color w:val="auto"/>
              </w:rPr>
            </w:pPr>
            <w:r>
              <w:rPr>
                <w:rFonts w:ascii="Arial" w:cs="Arial" w:eastAsia="Arial" w:hAnsi="Arial"/>
                <w:sz w:val="18"/>
                <w:szCs w:val="18"/>
                <w:b w:val="1"/>
                <w:bCs w:val="1"/>
                <w:color w:val="auto"/>
                <w:w w:val="9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4,722</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52,483</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b w:val="1"/>
                <w:bCs w:val="1"/>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(42,084)</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(84)</w:t>
            </w:r>
          </w:p>
        </w:tc>
        <w:tc>
          <w:tcPr>
            <w:tcW w:w="0" w:type="dxa"/>
            <w:vAlign w:val="bottom"/>
          </w:tcPr>
          <w:p>
            <w:pPr>
              <w:spacing w:after="0"/>
              <w:rPr>
                <w:sz w:val="1"/>
                <w:szCs w:val="1"/>
                <w:color w:val="auto"/>
              </w:rPr>
            </w:pPr>
          </w:p>
        </w:tc>
      </w:tr>
      <w:tr>
        <w:trPr>
          <w:trHeight w:val="21"/>
        </w:trPr>
        <w:tc>
          <w:tcPr>
            <w:tcW w:w="5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95"/>
        </w:trPr>
        <w:tc>
          <w:tcPr>
            <w:tcW w:w="5240" w:type="dxa"/>
            <w:vAlign w:val="bottom"/>
          </w:tcPr>
          <w:p>
            <w:pPr>
              <w:spacing w:after="0"/>
              <w:rPr>
                <w:sz w:val="24"/>
                <w:szCs w:val="24"/>
                <w:color w:val="auto"/>
              </w:rPr>
            </w:pPr>
          </w:p>
        </w:tc>
        <w:tc>
          <w:tcPr>
            <w:tcW w:w="12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Common Stock</w:t>
            </w:r>
          </w:p>
        </w:tc>
        <w:tc>
          <w:tcPr>
            <w:tcW w:w="122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Paid-in Capital</w:t>
            </w:r>
          </w:p>
        </w:tc>
        <w:tc>
          <w:tcPr>
            <w:tcW w:w="180" w:type="dxa"/>
            <w:vAlign w:val="bottom"/>
          </w:tcPr>
          <w:p>
            <w:pPr>
              <w:spacing w:after="0"/>
              <w:rPr>
                <w:sz w:val="24"/>
                <w:szCs w:val="24"/>
                <w:color w:val="auto"/>
              </w:rPr>
            </w:pPr>
          </w:p>
        </w:tc>
        <w:tc>
          <w:tcPr>
            <w:tcW w:w="1040" w:type="dxa"/>
            <w:vAlign w:val="bottom"/>
            <w:gridSpan w:val="2"/>
          </w:tcPr>
          <w:p>
            <w:pPr>
              <w:ind w:left="80"/>
              <w:spacing w:after="0"/>
              <w:rPr>
                <w:sz w:val="20"/>
                <w:szCs w:val="20"/>
                <w:color w:val="auto"/>
              </w:rPr>
            </w:pPr>
            <w:r>
              <w:rPr>
                <w:rFonts w:ascii="Arial" w:cs="Arial" w:eastAsia="Arial" w:hAnsi="Arial"/>
                <w:sz w:val="14"/>
                <w:szCs w:val="14"/>
                <w:b w:val="1"/>
                <w:bCs w:val="1"/>
                <w:color w:val="auto"/>
              </w:rPr>
              <w:t>Retained</w:t>
            </w:r>
          </w:p>
        </w:tc>
        <w:tc>
          <w:tcPr>
            <w:tcW w:w="180" w:type="dxa"/>
            <w:vAlign w:val="bottom"/>
          </w:tcPr>
          <w:p>
            <w:pPr>
              <w:spacing w:after="0"/>
              <w:rPr>
                <w:sz w:val="24"/>
                <w:szCs w:val="24"/>
                <w:color w:val="auto"/>
              </w:rPr>
            </w:pPr>
          </w:p>
        </w:tc>
        <w:tc>
          <w:tcPr>
            <w:tcW w:w="1040" w:type="dxa"/>
            <w:vAlign w:val="bottom"/>
            <w:gridSpan w:val="2"/>
          </w:tcPr>
          <w:p>
            <w:pPr>
              <w:ind w:left="80"/>
              <w:spacing w:after="0"/>
              <w:rPr>
                <w:sz w:val="20"/>
                <w:szCs w:val="20"/>
                <w:color w:val="auto"/>
              </w:rPr>
            </w:pPr>
            <w:r>
              <w:rPr>
                <w:rFonts w:ascii="Arial" w:cs="Arial" w:eastAsia="Arial" w:hAnsi="Arial"/>
                <w:sz w:val="14"/>
                <w:szCs w:val="14"/>
                <w:b w:val="1"/>
                <w:bCs w:val="1"/>
                <w:color w:val="auto"/>
              </w:rPr>
              <w:t>Treasury</w:t>
            </w:r>
          </w:p>
        </w:tc>
        <w:tc>
          <w:tcPr>
            <w:tcW w:w="260" w:type="dxa"/>
            <w:vAlign w:val="bottom"/>
          </w:tcPr>
          <w:p>
            <w:pPr>
              <w:spacing w:after="0"/>
              <w:rPr>
                <w:sz w:val="24"/>
                <w:szCs w:val="24"/>
                <w:color w:val="auto"/>
              </w:rPr>
            </w:pPr>
          </w:p>
        </w:tc>
        <w:tc>
          <w:tcPr>
            <w:tcW w:w="860" w:type="dxa"/>
            <w:vAlign w:val="bottom"/>
            <w:vMerge w:val="restart"/>
          </w:tcPr>
          <w:p>
            <w:pPr>
              <w:jc w:val="right"/>
              <w:ind w:right="292"/>
              <w:spacing w:after="0"/>
              <w:rPr>
                <w:sz w:val="20"/>
                <w:szCs w:val="20"/>
                <w:color w:val="auto"/>
              </w:rPr>
            </w:pPr>
            <w:r>
              <w:rPr>
                <w:rFonts w:ascii="Arial" w:cs="Arial" w:eastAsia="Arial" w:hAnsi="Arial"/>
                <w:sz w:val="14"/>
                <w:szCs w:val="14"/>
                <w:b w:val="1"/>
                <w:bCs w:val="1"/>
                <w:color w:val="auto"/>
              </w:rPr>
              <w:t>AOCI</w:t>
            </w:r>
          </w:p>
        </w:tc>
        <w:tc>
          <w:tcPr>
            <w:tcW w:w="0" w:type="dxa"/>
            <w:vAlign w:val="bottom"/>
          </w:tcPr>
          <w:p>
            <w:pPr>
              <w:spacing w:after="0"/>
              <w:rPr>
                <w:sz w:val="1"/>
                <w:szCs w:val="1"/>
                <w:color w:val="auto"/>
              </w:rPr>
            </w:pPr>
          </w:p>
        </w:tc>
      </w:tr>
      <w:tr>
        <w:trPr>
          <w:trHeight w:val="189"/>
        </w:trPr>
        <w:tc>
          <w:tcPr>
            <w:tcW w:w="5240" w:type="dxa"/>
            <w:vAlign w:val="bottom"/>
          </w:tcPr>
          <w:p>
            <w:pPr>
              <w:spacing w:after="0"/>
              <w:rPr>
                <w:sz w:val="16"/>
                <w:szCs w:val="16"/>
                <w:color w:val="auto"/>
              </w:rPr>
            </w:pPr>
          </w:p>
        </w:tc>
        <w:tc>
          <w:tcPr>
            <w:tcW w:w="1200" w:type="dxa"/>
            <w:vAlign w:val="bottom"/>
            <w:gridSpan w:val="3"/>
            <w:vMerge w:val="continue"/>
          </w:tcPr>
          <w:p>
            <w:pPr>
              <w:spacing w:after="0"/>
              <w:rPr>
                <w:sz w:val="16"/>
                <w:szCs w:val="16"/>
                <w:color w:val="auto"/>
              </w:rPr>
            </w:pPr>
          </w:p>
        </w:tc>
        <w:tc>
          <w:tcPr>
            <w:tcW w:w="1220" w:type="dxa"/>
            <w:vAlign w:val="bottom"/>
            <w:gridSpan w:val="3"/>
            <w:vMerge w:val="continue"/>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gridSpan w:val="2"/>
          </w:tcPr>
          <w:p>
            <w:pPr>
              <w:ind w:left="60"/>
              <w:spacing w:after="0"/>
              <w:rPr>
                <w:sz w:val="20"/>
                <w:szCs w:val="20"/>
                <w:color w:val="auto"/>
              </w:rPr>
            </w:pPr>
            <w:r>
              <w:rPr>
                <w:rFonts w:ascii="Arial" w:cs="Arial" w:eastAsia="Arial" w:hAnsi="Arial"/>
                <w:sz w:val="14"/>
                <w:szCs w:val="14"/>
                <w:b w:val="1"/>
                <w:bCs w:val="1"/>
                <w:color w:val="auto"/>
              </w:rPr>
              <w:t>Earnings</w:t>
            </w:r>
          </w:p>
        </w:tc>
        <w:tc>
          <w:tcPr>
            <w:tcW w:w="1220" w:type="dxa"/>
            <w:vAlign w:val="bottom"/>
            <w:gridSpan w:val="3"/>
          </w:tcPr>
          <w:p>
            <w:pPr>
              <w:ind w:left="40"/>
              <w:spacing w:after="0"/>
              <w:rPr>
                <w:sz w:val="20"/>
                <w:szCs w:val="20"/>
                <w:color w:val="auto"/>
              </w:rPr>
            </w:pPr>
            <w:r>
              <w:rPr>
                <w:rFonts w:ascii="Arial" w:cs="Arial" w:eastAsia="Arial" w:hAnsi="Arial"/>
                <w:sz w:val="14"/>
                <w:szCs w:val="14"/>
                <w:b w:val="1"/>
                <w:bCs w:val="1"/>
                <w:color w:val="auto"/>
              </w:rPr>
              <w:t>Common Stock</w:t>
            </w:r>
          </w:p>
        </w:tc>
        <w:tc>
          <w:tcPr>
            <w:tcW w:w="26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524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Balance, December 31, 2024</w:t>
            </w:r>
          </w:p>
        </w:tc>
        <w:tc>
          <w:tcPr>
            <w:tcW w:w="340" w:type="dxa"/>
            <w:vAlign w:val="bottom"/>
            <w:tcBorders>
              <w:top w:val="single" w:sz="8" w:color="auto"/>
              <w:bottom w:val="single" w:sz="8" w:color="auto"/>
            </w:tcBorders>
            <w:shd w:val="clear" w:color="auto" w:fill="DBDBDB"/>
          </w:tcPr>
          <w:p>
            <w:pPr>
              <w:ind w:left="20"/>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1,741</w:t>
            </w:r>
          </w:p>
        </w:tc>
        <w:tc>
          <w:tcPr>
            <w:tcW w:w="100" w:type="dxa"/>
            <w:vAlign w:val="bottom"/>
            <w:tcBorders>
              <w:top w:val="single" w:sz="8" w:color="DBDBDB"/>
            </w:tcBorders>
            <w:shd w:val="clear" w:color="auto" w:fill="DBDBDB"/>
          </w:tcPr>
          <w:p>
            <w:pPr>
              <w:spacing w:after="0"/>
              <w:rPr>
                <w:sz w:val="19"/>
                <w:szCs w:val="19"/>
                <w:color w:val="auto"/>
              </w:rPr>
            </w:pPr>
          </w:p>
        </w:tc>
        <w:tc>
          <w:tcPr>
            <w:tcW w:w="360" w:type="dxa"/>
            <w:vAlign w:val="bottom"/>
            <w:tcBorders>
              <w:top w:val="single" w:sz="8" w:color="auto"/>
              <w:bottom w:val="single" w:sz="8" w:color="auto"/>
            </w:tcBorders>
            <w:shd w:val="clear" w:color="auto" w:fill="DBDBDB"/>
          </w:tcPr>
          <w:p>
            <w:pPr>
              <w:jc w:val="right"/>
              <w:ind w:right="156"/>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3,935</w:t>
            </w:r>
          </w:p>
        </w:tc>
        <w:tc>
          <w:tcPr>
            <w:tcW w:w="100" w:type="dxa"/>
            <w:vAlign w:val="bottom"/>
            <w:tcBorders>
              <w:top w:val="single" w:sz="8" w:color="DBDBDB"/>
            </w:tcBorders>
            <w:shd w:val="clear" w:color="auto" w:fill="DBDBDB"/>
          </w:tcPr>
          <w:p>
            <w:pPr>
              <w:spacing w:after="0"/>
              <w:rPr>
                <w:sz w:val="19"/>
                <w:szCs w:val="19"/>
                <w:color w:val="auto"/>
              </w:rPr>
            </w:pPr>
          </w:p>
        </w:tc>
        <w:tc>
          <w:tcPr>
            <w:tcW w:w="18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52,262</w:t>
            </w:r>
          </w:p>
        </w:tc>
        <w:tc>
          <w:tcPr>
            <w:tcW w:w="120" w:type="dxa"/>
            <w:vAlign w:val="bottom"/>
            <w:tcBorders>
              <w:top w:val="single" w:sz="8" w:color="DBDBDB"/>
            </w:tcBorders>
            <w:shd w:val="clear" w:color="auto" w:fill="DBDBDB"/>
          </w:tcPr>
          <w:p>
            <w:pPr>
              <w:spacing w:after="0"/>
              <w:rPr>
                <w:sz w:val="19"/>
                <w:szCs w:val="19"/>
                <w:color w:val="auto"/>
              </w:rPr>
            </w:pPr>
          </w:p>
        </w:tc>
        <w:tc>
          <w:tcPr>
            <w:tcW w:w="180" w:type="dxa"/>
            <w:vAlign w:val="bottom"/>
            <w:tcBorders>
              <w:top w:val="single" w:sz="8" w:color="auto"/>
              <w:bottom w:val="single" w:sz="8" w:color="auto"/>
            </w:tcBorders>
            <w:shd w:val="clear" w:color="auto" w:fill="DBDBDB"/>
          </w:tcPr>
          <w:p>
            <w:pPr>
              <w:ind w:left="20"/>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(40,895)</w:t>
            </w:r>
          </w:p>
        </w:tc>
        <w:tc>
          <w:tcPr>
            <w:tcW w:w="100" w:type="dxa"/>
            <w:vAlign w:val="bottom"/>
            <w:tcBorders>
              <w:top w:val="single" w:sz="8" w:color="DBDBDB"/>
            </w:tcBorders>
            <w:shd w:val="clear" w:color="auto" w:fill="DBDBDB"/>
          </w:tcPr>
          <w:p>
            <w:pPr>
              <w:spacing w:after="0"/>
              <w:rPr>
                <w:sz w:val="19"/>
                <w:szCs w:val="19"/>
                <w:color w:val="auto"/>
              </w:rPr>
            </w:pPr>
          </w:p>
        </w:tc>
        <w:tc>
          <w:tcPr>
            <w:tcW w:w="260" w:type="dxa"/>
            <w:vAlign w:val="bottom"/>
            <w:tcBorders>
              <w:top w:val="single" w:sz="8" w:color="auto"/>
              <w:bottom w:val="single" w:sz="8" w:color="auto"/>
            </w:tcBorders>
            <w:shd w:val="clear" w:color="auto" w:fill="DBDBDB"/>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36"/>
        </w:trPr>
        <w:tc>
          <w:tcPr>
            <w:tcW w:w="5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240" w:type="dxa"/>
            <w:vAlign w:val="bottom"/>
            <w:shd w:val="clear" w:color="auto" w:fill="DBDBDB"/>
          </w:tcPr>
          <w:p>
            <w:pPr>
              <w:ind w:left="20"/>
              <w:spacing w:after="0"/>
              <w:rPr>
                <w:sz w:val="20"/>
                <w:szCs w:val="20"/>
                <w:color w:val="auto"/>
              </w:rPr>
            </w:pPr>
            <w:r>
              <w:rPr>
                <w:rFonts w:ascii="Arial" w:cs="Arial" w:eastAsia="Arial" w:hAnsi="Arial"/>
                <w:sz w:val="18"/>
                <w:szCs w:val="18"/>
                <w:color w:val="auto"/>
              </w:rPr>
              <w:t>2025</w:t>
            </w:r>
          </w:p>
        </w:tc>
        <w:tc>
          <w:tcPr>
            <w:tcW w:w="340" w:type="dxa"/>
            <w:vAlign w:val="bottom"/>
            <w:shd w:val="clear" w:color="auto" w:fill="DBDBDB"/>
          </w:tcPr>
          <w:p>
            <w:pPr>
              <w:spacing w:after="0"/>
              <w:rPr>
                <w:sz w:val="19"/>
                <w:szCs w:val="19"/>
                <w:color w:val="auto"/>
              </w:rPr>
            </w:pPr>
          </w:p>
        </w:tc>
        <w:tc>
          <w:tcPr>
            <w:tcW w:w="76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360" w:type="dxa"/>
            <w:vAlign w:val="bottom"/>
            <w:shd w:val="clear" w:color="auto" w:fill="DBDBDB"/>
          </w:tcPr>
          <w:p>
            <w:pPr>
              <w:spacing w:after="0"/>
              <w:rPr>
                <w:sz w:val="19"/>
                <w:szCs w:val="19"/>
                <w:color w:val="auto"/>
              </w:rPr>
            </w:pPr>
          </w:p>
        </w:tc>
        <w:tc>
          <w:tcPr>
            <w:tcW w:w="76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92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94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260" w:type="dxa"/>
            <w:vAlign w:val="bottom"/>
            <w:shd w:val="clear" w:color="auto" w:fill="DBDBDB"/>
          </w:tcPr>
          <w:p>
            <w:pPr>
              <w:spacing w:after="0"/>
              <w:rPr>
                <w:sz w:val="19"/>
                <w:szCs w:val="19"/>
                <w:color w:val="auto"/>
              </w:rPr>
            </w:pPr>
          </w:p>
        </w:tc>
        <w:tc>
          <w:tcPr>
            <w:tcW w:w="86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40" w:type="dxa"/>
            <w:vAlign w:val="bottom"/>
          </w:tcPr>
          <w:p>
            <w:pPr>
              <w:ind w:left="140"/>
              <w:spacing w:after="0"/>
              <w:rPr>
                <w:sz w:val="20"/>
                <w:szCs w:val="20"/>
                <w:color w:val="auto"/>
              </w:rPr>
            </w:pPr>
            <w:r>
              <w:rPr>
                <w:rFonts w:ascii="Arial" w:cs="Arial" w:eastAsia="Arial" w:hAnsi="Arial"/>
                <w:sz w:val="18"/>
                <w:szCs w:val="18"/>
                <w:color w:val="auto"/>
              </w:rPr>
              <w:t>Net income</w:t>
            </w:r>
          </w:p>
        </w:tc>
        <w:tc>
          <w:tcPr>
            <w:tcW w:w="34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1,179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240" w:type="dxa"/>
            <w:vAlign w:val="bottom"/>
            <w:shd w:val="clear" w:color="auto" w:fill="DBDBDB"/>
          </w:tcPr>
          <w:p>
            <w:pPr>
              <w:ind w:left="140"/>
              <w:spacing w:after="0"/>
              <w:rPr>
                <w:sz w:val="20"/>
                <w:szCs w:val="20"/>
                <w:color w:val="auto"/>
              </w:rPr>
            </w:pPr>
            <w:r>
              <w:rPr>
                <w:rFonts w:ascii="Arial" w:cs="Arial" w:eastAsia="Arial" w:hAnsi="Arial"/>
                <w:sz w:val="18"/>
                <w:szCs w:val="18"/>
                <w:color w:val="auto"/>
              </w:rPr>
              <w:t>Dividends declared and paid ($1.36 per share)</w:t>
            </w:r>
          </w:p>
        </w:tc>
        <w:tc>
          <w:tcPr>
            <w:tcW w:w="340" w:type="dxa"/>
            <w:vAlign w:val="bottom"/>
            <w:shd w:val="clear" w:color="auto" w:fill="DBDBDB"/>
          </w:tcPr>
          <w:p>
            <w:pPr>
              <w:spacing w:after="0"/>
              <w:rPr>
                <w:sz w:val="19"/>
                <w:szCs w:val="19"/>
                <w:color w:val="auto"/>
              </w:rPr>
            </w:pPr>
          </w:p>
        </w:tc>
        <w:tc>
          <w:tcPr>
            <w:tcW w:w="86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DBDBDB"/>
          </w:tcPr>
          <w:p>
            <w:pPr>
              <w:spacing w:after="0"/>
              <w:rPr>
                <w:sz w:val="19"/>
                <w:szCs w:val="19"/>
                <w:color w:val="auto"/>
              </w:rPr>
            </w:pPr>
          </w:p>
        </w:tc>
        <w:tc>
          <w:tcPr>
            <w:tcW w:w="86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DBDBDB"/>
          </w:tcPr>
          <w:p>
            <w:pPr>
              <w:spacing w:after="0"/>
              <w:rPr>
                <w:sz w:val="19"/>
                <w:szCs w:val="19"/>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(1,238)</w:t>
            </w:r>
          </w:p>
        </w:tc>
        <w:tc>
          <w:tcPr>
            <w:tcW w:w="12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04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DBDBDB"/>
          </w:tcPr>
          <w:p>
            <w:pPr>
              <w:spacing w:after="0"/>
              <w:rPr>
                <w:sz w:val="19"/>
                <w:szCs w:val="19"/>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240" w:type="dxa"/>
            <w:vAlign w:val="bottom"/>
          </w:tcPr>
          <w:p>
            <w:pPr>
              <w:ind w:left="140"/>
              <w:spacing w:after="0"/>
              <w:rPr>
                <w:sz w:val="20"/>
                <w:szCs w:val="20"/>
                <w:color w:val="auto"/>
              </w:rPr>
            </w:pPr>
            <w:r>
              <w:rPr>
                <w:rFonts w:ascii="Arial" w:cs="Arial" w:eastAsia="Arial" w:hAnsi="Arial"/>
                <w:sz w:val="18"/>
                <w:szCs w:val="18"/>
                <w:color w:val="auto"/>
              </w:rPr>
              <w:t>Common stock issued for stock-based awards</w:t>
            </w:r>
          </w:p>
        </w:tc>
        <w:tc>
          <w:tcPr>
            <w:tcW w:w="34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240" w:type="dxa"/>
            <w:vAlign w:val="bottom"/>
            <w:shd w:val="clear" w:color="auto" w:fill="DBDBDB"/>
          </w:tcPr>
          <w:p>
            <w:pPr>
              <w:ind w:left="140"/>
              <w:spacing w:after="0"/>
              <w:rPr>
                <w:sz w:val="20"/>
                <w:szCs w:val="20"/>
                <w:color w:val="auto"/>
              </w:rPr>
            </w:pPr>
            <w:r>
              <w:rPr>
                <w:rFonts w:ascii="Arial" w:cs="Arial" w:eastAsia="Arial" w:hAnsi="Arial"/>
                <w:sz w:val="18"/>
                <w:szCs w:val="18"/>
                <w:color w:val="auto"/>
              </w:rPr>
              <w:t>Stock repurchases</w:t>
            </w:r>
          </w:p>
        </w:tc>
        <w:tc>
          <w:tcPr>
            <w:tcW w:w="340" w:type="dxa"/>
            <w:vAlign w:val="bottom"/>
            <w:shd w:val="clear" w:color="auto" w:fill="DBDBDB"/>
          </w:tcPr>
          <w:p>
            <w:pPr>
              <w:spacing w:after="0"/>
              <w:rPr>
                <w:sz w:val="19"/>
                <w:szCs w:val="19"/>
                <w:color w:val="auto"/>
              </w:rPr>
            </w:pPr>
          </w:p>
        </w:tc>
        <w:tc>
          <w:tcPr>
            <w:tcW w:w="86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DBDBDB"/>
          </w:tcPr>
          <w:p>
            <w:pPr>
              <w:spacing w:after="0"/>
              <w:rPr>
                <w:sz w:val="19"/>
                <w:szCs w:val="19"/>
                <w:color w:val="auto"/>
              </w:rPr>
            </w:pPr>
          </w:p>
        </w:tc>
        <w:tc>
          <w:tcPr>
            <w:tcW w:w="86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DBDBDB"/>
          </w:tcPr>
          <w:p>
            <w:pPr>
              <w:spacing w:after="0"/>
              <w:rPr>
                <w:sz w:val="19"/>
                <w:szCs w:val="19"/>
                <w:color w:val="auto"/>
              </w:rPr>
            </w:pPr>
          </w:p>
        </w:tc>
        <w:tc>
          <w:tcPr>
            <w:tcW w:w="104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DBDBDB"/>
          </w:tcPr>
          <w:p>
            <w:pPr>
              <w:spacing w:after="0"/>
              <w:rPr>
                <w:sz w:val="19"/>
                <w:szCs w:val="19"/>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(657)</w:t>
            </w:r>
          </w:p>
        </w:tc>
        <w:tc>
          <w:tcPr>
            <w:tcW w:w="100" w:type="dxa"/>
            <w:vAlign w:val="bottom"/>
            <w:shd w:val="clear" w:color="auto" w:fill="DBDBDB"/>
          </w:tcPr>
          <w:p>
            <w:pPr>
              <w:spacing w:after="0"/>
              <w:rPr>
                <w:sz w:val="19"/>
                <w:szCs w:val="19"/>
                <w:color w:val="auto"/>
              </w:rPr>
            </w:pPr>
          </w:p>
        </w:tc>
        <w:tc>
          <w:tcPr>
            <w:tcW w:w="260" w:type="dxa"/>
            <w:vAlign w:val="bottom"/>
            <w:shd w:val="clear" w:color="auto" w:fill="DBDBDB"/>
          </w:tcPr>
          <w:p>
            <w:pPr>
              <w:spacing w:after="0"/>
              <w:rPr>
                <w:sz w:val="19"/>
                <w:szCs w:val="19"/>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240" w:type="dxa"/>
            <w:vAlign w:val="bottom"/>
          </w:tcPr>
          <w:p>
            <w:pPr>
              <w:ind w:left="140"/>
              <w:spacing w:after="0"/>
              <w:rPr>
                <w:sz w:val="20"/>
                <w:szCs w:val="20"/>
                <w:color w:val="auto"/>
              </w:rPr>
            </w:pPr>
            <w:r>
              <w:rPr>
                <w:rFonts w:ascii="Arial" w:cs="Arial" w:eastAsia="Arial" w:hAnsi="Arial"/>
                <w:sz w:val="18"/>
                <w:szCs w:val="18"/>
                <w:color w:val="auto"/>
              </w:rPr>
              <w:t>Stock compensation</w:t>
            </w:r>
          </w:p>
        </w:tc>
        <w:tc>
          <w:tcPr>
            <w:tcW w:w="34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240" w:type="dxa"/>
            <w:vAlign w:val="bottom"/>
            <w:shd w:val="clear" w:color="auto" w:fill="DBDBDB"/>
          </w:tcPr>
          <w:p>
            <w:pPr>
              <w:ind w:left="140"/>
              <w:spacing w:after="0"/>
              <w:rPr>
                <w:sz w:val="20"/>
                <w:szCs w:val="20"/>
                <w:color w:val="auto"/>
              </w:rPr>
            </w:pPr>
            <w:r>
              <w:rPr>
                <w:rFonts w:ascii="Arial" w:cs="Arial" w:eastAsia="Arial" w:hAnsi="Arial"/>
                <w:sz w:val="18"/>
                <w:szCs w:val="18"/>
                <w:color w:val="auto"/>
              </w:rPr>
              <w:t>Other comprehensive income (loss), net of taxes</w:t>
            </w:r>
          </w:p>
        </w:tc>
        <w:tc>
          <w:tcPr>
            <w:tcW w:w="340" w:type="dxa"/>
            <w:vAlign w:val="bottom"/>
            <w:shd w:val="clear" w:color="auto" w:fill="DBDBDB"/>
          </w:tcPr>
          <w:p>
            <w:pPr>
              <w:spacing w:after="0"/>
              <w:rPr>
                <w:sz w:val="19"/>
                <w:szCs w:val="19"/>
                <w:color w:val="auto"/>
              </w:rPr>
            </w:pPr>
          </w:p>
        </w:tc>
        <w:tc>
          <w:tcPr>
            <w:tcW w:w="86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DBDBDB"/>
          </w:tcPr>
          <w:p>
            <w:pPr>
              <w:spacing w:after="0"/>
              <w:rPr>
                <w:sz w:val="19"/>
                <w:szCs w:val="19"/>
                <w:color w:val="auto"/>
              </w:rPr>
            </w:pPr>
          </w:p>
        </w:tc>
        <w:tc>
          <w:tcPr>
            <w:tcW w:w="86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DBDBDB"/>
          </w:tcPr>
          <w:p>
            <w:pPr>
              <w:spacing w:after="0"/>
              <w:rPr>
                <w:sz w:val="19"/>
                <w:szCs w:val="19"/>
                <w:color w:val="auto"/>
              </w:rPr>
            </w:pPr>
          </w:p>
        </w:tc>
        <w:tc>
          <w:tcPr>
            <w:tcW w:w="104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DBDBDB"/>
          </w:tcPr>
          <w:p>
            <w:pPr>
              <w:spacing w:after="0"/>
              <w:rPr>
                <w:sz w:val="19"/>
                <w:szCs w:val="19"/>
                <w:color w:val="auto"/>
              </w:rPr>
            </w:pPr>
          </w:p>
        </w:tc>
        <w:tc>
          <w:tcPr>
            <w:tcW w:w="104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DBDBDB"/>
          </w:tcPr>
          <w:p>
            <w:pPr>
              <w:spacing w:after="0"/>
              <w:rPr>
                <w:sz w:val="19"/>
                <w:szCs w:val="19"/>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30"/>
        </w:trPr>
        <w:tc>
          <w:tcPr>
            <w:tcW w:w="5240" w:type="dxa"/>
            <w:vAlign w:val="bottom"/>
          </w:tcPr>
          <w:p>
            <w:pPr>
              <w:ind w:left="140"/>
              <w:spacing w:after="0"/>
              <w:rPr>
                <w:sz w:val="20"/>
                <w:szCs w:val="20"/>
                <w:color w:val="auto"/>
              </w:rPr>
            </w:pPr>
            <w:r>
              <w:rPr>
                <w:rFonts w:ascii="Arial" w:cs="Arial" w:eastAsia="Arial" w:hAnsi="Arial"/>
                <w:sz w:val="18"/>
                <w:szCs w:val="18"/>
                <w:color w:val="auto"/>
              </w:rPr>
              <w:t>Dividend equivalents on RSUs</w:t>
            </w:r>
          </w:p>
        </w:tc>
        <w:tc>
          <w:tcPr>
            <w:tcW w:w="34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240" w:type="dxa"/>
            <w:vAlign w:val="bottom"/>
            <w:shd w:val="clear" w:color="auto" w:fill="DBDBDB"/>
          </w:tcPr>
          <w:p>
            <w:pPr>
              <w:ind w:left="140"/>
              <w:spacing w:after="0"/>
              <w:rPr>
                <w:sz w:val="20"/>
                <w:szCs w:val="20"/>
                <w:color w:val="auto"/>
              </w:rPr>
            </w:pPr>
            <w:r>
              <w:rPr>
                <w:rFonts w:ascii="Arial" w:cs="Arial" w:eastAsia="Arial" w:hAnsi="Arial"/>
                <w:sz w:val="18"/>
                <w:szCs w:val="18"/>
                <w:color w:val="auto"/>
              </w:rPr>
              <w:t>Other</w:t>
            </w:r>
          </w:p>
        </w:tc>
        <w:tc>
          <w:tcPr>
            <w:tcW w:w="340" w:type="dxa"/>
            <w:vAlign w:val="bottom"/>
            <w:shd w:val="clear" w:color="auto" w:fill="DBDBDB"/>
          </w:tcPr>
          <w:p>
            <w:pPr>
              <w:spacing w:after="0"/>
              <w:rPr>
                <w:sz w:val="19"/>
                <w:szCs w:val="19"/>
                <w:color w:val="auto"/>
              </w:rPr>
            </w:pPr>
          </w:p>
        </w:tc>
        <w:tc>
          <w:tcPr>
            <w:tcW w:w="86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DBDBDB"/>
          </w:tcPr>
          <w:p>
            <w:pPr>
              <w:spacing w:after="0"/>
              <w:rPr>
                <w:sz w:val="19"/>
                <w:szCs w:val="19"/>
                <w:color w:val="auto"/>
              </w:rPr>
            </w:pPr>
          </w:p>
        </w:tc>
        <w:tc>
          <w:tcPr>
            <w:tcW w:w="7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04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DBDBDB"/>
          </w:tcPr>
          <w:p>
            <w:pPr>
              <w:spacing w:after="0"/>
              <w:rPr>
                <w:sz w:val="19"/>
                <w:szCs w:val="19"/>
                <w:color w:val="auto"/>
              </w:rPr>
            </w:pPr>
          </w:p>
        </w:tc>
        <w:tc>
          <w:tcPr>
            <w:tcW w:w="104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DBDBDB"/>
          </w:tcPr>
          <w:p>
            <w:pPr>
              <w:spacing w:after="0"/>
              <w:rPr>
                <w:sz w:val="19"/>
                <w:szCs w:val="19"/>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240" w:type="dxa"/>
            <w:vAlign w:val="bottom"/>
          </w:tcPr>
          <w:p>
            <w:pPr>
              <w:ind w:left="20"/>
              <w:spacing w:after="0"/>
              <w:rPr>
                <w:sz w:val="20"/>
                <w:szCs w:val="20"/>
                <w:color w:val="auto"/>
              </w:rPr>
            </w:pPr>
            <w:r>
              <w:rPr>
                <w:rFonts w:ascii="Arial" w:cs="Arial" w:eastAsia="Arial" w:hAnsi="Arial"/>
                <w:sz w:val="18"/>
                <w:szCs w:val="18"/>
                <w:color w:val="auto"/>
              </w:rPr>
              <w:t>Balance, March 31, 2025</w:t>
            </w:r>
          </w:p>
        </w:tc>
        <w:tc>
          <w:tcPr>
            <w:tcW w:w="3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1,741</w:t>
            </w:r>
          </w:p>
        </w:tc>
        <w:tc>
          <w:tcPr>
            <w:tcW w:w="10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56"/>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4,058</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52,196</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(41,442)</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8. </w:t>
      </w:r>
      <w:r>
        <w:rPr>
          <w:rFonts w:ascii="Arial" w:cs="Arial" w:eastAsia="Arial" w:hAnsi="Arial"/>
          <w:sz w:val="18"/>
          <w:szCs w:val="18"/>
          <w:u w:val="single" w:color="auto"/>
          <w:color w:val="auto"/>
        </w:rPr>
        <w:t>Contingencies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Indemnification guarantees</w:t>
      </w:r>
    </w:p>
    <w:p>
      <w:pPr>
        <w:spacing w:after="0" w:line="223" w:lineRule="exact"/>
        <w:rPr>
          <w:sz w:val="20"/>
          <w:szCs w:val="20"/>
          <w:color w:val="auto"/>
        </w:rPr>
      </w:pPr>
    </w:p>
    <w:p>
      <w:pPr>
        <w:ind w:right="200"/>
        <w:spacing w:after="0" w:line="318" w:lineRule="auto"/>
        <w:rPr>
          <w:sz w:val="20"/>
          <w:szCs w:val="20"/>
          <w:color w:val="auto"/>
        </w:rPr>
      </w:pPr>
      <w:r>
        <w:rPr>
          <w:rFonts w:ascii="Arial" w:cs="Arial" w:eastAsia="Arial" w:hAnsi="Arial"/>
          <w:sz w:val="17"/>
          <w:szCs w:val="17"/>
          <w:color w:val="auto"/>
        </w:rPr>
        <w:t>We routinely sell products with an intellectual property indemnification included in the terms of sale. Historically, we have had only minimal, infrequent losses associated with these indemnities. Consequently, we cannot reasonably estimate any future liabilities that may result.</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Warranty costs/product liabilities</w:t>
      </w:r>
    </w:p>
    <w:p>
      <w:pPr>
        <w:spacing w:after="0" w:line="223" w:lineRule="exact"/>
        <w:rPr>
          <w:sz w:val="20"/>
          <w:szCs w:val="20"/>
          <w:color w:val="auto"/>
        </w:rPr>
      </w:pPr>
    </w:p>
    <w:p>
      <w:pPr>
        <w:ind w:right="60"/>
        <w:spacing w:after="0" w:line="278" w:lineRule="auto"/>
        <w:rPr>
          <w:sz w:val="20"/>
          <w:szCs w:val="20"/>
          <w:color w:val="auto"/>
        </w:rPr>
      </w:pPr>
      <w:r>
        <w:rPr>
          <w:rFonts w:ascii="Arial" w:cs="Arial" w:eastAsia="Arial" w:hAnsi="Arial"/>
          <w:sz w:val="17"/>
          <w:szCs w:val="17"/>
          <w:color w:val="auto"/>
        </w:rPr>
        <w:t>Our stated warranties for semiconductor products obligate us to repair, replace or credit the purchase price of a covered product back to the buyer. Product claim consideration may exceed the price of our products. Historically, we have experienced a low rate of payments on product claims. Although we cannot predict the likelihood or amount of any future claims, we do not believe they will have a material adverse effect on our consolidated financial statements. We accrue for known product-related claims if a loss is probable and can be reasonably estimated. During the periods presented, there have been no material accruals or payments regarding product warranty or product liability.</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w:t>
      </w:r>
    </w:p>
    <w:p>
      <w:pPr>
        <w:spacing w:after="0" w:line="223" w:lineRule="exact"/>
        <w:rPr>
          <w:sz w:val="20"/>
          <w:szCs w:val="20"/>
          <w:color w:val="auto"/>
        </w:rPr>
      </w:pPr>
    </w:p>
    <w:p>
      <w:pPr>
        <w:ind w:right="600"/>
        <w:spacing w:after="0" w:line="287" w:lineRule="auto"/>
        <w:rPr>
          <w:sz w:val="20"/>
          <w:szCs w:val="20"/>
          <w:color w:val="auto"/>
        </w:rPr>
      </w:pPr>
      <w:r>
        <w:rPr>
          <w:rFonts w:ascii="Arial" w:cs="Arial" w:eastAsia="Arial" w:hAnsi="Arial"/>
          <w:sz w:val="18"/>
          <w:szCs w:val="18"/>
          <w:color w:val="auto"/>
        </w:rPr>
        <w:t>We are subject to various legal and administrative proceedings. Although it is not possible to predict the outcome of these matters, we believe that the results of these proceedings will not have a material adverse effect on our consolidated financial statements.</w:t>
      </w:r>
    </w:p>
    <w:p>
      <w:pPr>
        <w:spacing w:after="0" w:line="153" w:lineRule="exact"/>
        <w:rPr>
          <w:sz w:val="20"/>
          <w:szCs w:val="20"/>
          <w:color w:val="auto"/>
        </w:rPr>
      </w:pPr>
    </w:p>
    <w:p>
      <w:pPr>
        <w:ind w:left="200" w:hanging="192"/>
        <w:spacing w:after="0"/>
        <w:tabs>
          <w:tab w:leader="none" w:pos="200" w:val="left"/>
        </w:tabs>
        <w:numPr>
          <w:ilvl w:val="0"/>
          <w:numId w:val="9"/>
        </w:numPr>
        <w:rPr>
          <w:rFonts w:ascii="Arial" w:cs="Arial" w:eastAsia="Arial" w:hAnsi="Arial"/>
          <w:sz w:val="18"/>
          <w:szCs w:val="18"/>
          <w:color w:val="auto"/>
        </w:rPr>
      </w:pPr>
      <w:r>
        <w:rPr>
          <w:rFonts w:ascii="Arial" w:cs="Arial" w:eastAsia="Arial" w:hAnsi="Arial"/>
          <w:sz w:val="18"/>
          <w:szCs w:val="18"/>
          <w:u w:val="single" w:color="auto"/>
          <w:color w:val="auto"/>
        </w:rPr>
        <w:t>Supplemental financial information</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 of Silicon Labs</w:t>
      </w:r>
    </w:p>
    <w:p>
      <w:pPr>
        <w:spacing w:after="0" w:line="223"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As announced on February 4, 2026, we have entered into a definitive agreement to acquire Silicon Labs for $231.00 per share in an all-cash transaction, representing a total enterprise value of approximately $ 7.5 billion. Under the terms of the agreement, Silicon Labs stockholders will receive $231.00 in cash for each share of Silicon Labs common stock they hold at the time of closing, which is currently expected in the first half of 2027, subject to receipt of regulatory approvals and other customary closing conditions, including approval by Silicon Labs stockholders. We expect to fund the transaction with a combination of cash on hand and debt financing to be arranged prior to closing. During the first quarter of 2026, we incurred $17 million of acquisition charges.</w:t>
      </w:r>
    </w:p>
    <w:p>
      <w:pPr>
        <w:spacing w:after="0" w:line="200" w:lineRule="exact"/>
        <w:rPr>
          <w:sz w:val="20"/>
          <w:szCs w:val="20"/>
          <w:color w:val="auto"/>
        </w:rPr>
      </w:pPr>
    </w:p>
    <w:p>
      <w:pPr>
        <w:spacing w:after="0" w:line="241"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Prepaid expenses and other current assets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700" w:type="dxa"/>
            <w:vAlign w:val="bottom"/>
          </w:tcPr>
          <w:p>
            <w:pPr>
              <w:spacing w:after="0"/>
              <w:rPr>
                <w:sz w:val="17"/>
                <w:szCs w:val="17"/>
                <w:color w:val="auto"/>
              </w:rPr>
            </w:pPr>
          </w:p>
        </w:tc>
        <w:tc>
          <w:tcPr>
            <w:tcW w:w="4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March 31,</w:t>
            </w:r>
          </w:p>
        </w:tc>
        <w:tc>
          <w:tcPr>
            <w:tcW w:w="180" w:type="dxa"/>
            <w:vAlign w:val="bottom"/>
          </w:tcPr>
          <w:p>
            <w:pPr>
              <w:spacing w:after="0"/>
              <w:rPr>
                <w:sz w:val="17"/>
                <w:szCs w:val="17"/>
                <w:color w:val="auto"/>
              </w:rPr>
            </w:pPr>
          </w:p>
        </w:tc>
        <w:tc>
          <w:tcPr>
            <w:tcW w:w="1260" w:type="dxa"/>
            <w:vAlign w:val="bottom"/>
          </w:tcPr>
          <w:p>
            <w:pPr>
              <w:jc w:val="center"/>
              <w:ind w:right="117"/>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203"/>
        </w:trPr>
        <w:tc>
          <w:tcPr>
            <w:tcW w:w="3700" w:type="dxa"/>
            <w:vAlign w:val="bottom"/>
            <w:tcBorders>
              <w:bottom w:val="single" w:sz="8" w:color="DBDBDB"/>
            </w:tcBorders>
          </w:tcPr>
          <w:p>
            <w:pPr>
              <w:spacing w:after="0"/>
              <w:rPr>
                <w:sz w:val="17"/>
                <w:szCs w:val="17"/>
                <w:color w:val="auto"/>
              </w:rPr>
            </w:pPr>
          </w:p>
        </w:tc>
        <w:tc>
          <w:tcPr>
            <w:tcW w:w="4540" w:type="dxa"/>
            <w:vAlign w:val="bottom"/>
            <w:tcBorders>
              <w:bottom w:val="single" w:sz="8" w:color="DBDBDB"/>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center"/>
              <w:ind w:right="177"/>
              <w:spacing w:after="0"/>
              <w:rPr>
                <w:sz w:val="20"/>
                <w:szCs w:val="20"/>
                <w:color w:val="auto"/>
              </w:rPr>
            </w:pPr>
            <w:r>
              <w:rPr>
                <w:rFonts w:ascii="Arial" w:cs="Arial" w:eastAsia="Arial" w:hAnsi="Arial"/>
                <w:sz w:val="14"/>
                <w:szCs w:val="14"/>
                <w:b w:val="1"/>
                <w:bCs w:val="1"/>
                <w:color w:val="auto"/>
              </w:rPr>
              <w:t>2026</w:t>
            </w:r>
          </w:p>
        </w:tc>
        <w:tc>
          <w:tcPr>
            <w:tcW w:w="120" w:type="dxa"/>
            <w:vAlign w:val="bottom"/>
            <w:tcBorders>
              <w:bottom w:val="single" w:sz="8" w:color="DBDBDB"/>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center"/>
              <w:ind w:right="97"/>
              <w:spacing w:after="0"/>
              <w:rPr>
                <w:sz w:val="20"/>
                <w:szCs w:val="20"/>
                <w:color w:val="auto"/>
              </w:rPr>
            </w:pPr>
            <w:r>
              <w:rPr>
                <w:rFonts w:ascii="Arial" w:cs="Arial" w:eastAsia="Arial" w:hAnsi="Arial"/>
                <w:sz w:val="14"/>
                <w:szCs w:val="14"/>
                <w:b w:val="1"/>
                <w:bCs w:val="1"/>
                <w:color w:val="auto"/>
              </w:rPr>
              <w:t>2025</w:t>
            </w:r>
          </w:p>
        </w:tc>
        <w:tc>
          <w:tcPr>
            <w:tcW w:w="0" w:type="dxa"/>
            <w:vAlign w:val="bottom"/>
          </w:tcPr>
          <w:p>
            <w:pPr>
              <w:spacing w:after="0"/>
              <w:rPr>
                <w:sz w:val="1"/>
                <w:szCs w:val="1"/>
                <w:color w:val="auto"/>
              </w:rPr>
            </w:pPr>
          </w:p>
        </w:tc>
      </w:tr>
      <w:tr>
        <w:trPr>
          <w:trHeight w:val="224"/>
        </w:trPr>
        <w:tc>
          <w:tcPr>
            <w:tcW w:w="3700" w:type="dxa"/>
            <w:vAlign w:val="bottom"/>
            <w:shd w:val="clear" w:color="auto" w:fill="DBDBDB"/>
          </w:tcPr>
          <w:p>
            <w:pPr>
              <w:ind w:left="20"/>
              <w:spacing w:after="0"/>
              <w:rPr>
                <w:sz w:val="20"/>
                <w:szCs w:val="20"/>
                <w:color w:val="auto"/>
              </w:rPr>
            </w:pPr>
            <w:r>
              <w:rPr>
                <w:rFonts w:ascii="Arial" w:cs="Arial" w:eastAsia="Arial" w:hAnsi="Arial"/>
                <w:sz w:val="18"/>
                <w:szCs w:val="18"/>
                <w:color w:val="auto"/>
              </w:rPr>
              <w:t>CHIPS Act incentives</w:t>
            </w:r>
          </w:p>
        </w:tc>
        <w:tc>
          <w:tcPr>
            <w:tcW w:w="4540" w:type="dxa"/>
            <w:vAlign w:val="bottom"/>
            <w:shd w:val="clear" w:color="auto" w:fill="DBDBDB"/>
          </w:tcPr>
          <w:p>
            <w:pPr>
              <w:spacing w:after="0"/>
              <w:rPr>
                <w:sz w:val="19"/>
                <w:szCs w:val="19"/>
                <w:color w:val="auto"/>
              </w:rPr>
            </w:pPr>
          </w:p>
        </w:tc>
        <w:tc>
          <w:tcPr>
            <w:tcW w:w="260" w:type="dxa"/>
            <w:vAlign w:val="bottom"/>
            <w:shd w:val="clear" w:color="auto" w:fill="DBDBDB"/>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18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1,404</w:t>
            </w:r>
          </w:p>
        </w:tc>
        <w:tc>
          <w:tcPr>
            <w:tcW w:w="120" w:type="dxa"/>
            <w:vAlign w:val="bottom"/>
            <w:shd w:val="clear" w:color="auto" w:fill="DBDBDB"/>
          </w:tcPr>
          <w:p>
            <w:pPr>
              <w:spacing w:after="0"/>
              <w:rPr>
                <w:sz w:val="19"/>
                <w:szCs w:val="19"/>
                <w:color w:val="auto"/>
              </w:rPr>
            </w:pPr>
          </w:p>
        </w:tc>
        <w:tc>
          <w:tcPr>
            <w:tcW w:w="18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1,709</w:t>
            </w:r>
          </w:p>
        </w:tc>
        <w:tc>
          <w:tcPr>
            <w:tcW w:w="0" w:type="dxa"/>
            <w:vAlign w:val="bottom"/>
          </w:tcPr>
          <w:p>
            <w:pPr>
              <w:spacing w:after="0"/>
              <w:rPr>
                <w:sz w:val="1"/>
                <w:szCs w:val="1"/>
                <w:color w:val="auto"/>
              </w:rPr>
            </w:pPr>
          </w:p>
        </w:tc>
      </w:tr>
      <w:tr>
        <w:trPr>
          <w:trHeight w:val="230"/>
        </w:trPr>
        <w:tc>
          <w:tcPr>
            <w:tcW w:w="370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Other</w:t>
            </w:r>
          </w:p>
        </w:tc>
        <w:tc>
          <w:tcPr>
            <w:tcW w:w="4540" w:type="dxa"/>
            <w:vAlign w:val="bottom"/>
            <w:tcBorders>
              <w:bottom w:val="single" w:sz="8" w:color="DBDBDB"/>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349</w:t>
            </w:r>
          </w:p>
        </w:tc>
        <w:tc>
          <w:tcPr>
            <w:tcW w:w="120" w:type="dxa"/>
            <w:vAlign w:val="bottom"/>
            <w:tcBorders>
              <w:bottom w:val="single" w:sz="8" w:color="DBDBDB"/>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393</w:t>
            </w:r>
          </w:p>
        </w:tc>
        <w:tc>
          <w:tcPr>
            <w:tcW w:w="0" w:type="dxa"/>
            <w:vAlign w:val="bottom"/>
          </w:tcPr>
          <w:p>
            <w:pPr>
              <w:spacing w:after="0"/>
              <w:rPr>
                <w:sz w:val="1"/>
                <w:szCs w:val="1"/>
                <w:color w:val="auto"/>
              </w:rPr>
            </w:pPr>
          </w:p>
        </w:tc>
      </w:tr>
      <w:tr>
        <w:trPr>
          <w:trHeight w:val="248"/>
        </w:trPr>
        <w:tc>
          <w:tcPr>
            <w:tcW w:w="370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Total</w:t>
            </w:r>
          </w:p>
        </w:tc>
        <w:tc>
          <w:tcPr>
            <w:tcW w:w="4540" w:type="dxa"/>
            <w:vAlign w:val="bottom"/>
            <w:tcBorders>
              <w:bottom w:val="single" w:sz="8" w:color="DBDBDB"/>
            </w:tcBorders>
            <w:shd w:val="clear" w:color="auto" w:fill="DBDBDB"/>
          </w:tcPr>
          <w:p>
            <w:pPr>
              <w:spacing w:after="0"/>
              <w:rPr>
                <w:sz w:val="21"/>
                <w:szCs w:val="21"/>
                <w:color w:val="auto"/>
              </w:rPr>
            </w:pPr>
          </w:p>
        </w:tc>
        <w:tc>
          <w:tcPr>
            <w:tcW w:w="260" w:type="dxa"/>
            <w:vAlign w:val="bottom"/>
            <w:tcBorders>
              <w:bottom w:val="single" w:sz="8" w:color="auto"/>
            </w:tcBorders>
            <w:shd w:val="clear" w:color="auto" w:fill="DBDBDB"/>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1,753</w:t>
            </w:r>
          </w:p>
        </w:tc>
        <w:tc>
          <w:tcPr>
            <w:tcW w:w="120" w:type="dxa"/>
            <w:vAlign w:val="bottom"/>
            <w:tcBorders>
              <w:bottom w:val="single" w:sz="8" w:color="DBDBDB"/>
            </w:tcBorders>
            <w:shd w:val="clear" w:color="auto" w:fill="DBDBDB"/>
          </w:tcPr>
          <w:p>
            <w:pPr>
              <w:spacing w:after="0"/>
              <w:rPr>
                <w:sz w:val="21"/>
                <w:szCs w:val="21"/>
                <w:color w:val="auto"/>
              </w:rPr>
            </w:pPr>
          </w:p>
        </w:tc>
        <w:tc>
          <w:tcPr>
            <w:tcW w:w="1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2,102</w:t>
            </w:r>
          </w:p>
        </w:tc>
        <w:tc>
          <w:tcPr>
            <w:tcW w:w="0" w:type="dxa"/>
            <w:vAlign w:val="bottom"/>
          </w:tcPr>
          <w:p>
            <w:pPr>
              <w:spacing w:after="0"/>
              <w:rPr>
                <w:sz w:val="1"/>
                <w:szCs w:val="1"/>
                <w:color w:val="auto"/>
              </w:rPr>
            </w:pPr>
          </w:p>
        </w:tc>
      </w:tr>
      <w:tr>
        <w:trPr>
          <w:trHeight w:val="20"/>
        </w:trPr>
        <w:tc>
          <w:tcPr>
            <w:tcW w:w="3700" w:type="dxa"/>
            <w:vAlign w:val="bottom"/>
            <w:tcBorders>
              <w:top w:val="single" w:sz="8" w:color="DBDBDB"/>
              <w:bottom w:val="single" w:sz="8" w:color="DBDBDB"/>
            </w:tcBorders>
            <w:vMerge w:val="restart"/>
          </w:tcPr>
          <w:p>
            <w:pPr>
              <w:ind w:left="20"/>
              <w:spacing w:after="0"/>
              <w:rPr>
                <w:sz w:val="20"/>
                <w:szCs w:val="20"/>
                <w:color w:val="auto"/>
              </w:rPr>
            </w:pPr>
            <w:r>
              <w:rPr>
                <w:rFonts w:ascii="Arial" w:cs="Arial" w:eastAsia="Arial" w:hAnsi="Arial"/>
                <w:sz w:val="18"/>
                <w:szCs w:val="18"/>
                <w:i w:val="1"/>
                <w:iCs w:val="1"/>
                <w:color w:val="auto"/>
              </w:rPr>
              <w:t>Other long-term assets</w:t>
            </w:r>
          </w:p>
        </w:tc>
        <w:tc>
          <w:tcPr>
            <w:tcW w:w="4540" w:type="dxa"/>
            <w:vAlign w:val="bottom"/>
            <w:tcBorders>
              <w:top w:val="single" w:sz="8" w:color="DBDBDB"/>
            </w:tcBorders>
          </w:tcPr>
          <w:p>
            <w:pPr>
              <w:spacing w:after="0" w:line="20" w:lineRule="exact"/>
              <w:rPr>
                <w:sz w:val="1"/>
                <w:szCs w:val="1"/>
                <w:color w:val="auto"/>
              </w:rPr>
            </w:pPr>
          </w:p>
        </w:tc>
        <w:tc>
          <w:tcPr>
            <w:tcW w:w="260" w:type="dxa"/>
            <w:vAlign w:val="bottom"/>
            <w:tcBorders>
              <w:top w:val="single" w:sz="8" w:color="DBDBDB"/>
              <w:bottom w:val="single" w:sz="8" w:color="auto"/>
            </w:tcBorders>
          </w:tcPr>
          <w:p>
            <w:pPr>
              <w:spacing w:after="0" w:line="20" w:lineRule="exact"/>
              <w:rPr>
                <w:sz w:val="1"/>
                <w:szCs w:val="1"/>
                <w:color w:val="auto"/>
              </w:rPr>
            </w:pPr>
          </w:p>
        </w:tc>
        <w:tc>
          <w:tcPr>
            <w:tcW w:w="118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180" w:type="dxa"/>
            <w:vAlign w:val="bottom"/>
            <w:tcBorders>
              <w:top w:val="single" w:sz="8" w:color="DBDBDB"/>
              <w:bottom w:val="single" w:sz="8" w:color="auto"/>
            </w:tcBorders>
          </w:tcPr>
          <w:p>
            <w:pPr>
              <w:spacing w:after="0" w:line="20" w:lineRule="exact"/>
              <w:rPr>
                <w:sz w:val="1"/>
                <w:szCs w:val="1"/>
                <w:color w:val="auto"/>
              </w:rPr>
            </w:pPr>
          </w:p>
        </w:tc>
        <w:tc>
          <w:tcPr>
            <w:tcW w:w="126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5"/>
        </w:trPr>
        <w:tc>
          <w:tcPr>
            <w:tcW w:w="3700" w:type="dxa"/>
            <w:vAlign w:val="bottom"/>
            <w:vMerge w:val="continue"/>
          </w:tcPr>
          <w:p>
            <w:pPr>
              <w:spacing w:after="0"/>
              <w:rPr>
                <w:sz w:val="24"/>
                <w:szCs w:val="24"/>
                <w:color w:val="auto"/>
              </w:rPr>
            </w:pPr>
          </w:p>
        </w:tc>
        <w:tc>
          <w:tcPr>
            <w:tcW w:w="4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3700" w:type="dxa"/>
            <w:vAlign w:val="bottom"/>
          </w:tcPr>
          <w:p>
            <w:pPr>
              <w:spacing w:after="0"/>
              <w:rPr>
                <w:sz w:val="17"/>
                <w:szCs w:val="17"/>
                <w:color w:val="auto"/>
              </w:rPr>
            </w:pPr>
          </w:p>
        </w:tc>
        <w:tc>
          <w:tcPr>
            <w:tcW w:w="4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March 31,</w:t>
            </w:r>
          </w:p>
        </w:tc>
        <w:tc>
          <w:tcPr>
            <w:tcW w:w="180" w:type="dxa"/>
            <w:vAlign w:val="bottom"/>
          </w:tcPr>
          <w:p>
            <w:pPr>
              <w:spacing w:after="0"/>
              <w:rPr>
                <w:sz w:val="17"/>
                <w:szCs w:val="17"/>
                <w:color w:val="auto"/>
              </w:rPr>
            </w:pPr>
          </w:p>
        </w:tc>
        <w:tc>
          <w:tcPr>
            <w:tcW w:w="1260" w:type="dxa"/>
            <w:vAlign w:val="bottom"/>
          </w:tcPr>
          <w:p>
            <w:pPr>
              <w:jc w:val="center"/>
              <w:ind w:right="117"/>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203"/>
        </w:trPr>
        <w:tc>
          <w:tcPr>
            <w:tcW w:w="3700" w:type="dxa"/>
            <w:vAlign w:val="bottom"/>
            <w:tcBorders>
              <w:bottom w:val="single" w:sz="8" w:color="DBDBDB"/>
            </w:tcBorders>
          </w:tcPr>
          <w:p>
            <w:pPr>
              <w:spacing w:after="0"/>
              <w:rPr>
                <w:sz w:val="17"/>
                <w:szCs w:val="17"/>
                <w:color w:val="auto"/>
              </w:rPr>
            </w:pPr>
          </w:p>
        </w:tc>
        <w:tc>
          <w:tcPr>
            <w:tcW w:w="4540" w:type="dxa"/>
            <w:vAlign w:val="bottom"/>
            <w:tcBorders>
              <w:bottom w:val="single" w:sz="8" w:color="DBDBDB"/>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center"/>
              <w:ind w:right="177"/>
              <w:spacing w:after="0"/>
              <w:rPr>
                <w:sz w:val="20"/>
                <w:szCs w:val="20"/>
                <w:color w:val="auto"/>
              </w:rPr>
            </w:pPr>
            <w:r>
              <w:rPr>
                <w:rFonts w:ascii="Arial" w:cs="Arial" w:eastAsia="Arial" w:hAnsi="Arial"/>
                <w:sz w:val="14"/>
                <w:szCs w:val="14"/>
                <w:b w:val="1"/>
                <w:bCs w:val="1"/>
                <w:color w:val="auto"/>
              </w:rPr>
              <w:t>2026</w:t>
            </w:r>
          </w:p>
        </w:tc>
        <w:tc>
          <w:tcPr>
            <w:tcW w:w="120" w:type="dxa"/>
            <w:vAlign w:val="bottom"/>
            <w:tcBorders>
              <w:bottom w:val="single" w:sz="8" w:color="DBDBDB"/>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center"/>
              <w:ind w:right="97"/>
              <w:spacing w:after="0"/>
              <w:rPr>
                <w:sz w:val="20"/>
                <w:szCs w:val="20"/>
                <w:color w:val="auto"/>
              </w:rPr>
            </w:pPr>
            <w:r>
              <w:rPr>
                <w:rFonts w:ascii="Arial" w:cs="Arial" w:eastAsia="Arial" w:hAnsi="Arial"/>
                <w:sz w:val="14"/>
                <w:szCs w:val="14"/>
                <w:b w:val="1"/>
                <w:bCs w:val="1"/>
                <w:color w:val="auto"/>
              </w:rPr>
              <w:t>2025</w:t>
            </w:r>
          </w:p>
        </w:tc>
        <w:tc>
          <w:tcPr>
            <w:tcW w:w="0" w:type="dxa"/>
            <w:vAlign w:val="bottom"/>
          </w:tcPr>
          <w:p>
            <w:pPr>
              <w:spacing w:after="0"/>
              <w:rPr>
                <w:sz w:val="1"/>
                <w:szCs w:val="1"/>
                <w:color w:val="auto"/>
              </w:rPr>
            </w:pPr>
          </w:p>
        </w:tc>
      </w:tr>
      <w:tr>
        <w:trPr>
          <w:trHeight w:val="224"/>
        </w:trPr>
        <w:tc>
          <w:tcPr>
            <w:tcW w:w="3700" w:type="dxa"/>
            <w:vAlign w:val="bottom"/>
            <w:shd w:val="clear" w:color="auto" w:fill="DBDBDB"/>
          </w:tcPr>
          <w:p>
            <w:pPr>
              <w:ind w:left="20"/>
              <w:spacing w:after="0"/>
              <w:rPr>
                <w:sz w:val="20"/>
                <w:szCs w:val="20"/>
                <w:color w:val="auto"/>
              </w:rPr>
            </w:pPr>
            <w:r>
              <w:rPr>
                <w:rFonts w:ascii="Arial" w:cs="Arial" w:eastAsia="Arial" w:hAnsi="Arial"/>
                <w:sz w:val="18"/>
                <w:szCs w:val="18"/>
                <w:color w:val="auto"/>
              </w:rPr>
              <w:t>CHIPS Act incentives</w:t>
            </w:r>
          </w:p>
        </w:tc>
        <w:tc>
          <w:tcPr>
            <w:tcW w:w="4540" w:type="dxa"/>
            <w:vAlign w:val="bottom"/>
            <w:shd w:val="clear" w:color="auto" w:fill="DBDBDB"/>
          </w:tcPr>
          <w:p>
            <w:pPr>
              <w:spacing w:after="0"/>
              <w:rPr>
                <w:sz w:val="19"/>
                <w:szCs w:val="19"/>
                <w:color w:val="auto"/>
              </w:rPr>
            </w:pPr>
          </w:p>
        </w:tc>
        <w:tc>
          <w:tcPr>
            <w:tcW w:w="260" w:type="dxa"/>
            <w:vAlign w:val="bottom"/>
            <w:shd w:val="clear" w:color="auto" w:fill="DBDBDB"/>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18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1,493</w:t>
            </w:r>
          </w:p>
        </w:tc>
        <w:tc>
          <w:tcPr>
            <w:tcW w:w="120" w:type="dxa"/>
            <w:vAlign w:val="bottom"/>
            <w:shd w:val="clear" w:color="auto" w:fill="DBDBDB"/>
          </w:tcPr>
          <w:p>
            <w:pPr>
              <w:spacing w:after="0"/>
              <w:rPr>
                <w:sz w:val="19"/>
                <w:szCs w:val="19"/>
                <w:color w:val="auto"/>
              </w:rPr>
            </w:pPr>
          </w:p>
        </w:tc>
        <w:tc>
          <w:tcPr>
            <w:tcW w:w="18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1,639</w:t>
            </w:r>
          </w:p>
        </w:tc>
        <w:tc>
          <w:tcPr>
            <w:tcW w:w="0" w:type="dxa"/>
            <w:vAlign w:val="bottom"/>
          </w:tcPr>
          <w:p>
            <w:pPr>
              <w:spacing w:after="0"/>
              <w:rPr>
                <w:sz w:val="1"/>
                <w:szCs w:val="1"/>
                <w:color w:val="auto"/>
              </w:rPr>
            </w:pPr>
          </w:p>
        </w:tc>
      </w:tr>
      <w:tr>
        <w:trPr>
          <w:trHeight w:val="230"/>
        </w:trPr>
        <w:tc>
          <w:tcPr>
            <w:tcW w:w="370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Other</w:t>
            </w:r>
          </w:p>
        </w:tc>
        <w:tc>
          <w:tcPr>
            <w:tcW w:w="4540" w:type="dxa"/>
            <w:vAlign w:val="bottom"/>
            <w:tcBorders>
              <w:bottom w:val="single" w:sz="8" w:color="DBDBDB"/>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1,012</w:t>
            </w:r>
          </w:p>
        </w:tc>
        <w:tc>
          <w:tcPr>
            <w:tcW w:w="120" w:type="dxa"/>
            <w:vAlign w:val="bottom"/>
            <w:tcBorders>
              <w:bottom w:val="single" w:sz="8" w:color="DBDBDB"/>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1,017</w:t>
            </w:r>
          </w:p>
        </w:tc>
        <w:tc>
          <w:tcPr>
            <w:tcW w:w="0" w:type="dxa"/>
            <w:vAlign w:val="bottom"/>
          </w:tcPr>
          <w:p>
            <w:pPr>
              <w:spacing w:after="0"/>
              <w:rPr>
                <w:sz w:val="1"/>
                <w:szCs w:val="1"/>
                <w:color w:val="auto"/>
              </w:rPr>
            </w:pPr>
          </w:p>
        </w:tc>
      </w:tr>
      <w:tr>
        <w:trPr>
          <w:trHeight w:val="248"/>
        </w:trPr>
        <w:tc>
          <w:tcPr>
            <w:tcW w:w="370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Total</w:t>
            </w:r>
          </w:p>
        </w:tc>
        <w:tc>
          <w:tcPr>
            <w:tcW w:w="4540" w:type="dxa"/>
            <w:vAlign w:val="bottom"/>
            <w:tcBorders>
              <w:bottom w:val="single" w:sz="8" w:color="DBDBDB"/>
            </w:tcBorders>
            <w:shd w:val="clear" w:color="auto" w:fill="DBDBDB"/>
          </w:tcPr>
          <w:p>
            <w:pPr>
              <w:spacing w:after="0"/>
              <w:rPr>
                <w:sz w:val="21"/>
                <w:szCs w:val="21"/>
                <w:color w:val="auto"/>
              </w:rPr>
            </w:pPr>
          </w:p>
        </w:tc>
        <w:tc>
          <w:tcPr>
            <w:tcW w:w="260" w:type="dxa"/>
            <w:vAlign w:val="bottom"/>
            <w:tcBorders>
              <w:bottom w:val="single" w:sz="8" w:color="auto"/>
            </w:tcBorders>
            <w:shd w:val="clear" w:color="auto" w:fill="DBDBDB"/>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2,505</w:t>
            </w:r>
          </w:p>
        </w:tc>
        <w:tc>
          <w:tcPr>
            <w:tcW w:w="120" w:type="dxa"/>
            <w:vAlign w:val="bottom"/>
            <w:tcBorders>
              <w:bottom w:val="single" w:sz="8" w:color="DBDBDB"/>
            </w:tcBorders>
            <w:shd w:val="clear" w:color="auto" w:fill="DBDBDB"/>
          </w:tcPr>
          <w:p>
            <w:pPr>
              <w:spacing w:after="0"/>
              <w:rPr>
                <w:sz w:val="21"/>
                <w:szCs w:val="21"/>
                <w:color w:val="auto"/>
              </w:rPr>
            </w:pPr>
          </w:p>
        </w:tc>
        <w:tc>
          <w:tcPr>
            <w:tcW w:w="1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2,656</w:t>
            </w:r>
          </w:p>
        </w:tc>
        <w:tc>
          <w:tcPr>
            <w:tcW w:w="0" w:type="dxa"/>
            <w:vAlign w:val="bottom"/>
          </w:tcPr>
          <w:p>
            <w:pPr>
              <w:spacing w:after="0"/>
              <w:rPr>
                <w:sz w:val="1"/>
                <w:szCs w:val="1"/>
                <w:color w:val="auto"/>
              </w:rPr>
            </w:pPr>
          </w:p>
        </w:tc>
      </w:tr>
      <w:tr>
        <w:trPr>
          <w:trHeight w:val="20"/>
        </w:trPr>
        <w:tc>
          <w:tcPr>
            <w:tcW w:w="3700" w:type="dxa"/>
            <w:vAlign w:val="bottom"/>
            <w:tcBorders>
              <w:top w:val="single" w:sz="8" w:color="DBDBDB"/>
            </w:tcBorders>
          </w:tcPr>
          <w:p>
            <w:pPr>
              <w:spacing w:after="0" w:line="20" w:lineRule="exact"/>
              <w:rPr>
                <w:sz w:val="1"/>
                <w:szCs w:val="1"/>
                <w:color w:val="auto"/>
              </w:rPr>
            </w:pPr>
          </w:p>
        </w:tc>
        <w:tc>
          <w:tcPr>
            <w:tcW w:w="4540" w:type="dxa"/>
            <w:vAlign w:val="bottom"/>
            <w:tcBorders>
              <w:top w:val="single" w:sz="8" w:color="DBDBDB"/>
              <w:bottom w:val="single" w:sz="8" w:color="DBDBDB"/>
            </w:tcBorders>
            <w:vMerge w:val="restart"/>
          </w:tcPr>
          <w:p>
            <w:pPr>
              <w:jc w:val="right"/>
              <w:ind w:right="2430"/>
              <w:spacing w:after="0"/>
              <w:rPr>
                <w:sz w:val="20"/>
                <w:szCs w:val="20"/>
                <w:color w:val="auto"/>
              </w:rPr>
            </w:pPr>
            <w:r>
              <w:rPr>
                <w:rFonts w:ascii="Arial" w:cs="Arial" w:eastAsia="Arial" w:hAnsi="Arial"/>
                <w:sz w:val="18"/>
                <w:szCs w:val="18"/>
                <w:color w:val="auto"/>
              </w:rPr>
              <w:t>14</w:t>
            </w:r>
          </w:p>
        </w:tc>
        <w:tc>
          <w:tcPr>
            <w:tcW w:w="260" w:type="dxa"/>
            <w:vAlign w:val="bottom"/>
            <w:tcBorders>
              <w:top w:val="single" w:sz="8" w:color="DBDBDB"/>
              <w:bottom w:val="single" w:sz="8" w:color="auto"/>
            </w:tcBorders>
          </w:tcPr>
          <w:p>
            <w:pPr>
              <w:spacing w:after="0" w:line="20" w:lineRule="exact"/>
              <w:rPr>
                <w:sz w:val="1"/>
                <w:szCs w:val="1"/>
                <w:color w:val="auto"/>
              </w:rPr>
            </w:pPr>
          </w:p>
        </w:tc>
        <w:tc>
          <w:tcPr>
            <w:tcW w:w="118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180" w:type="dxa"/>
            <w:vAlign w:val="bottom"/>
            <w:tcBorders>
              <w:top w:val="single" w:sz="8" w:color="DBDBDB"/>
              <w:bottom w:val="single" w:sz="8" w:color="auto"/>
            </w:tcBorders>
          </w:tcPr>
          <w:p>
            <w:pPr>
              <w:spacing w:after="0" w:line="20" w:lineRule="exact"/>
              <w:rPr>
                <w:sz w:val="1"/>
                <w:szCs w:val="1"/>
                <w:color w:val="auto"/>
              </w:rPr>
            </w:pPr>
          </w:p>
        </w:tc>
        <w:tc>
          <w:tcPr>
            <w:tcW w:w="126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8"/>
        </w:trPr>
        <w:tc>
          <w:tcPr>
            <w:tcW w:w="3700" w:type="dxa"/>
            <w:vAlign w:val="bottom"/>
          </w:tcPr>
          <w:p>
            <w:pPr>
              <w:spacing w:after="0"/>
              <w:rPr>
                <w:sz w:val="24"/>
                <w:szCs w:val="24"/>
                <w:color w:val="auto"/>
              </w:rPr>
            </w:pPr>
          </w:p>
        </w:tc>
        <w:tc>
          <w:tcPr>
            <w:tcW w:w="454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3700" w:type="dxa"/>
            <w:vAlign w:val="bottom"/>
            <w:tcBorders>
              <w:bottom w:val="single" w:sz="8" w:color="9A9A9A"/>
            </w:tcBorders>
          </w:tcPr>
          <w:p>
            <w:pPr>
              <w:spacing w:after="0"/>
              <w:rPr>
                <w:sz w:val="9"/>
                <w:szCs w:val="9"/>
                <w:color w:val="auto"/>
              </w:rPr>
            </w:pPr>
          </w:p>
        </w:tc>
        <w:tc>
          <w:tcPr>
            <w:tcW w:w="454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118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26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Details on amounts reclassified out of accumulated other comprehensive income (loss), net of taxes, to net income</w:t>
      </w:r>
    </w:p>
    <w:p>
      <w:pPr>
        <w:spacing w:after="0" w:line="223" w:lineRule="exact"/>
        <w:rPr>
          <w:sz w:val="20"/>
          <w:szCs w:val="20"/>
          <w:color w:val="auto"/>
        </w:rPr>
      </w:pPr>
    </w:p>
    <w:p>
      <w:pPr>
        <w:ind w:right="120"/>
        <w:spacing w:after="0" w:line="287" w:lineRule="auto"/>
        <w:rPr>
          <w:sz w:val="20"/>
          <w:szCs w:val="20"/>
          <w:color w:val="auto"/>
        </w:rPr>
      </w:pPr>
      <w:r>
        <w:rPr>
          <w:rFonts w:ascii="Arial" w:cs="Arial" w:eastAsia="Arial" w:hAnsi="Arial"/>
          <w:sz w:val="18"/>
          <w:szCs w:val="18"/>
          <w:color w:val="auto"/>
        </w:rPr>
        <w:t>Our Consolidated Statements of Comprehensive Income include items that have been recognized within net income during the first quarters of 2026 and 2025. The table below details where these transactions are recorded in our Consolidated Statements of Income.</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60" w:type="dxa"/>
            <w:vAlign w:val="bottom"/>
            <w:gridSpan w:val="4"/>
          </w:tcPr>
          <w:p>
            <w:pPr>
              <w:jc w:val="right"/>
              <w:spacing w:after="0"/>
              <w:rPr>
                <w:sz w:val="20"/>
                <w:szCs w:val="20"/>
                <w:color w:val="auto"/>
              </w:rPr>
            </w:pPr>
            <w:r>
              <w:rPr>
                <w:rFonts w:ascii="Arial" w:cs="Arial" w:eastAsia="Arial" w:hAnsi="Arial"/>
                <w:sz w:val="14"/>
                <w:szCs w:val="14"/>
                <w:b w:val="1"/>
                <w:bCs w:val="1"/>
                <w:color w:val="auto"/>
              </w:rPr>
              <w:t>For Three Months Ended</w:t>
            </w: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5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78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gridSpan w:val="3"/>
          </w:tcPr>
          <w:p>
            <w:pPr>
              <w:jc w:val="right"/>
              <w:ind w:right="454"/>
              <w:spacing w:after="0"/>
              <w:rPr>
                <w:sz w:val="20"/>
                <w:szCs w:val="20"/>
                <w:color w:val="auto"/>
              </w:rPr>
            </w:pPr>
            <w:r>
              <w:rPr>
                <w:rFonts w:ascii="Arial" w:cs="Arial" w:eastAsia="Arial" w:hAnsi="Arial"/>
                <w:sz w:val="14"/>
                <w:szCs w:val="14"/>
                <w:b w:val="1"/>
                <w:bCs w:val="1"/>
                <w:color w:val="auto"/>
              </w:rPr>
              <w:t>March 31,</w:t>
            </w:r>
          </w:p>
        </w:tc>
        <w:tc>
          <w:tcPr>
            <w:tcW w:w="300" w:type="dxa"/>
            <w:vAlign w:val="bottom"/>
            <w:tcBorders>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302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Impact to Related Statement of Income</w:t>
            </w:r>
          </w:p>
        </w:tc>
        <w:tc>
          <w:tcPr>
            <w:tcW w:w="0" w:type="dxa"/>
            <w:vAlign w:val="bottom"/>
          </w:tcPr>
          <w:p>
            <w:pPr>
              <w:spacing w:after="0"/>
              <w:rPr>
                <w:sz w:val="1"/>
                <w:szCs w:val="1"/>
                <w:color w:val="auto"/>
              </w:rPr>
            </w:pPr>
          </w:p>
        </w:tc>
      </w:tr>
      <w:tr>
        <w:trPr>
          <w:trHeight w:val="54"/>
        </w:trPr>
        <w:tc>
          <w:tcPr>
            <w:tcW w:w="5120" w:type="dxa"/>
            <w:vAlign w:val="bottom"/>
          </w:tcPr>
          <w:p>
            <w:pPr>
              <w:spacing w:after="0"/>
              <w:rPr>
                <w:sz w:val="4"/>
                <w:szCs w:val="4"/>
                <w:color w:val="auto"/>
              </w:rPr>
            </w:pPr>
          </w:p>
        </w:tc>
        <w:tc>
          <w:tcPr>
            <w:tcW w:w="14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2026</w:t>
            </w:r>
          </w:p>
        </w:tc>
        <w:tc>
          <w:tcPr>
            <w:tcW w:w="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20" w:type="dxa"/>
            <w:vAlign w:val="bottom"/>
            <w:vMerge w:val="restart"/>
          </w:tcPr>
          <w:p>
            <w:pPr>
              <w:jc w:val="right"/>
              <w:ind w:right="14"/>
              <w:spacing w:after="0"/>
              <w:rPr>
                <w:sz w:val="20"/>
                <w:szCs w:val="20"/>
                <w:color w:val="auto"/>
              </w:rPr>
            </w:pPr>
            <w:r>
              <w:rPr>
                <w:rFonts w:ascii="Arial" w:cs="Arial" w:eastAsia="Arial" w:hAnsi="Arial"/>
                <w:sz w:val="14"/>
                <w:szCs w:val="14"/>
                <w:b w:val="1"/>
                <w:bCs w:val="1"/>
                <w:color w:val="auto"/>
              </w:rPr>
              <w:t>2025</w:t>
            </w:r>
          </w:p>
        </w:tc>
        <w:tc>
          <w:tcPr>
            <w:tcW w:w="300" w:type="dxa"/>
            <w:vAlign w:val="bottom"/>
          </w:tcPr>
          <w:p>
            <w:pPr>
              <w:spacing w:after="0"/>
              <w:rPr>
                <w:sz w:val="4"/>
                <w:szCs w:val="4"/>
                <w:color w:val="auto"/>
              </w:rPr>
            </w:pPr>
          </w:p>
        </w:tc>
        <w:tc>
          <w:tcPr>
            <w:tcW w:w="80" w:type="dxa"/>
            <w:vAlign w:val="bottom"/>
          </w:tcPr>
          <w:p>
            <w:pPr>
              <w:spacing w:after="0"/>
              <w:rPr>
                <w:sz w:val="4"/>
                <w:szCs w:val="4"/>
                <w:color w:val="auto"/>
              </w:rPr>
            </w:pPr>
          </w:p>
        </w:tc>
        <w:tc>
          <w:tcPr>
            <w:tcW w:w="302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5120" w:type="dxa"/>
            <w:vAlign w:val="bottom"/>
          </w:tcPr>
          <w:p>
            <w:pPr>
              <w:spacing w:after="0"/>
              <w:rPr>
                <w:sz w:val="16"/>
                <w:szCs w:val="16"/>
                <w:color w:val="auto"/>
              </w:rPr>
            </w:pPr>
          </w:p>
        </w:tc>
        <w:tc>
          <w:tcPr>
            <w:tcW w:w="1440" w:type="dxa"/>
            <w:vAlign w:val="bottom"/>
            <w:gridSpan w:val="2"/>
            <w:vMerge w:val="continue"/>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20" w:type="dxa"/>
            <w:vAlign w:val="bottom"/>
            <w:gridSpan w:val="2"/>
          </w:tcPr>
          <w:p>
            <w:pPr>
              <w:ind w:left="1320"/>
              <w:spacing w:after="0"/>
              <w:rPr>
                <w:sz w:val="20"/>
                <w:szCs w:val="20"/>
                <w:color w:val="auto"/>
              </w:rPr>
            </w:pPr>
            <w:r>
              <w:rPr>
                <w:rFonts w:ascii="Arial" w:cs="Arial" w:eastAsia="Arial" w:hAnsi="Arial"/>
                <w:sz w:val="14"/>
                <w:szCs w:val="14"/>
                <w:b w:val="1"/>
                <w:bCs w:val="1"/>
                <w:color w:val="auto"/>
              </w:rPr>
              <w:t>Lines</w:t>
            </w:r>
          </w:p>
        </w:tc>
        <w:tc>
          <w:tcPr>
            <w:tcW w:w="0" w:type="dxa"/>
            <w:vAlign w:val="bottom"/>
          </w:tcPr>
          <w:p>
            <w:pPr>
              <w:spacing w:after="0"/>
              <w:rPr>
                <w:sz w:val="1"/>
                <w:szCs w:val="1"/>
                <w:color w:val="auto"/>
              </w:rPr>
            </w:pPr>
          </w:p>
        </w:tc>
      </w:tr>
      <w:tr>
        <w:trPr>
          <w:trHeight w:val="223"/>
        </w:trPr>
        <w:tc>
          <w:tcPr>
            <w:tcW w:w="512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Net actuarial losses of defined benefit plans:</w:t>
            </w:r>
          </w:p>
        </w:tc>
        <w:tc>
          <w:tcPr>
            <w:tcW w:w="660" w:type="dxa"/>
            <w:vAlign w:val="bottom"/>
            <w:tcBorders>
              <w:top w:val="single" w:sz="8" w:color="DBDBDB"/>
            </w:tcBorders>
            <w:shd w:val="clear" w:color="auto" w:fill="DBDBDB"/>
          </w:tcPr>
          <w:p>
            <w:pPr>
              <w:spacing w:after="0"/>
              <w:rPr>
                <w:sz w:val="19"/>
                <w:szCs w:val="19"/>
                <w:color w:val="auto"/>
              </w:rPr>
            </w:pPr>
          </w:p>
        </w:tc>
        <w:tc>
          <w:tcPr>
            <w:tcW w:w="780" w:type="dxa"/>
            <w:vAlign w:val="bottom"/>
            <w:tcBorders>
              <w:top w:val="single" w:sz="8" w:color="auto"/>
            </w:tcBorders>
            <w:shd w:val="clear" w:color="auto" w:fill="DBDBDB"/>
          </w:tcPr>
          <w:p>
            <w:pPr>
              <w:spacing w:after="0"/>
              <w:rPr>
                <w:sz w:val="19"/>
                <w:szCs w:val="19"/>
                <w:color w:val="auto"/>
              </w:rPr>
            </w:pPr>
          </w:p>
        </w:tc>
        <w:tc>
          <w:tcPr>
            <w:tcW w:w="340" w:type="dxa"/>
            <w:vAlign w:val="bottom"/>
            <w:tcBorders>
              <w:top w:val="single" w:sz="8" w:color="auto"/>
            </w:tcBorders>
            <w:shd w:val="clear" w:color="auto" w:fill="DBDBDB"/>
          </w:tcPr>
          <w:p>
            <w:pPr>
              <w:spacing w:after="0"/>
              <w:rPr>
                <w:sz w:val="19"/>
                <w:szCs w:val="19"/>
                <w:color w:val="auto"/>
              </w:rPr>
            </w:pPr>
          </w:p>
        </w:tc>
        <w:tc>
          <w:tcPr>
            <w:tcW w:w="120" w:type="dxa"/>
            <w:vAlign w:val="bottom"/>
            <w:tcBorders>
              <w:top w:val="single" w:sz="8" w:color="DBDBDB"/>
            </w:tcBorders>
            <w:shd w:val="clear" w:color="auto" w:fill="DBDBDB"/>
          </w:tcPr>
          <w:p>
            <w:pPr>
              <w:spacing w:after="0"/>
              <w:rPr>
                <w:sz w:val="19"/>
                <w:szCs w:val="19"/>
                <w:color w:val="auto"/>
              </w:rPr>
            </w:pPr>
          </w:p>
        </w:tc>
        <w:tc>
          <w:tcPr>
            <w:tcW w:w="820" w:type="dxa"/>
            <w:vAlign w:val="bottom"/>
            <w:tcBorders>
              <w:top w:val="single" w:sz="8" w:color="auto"/>
            </w:tcBorders>
            <w:shd w:val="clear" w:color="auto" w:fill="DBDBDB"/>
          </w:tcPr>
          <w:p>
            <w:pPr>
              <w:spacing w:after="0"/>
              <w:rPr>
                <w:sz w:val="19"/>
                <w:szCs w:val="19"/>
                <w:color w:val="auto"/>
              </w:rPr>
            </w:pPr>
          </w:p>
        </w:tc>
        <w:tc>
          <w:tcPr>
            <w:tcW w:w="300" w:type="dxa"/>
            <w:vAlign w:val="bottom"/>
            <w:tcBorders>
              <w:top w:val="single" w:sz="8" w:color="auto"/>
            </w:tcBorders>
            <w:shd w:val="clear" w:color="auto" w:fill="DBDBDB"/>
          </w:tcPr>
          <w:p>
            <w:pPr>
              <w:spacing w:after="0"/>
              <w:rPr>
                <w:sz w:val="19"/>
                <w:szCs w:val="19"/>
                <w:color w:val="auto"/>
              </w:rPr>
            </w:pPr>
          </w:p>
        </w:tc>
        <w:tc>
          <w:tcPr>
            <w:tcW w:w="80" w:type="dxa"/>
            <w:vAlign w:val="bottom"/>
            <w:tcBorders>
              <w:top w:val="single" w:sz="8" w:color="DBDBDB"/>
            </w:tcBorders>
            <w:shd w:val="clear" w:color="auto" w:fill="DBDBDB"/>
          </w:tcPr>
          <w:p>
            <w:pPr>
              <w:spacing w:after="0"/>
              <w:rPr>
                <w:sz w:val="19"/>
                <w:szCs w:val="19"/>
                <w:color w:val="auto"/>
              </w:rPr>
            </w:pPr>
          </w:p>
        </w:tc>
        <w:tc>
          <w:tcPr>
            <w:tcW w:w="1700" w:type="dxa"/>
            <w:vAlign w:val="bottom"/>
            <w:tcBorders>
              <w:top w:val="single" w:sz="8" w:color="auto"/>
            </w:tcBorders>
            <w:shd w:val="clear" w:color="auto" w:fill="DBDBDB"/>
          </w:tcPr>
          <w:p>
            <w:pPr>
              <w:spacing w:after="0"/>
              <w:rPr>
                <w:sz w:val="19"/>
                <w:szCs w:val="19"/>
                <w:color w:val="auto"/>
              </w:rPr>
            </w:pPr>
          </w:p>
        </w:tc>
        <w:tc>
          <w:tcPr>
            <w:tcW w:w="1320" w:type="dxa"/>
            <w:vAlign w:val="bottom"/>
            <w:tcBorders>
              <w:top w:val="single" w:sz="8" w:color="auto"/>
            </w:tcBorders>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20" w:type="dxa"/>
            <w:vAlign w:val="bottom"/>
          </w:tcPr>
          <w:p>
            <w:pPr>
              <w:ind w:left="140"/>
              <w:spacing w:after="0"/>
              <w:rPr>
                <w:sz w:val="20"/>
                <w:szCs w:val="20"/>
                <w:color w:val="auto"/>
              </w:rPr>
            </w:pPr>
            <w:r>
              <w:rPr>
                <w:rFonts w:ascii="Arial" w:cs="Arial" w:eastAsia="Arial" w:hAnsi="Arial"/>
                <w:sz w:val="18"/>
                <w:szCs w:val="18"/>
                <w:color w:val="auto"/>
              </w:rPr>
              <w:t>Recognized net actuarial losses (a)</w:t>
            </w:r>
          </w:p>
        </w:tc>
        <w:tc>
          <w:tcPr>
            <w:tcW w:w="1440" w:type="dxa"/>
            <w:vAlign w:val="bottom"/>
            <w:gridSpan w:val="2"/>
          </w:tcPr>
          <w:p>
            <w:pPr>
              <w:jc w:val="right"/>
              <w:ind w:right="576"/>
              <w:spacing w:after="0"/>
              <w:rPr>
                <w:sz w:val="20"/>
                <w:szCs w:val="20"/>
                <w:color w:val="auto"/>
              </w:rPr>
            </w:pPr>
            <w:r>
              <w:rPr>
                <w:rFonts w:ascii="Arial" w:cs="Arial" w:eastAsia="Arial" w:hAnsi="Arial"/>
                <w:sz w:val="18"/>
                <w:szCs w:val="18"/>
                <w:b w:val="1"/>
                <w:bCs w:val="1"/>
                <w:color w:val="auto"/>
              </w:rPr>
              <w:t>$</w:t>
            </w:r>
          </w:p>
        </w:tc>
        <w:tc>
          <w:tcPr>
            <w:tcW w:w="4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820" w:type="dxa"/>
            <w:vAlign w:val="bottom"/>
          </w:tcPr>
          <w:p>
            <w:pPr>
              <w:jc w:val="right"/>
              <w:ind w:right="614"/>
              <w:spacing w:after="0"/>
              <w:rPr>
                <w:sz w:val="20"/>
                <w:szCs w:val="20"/>
                <w:color w:val="auto"/>
              </w:rPr>
            </w:pPr>
            <w:r>
              <w:rPr>
                <w:rFonts w:ascii="Arial" w:cs="Arial" w:eastAsia="Arial" w:hAnsi="Arial"/>
                <w:sz w:val="18"/>
                <w:szCs w:val="18"/>
                <w:color w:val="auto"/>
                <w:w w:val="99"/>
              </w:rPr>
              <w:t>$</w:t>
            </w:r>
          </w:p>
        </w:tc>
        <w:tc>
          <w:tcPr>
            <w:tcW w:w="300" w:type="dxa"/>
            <w:vAlign w:val="bottom"/>
          </w:tcPr>
          <w:p>
            <w:pPr>
              <w:jc w:val="right"/>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9"/>
                <w:szCs w:val="19"/>
                <w:color w:val="auto"/>
              </w:rPr>
            </w:pPr>
          </w:p>
        </w:tc>
        <w:tc>
          <w:tcPr>
            <w:tcW w:w="3020" w:type="dxa"/>
            <w:vAlign w:val="bottom"/>
            <w:gridSpan w:val="2"/>
          </w:tcPr>
          <w:p>
            <w:pPr>
              <w:ind w:left="20"/>
              <w:spacing w:after="0"/>
              <w:rPr>
                <w:sz w:val="20"/>
                <w:szCs w:val="20"/>
                <w:color w:val="auto"/>
              </w:rPr>
            </w:pPr>
            <w:r>
              <w:rPr>
                <w:rFonts w:ascii="Arial" w:cs="Arial" w:eastAsia="Arial" w:hAnsi="Arial"/>
                <w:sz w:val="18"/>
                <w:szCs w:val="18"/>
                <w:color w:val="auto"/>
              </w:rPr>
              <w:t>Decrease (increase) to OI&amp;E</w:t>
            </w:r>
          </w:p>
        </w:tc>
        <w:tc>
          <w:tcPr>
            <w:tcW w:w="0" w:type="dxa"/>
            <w:vAlign w:val="bottom"/>
          </w:tcPr>
          <w:p>
            <w:pPr>
              <w:spacing w:after="0"/>
              <w:rPr>
                <w:sz w:val="1"/>
                <w:szCs w:val="1"/>
                <w:color w:val="auto"/>
              </w:rPr>
            </w:pPr>
          </w:p>
        </w:tc>
      </w:tr>
      <w:tr>
        <w:trPr>
          <w:trHeight w:val="176"/>
        </w:trPr>
        <w:tc>
          <w:tcPr>
            <w:tcW w:w="5120" w:type="dxa"/>
            <w:vAlign w:val="bottom"/>
            <w:vMerge w:val="restart"/>
            <w:shd w:val="clear" w:color="auto" w:fill="DBDBDB"/>
          </w:tcPr>
          <w:p>
            <w:pPr>
              <w:ind w:left="140"/>
              <w:spacing w:after="0"/>
              <w:rPr>
                <w:sz w:val="20"/>
                <w:szCs w:val="20"/>
                <w:color w:val="auto"/>
              </w:rPr>
            </w:pPr>
            <w:r>
              <w:rPr>
                <w:rFonts w:ascii="Arial" w:cs="Arial" w:eastAsia="Arial" w:hAnsi="Arial"/>
                <w:sz w:val="18"/>
                <w:szCs w:val="18"/>
                <w:color w:val="auto"/>
              </w:rPr>
              <w:t>Tax effect</w:t>
            </w:r>
          </w:p>
        </w:tc>
        <w:tc>
          <w:tcPr>
            <w:tcW w:w="660" w:type="dxa"/>
            <w:vAlign w:val="bottom"/>
            <w:shd w:val="clear" w:color="auto" w:fill="DBDBDB"/>
          </w:tcPr>
          <w:p>
            <w:pPr>
              <w:spacing w:after="0"/>
              <w:rPr>
                <w:sz w:val="15"/>
                <w:szCs w:val="15"/>
                <w:color w:val="auto"/>
              </w:rPr>
            </w:pPr>
          </w:p>
        </w:tc>
        <w:tc>
          <w:tcPr>
            <w:tcW w:w="780" w:type="dxa"/>
            <w:vAlign w:val="bottom"/>
            <w:shd w:val="clear" w:color="auto" w:fill="DBDBDB"/>
          </w:tcPr>
          <w:p>
            <w:pPr>
              <w:spacing w:after="0"/>
              <w:rPr>
                <w:sz w:val="15"/>
                <w:szCs w:val="15"/>
                <w:color w:val="auto"/>
              </w:rPr>
            </w:pPr>
          </w:p>
        </w:tc>
        <w:tc>
          <w:tcPr>
            <w:tcW w:w="460" w:type="dxa"/>
            <w:vAlign w:val="bottom"/>
            <w:gridSpan w:val="2"/>
            <w:vMerge w:val="restart"/>
            <w:shd w:val="clear" w:color="auto" w:fill="DBDBDB"/>
          </w:tcPr>
          <w:p>
            <w:pPr>
              <w:jc w:val="right"/>
              <w:ind w:right="200"/>
              <w:spacing w:after="0"/>
              <w:rPr>
                <w:sz w:val="20"/>
                <w:szCs w:val="20"/>
                <w:color w:val="auto"/>
              </w:rPr>
            </w:pPr>
            <w:r>
              <w:rPr>
                <w:rFonts w:ascii="Arial" w:cs="Arial" w:eastAsia="Arial" w:hAnsi="Arial"/>
                <w:sz w:val="18"/>
                <w:szCs w:val="18"/>
                <w:b w:val="1"/>
                <w:bCs w:val="1"/>
                <w:color w:val="auto"/>
              </w:rPr>
              <w:t>—</w:t>
            </w:r>
          </w:p>
        </w:tc>
        <w:tc>
          <w:tcPr>
            <w:tcW w:w="820" w:type="dxa"/>
            <w:vAlign w:val="bottom"/>
            <w:shd w:val="clear" w:color="auto" w:fill="DBDBDB"/>
          </w:tcPr>
          <w:p>
            <w:pPr>
              <w:spacing w:after="0"/>
              <w:rPr>
                <w:sz w:val="15"/>
                <w:szCs w:val="15"/>
                <w:color w:val="auto"/>
              </w:rPr>
            </w:pPr>
          </w:p>
        </w:tc>
        <w:tc>
          <w:tcPr>
            <w:tcW w:w="300" w:type="dxa"/>
            <w:vAlign w:val="bottom"/>
            <w:vMerge w:val="restart"/>
            <w:shd w:val="clear" w:color="auto" w:fill="DBDBDB"/>
          </w:tcPr>
          <w:p>
            <w:pPr>
              <w:jc w:val="right"/>
              <w:spacing w:after="0"/>
              <w:rPr>
                <w:sz w:val="20"/>
                <w:szCs w:val="20"/>
                <w:color w:val="auto"/>
              </w:rPr>
            </w:pPr>
            <w:r>
              <w:rPr>
                <w:rFonts w:ascii="Arial" w:cs="Arial" w:eastAsia="Arial" w:hAnsi="Arial"/>
                <w:sz w:val="18"/>
                <w:szCs w:val="18"/>
                <w:color w:val="auto"/>
              </w:rPr>
              <w:t>(1)</w:t>
            </w:r>
          </w:p>
        </w:tc>
        <w:tc>
          <w:tcPr>
            <w:tcW w:w="80" w:type="dxa"/>
            <w:vAlign w:val="bottom"/>
            <w:shd w:val="clear" w:color="auto" w:fill="DBDBDB"/>
          </w:tcPr>
          <w:p>
            <w:pPr>
              <w:spacing w:after="0"/>
              <w:rPr>
                <w:sz w:val="15"/>
                <w:szCs w:val="15"/>
                <w:color w:val="auto"/>
              </w:rPr>
            </w:pPr>
          </w:p>
        </w:tc>
        <w:tc>
          <w:tcPr>
            <w:tcW w:w="3020" w:type="dxa"/>
            <w:vAlign w:val="bottom"/>
            <w:gridSpan w:val="2"/>
            <w:shd w:val="clear" w:color="auto" w:fill="DBDBDB"/>
          </w:tcPr>
          <w:p>
            <w:pPr>
              <w:ind w:left="20"/>
              <w:spacing w:after="0" w:line="176" w:lineRule="exact"/>
              <w:rPr>
                <w:sz w:val="20"/>
                <w:szCs w:val="20"/>
                <w:color w:val="auto"/>
              </w:rPr>
            </w:pPr>
            <w:r>
              <w:rPr>
                <w:rFonts w:ascii="Arial" w:cs="Arial" w:eastAsia="Arial" w:hAnsi="Arial"/>
                <w:sz w:val="18"/>
                <w:szCs w:val="18"/>
                <w:color w:val="auto"/>
              </w:rPr>
              <w:t>(Decrease) increase to provision for</w:t>
            </w:r>
          </w:p>
        </w:tc>
        <w:tc>
          <w:tcPr>
            <w:tcW w:w="0" w:type="dxa"/>
            <w:vAlign w:val="bottom"/>
          </w:tcPr>
          <w:p>
            <w:pPr>
              <w:spacing w:after="0"/>
              <w:rPr>
                <w:sz w:val="1"/>
                <w:szCs w:val="1"/>
                <w:color w:val="auto"/>
              </w:rPr>
            </w:pPr>
          </w:p>
        </w:tc>
      </w:tr>
      <w:tr>
        <w:trPr>
          <w:trHeight w:val="243"/>
        </w:trPr>
        <w:tc>
          <w:tcPr>
            <w:tcW w:w="5120" w:type="dxa"/>
            <w:vAlign w:val="bottom"/>
            <w:vMerge w:val="continue"/>
            <w:shd w:val="clear" w:color="auto" w:fill="DBDBDB"/>
          </w:tcPr>
          <w:p>
            <w:pPr>
              <w:spacing w:after="0"/>
              <w:rPr>
                <w:sz w:val="21"/>
                <w:szCs w:val="21"/>
                <w:color w:val="auto"/>
              </w:rPr>
            </w:pPr>
          </w:p>
        </w:tc>
        <w:tc>
          <w:tcPr>
            <w:tcW w:w="660" w:type="dxa"/>
            <w:vAlign w:val="bottom"/>
            <w:shd w:val="clear" w:color="auto" w:fill="DBDBDB"/>
          </w:tcPr>
          <w:p>
            <w:pPr>
              <w:spacing w:after="0"/>
              <w:rPr>
                <w:sz w:val="21"/>
                <w:szCs w:val="21"/>
                <w:color w:val="auto"/>
              </w:rPr>
            </w:pPr>
          </w:p>
        </w:tc>
        <w:tc>
          <w:tcPr>
            <w:tcW w:w="780" w:type="dxa"/>
            <w:vAlign w:val="bottom"/>
            <w:shd w:val="clear" w:color="auto" w:fill="DBDBDB"/>
          </w:tcPr>
          <w:p>
            <w:pPr>
              <w:spacing w:after="0"/>
              <w:rPr>
                <w:sz w:val="21"/>
                <w:szCs w:val="21"/>
                <w:color w:val="auto"/>
              </w:rPr>
            </w:pPr>
          </w:p>
        </w:tc>
        <w:tc>
          <w:tcPr>
            <w:tcW w:w="460" w:type="dxa"/>
            <w:vAlign w:val="bottom"/>
            <w:gridSpan w:val="2"/>
            <w:vMerge w:val="continue"/>
            <w:shd w:val="clear" w:color="auto" w:fill="DBDBDB"/>
          </w:tcPr>
          <w:p>
            <w:pPr>
              <w:spacing w:after="0"/>
              <w:rPr>
                <w:sz w:val="21"/>
                <w:szCs w:val="21"/>
                <w:color w:val="auto"/>
              </w:rPr>
            </w:pPr>
          </w:p>
        </w:tc>
        <w:tc>
          <w:tcPr>
            <w:tcW w:w="820" w:type="dxa"/>
            <w:vAlign w:val="bottom"/>
            <w:shd w:val="clear" w:color="auto" w:fill="DBDBDB"/>
          </w:tcPr>
          <w:p>
            <w:pPr>
              <w:spacing w:after="0"/>
              <w:rPr>
                <w:sz w:val="21"/>
                <w:szCs w:val="21"/>
                <w:color w:val="auto"/>
              </w:rPr>
            </w:pPr>
          </w:p>
        </w:tc>
        <w:tc>
          <w:tcPr>
            <w:tcW w:w="300" w:type="dxa"/>
            <w:vAlign w:val="bottom"/>
            <w:vMerge w:val="continue"/>
            <w:shd w:val="clear" w:color="auto" w:fill="DBDBDB"/>
          </w:tcPr>
          <w:p>
            <w:pPr>
              <w:spacing w:after="0"/>
              <w:rPr>
                <w:sz w:val="21"/>
                <w:szCs w:val="21"/>
                <w:color w:val="auto"/>
              </w:rPr>
            </w:pPr>
          </w:p>
        </w:tc>
        <w:tc>
          <w:tcPr>
            <w:tcW w:w="80" w:type="dxa"/>
            <w:vAlign w:val="bottom"/>
            <w:shd w:val="clear" w:color="auto" w:fill="DBDBDB"/>
          </w:tcPr>
          <w:p>
            <w:pPr>
              <w:spacing w:after="0"/>
              <w:rPr>
                <w:sz w:val="21"/>
                <w:szCs w:val="21"/>
                <w:color w:val="auto"/>
              </w:rPr>
            </w:pPr>
          </w:p>
        </w:tc>
        <w:tc>
          <w:tcPr>
            <w:tcW w:w="302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income taxes</w:t>
            </w:r>
          </w:p>
        </w:tc>
        <w:tc>
          <w:tcPr>
            <w:tcW w:w="0" w:type="dxa"/>
            <w:vAlign w:val="bottom"/>
          </w:tcPr>
          <w:p>
            <w:pPr>
              <w:spacing w:after="0"/>
              <w:rPr>
                <w:sz w:val="1"/>
                <w:szCs w:val="1"/>
                <w:color w:val="auto"/>
              </w:rPr>
            </w:pPr>
          </w:p>
        </w:tc>
      </w:tr>
      <w:tr>
        <w:trPr>
          <w:trHeight w:val="223"/>
        </w:trPr>
        <w:tc>
          <w:tcPr>
            <w:tcW w:w="5120" w:type="dxa"/>
            <w:vAlign w:val="bottom"/>
          </w:tcPr>
          <w:p>
            <w:pPr>
              <w:ind w:left="140"/>
              <w:spacing w:after="0"/>
              <w:rPr>
                <w:sz w:val="20"/>
                <w:szCs w:val="20"/>
                <w:color w:val="auto"/>
              </w:rPr>
            </w:pPr>
            <w:r>
              <w:rPr>
                <w:rFonts w:ascii="Arial" w:cs="Arial" w:eastAsia="Arial" w:hAnsi="Arial"/>
                <w:sz w:val="18"/>
                <w:szCs w:val="18"/>
                <w:color w:val="auto"/>
              </w:rPr>
              <w:t>Recognized within net income, net of taxes</w:t>
            </w:r>
          </w:p>
        </w:tc>
        <w:tc>
          <w:tcPr>
            <w:tcW w:w="66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ind w:right="576"/>
              <w:spacing w:after="0"/>
              <w:rPr>
                <w:sz w:val="20"/>
                <w:szCs w:val="20"/>
                <w:color w:val="auto"/>
              </w:rPr>
            </w:pPr>
            <w:r>
              <w:rPr>
                <w:rFonts w:ascii="Arial" w:cs="Arial" w:eastAsia="Arial" w:hAnsi="Arial"/>
                <w:sz w:val="18"/>
                <w:szCs w:val="18"/>
                <w:b w:val="1"/>
                <w:bCs w:val="1"/>
                <w:color w:val="auto"/>
                <w:w w:val="99"/>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ind w:right="614"/>
              <w:spacing w:after="0"/>
              <w:rPr>
                <w:sz w:val="20"/>
                <w:szCs w:val="20"/>
                <w:color w:val="auto"/>
              </w:rPr>
            </w:pPr>
            <w:r>
              <w:rPr>
                <w:rFonts w:ascii="Arial" w:cs="Arial" w:eastAsia="Arial" w:hAnsi="Arial"/>
                <w:sz w:val="18"/>
                <w:szCs w:val="18"/>
                <w:color w:val="auto"/>
                <w:w w:val="99"/>
              </w:rPr>
              <w:t>$</w:t>
            </w:r>
          </w:p>
        </w:tc>
        <w:tc>
          <w:tcPr>
            <w:tcW w:w="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9"/>
                <w:szCs w:val="19"/>
                <w:color w:val="auto"/>
              </w:rPr>
            </w:pPr>
          </w:p>
        </w:tc>
        <w:tc>
          <w:tcPr>
            <w:tcW w:w="3020" w:type="dxa"/>
            <w:vAlign w:val="bottom"/>
            <w:gridSpan w:val="2"/>
          </w:tcPr>
          <w:p>
            <w:pPr>
              <w:ind w:left="20"/>
              <w:spacing w:after="0"/>
              <w:rPr>
                <w:sz w:val="20"/>
                <w:szCs w:val="20"/>
                <w:color w:val="auto"/>
              </w:rPr>
            </w:pPr>
            <w:r>
              <w:rPr>
                <w:rFonts w:ascii="Arial" w:cs="Arial" w:eastAsia="Arial" w:hAnsi="Arial"/>
                <w:sz w:val="18"/>
                <w:szCs w:val="18"/>
                <w:color w:val="auto"/>
              </w:rPr>
              <w:t>Decrease (increase) to net income</w:t>
            </w:r>
          </w:p>
        </w:tc>
        <w:tc>
          <w:tcPr>
            <w:tcW w:w="0" w:type="dxa"/>
            <w:vAlign w:val="bottom"/>
          </w:tcPr>
          <w:p>
            <w:pPr>
              <w:spacing w:after="0"/>
              <w:rPr>
                <w:sz w:val="1"/>
                <w:szCs w:val="1"/>
                <w:color w:val="auto"/>
              </w:rPr>
            </w:pPr>
          </w:p>
        </w:tc>
      </w:tr>
      <w:tr>
        <w:trPr>
          <w:trHeight w:val="20"/>
        </w:trPr>
        <w:tc>
          <w:tcPr>
            <w:tcW w:w="5120" w:type="dxa"/>
            <w:vAlign w:val="bottom"/>
            <w:tcBorders>
              <w:bottom w:val="single" w:sz="8" w:color="DBDBDB"/>
            </w:tcBorders>
          </w:tcPr>
          <w:p>
            <w:pPr>
              <w:spacing w:after="0" w:line="20" w:lineRule="exact"/>
              <w:rPr>
                <w:sz w:val="1"/>
                <w:szCs w:val="1"/>
                <w:color w:val="auto"/>
              </w:rPr>
            </w:pPr>
          </w:p>
        </w:tc>
        <w:tc>
          <w:tcPr>
            <w:tcW w:w="660" w:type="dxa"/>
            <w:vAlign w:val="bottom"/>
            <w:tcBorders>
              <w:bottom w:val="single" w:sz="8" w:color="DBDBDB"/>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BDBDB"/>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BDBDB"/>
            </w:tcBorders>
          </w:tcPr>
          <w:p>
            <w:pPr>
              <w:spacing w:after="0" w:line="20" w:lineRule="exact"/>
              <w:rPr>
                <w:sz w:val="1"/>
                <w:szCs w:val="1"/>
                <w:color w:val="auto"/>
              </w:rPr>
            </w:pPr>
          </w:p>
        </w:tc>
        <w:tc>
          <w:tcPr>
            <w:tcW w:w="1700" w:type="dxa"/>
            <w:vAlign w:val="bottom"/>
            <w:tcBorders>
              <w:bottom w:val="single" w:sz="8" w:color="DBDBDB"/>
            </w:tcBorders>
          </w:tcPr>
          <w:p>
            <w:pPr>
              <w:spacing w:after="0" w:line="20" w:lineRule="exact"/>
              <w:rPr>
                <w:sz w:val="1"/>
                <w:szCs w:val="1"/>
                <w:color w:val="auto"/>
              </w:rPr>
            </w:pPr>
          </w:p>
        </w:tc>
        <w:tc>
          <w:tcPr>
            <w:tcW w:w="1320" w:type="dxa"/>
            <w:vAlign w:val="bottom"/>
            <w:tcBorders>
              <w:bottom w:val="single" w:sz="8" w:color="DBDBDB"/>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120" w:type="dxa"/>
            <w:vAlign w:val="bottom"/>
            <w:shd w:val="clear" w:color="auto" w:fill="DBDBDB"/>
          </w:tcPr>
          <w:p>
            <w:pPr>
              <w:spacing w:after="0"/>
              <w:rPr>
                <w:sz w:val="20"/>
                <w:szCs w:val="20"/>
                <w:color w:val="auto"/>
              </w:rPr>
            </w:pPr>
          </w:p>
        </w:tc>
        <w:tc>
          <w:tcPr>
            <w:tcW w:w="660" w:type="dxa"/>
            <w:vAlign w:val="bottom"/>
            <w:shd w:val="clear" w:color="auto" w:fill="DBDBDB"/>
          </w:tcPr>
          <w:p>
            <w:pPr>
              <w:spacing w:after="0"/>
              <w:rPr>
                <w:sz w:val="20"/>
                <w:szCs w:val="20"/>
                <w:color w:val="auto"/>
              </w:rPr>
            </w:pPr>
          </w:p>
        </w:tc>
        <w:tc>
          <w:tcPr>
            <w:tcW w:w="780" w:type="dxa"/>
            <w:vAlign w:val="bottom"/>
            <w:shd w:val="clear" w:color="auto" w:fill="DBDBDB"/>
          </w:tcPr>
          <w:p>
            <w:pPr>
              <w:spacing w:after="0"/>
              <w:rPr>
                <w:sz w:val="20"/>
                <w:szCs w:val="20"/>
                <w:color w:val="auto"/>
              </w:rPr>
            </w:pPr>
          </w:p>
        </w:tc>
        <w:tc>
          <w:tcPr>
            <w:tcW w:w="340" w:type="dxa"/>
            <w:vAlign w:val="bottom"/>
            <w:shd w:val="clear" w:color="auto" w:fill="DBDBDB"/>
          </w:tcPr>
          <w:p>
            <w:pPr>
              <w:spacing w:after="0"/>
              <w:rPr>
                <w:sz w:val="20"/>
                <w:szCs w:val="20"/>
                <w:color w:val="auto"/>
              </w:rPr>
            </w:pPr>
          </w:p>
        </w:tc>
        <w:tc>
          <w:tcPr>
            <w:tcW w:w="120" w:type="dxa"/>
            <w:vAlign w:val="bottom"/>
            <w:shd w:val="clear" w:color="auto" w:fill="DBDBDB"/>
          </w:tcPr>
          <w:p>
            <w:pPr>
              <w:spacing w:after="0"/>
              <w:rPr>
                <w:sz w:val="20"/>
                <w:szCs w:val="20"/>
                <w:color w:val="auto"/>
              </w:rPr>
            </w:pPr>
          </w:p>
        </w:tc>
        <w:tc>
          <w:tcPr>
            <w:tcW w:w="820" w:type="dxa"/>
            <w:vAlign w:val="bottom"/>
            <w:shd w:val="clear" w:color="auto" w:fill="DBDBDB"/>
          </w:tcPr>
          <w:p>
            <w:pPr>
              <w:spacing w:after="0"/>
              <w:rPr>
                <w:sz w:val="20"/>
                <w:szCs w:val="20"/>
                <w:color w:val="auto"/>
              </w:rPr>
            </w:pPr>
          </w:p>
        </w:tc>
        <w:tc>
          <w:tcPr>
            <w:tcW w:w="300" w:type="dxa"/>
            <w:vAlign w:val="bottom"/>
            <w:shd w:val="clear" w:color="auto" w:fill="DBDBDB"/>
          </w:tcPr>
          <w:p>
            <w:pPr>
              <w:spacing w:after="0"/>
              <w:rPr>
                <w:sz w:val="20"/>
                <w:szCs w:val="20"/>
                <w:color w:val="auto"/>
              </w:rPr>
            </w:pPr>
          </w:p>
        </w:tc>
        <w:tc>
          <w:tcPr>
            <w:tcW w:w="80" w:type="dxa"/>
            <w:vAlign w:val="bottom"/>
            <w:shd w:val="clear" w:color="auto" w:fill="DBDBDB"/>
          </w:tcPr>
          <w:p>
            <w:pPr>
              <w:spacing w:after="0"/>
              <w:rPr>
                <w:sz w:val="20"/>
                <w:szCs w:val="20"/>
                <w:color w:val="auto"/>
              </w:rPr>
            </w:pPr>
          </w:p>
        </w:tc>
        <w:tc>
          <w:tcPr>
            <w:tcW w:w="1700" w:type="dxa"/>
            <w:vAlign w:val="bottom"/>
            <w:shd w:val="clear" w:color="auto" w:fill="DBDBDB"/>
          </w:tcPr>
          <w:p>
            <w:pPr>
              <w:spacing w:after="0"/>
              <w:rPr>
                <w:sz w:val="20"/>
                <w:szCs w:val="20"/>
                <w:color w:val="auto"/>
              </w:rPr>
            </w:pPr>
          </w:p>
        </w:tc>
        <w:tc>
          <w:tcPr>
            <w:tcW w:w="1320" w:type="dxa"/>
            <w:vAlign w:val="bottom"/>
            <w:shd w:val="clear" w:color="auto" w:fill="DBDBDB"/>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120" w:type="dxa"/>
            <w:vAlign w:val="bottom"/>
          </w:tcPr>
          <w:p>
            <w:pPr>
              <w:ind w:left="20"/>
              <w:spacing w:after="0"/>
              <w:rPr>
                <w:sz w:val="20"/>
                <w:szCs w:val="20"/>
                <w:color w:val="auto"/>
              </w:rPr>
            </w:pPr>
            <w:r>
              <w:rPr>
                <w:rFonts w:ascii="Arial" w:cs="Arial" w:eastAsia="Arial" w:hAnsi="Arial"/>
                <w:sz w:val="18"/>
                <w:szCs w:val="18"/>
                <w:color w:val="auto"/>
              </w:rPr>
              <w:t>Prior service cost (credit) of defined benefit plans:</w:t>
            </w:r>
          </w:p>
        </w:tc>
        <w:tc>
          <w:tcPr>
            <w:tcW w:w="6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20" w:type="dxa"/>
            <w:vAlign w:val="bottom"/>
            <w:shd w:val="clear" w:color="auto" w:fill="DBDBDB"/>
          </w:tcPr>
          <w:p>
            <w:pPr>
              <w:ind w:left="140"/>
              <w:spacing w:after="0"/>
              <w:rPr>
                <w:sz w:val="20"/>
                <w:szCs w:val="20"/>
                <w:color w:val="auto"/>
              </w:rPr>
            </w:pPr>
            <w:r>
              <w:rPr>
                <w:rFonts w:ascii="Arial" w:cs="Arial" w:eastAsia="Arial" w:hAnsi="Arial"/>
                <w:sz w:val="18"/>
                <w:szCs w:val="18"/>
                <w:color w:val="auto"/>
              </w:rPr>
              <w:t>Amortization of prior service cost (credit) (a)</w:t>
            </w:r>
          </w:p>
        </w:tc>
        <w:tc>
          <w:tcPr>
            <w:tcW w:w="1440" w:type="dxa"/>
            <w:vAlign w:val="bottom"/>
            <w:gridSpan w:val="2"/>
            <w:shd w:val="clear" w:color="auto" w:fill="DBDBDB"/>
          </w:tcPr>
          <w:p>
            <w:pPr>
              <w:jc w:val="right"/>
              <w:ind w:right="576"/>
              <w:spacing w:after="0"/>
              <w:rPr>
                <w:sz w:val="20"/>
                <w:szCs w:val="20"/>
                <w:color w:val="auto"/>
              </w:rPr>
            </w:pPr>
            <w:r>
              <w:rPr>
                <w:rFonts w:ascii="Arial" w:cs="Arial" w:eastAsia="Arial" w:hAnsi="Arial"/>
                <w:sz w:val="18"/>
                <w:szCs w:val="18"/>
                <w:b w:val="1"/>
                <w:bCs w:val="1"/>
                <w:color w:val="auto"/>
              </w:rPr>
              <w:t>$</w:t>
            </w:r>
          </w:p>
        </w:tc>
        <w:tc>
          <w:tcPr>
            <w:tcW w:w="3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w:t>
            </w:r>
          </w:p>
        </w:tc>
        <w:tc>
          <w:tcPr>
            <w:tcW w:w="120" w:type="dxa"/>
            <w:vAlign w:val="bottom"/>
            <w:shd w:val="clear" w:color="auto" w:fill="DBDBDB"/>
          </w:tcPr>
          <w:p>
            <w:pPr>
              <w:spacing w:after="0"/>
              <w:rPr>
                <w:sz w:val="19"/>
                <w:szCs w:val="19"/>
                <w:color w:val="auto"/>
              </w:rPr>
            </w:pPr>
          </w:p>
        </w:tc>
        <w:tc>
          <w:tcPr>
            <w:tcW w:w="820" w:type="dxa"/>
            <w:vAlign w:val="bottom"/>
            <w:shd w:val="clear" w:color="auto" w:fill="DBDBDB"/>
          </w:tcPr>
          <w:p>
            <w:pPr>
              <w:jc w:val="right"/>
              <w:ind w:right="614"/>
              <w:spacing w:after="0"/>
              <w:rPr>
                <w:sz w:val="20"/>
                <w:szCs w:val="20"/>
                <w:color w:val="auto"/>
              </w:rPr>
            </w:pPr>
            <w:r>
              <w:rPr>
                <w:rFonts w:ascii="Arial" w:cs="Arial" w:eastAsia="Arial" w:hAnsi="Arial"/>
                <w:sz w:val="18"/>
                <w:szCs w:val="18"/>
                <w:color w:val="auto"/>
                <w:w w:val="99"/>
              </w:rPr>
              <w:t>$</w:t>
            </w:r>
          </w:p>
        </w:tc>
        <w:tc>
          <w:tcPr>
            <w:tcW w:w="3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DBDBDB"/>
          </w:tcPr>
          <w:p>
            <w:pPr>
              <w:spacing w:after="0"/>
              <w:rPr>
                <w:sz w:val="19"/>
                <w:szCs w:val="19"/>
                <w:color w:val="auto"/>
              </w:rPr>
            </w:pPr>
          </w:p>
        </w:tc>
        <w:tc>
          <w:tcPr>
            <w:tcW w:w="302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Decrease (increase) to OI&amp;E</w:t>
            </w:r>
          </w:p>
        </w:tc>
        <w:tc>
          <w:tcPr>
            <w:tcW w:w="0" w:type="dxa"/>
            <w:vAlign w:val="bottom"/>
          </w:tcPr>
          <w:p>
            <w:pPr>
              <w:spacing w:after="0"/>
              <w:rPr>
                <w:sz w:val="1"/>
                <w:szCs w:val="1"/>
                <w:color w:val="auto"/>
              </w:rPr>
            </w:pPr>
          </w:p>
        </w:tc>
      </w:tr>
      <w:tr>
        <w:trPr>
          <w:trHeight w:val="176"/>
        </w:trPr>
        <w:tc>
          <w:tcPr>
            <w:tcW w:w="5120" w:type="dxa"/>
            <w:vAlign w:val="bottom"/>
            <w:vMerge w:val="restart"/>
          </w:tcPr>
          <w:p>
            <w:pPr>
              <w:ind w:left="140"/>
              <w:spacing w:after="0"/>
              <w:rPr>
                <w:sz w:val="20"/>
                <w:szCs w:val="20"/>
                <w:color w:val="auto"/>
              </w:rPr>
            </w:pPr>
            <w:r>
              <w:rPr>
                <w:rFonts w:ascii="Arial" w:cs="Arial" w:eastAsia="Arial" w:hAnsi="Arial"/>
                <w:sz w:val="18"/>
                <w:szCs w:val="18"/>
                <w:color w:val="auto"/>
              </w:rPr>
              <w:t>Tax effect</w:t>
            </w:r>
          </w:p>
        </w:tc>
        <w:tc>
          <w:tcPr>
            <w:tcW w:w="6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60" w:type="dxa"/>
            <w:vAlign w:val="bottom"/>
            <w:gridSpan w:val="2"/>
            <w:vMerge w:val="restart"/>
          </w:tcPr>
          <w:p>
            <w:pPr>
              <w:jc w:val="right"/>
              <w:ind w:right="200"/>
              <w:spacing w:after="0"/>
              <w:rPr>
                <w:sz w:val="20"/>
                <w:szCs w:val="20"/>
                <w:color w:val="auto"/>
              </w:rPr>
            </w:pPr>
            <w:r>
              <w:rPr>
                <w:rFonts w:ascii="Arial" w:cs="Arial" w:eastAsia="Arial" w:hAnsi="Arial"/>
                <w:sz w:val="18"/>
                <w:szCs w:val="18"/>
                <w:b w:val="1"/>
                <w:bCs w:val="1"/>
                <w:color w:val="auto"/>
              </w:rPr>
              <w:t>—</w:t>
            </w:r>
          </w:p>
        </w:tc>
        <w:tc>
          <w:tcPr>
            <w:tcW w:w="820" w:type="dxa"/>
            <w:vAlign w:val="bottom"/>
          </w:tcPr>
          <w:p>
            <w:pPr>
              <w:spacing w:after="0"/>
              <w:rPr>
                <w:sz w:val="15"/>
                <w:szCs w:val="15"/>
                <w:color w:val="auto"/>
              </w:rPr>
            </w:pPr>
          </w:p>
        </w:tc>
        <w:tc>
          <w:tcPr>
            <w:tcW w:w="3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5"/>
                <w:szCs w:val="15"/>
                <w:color w:val="auto"/>
              </w:rPr>
            </w:pPr>
          </w:p>
        </w:tc>
        <w:tc>
          <w:tcPr>
            <w:tcW w:w="302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(Decrease) increase to provision for</w:t>
            </w:r>
          </w:p>
        </w:tc>
        <w:tc>
          <w:tcPr>
            <w:tcW w:w="0" w:type="dxa"/>
            <w:vAlign w:val="bottom"/>
          </w:tcPr>
          <w:p>
            <w:pPr>
              <w:spacing w:after="0"/>
              <w:rPr>
                <w:sz w:val="1"/>
                <w:szCs w:val="1"/>
                <w:color w:val="auto"/>
              </w:rPr>
            </w:pPr>
          </w:p>
        </w:tc>
      </w:tr>
      <w:tr>
        <w:trPr>
          <w:trHeight w:val="243"/>
        </w:trPr>
        <w:tc>
          <w:tcPr>
            <w:tcW w:w="5120" w:type="dxa"/>
            <w:vAlign w:val="bottom"/>
            <w:vMerge w:val="continue"/>
          </w:tcPr>
          <w:p>
            <w:pPr>
              <w:spacing w:after="0"/>
              <w:rPr>
                <w:sz w:val="21"/>
                <w:szCs w:val="21"/>
                <w:color w:val="auto"/>
              </w:rPr>
            </w:pPr>
          </w:p>
        </w:tc>
        <w:tc>
          <w:tcPr>
            <w:tcW w:w="6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60" w:type="dxa"/>
            <w:vAlign w:val="bottom"/>
            <w:gridSpan w:val="2"/>
            <w:vMerge w:val="continue"/>
          </w:tcPr>
          <w:p>
            <w:pPr>
              <w:spacing w:after="0"/>
              <w:rPr>
                <w:sz w:val="21"/>
                <w:szCs w:val="21"/>
                <w:color w:val="auto"/>
              </w:rPr>
            </w:pPr>
          </w:p>
        </w:tc>
        <w:tc>
          <w:tcPr>
            <w:tcW w:w="820" w:type="dxa"/>
            <w:vAlign w:val="bottom"/>
          </w:tcPr>
          <w:p>
            <w:pPr>
              <w:spacing w:after="0"/>
              <w:rPr>
                <w:sz w:val="21"/>
                <w:szCs w:val="21"/>
                <w:color w:val="auto"/>
              </w:rPr>
            </w:pPr>
          </w:p>
        </w:tc>
        <w:tc>
          <w:tcPr>
            <w:tcW w:w="30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3020" w:type="dxa"/>
            <w:vAlign w:val="bottom"/>
            <w:gridSpan w:val="2"/>
          </w:tcPr>
          <w:p>
            <w:pPr>
              <w:ind w:left="20"/>
              <w:spacing w:after="0"/>
              <w:rPr>
                <w:sz w:val="20"/>
                <w:szCs w:val="20"/>
                <w:color w:val="auto"/>
              </w:rPr>
            </w:pPr>
            <w:r>
              <w:rPr>
                <w:rFonts w:ascii="Arial" w:cs="Arial" w:eastAsia="Arial" w:hAnsi="Arial"/>
                <w:sz w:val="18"/>
                <w:szCs w:val="18"/>
                <w:color w:val="auto"/>
              </w:rPr>
              <w:t>income taxes</w:t>
            </w:r>
          </w:p>
        </w:tc>
        <w:tc>
          <w:tcPr>
            <w:tcW w:w="0" w:type="dxa"/>
            <w:vAlign w:val="bottom"/>
          </w:tcPr>
          <w:p>
            <w:pPr>
              <w:spacing w:after="0"/>
              <w:rPr>
                <w:sz w:val="1"/>
                <w:szCs w:val="1"/>
                <w:color w:val="auto"/>
              </w:rPr>
            </w:pPr>
          </w:p>
        </w:tc>
      </w:tr>
      <w:tr>
        <w:trPr>
          <w:trHeight w:val="248"/>
        </w:trPr>
        <w:tc>
          <w:tcPr>
            <w:tcW w:w="5120" w:type="dxa"/>
            <w:vAlign w:val="bottom"/>
            <w:tcBorders>
              <w:top w:val="single" w:sz="8" w:color="DBDBDB"/>
              <w:bottom w:val="single" w:sz="8" w:color="DBDBDB"/>
            </w:tcBorders>
            <w:shd w:val="clear" w:color="auto" w:fill="DBDBDB"/>
          </w:tcPr>
          <w:p>
            <w:pPr>
              <w:ind w:left="140"/>
              <w:spacing w:after="0"/>
              <w:rPr>
                <w:sz w:val="20"/>
                <w:szCs w:val="20"/>
                <w:color w:val="auto"/>
              </w:rPr>
            </w:pPr>
            <w:r>
              <w:rPr>
                <w:rFonts w:ascii="Arial" w:cs="Arial" w:eastAsia="Arial" w:hAnsi="Arial"/>
                <w:sz w:val="18"/>
                <w:szCs w:val="18"/>
                <w:color w:val="auto"/>
              </w:rPr>
              <w:t>Recognized within net income, net of taxes</w:t>
            </w:r>
          </w:p>
        </w:tc>
        <w:tc>
          <w:tcPr>
            <w:tcW w:w="660" w:type="dxa"/>
            <w:vAlign w:val="bottom"/>
            <w:tcBorders>
              <w:top w:val="single" w:sz="8" w:color="DBDBDB"/>
              <w:bottom w:val="single" w:sz="8" w:color="DBDBDB"/>
            </w:tcBorders>
            <w:shd w:val="clear" w:color="auto" w:fill="DBDBDB"/>
          </w:tcPr>
          <w:p>
            <w:pPr>
              <w:spacing w:after="0"/>
              <w:rPr>
                <w:sz w:val="21"/>
                <w:szCs w:val="21"/>
                <w:color w:val="auto"/>
              </w:rPr>
            </w:pPr>
          </w:p>
        </w:tc>
        <w:tc>
          <w:tcPr>
            <w:tcW w:w="780" w:type="dxa"/>
            <w:vAlign w:val="bottom"/>
            <w:tcBorders>
              <w:top w:val="single" w:sz="8" w:color="auto"/>
              <w:bottom w:val="single" w:sz="8" w:color="auto"/>
            </w:tcBorders>
            <w:shd w:val="clear" w:color="auto" w:fill="DBDBDB"/>
          </w:tcPr>
          <w:p>
            <w:pPr>
              <w:jc w:val="right"/>
              <w:ind w:right="576"/>
              <w:spacing w:after="0"/>
              <w:rPr>
                <w:sz w:val="20"/>
                <w:szCs w:val="20"/>
                <w:color w:val="auto"/>
              </w:rPr>
            </w:pPr>
            <w:r>
              <w:rPr>
                <w:rFonts w:ascii="Arial" w:cs="Arial" w:eastAsia="Arial" w:hAnsi="Arial"/>
                <w:sz w:val="18"/>
                <w:szCs w:val="18"/>
                <w:b w:val="1"/>
                <w:bCs w:val="1"/>
                <w:color w:val="auto"/>
                <w:w w:val="99"/>
              </w:rPr>
              <w:t>$</w:t>
            </w:r>
          </w:p>
        </w:tc>
        <w:tc>
          <w:tcPr>
            <w:tcW w:w="34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1</w:t>
            </w:r>
          </w:p>
        </w:tc>
        <w:tc>
          <w:tcPr>
            <w:tcW w:w="120" w:type="dxa"/>
            <w:vAlign w:val="bottom"/>
            <w:tcBorders>
              <w:top w:val="single" w:sz="8" w:color="DBDBDB"/>
              <w:bottom w:val="single" w:sz="8" w:color="DBDBDB"/>
            </w:tcBorders>
            <w:shd w:val="clear" w:color="auto" w:fill="DBDBDB"/>
          </w:tcPr>
          <w:p>
            <w:pPr>
              <w:spacing w:after="0"/>
              <w:rPr>
                <w:sz w:val="21"/>
                <w:szCs w:val="21"/>
                <w:color w:val="auto"/>
              </w:rPr>
            </w:pPr>
          </w:p>
        </w:tc>
        <w:tc>
          <w:tcPr>
            <w:tcW w:w="820" w:type="dxa"/>
            <w:vAlign w:val="bottom"/>
            <w:tcBorders>
              <w:top w:val="single" w:sz="8" w:color="auto"/>
              <w:bottom w:val="single" w:sz="8" w:color="auto"/>
            </w:tcBorders>
            <w:shd w:val="clear" w:color="auto" w:fill="DBDBDB"/>
          </w:tcPr>
          <w:p>
            <w:pPr>
              <w:jc w:val="right"/>
              <w:ind w:right="614"/>
              <w:spacing w:after="0"/>
              <w:rPr>
                <w:sz w:val="20"/>
                <w:szCs w:val="20"/>
                <w:color w:val="auto"/>
              </w:rPr>
            </w:pPr>
            <w:r>
              <w:rPr>
                <w:rFonts w:ascii="Arial" w:cs="Arial" w:eastAsia="Arial" w:hAnsi="Arial"/>
                <w:sz w:val="18"/>
                <w:szCs w:val="18"/>
                <w:color w:val="auto"/>
                <w:w w:val="99"/>
              </w:rPr>
              <w:t>$</w:t>
            </w:r>
          </w:p>
        </w:tc>
        <w:tc>
          <w:tcPr>
            <w:tcW w:w="30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DBDBDB"/>
              <w:bottom w:val="single" w:sz="8" w:color="DBDBDB"/>
            </w:tcBorders>
            <w:shd w:val="clear" w:color="auto" w:fill="DBDBDB"/>
          </w:tcPr>
          <w:p>
            <w:pPr>
              <w:spacing w:after="0"/>
              <w:rPr>
                <w:sz w:val="21"/>
                <w:szCs w:val="21"/>
                <w:color w:val="auto"/>
              </w:rPr>
            </w:pPr>
          </w:p>
        </w:tc>
        <w:tc>
          <w:tcPr>
            <w:tcW w:w="3020" w:type="dxa"/>
            <w:vAlign w:val="bottom"/>
            <w:tcBorders>
              <w:top w:val="single" w:sz="8" w:color="DBDBDB"/>
              <w:bottom w:val="single" w:sz="8" w:color="DBDBDB"/>
            </w:tcBorders>
            <w:gridSpan w:val="2"/>
            <w:shd w:val="clear" w:color="auto" w:fill="DBDBDB"/>
          </w:tcPr>
          <w:p>
            <w:pPr>
              <w:ind w:left="20"/>
              <w:spacing w:after="0"/>
              <w:rPr>
                <w:sz w:val="20"/>
                <w:szCs w:val="20"/>
                <w:color w:val="auto"/>
              </w:rPr>
            </w:pPr>
            <w:r>
              <w:rPr>
                <w:rFonts w:ascii="Arial" w:cs="Arial" w:eastAsia="Arial" w:hAnsi="Arial"/>
                <w:sz w:val="18"/>
                <w:szCs w:val="18"/>
                <w:color w:val="auto"/>
              </w:rPr>
              <w:t>Decrease (increase) to net income</w:t>
            </w:r>
          </w:p>
        </w:tc>
        <w:tc>
          <w:tcPr>
            <w:tcW w:w="0" w:type="dxa"/>
            <w:vAlign w:val="bottom"/>
          </w:tcPr>
          <w:p>
            <w:pPr>
              <w:spacing w:after="0"/>
              <w:rPr>
                <w:sz w:val="1"/>
                <w:szCs w:val="1"/>
                <w:color w:val="auto"/>
              </w:rPr>
            </w:pPr>
          </w:p>
        </w:tc>
      </w:tr>
      <w:tr>
        <w:trPr>
          <w:trHeight w:val="20"/>
        </w:trPr>
        <w:tc>
          <w:tcPr>
            <w:tcW w:w="5120" w:type="dxa"/>
            <w:vAlign w:val="bottom"/>
            <w:tcBorders>
              <w:top w:val="single" w:sz="8" w:color="DBDBDB"/>
              <w:bottom w:val="single" w:sz="8" w:color="DBDBDB"/>
            </w:tcBorders>
            <w:vMerge w:val="restart"/>
          </w:tcPr>
          <w:p>
            <w:pPr>
              <w:spacing w:after="0"/>
              <w:rPr>
                <w:sz w:val="20"/>
                <w:szCs w:val="20"/>
                <w:color w:val="auto"/>
              </w:rPr>
            </w:pPr>
            <w:r>
              <w:rPr>
                <w:rFonts w:ascii="Arial" w:cs="Arial" w:eastAsia="Arial" w:hAnsi="Arial"/>
                <w:sz w:val="18"/>
                <w:szCs w:val="18"/>
                <w:color w:val="auto"/>
              </w:rPr>
              <w:t>(a) Detailed in Note 5</w:t>
            </w:r>
          </w:p>
        </w:tc>
        <w:tc>
          <w:tcPr>
            <w:tcW w:w="660" w:type="dxa"/>
            <w:vAlign w:val="bottom"/>
            <w:tcBorders>
              <w:top w:val="single" w:sz="8" w:color="DBDBDB"/>
            </w:tcBorders>
          </w:tcPr>
          <w:p>
            <w:pPr>
              <w:spacing w:after="0" w:line="20" w:lineRule="exact"/>
              <w:rPr>
                <w:sz w:val="1"/>
                <w:szCs w:val="1"/>
                <w:color w:val="auto"/>
              </w:rPr>
            </w:pPr>
          </w:p>
        </w:tc>
        <w:tc>
          <w:tcPr>
            <w:tcW w:w="780" w:type="dxa"/>
            <w:vAlign w:val="bottom"/>
            <w:tcBorders>
              <w:top w:val="single" w:sz="8" w:color="DBDBDB"/>
              <w:bottom w:val="single" w:sz="8" w:color="auto"/>
            </w:tcBorders>
          </w:tcPr>
          <w:p>
            <w:pPr>
              <w:spacing w:after="0" w:line="20" w:lineRule="exact"/>
              <w:rPr>
                <w:sz w:val="1"/>
                <w:szCs w:val="1"/>
                <w:color w:val="auto"/>
              </w:rPr>
            </w:pPr>
          </w:p>
        </w:tc>
        <w:tc>
          <w:tcPr>
            <w:tcW w:w="34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820" w:type="dxa"/>
            <w:vAlign w:val="bottom"/>
            <w:tcBorders>
              <w:top w:val="single" w:sz="8" w:color="DBDBDB"/>
              <w:bottom w:val="single" w:sz="8" w:color="auto"/>
            </w:tcBorders>
          </w:tcPr>
          <w:p>
            <w:pPr>
              <w:spacing w:after="0" w:line="20" w:lineRule="exact"/>
              <w:rPr>
                <w:sz w:val="1"/>
                <w:szCs w:val="1"/>
                <w:color w:val="auto"/>
              </w:rPr>
            </w:pPr>
          </w:p>
        </w:tc>
        <w:tc>
          <w:tcPr>
            <w:tcW w:w="300" w:type="dxa"/>
            <w:vAlign w:val="bottom"/>
            <w:tcBorders>
              <w:top w:val="single" w:sz="8" w:color="DBDBDB"/>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1700" w:type="dxa"/>
            <w:vAlign w:val="bottom"/>
            <w:tcBorders>
              <w:top w:val="single" w:sz="8" w:color="DBDBDB"/>
            </w:tcBorders>
          </w:tcPr>
          <w:p>
            <w:pPr>
              <w:spacing w:after="0" w:line="20" w:lineRule="exact"/>
              <w:rPr>
                <w:sz w:val="1"/>
                <w:szCs w:val="1"/>
                <w:color w:val="auto"/>
              </w:rPr>
            </w:pPr>
          </w:p>
        </w:tc>
        <w:tc>
          <w:tcPr>
            <w:tcW w:w="1320" w:type="dxa"/>
            <w:vAlign w:val="bottom"/>
            <w:tcBorders>
              <w:top w:val="single" w:sz="8" w:color="DBDBDB"/>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5"/>
        </w:trPr>
        <w:tc>
          <w:tcPr>
            <w:tcW w:w="5120" w:type="dxa"/>
            <w:vAlign w:val="bottom"/>
            <w:vMerge w:val="continue"/>
          </w:tcPr>
          <w:p>
            <w:pPr>
              <w:spacing w:after="0"/>
              <w:rPr>
                <w:sz w:val="24"/>
                <w:szCs w:val="24"/>
                <w:color w:val="auto"/>
              </w:rPr>
            </w:pPr>
          </w:p>
        </w:tc>
        <w:tc>
          <w:tcPr>
            <w:tcW w:w="6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120" w:type="dxa"/>
            <w:vAlign w:val="bottom"/>
          </w:tcPr>
          <w:p>
            <w:pPr>
              <w:spacing w:after="0"/>
              <w:rPr>
                <w:sz w:val="20"/>
                <w:szCs w:val="20"/>
                <w:color w:val="auto"/>
              </w:rPr>
            </w:pPr>
            <w:r>
              <w:rPr>
                <w:rFonts w:ascii="Arial" w:cs="Arial" w:eastAsia="Arial" w:hAnsi="Arial"/>
                <w:sz w:val="18"/>
                <w:szCs w:val="18"/>
                <w:i w:val="1"/>
                <w:iCs w:val="1"/>
                <w:color w:val="auto"/>
              </w:rPr>
              <w:t>Effect on shares outstanding and treasury shares</w:t>
            </w:r>
          </w:p>
        </w:tc>
        <w:tc>
          <w:tcPr>
            <w:tcW w:w="6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120" w:type="dxa"/>
            <w:vAlign w:val="bottom"/>
          </w:tcPr>
          <w:p>
            <w:pPr>
              <w:spacing w:after="0"/>
              <w:rPr>
                <w:sz w:val="20"/>
                <w:szCs w:val="20"/>
                <w:color w:val="auto"/>
              </w:rPr>
            </w:pPr>
            <w:r>
              <w:rPr>
                <w:rFonts w:ascii="Arial" w:cs="Arial" w:eastAsia="Arial" w:hAnsi="Arial"/>
                <w:sz w:val="18"/>
                <w:szCs w:val="18"/>
                <w:color w:val="auto"/>
              </w:rPr>
              <w:t>The following table reflects the changes in treasury shares:</w:t>
            </w:r>
          </w:p>
        </w:tc>
        <w:tc>
          <w:tcPr>
            <w:tcW w:w="6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5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100" w:type="dxa"/>
            <w:vAlign w:val="bottom"/>
            <w:gridSpan w:val="3"/>
          </w:tcPr>
          <w:p>
            <w:pPr>
              <w:jc w:val="right"/>
              <w:ind w:right="410"/>
              <w:spacing w:after="0"/>
              <w:rPr>
                <w:sz w:val="20"/>
                <w:szCs w:val="20"/>
                <w:color w:val="auto"/>
              </w:rPr>
            </w:pPr>
            <w:r>
              <w:rPr>
                <w:rFonts w:ascii="Arial" w:cs="Arial" w:eastAsia="Arial" w:hAnsi="Arial"/>
                <w:sz w:val="14"/>
                <w:szCs w:val="14"/>
                <w:b w:val="1"/>
                <w:bCs w:val="1"/>
                <w:color w:val="auto"/>
              </w:rPr>
              <w:t>2026</w:t>
            </w:r>
          </w:p>
        </w:tc>
        <w:tc>
          <w:tcPr>
            <w:tcW w:w="0" w:type="dxa"/>
            <w:vAlign w:val="bottom"/>
          </w:tcPr>
          <w:p>
            <w:pPr>
              <w:spacing w:after="0"/>
              <w:rPr>
                <w:sz w:val="1"/>
                <w:szCs w:val="1"/>
                <w:color w:val="auto"/>
              </w:rPr>
            </w:pPr>
          </w:p>
        </w:tc>
      </w:tr>
      <w:tr>
        <w:trPr>
          <w:trHeight w:val="224"/>
        </w:trPr>
        <w:tc>
          <w:tcPr>
            <w:tcW w:w="512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Balance, January 1</w:t>
            </w:r>
          </w:p>
        </w:tc>
        <w:tc>
          <w:tcPr>
            <w:tcW w:w="660" w:type="dxa"/>
            <w:vAlign w:val="bottom"/>
            <w:tcBorders>
              <w:top w:val="single" w:sz="8" w:color="DBDBDB"/>
            </w:tcBorders>
            <w:shd w:val="clear" w:color="auto" w:fill="DBDBDB"/>
          </w:tcPr>
          <w:p>
            <w:pPr>
              <w:spacing w:after="0"/>
              <w:rPr>
                <w:sz w:val="19"/>
                <w:szCs w:val="19"/>
                <w:color w:val="auto"/>
              </w:rPr>
            </w:pPr>
          </w:p>
        </w:tc>
        <w:tc>
          <w:tcPr>
            <w:tcW w:w="780" w:type="dxa"/>
            <w:vAlign w:val="bottom"/>
            <w:tcBorders>
              <w:top w:val="single" w:sz="8" w:color="DBDBDB"/>
            </w:tcBorders>
            <w:shd w:val="clear" w:color="auto" w:fill="DBDBDB"/>
          </w:tcPr>
          <w:p>
            <w:pPr>
              <w:spacing w:after="0"/>
              <w:rPr>
                <w:sz w:val="19"/>
                <w:szCs w:val="19"/>
                <w:color w:val="auto"/>
              </w:rPr>
            </w:pPr>
          </w:p>
        </w:tc>
        <w:tc>
          <w:tcPr>
            <w:tcW w:w="340" w:type="dxa"/>
            <w:vAlign w:val="bottom"/>
            <w:tcBorders>
              <w:top w:val="single" w:sz="8" w:color="DBDBDB"/>
            </w:tcBorders>
            <w:shd w:val="clear" w:color="auto" w:fill="DBDBDB"/>
          </w:tcPr>
          <w:p>
            <w:pPr>
              <w:spacing w:after="0"/>
              <w:rPr>
                <w:sz w:val="19"/>
                <w:szCs w:val="19"/>
                <w:color w:val="auto"/>
              </w:rPr>
            </w:pPr>
          </w:p>
        </w:tc>
        <w:tc>
          <w:tcPr>
            <w:tcW w:w="120" w:type="dxa"/>
            <w:vAlign w:val="bottom"/>
            <w:tcBorders>
              <w:top w:val="single" w:sz="8" w:color="DBDBDB"/>
            </w:tcBorders>
            <w:shd w:val="clear" w:color="auto" w:fill="DBDBDB"/>
          </w:tcPr>
          <w:p>
            <w:pPr>
              <w:spacing w:after="0"/>
              <w:rPr>
                <w:sz w:val="19"/>
                <w:szCs w:val="19"/>
                <w:color w:val="auto"/>
              </w:rPr>
            </w:pPr>
          </w:p>
        </w:tc>
        <w:tc>
          <w:tcPr>
            <w:tcW w:w="820" w:type="dxa"/>
            <w:vAlign w:val="bottom"/>
            <w:tcBorders>
              <w:top w:val="single" w:sz="8" w:color="DBDBDB"/>
            </w:tcBorders>
            <w:shd w:val="clear" w:color="auto" w:fill="DBDBDB"/>
          </w:tcPr>
          <w:p>
            <w:pPr>
              <w:spacing w:after="0"/>
              <w:rPr>
                <w:sz w:val="19"/>
                <w:szCs w:val="19"/>
                <w:color w:val="auto"/>
              </w:rPr>
            </w:pPr>
          </w:p>
        </w:tc>
        <w:tc>
          <w:tcPr>
            <w:tcW w:w="300" w:type="dxa"/>
            <w:vAlign w:val="bottom"/>
            <w:tcBorders>
              <w:top w:val="single" w:sz="8" w:color="DBDBDB"/>
            </w:tcBorders>
            <w:shd w:val="clear" w:color="auto" w:fill="DBDBDB"/>
          </w:tcPr>
          <w:p>
            <w:pPr>
              <w:spacing w:after="0"/>
              <w:rPr>
                <w:sz w:val="19"/>
                <w:szCs w:val="19"/>
                <w:color w:val="auto"/>
              </w:rPr>
            </w:pPr>
          </w:p>
        </w:tc>
        <w:tc>
          <w:tcPr>
            <w:tcW w:w="1780" w:type="dxa"/>
            <w:vAlign w:val="bottom"/>
            <w:tcBorders>
              <w:top w:val="single" w:sz="8" w:color="DBDBDB"/>
            </w:tcBorders>
            <w:gridSpan w:val="2"/>
            <w:shd w:val="clear" w:color="auto" w:fill="DBDBDB"/>
          </w:tcPr>
          <w:p>
            <w:pPr>
              <w:spacing w:after="0"/>
              <w:rPr>
                <w:sz w:val="19"/>
                <w:szCs w:val="19"/>
                <w:color w:val="auto"/>
              </w:rPr>
            </w:pPr>
          </w:p>
        </w:tc>
        <w:tc>
          <w:tcPr>
            <w:tcW w:w="132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834</w:t>
            </w:r>
          </w:p>
        </w:tc>
        <w:tc>
          <w:tcPr>
            <w:tcW w:w="0" w:type="dxa"/>
            <w:vAlign w:val="bottom"/>
          </w:tcPr>
          <w:p>
            <w:pPr>
              <w:spacing w:after="0"/>
              <w:rPr>
                <w:sz w:val="1"/>
                <w:szCs w:val="1"/>
                <w:color w:val="auto"/>
              </w:rPr>
            </w:pPr>
          </w:p>
        </w:tc>
      </w:tr>
      <w:tr>
        <w:trPr>
          <w:trHeight w:val="230"/>
        </w:trPr>
        <w:tc>
          <w:tcPr>
            <w:tcW w:w="5120" w:type="dxa"/>
            <w:vAlign w:val="bottom"/>
          </w:tcPr>
          <w:p>
            <w:pPr>
              <w:ind w:left="20"/>
              <w:spacing w:after="0"/>
              <w:rPr>
                <w:sz w:val="20"/>
                <w:szCs w:val="20"/>
                <w:color w:val="auto"/>
              </w:rPr>
            </w:pPr>
            <w:r>
              <w:rPr>
                <w:rFonts w:ascii="Arial" w:cs="Arial" w:eastAsia="Arial" w:hAnsi="Arial"/>
                <w:sz w:val="18"/>
                <w:szCs w:val="18"/>
                <w:color w:val="auto"/>
              </w:rPr>
              <w:t>Repurchases</w:t>
            </w:r>
          </w:p>
        </w:tc>
        <w:tc>
          <w:tcPr>
            <w:tcW w:w="6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100" w:type="dxa"/>
            <w:vAlign w:val="bottom"/>
            <w:gridSpan w:val="3"/>
          </w:tcPr>
          <w:p>
            <w:pPr>
              <w:jc w:val="right"/>
              <w:spacing w:after="0"/>
              <w:rPr>
                <w:sz w:val="20"/>
                <w:szCs w:val="20"/>
                <w:color w:val="auto"/>
              </w:rPr>
            </w:pPr>
            <w:r>
              <w:rPr>
                <w:rFonts w:ascii="Arial" w:cs="Arial" w:eastAsia="Arial" w:hAnsi="Arial"/>
                <w:sz w:val="18"/>
                <w:szCs w:val="18"/>
                <w:b w:val="1"/>
                <w:bCs w:val="1"/>
                <w:color w:val="auto"/>
              </w:rPr>
              <w:t>1</w:t>
            </w:r>
          </w:p>
        </w:tc>
        <w:tc>
          <w:tcPr>
            <w:tcW w:w="0" w:type="dxa"/>
            <w:vAlign w:val="bottom"/>
          </w:tcPr>
          <w:p>
            <w:pPr>
              <w:spacing w:after="0"/>
              <w:rPr>
                <w:sz w:val="1"/>
                <w:szCs w:val="1"/>
                <w:color w:val="auto"/>
              </w:rPr>
            </w:pPr>
          </w:p>
        </w:tc>
      </w:tr>
      <w:tr>
        <w:trPr>
          <w:trHeight w:val="230"/>
        </w:trPr>
        <w:tc>
          <w:tcPr>
            <w:tcW w:w="5120" w:type="dxa"/>
            <w:vAlign w:val="bottom"/>
            <w:shd w:val="clear" w:color="auto" w:fill="DBDBDB"/>
          </w:tcPr>
          <w:p>
            <w:pPr>
              <w:ind w:left="20"/>
              <w:spacing w:after="0"/>
              <w:rPr>
                <w:sz w:val="20"/>
                <w:szCs w:val="20"/>
                <w:color w:val="auto"/>
              </w:rPr>
            </w:pPr>
            <w:r>
              <w:rPr>
                <w:rFonts w:ascii="Arial" w:cs="Arial" w:eastAsia="Arial" w:hAnsi="Arial"/>
                <w:sz w:val="18"/>
                <w:szCs w:val="18"/>
                <w:color w:val="auto"/>
              </w:rPr>
              <w:t>Shares issued for stock compensation</w:t>
            </w:r>
          </w:p>
        </w:tc>
        <w:tc>
          <w:tcPr>
            <w:tcW w:w="660" w:type="dxa"/>
            <w:vAlign w:val="bottom"/>
            <w:shd w:val="clear" w:color="auto" w:fill="DBDBDB"/>
          </w:tcPr>
          <w:p>
            <w:pPr>
              <w:spacing w:after="0"/>
              <w:rPr>
                <w:sz w:val="19"/>
                <w:szCs w:val="19"/>
                <w:color w:val="auto"/>
              </w:rPr>
            </w:pPr>
          </w:p>
        </w:tc>
        <w:tc>
          <w:tcPr>
            <w:tcW w:w="780" w:type="dxa"/>
            <w:vAlign w:val="bottom"/>
            <w:shd w:val="clear" w:color="auto" w:fill="DBDBDB"/>
          </w:tcPr>
          <w:p>
            <w:pPr>
              <w:spacing w:after="0"/>
              <w:rPr>
                <w:sz w:val="19"/>
                <w:szCs w:val="19"/>
                <w:color w:val="auto"/>
              </w:rPr>
            </w:pPr>
          </w:p>
        </w:tc>
        <w:tc>
          <w:tcPr>
            <w:tcW w:w="34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820" w:type="dxa"/>
            <w:vAlign w:val="bottom"/>
            <w:shd w:val="clear" w:color="auto" w:fill="DBDBDB"/>
          </w:tcPr>
          <w:p>
            <w:pPr>
              <w:spacing w:after="0"/>
              <w:rPr>
                <w:sz w:val="19"/>
                <w:szCs w:val="19"/>
                <w:color w:val="auto"/>
              </w:rPr>
            </w:pPr>
          </w:p>
        </w:tc>
        <w:tc>
          <w:tcPr>
            <w:tcW w:w="300" w:type="dxa"/>
            <w:vAlign w:val="bottom"/>
            <w:shd w:val="clear" w:color="auto" w:fill="DBDBDB"/>
          </w:tcPr>
          <w:p>
            <w:pPr>
              <w:spacing w:after="0"/>
              <w:rPr>
                <w:sz w:val="19"/>
                <w:szCs w:val="19"/>
                <w:color w:val="auto"/>
              </w:rPr>
            </w:pPr>
          </w:p>
        </w:tc>
        <w:tc>
          <w:tcPr>
            <w:tcW w:w="3100" w:type="dxa"/>
            <w:vAlign w:val="bottom"/>
            <w:gridSpan w:val="3"/>
            <w:shd w:val="clear" w:color="auto" w:fill="DBDBDB"/>
          </w:tcPr>
          <w:p>
            <w:pPr>
              <w:jc w:val="right"/>
              <w:spacing w:after="0"/>
              <w:rPr>
                <w:sz w:val="20"/>
                <w:szCs w:val="20"/>
                <w:color w:val="auto"/>
              </w:rPr>
            </w:pPr>
            <w:r>
              <w:rPr>
                <w:rFonts w:ascii="Arial" w:cs="Arial" w:eastAsia="Arial" w:hAnsi="Arial"/>
                <w:sz w:val="18"/>
                <w:szCs w:val="18"/>
                <w:b w:val="1"/>
                <w:bCs w:val="1"/>
                <w:color w:val="auto"/>
              </w:rPr>
              <w:t>(4)</w:t>
            </w:r>
          </w:p>
        </w:tc>
        <w:tc>
          <w:tcPr>
            <w:tcW w:w="0" w:type="dxa"/>
            <w:vAlign w:val="bottom"/>
          </w:tcPr>
          <w:p>
            <w:pPr>
              <w:spacing w:after="0"/>
              <w:rPr>
                <w:sz w:val="1"/>
                <w:szCs w:val="1"/>
                <w:color w:val="auto"/>
              </w:rPr>
            </w:pPr>
          </w:p>
        </w:tc>
      </w:tr>
      <w:tr>
        <w:trPr>
          <w:trHeight w:val="223"/>
        </w:trPr>
        <w:tc>
          <w:tcPr>
            <w:tcW w:w="5120" w:type="dxa"/>
            <w:vAlign w:val="bottom"/>
          </w:tcPr>
          <w:p>
            <w:pPr>
              <w:ind w:left="20"/>
              <w:spacing w:after="0"/>
              <w:rPr>
                <w:sz w:val="20"/>
                <w:szCs w:val="20"/>
                <w:color w:val="auto"/>
              </w:rPr>
            </w:pPr>
            <w:r>
              <w:rPr>
                <w:rFonts w:ascii="Arial" w:cs="Arial" w:eastAsia="Arial" w:hAnsi="Arial"/>
                <w:sz w:val="18"/>
                <w:szCs w:val="18"/>
                <w:color w:val="auto"/>
              </w:rPr>
              <w:t>Balance, March 31</w:t>
            </w:r>
          </w:p>
        </w:tc>
        <w:tc>
          <w:tcPr>
            <w:tcW w:w="6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780" w:type="dxa"/>
            <w:vAlign w:val="bottom"/>
            <w:gridSpan w:val="2"/>
          </w:tcPr>
          <w:p>
            <w:pPr>
              <w:spacing w:after="0"/>
              <w:rPr>
                <w:sz w:val="19"/>
                <w:szCs w:val="19"/>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831</w:t>
            </w: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15</w:t>
            </w:r>
          </w:p>
        </w:tc>
        <w:tc>
          <w:tcPr>
            <w:tcW w:w="7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21"/>
        </w:trPr>
        <w:tc>
          <w:tcPr>
            <w:tcW w:w="5120" w:type="dxa"/>
            <w:vAlign w:val="bottom"/>
          </w:tcPr>
          <w:p>
            <w:pPr>
              <w:spacing w:after="0"/>
              <w:rPr>
                <w:sz w:val="24"/>
                <w:szCs w:val="24"/>
                <w:color w:val="auto"/>
              </w:rPr>
            </w:pPr>
          </w:p>
        </w:tc>
        <w:tc>
          <w:tcPr>
            <w:tcW w:w="660" w:type="dxa"/>
            <w:vAlign w:val="bottom"/>
            <w:vMerge w:val="continue"/>
          </w:tcPr>
          <w:p>
            <w:pPr>
              <w:spacing w:after="0"/>
              <w:rPr>
                <w:sz w:val="24"/>
                <w:szCs w:val="24"/>
                <w:color w:val="auto"/>
              </w:rPr>
            </w:pP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5120" w:type="dxa"/>
            <w:vAlign w:val="bottom"/>
            <w:tcBorders>
              <w:bottom w:val="single" w:sz="8" w:color="9A9A9A"/>
            </w:tcBorders>
          </w:tcPr>
          <w:p>
            <w:pPr>
              <w:spacing w:after="0"/>
              <w:rPr>
                <w:sz w:val="9"/>
                <w:szCs w:val="9"/>
                <w:color w:val="auto"/>
              </w:rPr>
            </w:pPr>
          </w:p>
        </w:tc>
        <w:tc>
          <w:tcPr>
            <w:tcW w:w="660" w:type="dxa"/>
            <w:vAlign w:val="bottom"/>
            <w:tcBorders>
              <w:bottom w:val="single" w:sz="8" w:color="9A9A9A"/>
            </w:tcBorders>
          </w:tcPr>
          <w:p>
            <w:pPr>
              <w:spacing w:after="0"/>
              <w:rPr>
                <w:sz w:val="9"/>
                <w:szCs w:val="9"/>
                <w:color w:val="auto"/>
              </w:rPr>
            </w:pPr>
          </w:p>
        </w:tc>
        <w:tc>
          <w:tcPr>
            <w:tcW w:w="78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700" w:type="dxa"/>
            <w:vAlign w:val="bottom"/>
            <w:tcBorders>
              <w:bottom w:val="single" w:sz="8" w:color="9A9A9A"/>
            </w:tcBorders>
          </w:tcPr>
          <w:p>
            <w:pPr>
              <w:spacing w:after="0"/>
              <w:rPr>
                <w:sz w:val="9"/>
                <w:szCs w:val="9"/>
                <w:color w:val="auto"/>
              </w:rPr>
            </w:pPr>
          </w:p>
        </w:tc>
        <w:tc>
          <w:tcPr>
            <w:tcW w:w="13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5"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We design and manufacture semiconductors that we sell to electronics designers and manufacturers all over the world. Technology is the foundation of our company, but ultimately, our objective and the best metric for owners to measure our progress is through the growth of free cash flow per share over the long term.</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Our strategy to maximize long-term free cash flow per share growth has three elements:</w:t>
      </w:r>
    </w:p>
    <w:p>
      <w:pPr>
        <w:spacing w:after="0" w:line="225" w:lineRule="exact"/>
        <w:rPr>
          <w:sz w:val="20"/>
          <w:szCs w:val="20"/>
          <w:color w:val="auto"/>
        </w:rPr>
      </w:pPr>
    </w:p>
    <w:p>
      <w:pPr>
        <w:ind w:left="660" w:right="120" w:hanging="328"/>
        <w:spacing w:after="0" w:line="287" w:lineRule="auto"/>
        <w:tabs>
          <w:tab w:leader="none" w:pos="648"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great business model that is focused on analog and embedded processing products and built around four sustainable competitive advantages. The four sustainable competitive advantages are powerful in combination and provide tangible benefits:</w:t>
      </w:r>
    </w:p>
    <w:p>
      <w:pPr>
        <w:spacing w:after="0" w:line="44" w:lineRule="exact"/>
        <w:rPr>
          <w:rFonts w:ascii="Arial" w:cs="Arial" w:eastAsia="Arial" w:hAnsi="Arial"/>
          <w:sz w:val="18"/>
          <w:szCs w:val="18"/>
          <w:color w:val="auto"/>
        </w:rPr>
      </w:pPr>
    </w:p>
    <w:p>
      <w:pPr>
        <w:ind w:left="1300" w:hanging="320"/>
        <w:spacing w:after="0"/>
        <w:tabs>
          <w:tab w:leader="none" w:pos="13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A strong foundation of manufacturing and technology that provides lower costs and greater control of our supply chain.</w:t>
      </w:r>
    </w:p>
    <w:p>
      <w:pPr>
        <w:spacing w:after="0" w:line="117" w:lineRule="exact"/>
        <w:rPr>
          <w:rFonts w:ascii="Arial" w:cs="Arial" w:eastAsia="Arial" w:hAnsi="Arial"/>
          <w:sz w:val="18"/>
          <w:szCs w:val="18"/>
          <w:color w:val="auto"/>
        </w:rPr>
      </w:pPr>
    </w:p>
    <w:p>
      <w:pPr>
        <w:ind w:left="1300" w:hanging="320"/>
        <w:spacing w:after="0" w:line="287" w:lineRule="auto"/>
        <w:tabs>
          <w:tab w:leader="none" w:pos="1290" w:val="left"/>
        </w:tabs>
        <w:numPr>
          <w:ilvl w:val="1"/>
          <w:numId w:val="10"/>
        </w:numPr>
        <w:rPr>
          <w:rFonts w:ascii="Arial" w:cs="Arial" w:eastAsia="Arial" w:hAnsi="Arial"/>
          <w:sz w:val="18"/>
          <w:szCs w:val="18"/>
          <w:color w:val="auto"/>
        </w:rPr>
      </w:pPr>
      <w:r>
        <w:rPr>
          <w:rFonts w:ascii="Arial" w:cs="Arial" w:eastAsia="Arial" w:hAnsi="Arial"/>
          <w:sz w:val="18"/>
          <w:szCs w:val="18"/>
          <w:color w:val="auto"/>
        </w:rPr>
        <w:t>A broad portfolio of analog and embedded processing products that offers more opportunity per customer and more value for our investments.</w:t>
      </w:r>
    </w:p>
    <w:p>
      <w:pPr>
        <w:spacing w:after="0" w:line="44" w:lineRule="exact"/>
        <w:rPr>
          <w:rFonts w:ascii="Arial" w:cs="Arial" w:eastAsia="Arial" w:hAnsi="Arial"/>
          <w:sz w:val="18"/>
          <w:szCs w:val="18"/>
          <w:color w:val="auto"/>
        </w:rPr>
      </w:pPr>
    </w:p>
    <w:p>
      <w:pPr>
        <w:ind w:left="1300" w:right="200" w:hanging="320"/>
        <w:spacing w:after="0" w:line="287" w:lineRule="auto"/>
        <w:tabs>
          <w:tab w:leader="none" w:pos="1294" w:val="left"/>
        </w:tabs>
        <w:numPr>
          <w:ilvl w:val="1"/>
          <w:numId w:val="10"/>
        </w:numPr>
        <w:rPr>
          <w:rFonts w:ascii="Arial" w:cs="Arial" w:eastAsia="Arial" w:hAnsi="Arial"/>
          <w:sz w:val="18"/>
          <w:szCs w:val="18"/>
          <w:color w:val="auto"/>
        </w:rPr>
      </w:pPr>
      <w:r>
        <w:rPr>
          <w:rFonts w:ascii="Arial" w:cs="Arial" w:eastAsia="Arial" w:hAnsi="Arial"/>
          <w:sz w:val="18"/>
          <w:szCs w:val="18"/>
          <w:color w:val="auto"/>
        </w:rPr>
        <w:t>The reach of our market channels that gives access to more customers and more of their design projects, leading to better insight and knowledge of customer needs and the opportunity to sell more of our products into each design.</w:t>
      </w:r>
    </w:p>
    <w:p>
      <w:pPr>
        <w:spacing w:after="0" w:line="44" w:lineRule="exact"/>
        <w:rPr>
          <w:rFonts w:ascii="Arial" w:cs="Arial" w:eastAsia="Arial" w:hAnsi="Arial"/>
          <w:sz w:val="18"/>
          <w:szCs w:val="18"/>
          <w:color w:val="auto"/>
        </w:rPr>
      </w:pPr>
    </w:p>
    <w:p>
      <w:pPr>
        <w:ind w:left="1300" w:right="540" w:hanging="320"/>
        <w:spacing w:after="0" w:line="287" w:lineRule="auto"/>
        <w:tabs>
          <w:tab w:leader="none" w:pos="129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Diversity and longevity of our products, markets and customer positions that provide less single point dependency and longer returns on our investments.</w:t>
      </w:r>
    </w:p>
    <w:p>
      <w:pPr>
        <w:spacing w:after="0" w:line="45" w:lineRule="exact"/>
        <w:rPr>
          <w:sz w:val="20"/>
          <w:szCs w:val="20"/>
          <w:color w:val="auto"/>
        </w:rPr>
      </w:pPr>
    </w:p>
    <w:p>
      <w:pPr>
        <w:ind w:left="660"/>
        <w:spacing w:after="0" w:line="268" w:lineRule="auto"/>
        <w:rPr>
          <w:sz w:val="20"/>
          <w:szCs w:val="20"/>
          <w:color w:val="auto"/>
        </w:rPr>
      </w:pPr>
      <w:r>
        <w:rPr>
          <w:rFonts w:ascii="Arial" w:cs="Arial" w:eastAsia="Arial" w:hAnsi="Arial"/>
          <w:sz w:val="18"/>
          <w:szCs w:val="18"/>
          <w:color w:val="auto"/>
        </w:rPr>
        <w:t>Together, these competitive advantages help position TI in a unique class of companies capable of generating and returning significant amounts of cash for our owners. We make our investments with an eye towards long-term strengthening and leveraging of these advantages.</w:t>
      </w:r>
    </w:p>
    <w:p>
      <w:pPr>
        <w:spacing w:after="0" w:line="63" w:lineRule="exact"/>
        <w:rPr>
          <w:sz w:val="20"/>
          <w:szCs w:val="20"/>
          <w:color w:val="auto"/>
        </w:rPr>
      </w:pPr>
    </w:p>
    <w:p>
      <w:pPr>
        <w:ind w:left="660" w:right="200" w:hanging="328"/>
        <w:spacing w:after="0" w:line="287" w:lineRule="auto"/>
        <w:tabs>
          <w:tab w:leader="none" w:pos="648" w:val="left"/>
        </w:tabs>
        <w:numPr>
          <w:ilvl w:val="0"/>
          <w:numId w:val="11"/>
        </w:numPr>
        <w:rPr>
          <w:rFonts w:ascii="Arial" w:cs="Arial" w:eastAsia="Arial" w:hAnsi="Arial"/>
          <w:sz w:val="18"/>
          <w:szCs w:val="18"/>
          <w:color w:val="auto"/>
        </w:rPr>
      </w:pPr>
      <w:r>
        <w:rPr>
          <w:rFonts w:ascii="Arial" w:cs="Arial" w:eastAsia="Arial" w:hAnsi="Arial"/>
          <w:sz w:val="18"/>
          <w:szCs w:val="18"/>
          <w:color w:val="auto"/>
        </w:rPr>
        <w:t>Discipline in allocating capital to the best opportunities. This spans how we select R&amp;D projects, develop new capabilities, invest in manufacturing capacity or how we think about acquisitions and returning cash to our owners.</w:t>
      </w:r>
    </w:p>
    <w:p>
      <w:pPr>
        <w:spacing w:after="0" w:line="44" w:lineRule="exact"/>
        <w:rPr>
          <w:rFonts w:ascii="Arial" w:cs="Arial" w:eastAsia="Arial" w:hAnsi="Arial"/>
          <w:sz w:val="18"/>
          <w:szCs w:val="18"/>
          <w:color w:val="auto"/>
        </w:rPr>
      </w:pPr>
    </w:p>
    <w:p>
      <w:pPr>
        <w:ind w:left="640" w:hanging="308"/>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Efficiency, which means constantly striving for more output for every dollar spent.</w:t>
      </w:r>
    </w:p>
    <w:p>
      <w:pPr>
        <w:spacing w:after="0" w:line="225"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We believe that our business model with the combined effect of our four competitive advantages sets TI apart from our peers and will for a long time to come. We will invest to strengthen our competitive advantages, be disciplined in capital allocation and stay diligent in our pursuit of efficiencies. Finally, we will remain focused on the belief that long-term growth of free cash flow per share is the ultimate measure to generate value.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and business characteristics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Markets for our products</w:t>
      </w:r>
    </w:p>
    <w:p>
      <w:pPr>
        <w:spacing w:after="0" w:line="225" w:lineRule="exact"/>
        <w:rPr>
          <w:sz w:val="20"/>
          <w:szCs w:val="20"/>
          <w:color w:val="auto"/>
        </w:rPr>
      </w:pPr>
    </w:p>
    <w:p>
      <w:pPr>
        <w:ind w:right="380"/>
        <w:spacing w:after="0" w:line="287" w:lineRule="auto"/>
        <w:rPr>
          <w:sz w:val="20"/>
          <w:szCs w:val="20"/>
          <w:color w:val="auto"/>
        </w:rPr>
      </w:pPr>
      <w:r>
        <w:rPr>
          <w:rFonts w:ascii="Arial" w:cs="Arial" w:eastAsia="Arial" w:hAnsi="Arial"/>
          <w:sz w:val="18"/>
          <w:szCs w:val="18"/>
          <w:color w:val="auto"/>
        </w:rPr>
        <w:t>The markets for our products are industrial, automotive, data center, personal electronics and communications equipment. See our 2025 Form 10-K for more information.</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Semiconductor cycle</w:t>
      </w:r>
    </w:p>
    <w:p>
      <w:pPr>
        <w:spacing w:after="0" w:line="225"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The semiconductor cycle refers to the ebb and flow of supply and demand and the building and depleting of inventories. It has been characterized by periods of tight supply caused by strengthening demand and/or insufficient manufacturing capacity, followed by periods of surplus inventory caused by weakening demand and/or excess manufacturing capacity. These are typically referred to as upturns and downturns in the semiconductor cycle. Semiconductor cycles are affected by the significant time and money required to build and maintain semiconductor manufacturing facilities.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Seasonality</w:t>
      </w:r>
    </w:p>
    <w:p>
      <w:pPr>
        <w:spacing w:after="0" w:line="225" w:lineRule="exact"/>
        <w:rPr>
          <w:sz w:val="20"/>
          <w:szCs w:val="20"/>
          <w:color w:val="auto"/>
        </w:rPr>
      </w:pPr>
    </w:p>
    <w:p>
      <w:pPr>
        <w:ind w:right="120"/>
        <w:spacing w:after="0" w:line="287" w:lineRule="auto"/>
        <w:rPr>
          <w:sz w:val="20"/>
          <w:szCs w:val="20"/>
          <w:color w:val="auto"/>
        </w:rPr>
      </w:pPr>
      <w:r>
        <w:rPr>
          <w:rFonts w:ascii="Arial" w:cs="Arial" w:eastAsia="Arial" w:hAnsi="Arial"/>
          <w:sz w:val="18"/>
          <w:szCs w:val="18"/>
          <w:color w:val="auto"/>
        </w:rPr>
        <w:t>Our revenue is subject to some seasonal variation. Historically, our sequential revenue growth rate tends to be weaker in the first and fourth quarters when compared with the second and third quarters.</w:t>
      </w: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0" w:right="359" w:bottom="1440" w:gutter="0" w:footer="0" w:header="0"/>
        </w:sectPr>
      </w:pPr>
    </w:p>
    <w:bookmarkStart w:id="16" w:name="page17"/>
    <w:bookmarkEnd w:id="16"/>
    <w:p>
      <w:pPr>
        <w:spacing w:after="0"/>
        <w:rPr>
          <w:sz w:val="20"/>
          <w:szCs w:val="20"/>
          <w:color w:val="auto"/>
        </w:rPr>
      </w:pPr>
      <w:r>
        <w:rPr>
          <w:rFonts w:ascii="Arial" w:cs="Arial" w:eastAsia="Arial" w:hAnsi="Arial"/>
          <w:sz w:val="18"/>
          <w:szCs w:val="18"/>
          <w:u w:val="single" w:color="auto"/>
          <w:color w:val="auto"/>
        </w:rPr>
        <w:t>Manufacturing</w:t>
      </w:r>
    </w:p>
    <w:p>
      <w:pPr>
        <w:spacing w:after="0" w:line="225"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We invest to make manufacturing and technology a core competitive advantage. The strategic decision to own our manufacturing, process and packaging technology provides us with tangible benefits of lower manufacturing costs and greater control of our supply chain and provides our customers with geopolitically dependable capacity. We own and operate both wafer fabrication and assembly/test facilities in North America, Asia, Japan and Europe. We have focused on creating a competitive structural cost advantage by investing in our 300mm wafer production, which describes the diameter of the wafer on which our chips are produced, and costs about 40% less than a chip built on a 200mm wafer. In addition, we selectively use capacity of outside suppliers, commonly known as foundries and subcontractors.</w:t>
      </w:r>
    </w:p>
    <w:p>
      <w:pPr>
        <w:spacing w:after="0" w:line="182" w:lineRule="exact"/>
        <w:rPr>
          <w:sz w:val="20"/>
          <w:szCs w:val="20"/>
          <w:color w:val="auto"/>
        </w:rPr>
      </w:pPr>
    </w:p>
    <w:p>
      <w:pPr>
        <w:ind w:right="220"/>
        <w:spacing w:after="0" w:line="262" w:lineRule="auto"/>
        <w:rPr>
          <w:sz w:val="20"/>
          <w:szCs w:val="20"/>
          <w:color w:val="auto"/>
        </w:rPr>
      </w:pPr>
      <w:r>
        <w:rPr>
          <w:rFonts w:ascii="Arial" w:cs="Arial" w:eastAsia="Arial" w:hAnsi="Arial"/>
          <w:sz w:val="18"/>
          <w:szCs w:val="18"/>
          <w:color w:val="auto"/>
        </w:rPr>
        <w:t>We continue to invest to strengthen our competitive advantage in manufacturing and technology as part of our long-term capacity plan. We are nearing the end of a six-year elevated capital expenditures cycle that, when completed, will uniquely position TI to deliver dependable, low-cost 300mm capacity, scalability of capital expenditures, including capacity modularity, and free cash flow per share growth across a range of market conditions.</w:t>
      </w:r>
    </w:p>
    <w:p>
      <w:pPr>
        <w:spacing w:after="0" w:line="176"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With our planned capacity expansions to support demand over time, we expect our internal sourcing to continue to increase. We expect to continue to maintain sufficient internal manufacturing capacity to meet the majority of our production needs and to obtain manufacturing equipment to support new technology developments and revenue growth.</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Inventory</w:t>
      </w:r>
    </w:p>
    <w:p>
      <w:pPr>
        <w:spacing w:after="0" w:line="225" w:lineRule="exact"/>
        <w:rPr>
          <w:sz w:val="20"/>
          <w:szCs w:val="20"/>
          <w:color w:val="auto"/>
        </w:rPr>
      </w:pPr>
    </w:p>
    <w:p>
      <w:pPr>
        <w:ind w:right="380"/>
        <w:spacing w:after="0" w:line="259" w:lineRule="auto"/>
        <w:rPr>
          <w:sz w:val="20"/>
          <w:szCs w:val="20"/>
          <w:color w:val="auto"/>
        </w:rPr>
      </w:pPr>
      <w:r>
        <w:rPr>
          <w:rFonts w:ascii="Arial" w:cs="Arial" w:eastAsia="Arial" w:hAnsi="Arial"/>
          <w:sz w:val="18"/>
          <w:szCs w:val="18"/>
          <w:color w:val="auto"/>
        </w:rPr>
        <w:t>Our objectives for inventory are to maintain high levels of customer service, maintain dependable and competitive lead times, minimize inventory obsolescence and improve manufacturing asset utilization. To meet these objectives and to allow greater flexibility in periods of high demand, our strategy is to build ahead of demand our broad-based products that are used across a diverse set of applications and customers and have low risk of obsolescence. Inventory levels will vary based on market conditions and seasonality. We adjust factory loadings as needed to execute on this inventory strategy.</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5" w:lineRule="exact"/>
        <w:rPr>
          <w:sz w:val="20"/>
          <w:szCs w:val="20"/>
          <w:color w:val="auto"/>
        </w:rPr>
      </w:pPr>
    </w:p>
    <w:p>
      <w:pPr>
        <w:ind w:right="280"/>
        <w:spacing w:after="0" w:line="287" w:lineRule="auto"/>
        <w:rPr>
          <w:sz w:val="20"/>
          <w:szCs w:val="20"/>
          <w:color w:val="auto"/>
        </w:rPr>
      </w:pPr>
      <w:r>
        <w:rPr>
          <w:rFonts w:ascii="Arial" w:cs="Arial" w:eastAsia="Arial" w:hAnsi="Arial"/>
          <w:sz w:val="18"/>
          <w:szCs w:val="18"/>
          <w:color w:val="auto"/>
        </w:rPr>
        <w:t>Management’s discussion and analysis of financial condition and results of operations (MD&amp;A) should be read in conjunction with the financial statements and the related notes that appear elsewhere in this document. In the following discussion of our results of operations:</w:t>
      </w:r>
    </w:p>
    <w:p>
      <w:pPr>
        <w:spacing w:after="0" w:line="153" w:lineRule="exact"/>
        <w:rPr>
          <w:sz w:val="20"/>
          <w:szCs w:val="20"/>
          <w:color w:val="auto"/>
        </w:rPr>
      </w:pPr>
    </w:p>
    <w:p>
      <w:pPr>
        <w:ind w:left="620" w:hanging="329"/>
        <w:spacing w:after="0" w:line="268" w:lineRule="auto"/>
        <w:tabs>
          <w:tab w:leader="none" w:pos="615"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segments represent groups of similar products that are combined on the basis of similar design and development requirements, product characteristics, manufacturing processes and distribution channels, and how management allocates resources and measures results. See Note 1 to the financial statements for more information regarding our segments.</w:t>
      </w:r>
    </w:p>
    <w:p>
      <w:pPr>
        <w:spacing w:after="0" w:line="62" w:lineRule="exact"/>
        <w:rPr>
          <w:rFonts w:ascii="Arial" w:cs="Arial" w:eastAsia="Arial" w:hAnsi="Arial"/>
          <w:sz w:val="18"/>
          <w:szCs w:val="18"/>
          <w:color w:val="auto"/>
        </w:rPr>
      </w:pPr>
    </w:p>
    <w:p>
      <w:pPr>
        <w:ind w:left="620" w:hanging="329"/>
        <w:spacing w:after="0"/>
        <w:tabs>
          <w:tab w:leader="none" w:pos="6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When we discuss our results:</w:t>
      </w:r>
    </w:p>
    <w:p>
      <w:pPr>
        <w:spacing w:after="0" w:line="117" w:lineRule="exact"/>
        <w:rPr>
          <w:rFonts w:ascii="Arial" w:cs="Arial" w:eastAsia="Arial" w:hAnsi="Arial"/>
          <w:sz w:val="18"/>
          <w:szCs w:val="18"/>
          <w:color w:val="auto"/>
        </w:rPr>
      </w:pPr>
    </w:p>
    <w:p>
      <w:pPr>
        <w:ind w:left="1300" w:right="240" w:hanging="320"/>
        <w:spacing w:after="0" w:line="287" w:lineRule="auto"/>
        <w:tabs>
          <w:tab w:leader="none" w:pos="1296" w:val="left"/>
        </w:tabs>
        <w:numPr>
          <w:ilvl w:val="1"/>
          <w:numId w:val="12"/>
        </w:numPr>
        <w:rPr>
          <w:rFonts w:ascii="Arial" w:cs="Arial" w:eastAsia="Arial" w:hAnsi="Arial"/>
          <w:sz w:val="18"/>
          <w:szCs w:val="18"/>
          <w:color w:val="auto"/>
        </w:rPr>
      </w:pPr>
      <w:r>
        <w:rPr>
          <w:rFonts w:ascii="Arial" w:cs="Arial" w:eastAsia="Arial" w:hAnsi="Arial"/>
          <w:sz w:val="18"/>
          <w:szCs w:val="18"/>
          <w:color w:val="auto"/>
        </w:rPr>
        <w:t>Unless otherwise noted, changes in our revenue are attributable to changes in customer demand, which are evidenced by fluctuations in shipment volumes.</w:t>
      </w:r>
    </w:p>
    <w:p>
      <w:pPr>
        <w:spacing w:after="0" w:line="44" w:lineRule="exact"/>
        <w:rPr>
          <w:rFonts w:ascii="Arial" w:cs="Arial" w:eastAsia="Arial" w:hAnsi="Arial"/>
          <w:sz w:val="18"/>
          <w:szCs w:val="18"/>
          <w:color w:val="auto"/>
        </w:rPr>
      </w:pPr>
    </w:p>
    <w:p>
      <w:pPr>
        <w:ind w:left="1300" w:right="480" w:hanging="320"/>
        <w:spacing w:after="0" w:line="287" w:lineRule="auto"/>
        <w:tabs>
          <w:tab w:leader="none" w:pos="1296" w:val="left"/>
        </w:tabs>
        <w:numPr>
          <w:ilvl w:val="1"/>
          <w:numId w:val="12"/>
        </w:numPr>
        <w:rPr>
          <w:rFonts w:ascii="Arial" w:cs="Arial" w:eastAsia="Arial" w:hAnsi="Arial"/>
          <w:sz w:val="18"/>
          <w:szCs w:val="18"/>
          <w:color w:val="auto"/>
        </w:rPr>
      </w:pPr>
      <w:r>
        <w:rPr>
          <w:rFonts w:ascii="Arial" w:cs="Arial" w:eastAsia="Arial" w:hAnsi="Arial"/>
          <w:sz w:val="18"/>
          <w:szCs w:val="18"/>
          <w:color w:val="auto"/>
        </w:rPr>
        <w:t>New products do not tend to have a significant impact on our revenue in any given period because we sell such a large number of products.</w:t>
      </w:r>
    </w:p>
    <w:p>
      <w:pPr>
        <w:spacing w:after="0" w:line="44" w:lineRule="exact"/>
        <w:rPr>
          <w:rFonts w:ascii="Arial" w:cs="Arial" w:eastAsia="Arial" w:hAnsi="Arial"/>
          <w:sz w:val="18"/>
          <w:szCs w:val="18"/>
          <w:color w:val="auto"/>
        </w:rPr>
      </w:pPr>
    </w:p>
    <w:p>
      <w:pPr>
        <w:ind w:left="1300" w:right="740" w:hanging="320"/>
        <w:spacing w:after="0" w:line="287" w:lineRule="auto"/>
        <w:tabs>
          <w:tab w:leader="none" w:pos="1296" w:val="left"/>
        </w:tabs>
        <w:numPr>
          <w:ilvl w:val="1"/>
          <w:numId w:val="12"/>
        </w:numPr>
        <w:rPr>
          <w:rFonts w:ascii="Arial" w:cs="Arial" w:eastAsia="Arial" w:hAnsi="Arial"/>
          <w:sz w:val="18"/>
          <w:szCs w:val="18"/>
          <w:color w:val="auto"/>
        </w:rPr>
      </w:pPr>
      <w:r>
        <w:rPr>
          <w:rFonts w:ascii="Arial" w:cs="Arial" w:eastAsia="Arial" w:hAnsi="Arial"/>
          <w:sz w:val="18"/>
          <w:szCs w:val="18"/>
          <w:color w:val="auto"/>
        </w:rPr>
        <w:t>From time to time, our revenue and gross profit are affected by changes in demand for higher-priced or lower-priced products, which we refer to as changes in the “mix” of products shipped.</w:t>
      </w:r>
    </w:p>
    <w:p>
      <w:pPr>
        <w:spacing w:after="0" w:line="44" w:lineRule="exact"/>
        <w:rPr>
          <w:rFonts w:ascii="Arial" w:cs="Arial" w:eastAsia="Arial" w:hAnsi="Arial"/>
          <w:sz w:val="18"/>
          <w:szCs w:val="18"/>
          <w:color w:val="auto"/>
        </w:rPr>
      </w:pPr>
    </w:p>
    <w:p>
      <w:pPr>
        <w:ind w:left="1300" w:right="480" w:hanging="320"/>
        <w:spacing w:after="0" w:line="262" w:lineRule="auto"/>
        <w:tabs>
          <w:tab w:leader="none" w:pos="1296" w:val="left"/>
        </w:tabs>
        <w:numPr>
          <w:ilvl w:val="1"/>
          <w:numId w:val="12"/>
        </w:numPr>
        <w:rPr>
          <w:rFonts w:ascii="Arial" w:cs="Arial" w:eastAsia="Arial" w:hAnsi="Arial"/>
          <w:sz w:val="18"/>
          <w:szCs w:val="18"/>
          <w:color w:val="auto"/>
        </w:rPr>
      </w:pPr>
      <w:r>
        <w:rPr>
          <w:rFonts w:ascii="Arial" w:cs="Arial" w:eastAsia="Arial" w:hAnsi="Arial"/>
          <w:sz w:val="18"/>
          <w:szCs w:val="18"/>
          <w:color w:val="auto"/>
        </w:rPr>
        <w:t>Because we own much of our manufacturing capacity, a significant portion of our operating cost is fixed. When factory loadings decrease, our fixed costs are spread over reduced output and, absent other circumstances, our profit margins decrease. Conversely, as factory loadings increase, our fixed costs are spread over increased output and, absent other circumstances, our profit margins increase.</w:t>
      </w:r>
    </w:p>
    <w:p>
      <w:pPr>
        <w:spacing w:after="0" w:line="68" w:lineRule="exact"/>
        <w:rPr>
          <w:rFonts w:ascii="Arial" w:cs="Arial" w:eastAsia="Arial" w:hAnsi="Arial"/>
          <w:sz w:val="18"/>
          <w:szCs w:val="18"/>
          <w:color w:val="auto"/>
        </w:rPr>
      </w:pPr>
    </w:p>
    <w:p>
      <w:pPr>
        <w:ind w:left="1300" w:hanging="320"/>
        <w:spacing w:after="0" w:line="268" w:lineRule="auto"/>
        <w:tabs>
          <w:tab w:leader="none" w:pos="1296" w:val="left"/>
        </w:tabs>
        <w:numPr>
          <w:ilvl w:val="1"/>
          <w:numId w:val="12"/>
        </w:numPr>
        <w:rPr>
          <w:rFonts w:ascii="Arial" w:cs="Arial" w:eastAsia="Arial" w:hAnsi="Arial"/>
          <w:sz w:val="18"/>
          <w:szCs w:val="18"/>
          <w:color w:val="auto"/>
        </w:rPr>
      </w:pPr>
      <w:r>
        <w:rPr>
          <w:rFonts w:ascii="Arial" w:cs="Arial" w:eastAsia="Arial" w:hAnsi="Arial"/>
          <w:sz w:val="18"/>
          <w:szCs w:val="18"/>
          <w:color w:val="auto"/>
        </w:rPr>
        <w:t>Our LFAB facility, which primarily supports our Embedded Processing business, was purchased as an operating fab and is continuing to ramp production, so we expect factory loadings to increase over time. As LFAB ramps, we expect Embedded to carry manufacturing costs that disproportionately benefit Embedded Processing operating profit as compared to Analog.</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6" w:right="339" w:bottom="1440" w:gutter="0" w:footer="0" w:header="0"/>
        </w:sectPr>
      </w:pPr>
    </w:p>
    <w:bookmarkStart w:id="17" w:name="page18"/>
    <w:bookmarkEnd w:id="17"/>
    <w:p>
      <w:pPr>
        <w:ind w:left="620" w:hanging="329"/>
        <w:spacing w:after="0"/>
        <w:tabs>
          <w:tab w:leader="none" w:pos="6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For an explanation of free cash flow, see the Non-GAAP financial information section.</w:t>
      </w:r>
    </w:p>
    <w:p>
      <w:pPr>
        <w:spacing w:after="0" w:line="117" w:lineRule="exact"/>
        <w:rPr>
          <w:rFonts w:ascii="Arial" w:cs="Arial" w:eastAsia="Arial" w:hAnsi="Arial"/>
          <w:sz w:val="18"/>
          <w:szCs w:val="18"/>
          <w:color w:val="auto"/>
        </w:rPr>
      </w:pPr>
    </w:p>
    <w:p>
      <w:pPr>
        <w:ind w:left="620" w:hanging="329"/>
        <w:spacing w:after="0"/>
        <w:tabs>
          <w:tab w:leader="none" w:pos="6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All dollar amounts in the tables are stated in millions of U.S. dollars.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Performance summary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Our first quarter revenue was $4.83 billion, net income was $1.55 billion and earnings per share (EPS) were $1.68.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Revenue increased 9% sequentially and 19% from the same quarter a year ago with growth led by industrial and data center.</w:t>
      </w:r>
    </w:p>
    <w:p>
      <w:pPr>
        <w:spacing w:after="0" w:line="225" w:lineRule="exact"/>
        <w:rPr>
          <w:sz w:val="20"/>
          <w:szCs w:val="20"/>
          <w:color w:val="auto"/>
        </w:rPr>
      </w:pPr>
    </w:p>
    <w:p>
      <w:pPr>
        <w:ind w:right="140"/>
        <w:spacing w:after="0" w:line="287" w:lineRule="auto"/>
        <w:rPr>
          <w:sz w:val="20"/>
          <w:szCs w:val="20"/>
          <w:color w:val="auto"/>
        </w:rPr>
      </w:pPr>
      <w:r>
        <w:rPr>
          <w:rFonts w:ascii="Arial" w:cs="Arial" w:eastAsia="Arial" w:hAnsi="Arial"/>
          <w:sz w:val="18"/>
          <w:szCs w:val="18"/>
          <w:color w:val="auto"/>
        </w:rPr>
        <w:t>Our cash flow from operations of $7.8 billion for the trailing 12 months again underscored the strength of our business model, the quality of our product portfolio and the benefit of 300mm production. Free cash flow for the same period was $4.4 billion.</w:t>
      </w:r>
    </w:p>
    <w:p>
      <w:pPr>
        <w:spacing w:after="0" w:line="153" w:lineRule="exact"/>
        <w:rPr>
          <w:sz w:val="20"/>
          <w:szCs w:val="20"/>
          <w:color w:val="auto"/>
        </w:rPr>
      </w:pPr>
    </w:p>
    <w:p>
      <w:pPr>
        <w:ind w:right="40"/>
        <w:spacing w:after="0" w:line="287" w:lineRule="auto"/>
        <w:rPr>
          <w:sz w:val="20"/>
          <w:szCs w:val="20"/>
          <w:color w:val="auto"/>
        </w:rPr>
      </w:pPr>
      <w:r>
        <w:rPr>
          <w:rFonts w:ascii="Arial" w:cs="Arial" w:eastAsia="Arial" w:hAnsi="Arial"/>
          <w:sz w:val="18"/>
          <w:szCs w:val="18"/>
          <w:color w:val="auto"/>
        </w:rPr>
        <w:t>Over the past 12 months we invested $3.9 billion in R&amp;D and SG&amp;A, invested $4.1 billion in capital expenditures and returned $6.0 billion to shareholders.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Macroeconomic factors</w:t>
      </w:r>
    </w:p>
    <w:p>
      <w:pPr>
        <w:spacing w:after="0" w:line="212" w:lineRule="exact"/>
        <w:rPr>
          <w:sz w:val="20"/>
          <w:szCs w:val="20"/>
          <w:color w:val="auto"/>
        </w:rPr>
      </w:pPr>
    </w:p>
    <w:p>
      <w:pPr>
        <w:ind w:right="180"/>
        <w:spacing w:after="0" w:line="247" w:lineRule="auto"/>
        <w:rPr>
          <w:sz w:val="20"/>
          <w:szCs w:val="20"/>
          <w:color w:val="auto"/>
        </w:rPr>
      </w:pPr>
      <w:r>
        <w:rPr>
          <w:rFonts w:ascii="Arial" w:cs="Arial" w:eastAsia="Arial" w:hAnsi="Arial"/>
          <w:sz w:val="18"/>
          <w:szCs w:val="18"/>
          <w:color w:val="auto"/>
        </w:rPr>
        <w:t>In first quarter, the overall analog and embedded semiconductor market recovery continued. While uncertainty related to broader macroeconomic dynamics remains, growth of semiconductor content in electronics has continued to drive demand for our products, particularly in the industrial, automotive and data center markets. We believe we are well positioned with inventory and capacity to support our customers with competitive lead times through the semiconductor cycle.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Acquisition of Silicon Labs</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As announced on February 4, 2026, we have entered into a definitive agreement to acquire Silicon Labs for $231.00 per share in an all-cash transaction, representing a total enterprise value of approximately $ 7.5 billion. Under the terms of the agreement, Silicon Labs stockholders will receive $231.00 in cash for each share of Silicon Labs common stock they hold at the time of closing, which is currently expected in the first half of 2027, subject to receipt of regulatory approvals and other customary closing conditions, including approval by Silicon Labs stockholders. We expect to fund the transaction with a combination of cash on hand and debt financing to be arranged prior to closing.</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Details of financial results – first quarter 2026 compared with first quarter 2025</w:t>
      </w:r>
    </w:p>
    <w:p>
      <w:pPr>
        <w:spacing w:after="0" w:line="225" w:lineRule="exact"/>
        <w:rPr>
          <w:sz w:val="20"/>
          <w:szCs w:val="20"/>
          <w:color w:val="auto"/>
        </w:rPr>
      </w:pPr>
    </w:p>
    <w:p>
      <w:pPr>
        <w:ind w:right="360"/>
        <w:spacing w:after="0" w:line="287" w:lineRule="auto"/>
        <w:rPr>
          <w:sz w:val="20"/>
          <w:szCs w:val="20"/>
          <w:color w:val="auto"/>
        </w:rPr>
      </w:pPr>
      <w:r>
        <w:rPr>
          <w:rFonts w:ascii="Arial" w:cs="Arial" w:eastAsia="Arial" w:hAnsi="Arial"/>
          <w:sz w:val="18"/>
          <w:szCs w:val="18"/>
          <w:color w:val="auto"/>
        </w:rPr>
        <w:t>Revenue of $4.83 billion increased $756 million, or 19%, due to increased demand in our Analog segment and, to a lesser extent, in our Embedded Processing segment, which were both impacted by the macroeconomic factors discussed above.</w:t>
      </w:r>
    </w:p>
    <w:p>
      <w:pPr>
        <w:spacing w:after="0" w:line="153" w:lineRule="exact"/>
        <w:rPr>
          <w:sz w:val="20"/>
          <w:szCs w:val="20"/>
          <w:color w:val="auto"/>
        </w:rPr>
      </w:pPr>
    </w:p>
    <w:p>
      <w:pPr>
        <w:ind w:right="480"/>
        <w:spacing w:after="0" w:line="287" w:lineRule="auto"/>
        <w:rPr>
          <w:sz w:val="20"/>
          <w:szCs w:val="20"/>
          <w:color w:val="auto"/>
        </w:rPr>
      </w:pPr>
      <w:r>
        <w:rPr>
          <w:rFonts w:ascii="Arial" w:cs="Arial" w:eastAsia="Arial" w:hAnsi="Arial"/>
          <w:sz w:val="18"/>
          <w:szCs w:val="18"/>
          <w:color w:val="auto"/>
        </w:rPr>
        <w:t>Gross profit of $ 2.80 billion was up $486 million, or 21%, primarily due to higher revenue, partially offset by higher manufacturing costs associated with our planned capacity expansions. As a percentage of revenue, gross profit increased to 58.0% from 56.8%.</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Operating expenses (R&amp;D and SG&amp;A) were $974 million compared with $989 million.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Acquisition charges were $17 million due to transaction-related costs associated with our planned acquisition of Silicon Labs.</w:t>
      </w:r>
    </w:p>
    <w:p>
      <w:pPr>
        <w:spacing w:after="0" w:line="225" w:lineRule="exact"/>
        <w:rPr>
          <w:sz w:val="20"/>
          <w:szCs w:val="20"/>
          <w:color w:val="auto"/>
        </w:rPr>
      </w:pPr>
    </w:p>
    <w:p>
      <w:pPr>
        <w:ind w:right="80"/>
        <w:spacing w:after="0" w:line="287" w:lineRule="auto"/>
        <w:rPr>
          <w:sz w:val="20"/>
          <w:szCs w:val="20"/>
          <w:color w:val="auto"/>
        </w:rPr>
      </w:pPr>
      <w:r>
        <w:rPr>
          <w:rFonts w:ascii="Arial" w:cs="Arial" w:eastAsia="Arial" w:hAnsi="Arial"/>
          <w:sz w:val="18"/>
          <w:szCs w:val="18"/>
          <w:color w:val="auto"/>
        </w:rPr>
        <w:t>Operating profit was $1.81 billion, or 37.5% of revenue, compared with $1.32 billion, or 32.5% of revenue. This change was primarily due to higher revenue and associated gross profit.</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OI&amp;E was $47 million of income compared with $80 million of income. This decrease was primarily due to lower interest income.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Interest and debt expense of $141 million increased $13 million. See Note 6 to the financial statements.</w:t>
      </w:r>
    </w:p>
    <w:p>
      <w:pPr>
        <w:spacing w:after="0" w:line="200" w:lineRule="exact"/>
        <w:rPr>
          <w:sz w:val="20"/>
          <w:szCs w:val="20"/>
          <w:color w:val="auto"/>
        </w:rPr>
      </w:pPr>
    </w:p>
    <w:p>
      <w:pPr>
        <w:spacing w:after="0" w:line="36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890" w:right="419" w:bottom="1440" w:gutter="0" w:footer="0" w:header="0"/>
        </w:sectPr>
      </w:pPr>
    </w:p>
    <w:bookmarkStart w:id="18" w:name="page19"/>
    <w:bookmarkEnd w:id="18"/>
    <w:p>
      <w:pPr>
        <w:ind w:right="100"/>
        <w:spacing w:after="0" w:line="287" w:lineRule="auto"/>
        <w:rPr>
          <w:sz w:val="20"/>
          <w:szCs w:val="20"/>
          <w:color w:val="auto"/>
        </w:rPr>
      </w:pPr>
      <w:r>
        <w:rPr>
          <w:rFonts w:ascii="Arial" w:cs="Arial" w:eastAsia="Arial" w:hAnsi="Arial"/>
          <w:sz w:val="18"/>
          <w:szCs w:val="18"/>
          <w:color w:val="auto"/>
        </w:rPr>
        <w:t>Our provision for income taxes was $169 million compared with $97 million. This increase was primarily due to higher income before income taxes. Our effective tax rate, which includes discrete tax items, was 10% compared with 8%.</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Net income was $1.55 billion compared with $1.18 billion. EPS was $1.68 compared with $1.28.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First quarter 2026 segment results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Our segment results compared with the year-ago quarter are as follows: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Analog (includes Power and Signal Chain product lines)</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gridSpan w:val="2"/>
          </w:tcPr>
          <w:p>
            <w:pPr>
              <w:ind w:left="140"/>
              <w:spacing w:after="0"/>
              <w:rPr>
                <w:sz w:val="20"/>
                <w:szCs w:val="20"/>
                <w:color w:val="auto"/>
              </w:rPr>
            </w:pPr>
            <w:r>
              <w:rPr>
                <w:rFonts w:ascii="Arial" w:cs="Arial" w:eastAsia="Arial" w:hAnsi="Arial"/>
                <w:sz w:val="14"/>
                <w:szCs w:val="14"/>
                <w:b w:val="1"/>
                <w:bCs w:val="1"/>
                <w:color w:val="auto"/>
              </w:rPr>
              <w:t>Q1 2026</w:t>
            </w:r>
          </w:p>
        </w:tc>
        <w:tc>
          <w:tcPr>
            <w:tcW w:w="260" w:type="dxa"/>
            <w:vAlign w:val="bottom"/>
          </w:tcPr>
          <w:p>
            <w:pPr>
              <w:spacing w:after="0"/>
              <w:rPr>
                <w:sz w:val="17"/>
                <w:szCs w:val="17"/>
                <w:color w:val="auto"/>
              </w:rPr>
            </w:pPr>
          </w:p>
        </w:tc>
        <w:tc>
          <w:tcPr>
            <w:tcW w:w="1200" w:type="dxa"/>
            <w:vAlign w:val="bottom"/>
            <w:gridSpan w:val="2"/>
          </w:tcPr>
          <w:p>
            <w:pPr>
              <w:ind w:left="140"/>
              <w:spacing w:after="0"/>
              <w:rPr>
                <w:sz w:val="20"/>
                <w:szCs w:val="20"/>
                <w:color w:val="auto"/>
              </w:rPr>
            </w:pPr>
            <w:r>
              <w:rPr>
                <w:rFonts w:ascii="Arial" w:cs="Arial" w:eastAsia="Arial" w:hAnsi="Arial"/>
                <w:sz w:val="14"/>
                <w:szCs w:val="14"/>
                <w:b w:val="1"/>
                <w:bCs w:val="1"/>
                <w:color w:val="auto"/>
              </w:rPr>
              <w:t>Q1 2025</w:t>
            </w:r>
          </w:p>
        </w:tc>
        <w:tc>
          <w:tcPr>
            <w:tcW w:w="1340" w:type="dxa"/>
            <w:vAlign w:val="bottom"/>
          </w:tcPr>
          <w:p>
            <w:pPr>
              <w:jc w:val="right"/>
              <w:ind w:right="316"/>
              <w:spacing w:after="0"/>
              <w:rPr>
                <w:sz w:val="20"/>
                <w:szCs w:val="20"/>
                <w:color w:val="auto"/>
              </w:rPr>
            </w:pPr>
            <w:r>
              <w:rPr>
                <w:rFonts w:ascii="Arial" w:cs="Arial" w:eastAsia="Arial" w:hAnsi="Arial"/>
                <w:sz w:val="14"/>
                <w:szCs w:val="14"/>
                <w:b w:val="1"/>
                <w:bCs w:val="1"/>
                <w:color w:val="auto"/>
              </w:rPr>
              <w:t>Change</w:t>
            </w:r>
          </w:p>
        </w:tc>
      </w:tr>
      <w:tr>
        <w:trPr>
          <w:trHeight w:val="224"/>
        </w:trPr>
        <w:tc>
          <w:tcPr>
            <w:tcW w:w="700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Revenue</w:t>
            </w:r>
          </w:p>
        </w:tc>
        <w:tc>
          <w:tcPr>
            <w:tcW w:w="260" w:type="dxa"/>
            <w:vAlign w:val="bottom"/>
            <w:tcBorders>
              <w:top w:val="single" w:sz="8" w:color="auto"/>
            </w:tcBorders>
            <w:shd w:val="clear" w:color="auto" w:fill="DBDBDB"/>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top w:val="single" w:sz="8" w:color="auto"/>
            </w:tcBorders>
            <w:shd w:val="clear" w:color="auto" w:fill="DBDBDB"/>
          </w:tcPr>
          <w:p>
            <w:pPr>
              <w:jc w:val="right"/>
              <w:ind w:right="155"/>
              <w:spacing w:after="0"/>
              <w:rPr>
                <w:sz w:val="20"/>
                <w:szCs w:val="20"/>
                <w:color w:val="auto"/>
              </w:rPr>
            </w:pPr>
            <w:r>
              <w:rPr>
                <w:rFonts w:ascii="Arial" w:cs="Arial" w:eastAsia="Arial" w:hAnsi="Arial"/>
                <w:sz w:val="18"/>
                <w:szCs w:val="18"/>
                <w:b w:val="1"/>
                <w:bCs w:val="1"/>
                <w:color w:val="auto"/>
              </w:rPr>
              <w:t>3,924</w:t>
            </w:r>
          </w:p>
        </w:tc>
        <w:tc>
          <w:tcPr>
            <w:tcW w:w="100" w:type="dxa"/>
            <w:vAlign w:val="bottom"/>
            <w:tcBorders>
              <w:top w:val="single" w:sz="8" w:color="DBDBDB"/>
            </w:tcBorders>
            <w:shd w:val="clear" w:color="auto" w:fill="DBDBDB"/>
          </w:tcPr>
          <w:p>
            <w:pPr>
              <w:spacing w:after="0"/>
              <w:rPr>
                <w:sz w:val="19"/>
                <w:szCs w:val="19"/>
                <w:color w:val="auto"/>
              </w:rPr>
            </w:pPr>
          </w:p>
        </w:tc>
        <w:tc>
          <w:tcPr>
            <w:tcW w:w="260" w:type="dxa"/>
            <w:vAlign w:val="bottom"/>
            <w:tcBorders>
              <w:top w:val="single" w:sz="8" w:color="auto"/>
            </w:tcBorders>
            <w:shd w:val="clear" w:color="auto" w:fill="DBDBDB"/>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DBDBDB"/>
          </w:tcPr>
          <w:p>
            <w:pPr>
              <w:jc w:val="right"/>
              <w:ind w:right="155"/>
              <w:spacing w:after="0"/>
              <w:rPr>
                <w:sz w:val="20"/>
                <w:szCs w:val="20"/>
                <w:color w:val="auto"/>
              </w:rPr>
            </w:pPr>
            <w:r>
              <w:rPr>
                <w:rFonts w:ascii="Arial" w:cs="Arial" w:eastAsia="Arial" w:hAnsi="Arial"/>
                <w:sz w:val="18"/>
                <w:szCs w:val="18"/>
                <w:color w:val="auto"/>
              </w:rPr>
              <w:t>3,210</w:t>
            </w:r>
          </w:p>
        </w:tc>
        <w:tc>
          <w:tcPr>
            <w:tcW w:w="100" w:type="dxa"/>
            <w:vAlign w:val="bottom"/>
            <w:tcBorders>
              <w:top w:val="single" w:sz="8" w:color="DBDBDB"/>
            </w:tcBorders>
            <w:shd w:val="clear" w:color="auto" w:fill="DBDBDB"/>
          </w:tcPr>
          <w:p>
            <w:pPr>
              <w:spacing w:after="0"/>
              <w:rPr>
                <w:sz w:val="19"/>
                <w:szCs w:val="19"/>
                <w:color w:val="auto"/>
              </w:rPr>
            </w:pPr>
          </w:p>
        </w:tc>
        <w:tc>
          <w:tcPr>
            <w:tcW w:w="134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22 %</w:t>
            </w:r>
          </w:p>
        </w:tc>
      </w:tr>
      <w:tr>
        <w:trPr>
          <w:trHeight w:val="229"/>
        </w:trPr>
        <w:tc>
          <w:tcPr>
            <w:tcW w:w="7000" w:type="dxa"/>
            <w:vAlign w:val="bottom"/>
          </w:tcPr>
          <w:p>
            <w:pPr>
              <w:ind w:left="20"/>
              <w:spacing w:after="0"/>
              <w:rPr>
                <w:sz w:val="20"/>
                <w:szCs w:val="20"/>
                <w:color w:val="auto"/>
              </w:rPr>
            </w:pPr>
            <w:r>
              <w:rPr>
                <w:rFonts w:ascii="Arial" w:cs="Arial" w:eastAsia="Arial" w:hAnsi="Arial"/>
                <w:sz w:val="18"/>
                <w:szCs w:val="18"/>
                <w:color w:val="auto"/>
              </w:rPr>
              <w:t>Operating profit</w:t>
            </w:r>
          </w:p>
        </w:tc>
        <w:tc>
          <w:tcPr>
            <w:tcW w:w="260" w:type="dxa"/>
            <w:vAlign w:val="bottom"/>
          </w:tcPr>
          <w:p>
            <w:pPr>
              <w:spacing w:after="0"/>
              <w:rPr>
                <w:sz w:val="19"/>
                <w:szCs w:val="19"/>
                <w:color w:val="auto"/>
              </w:rPr>
            </w:pPr>
          </w:p>
        </w:tc>
        <w:tc>
          <w:tcPr>
            <w:tcW w:w="1080" w:type="dxa"/>
            <w:vAlign w:val="bottom"/>
          </w:tcPr>
          <w:p>
            <w:pPr>
              <w:jc w:val="right"/>
              <w:ind w:right="155"/>
              <w:spacing w:after="0"/>
              <w:rPr>
                <w:sz w:val="20"/>
                <w:szCs w:val="20"/>
                <w:color w:val="auto"/>
              </w:rPr>
            </w:pPr>
            <w:r>
              <w:rPr>
                <w:rFonts w:ascii="Arial" w:cs="Arial" w:eastAsia="Arial" w:hAnsi="Arial"/>
                <w:sz w:val="18"/>
                <w:szCs w:val="18"/>
                <w:b w:val="1"/>
                <w:bCs w:val="1"/>
                <w:color w:val="auto"/>
              </w:rPr>
              <w:t>1,638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right"/>
              <w:ind w:right="155"/>
              <w:spacing w:after="0"/>
              <w:rPr>
                <w:sz w:val="20"/>
                <w:szCs w:val="20"/>
                <w:color w:val="auto"/>
              </w:rPr>
            </w:pPr>
            <w:r>
              <w:rPr>
                <w:rFonts w:ascii="Arial" w:cs="Arial" w:eastAsia="Arial" w:hAnsi="Arial"/>
                <w:sz w:val="18"/>
                <w:szCs w:val="18"/>
                <w:color w:val="auto"/>
              </w:rPr>
              <w:t>1,206</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36 %</w:t>
            </w:r>
          </w:p>
        </w:tc>
      </w:tr>
      <w:tr>
        <w:trPr>
          <w:trHeight w:val="230"/>
        </w:trPr>
        <w:tc>
          <w:tcPr>
            <w:tcW w:w="7000" w:type="dxa"/>
            <w:vAlign w:val="bottom"/>
            <w:shd w:val="clear" w:color="auto" w:fill="DBDBDB"/>
          </w:tcPr>
          <w:p>
            <w:pPr>
              <w:ind w:left="20"/>
              <w:spacing w:after="0"/>
              <w:rPr>
                <w:sz w:val="20"/>
                <w:szCs w:val="20"/>
                <w:color w:val="auto"/>
              </w:rPr>
            </w:pPr>
            <w:r>
              <w:rPr>
                <w:rFonts w:ascii="Arial" w:cs="Arial" w:eastAsia="Arial" w:hAnsi="Arial"/>
                <w:sz w:val="18"/>
                <w:szCs w:val="18"/>
                <w:color w:val="auto"/>
              </w:rPr>
              <w:t>Operating profit % of revenue</w:t>
            </w:r>
          </w:p>
        </w:tc>
        <w:tc>
          <w:tcPr>
            <w:tcW w:w="260" w:type="dxa"/>
            <w:vAlign w:val="bottom"/>
            <w:shd w:val="clear" w:color="auto" w:fill="DBDBDB"/>
          </w:tcPr>
          <w:p>
            <w:pPr>
              <w:spacing w:after="0"/>
              <w:rPr>
                <w:sz w:val="19"/>
                <w:szCs w:val="19"/>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41.7 %</w:t>
            </w:r>
          </w:p>
        </w:tc>
        <w:tc>
          <w:tcPr>
            <w:tcW w:w="100" w:type="dxa"/>
            <w:vAlign w:val="bottom"/>
            <w:shd w:val="clear" w:color="auto" w:fill="DBDBDB"/>
          </w:tcPr>
          <w:p>
            <w:pPr>
              <w:spacing w:after="0"/>
              <w:rPr>
                <w:sz w:val="19"/>
                <w:szCs w:val="19"/>
                <w:color w:val="auto"/>
              </w:rPr>
            </w:pPr>
          </w:p>
        </w:tc>
        <w:tc>
          <w:tcPr>
            <w:tcW w:w="260" w:type="dxa"/>
            <w:vAlign w:val="bottom"/>
            <w:shd w:val="clear" w:color="auto" w:fill="DBDBDB"/>
          </w:tcPr>
          <w:p>
            <w:pPr>
              <w:spacing w:after="0"/>
              <w:rPr>
                <w:sz w:val="19"/>
                <w:szCs w:val="19"/>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37.6 %</w:t>
            </w:r>
          </w:p>
        </w:tc>
        <w:tc>
          <w:tcPr>
            <w:tcW w:w="100" w:type="dxa"/>
            <w:vAlign w:val="bottom"/>
            <w:shd w:val="clear" w:color="auto" w:fill="DBDBDB"/>
          </w:tcPr>
          <w:p>
            <w:pPr>
              <w:spacing w:after="0"/>
              <w:rPr>
                <w:sz w:val="19"/>
                <w:szCs w:val="19"/>
                <w:color w:val="auto"/>
              </w:rPr>
            </w:pPr>
          </w:p>
        </w:tc>
        <w:tc>
          <w:tcPr>
            <w:tcW w:w="1340" w:type="dxa"/>
            <w:vAlign w:val="bottom"/>
            <w:shd w:val="clear" w:color="auto" w:fill="DBDBDB"/>
          </w:tcPr>
          <w:p>
            <w:pPr>
              <w:spacing w:after="0"/>
              <w:rPr>
                <w:sz w:val="19"/>
                <w:szCs w:val="19"/>
                <w:color w:val="auto"/>
              </w:rPr>
            </w:pPr>
          </w:p>
        </w:tc>
      </w:tr>
    </w:tbl>
    <w:p>
      <w:pPr>
        <w:spacing w:after="0" w:line="292" w:lineRule="exact"/>
        <w:rPr>
          <w:sz w:val="20"/>
          <w:szCs w:val="20"/>
          <w:color w:val="auto"/>
        </w:rPr>
      </w:pPr>
    </w:p>
    <w:p>
      <w:pPr>
        <w:ind w:right="400"/>
        <w:spacing w:after="0" w:line="287" w:lineRule="auto"/>
        <w:rPr>
          <w:sz w:val="20"/>
          <w:szCs w:val="20"/>
          <w:color w:val="auto"/>
        </w:rPr>
      </w:pPr>
      <w:r>
        <w:rPr>
          <w:rFonts w:ascii="Arial" w:cs="Arial" w:eastAsia="Arial" w:hAnsi="Arial"/>
          <w:sz w:val="18"/>
          <w:szCs w:val="18"/>
          <w:color w:val="auto"/>
        </w:rPr>
        <w:t>Analog revenue increased in both product lines, led by Signal Chain, due to higher demand, which was impacted by the macroeconomic factors discussed above. Operating profit increased primarily due to higher revenue and associated gross profit.</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Embedded Processing (includes microcontrollers and processors)</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gridSpan w:val="2"/>
          </w:tcPr>
          <w:p>
            <w:pPr>
              <w:ind w:left="140"/>
              <w:spacing w:after="0"/>
              <w:rPr>
                <w:sz w:val="20"/>
                <w:szCs w:val="20"/>
                <w:color w:val="auto"/>
              </w:rPr>
            </w:pPr>
            <w:r>
              <w:rPr>
                <w:rFonts w:ascii="Arial" w:cs="Arial" w:eastAsia="Arial" w:hAnsi="Arial"/>
                <w:sz w:val="14"/>
                <w:szCs w:val="14"/>
                <w:b w:val="1"/>
                <w:bCs w:val="1"/>
                <w:color w:val="auto"/>
              </w:rPr>
              <w:t>Q1 2026</w:t>
            </w:r>
          </w:p>
        </w:tc>
        <w:tc>
          <w:tcPr>
            <w:tcW w:w="260" w:type="dxa"/>
            <w:vAlign w:val="bottom"/>
          </w:tcPr>
          <w:p>
            <w:pPr>
              <w:spacing w:after="0"/>
              <w:rPr>
                <w:sz w:val="17"/>
                <w:szCs w:val="17"/>
                <w:color w:val="auto"/>
              </w:rPr>
            </w:pPr>
          </w:p>
        </w:tc>
        <w:tc>
          <w:tcPr>
            <w:tcW w:w="1180" w:type="dxa"/>
            <w:vAlign w:val="bottom"/>
            <w:gridSpan w:val="2"/>
          </w:tcPr>
          <w:p>
            <w:pPr>
              <w:ind w:left="140"/>
              <w:spacing w:after="0"/>
              <w:rPr>
                <w:sz w:val="20"/>
                <w:szCs w:val="20"/>
                <w:color w:val="auto"/>
              </w:rPr>
            </w:pPr>
            <w:r>
              <w:rPr>
                <w:rFonts w:ascii="Arial" w:cs="Arial" w:eastAsia="Arial" w:hAnsi="Arial"/>
                <w:sz w:val="14"/>
                <w:szCs w:val="14"/>
                <w:b w:val="1"/>
                <w:bCs w:val="1"/>
                <w:color w:val="auto"/>
              </w:rPr>
              <w:t>Q1 2025</w:t>
            </w:r>
          </w:p>
        </w:tc>
        <w:tc>
          <w:tcPr>
            <w:tcW w:w="1340" w:type="dxa"/>
            <w:vAlign w:val="bottom"/>
          </w:tcPr>
          <w:p>
            <w:pPr>
              <w:jc w:val="right"/>
              <w:ind w:right="316"/>
              <w:spacing w:after="0"/>
              <w:rPr>
                <w:sz w:val="20"/>
                <w:szCs w:val="20"/>
                <w:color w:val="auto"/>
              </w:rPr>
            </w:pPr>
            <w:r>
              <w:rPr>
                <w:rFonts w:ascii="Arial" w:cs="Arial" w:eastAsia="Arial" w:hAnsi="Arial"/>
                <w:sz w:val="14"/>
                <w:szCs w:val="14"/>
                <w:b w:val="1"/>
                <w:bCs w:val="1"/>
                <w:color w:val="auto"/>
              </w:rPr>
              <w:t>Change</w:t>
            </w:r>
          </w:p>
        </w:tc>
      </w:tr>
      <w:tr>
        <w:trPr>
          <w:trHeight w:val="224"/>
        </w:trPr>
        <w:tc>
          <w:tcPr>
            <w:tcW w:w="702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Revenue</w:t>
            </w:r>
          </w:p>
        </w:tc>
        <w:tc>
          <w:tcPr>
            <w:tcW w:w="240" w:type="dxa"/>
            <w:vAlign w:val="bottom"/>
            <w:tcBorders>
              <w:top w:val="single" w:sz="8" w:color="auto"/>
            </w:tcBorders>
            <w:shd w:val="clear" w:color="auto" w:fill="DBDBDB"/>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top w:val="single" w:sz="8" w:color="auto"/>
            </w:tcBorders>
            <w:shd w:val="clear" w:color="auto" w:fill="DBDBDB"/>
          </w:tcPr>
          <w:p>
            <w:pPr>
              <w:jc w:val="right"/>
              <w:ind w:right="155"/>
              <w:spacing w:after="0"/>
              <w:rPr>
                <w:sz w:val="20"/>
                <w:szCs w:val="20"/>
                <w:color w:val="auto"/>
              </w:rPr>
            </w:pPr>
            <w:r>
              <w:rPr>
                <w:rFonts w:ascii="Arial" w:cs="Arial" w:eastAsia="Arial" w:hAnsi="Arial"/>
                <w:sz w:val="18"/>
                <w:szCs w:val="18"/>
                <w:b w:val="1"/>
                <w:bCs w:val="1"/>
                <w:color w:val="auto"/>
              </w:rPr>
              <w:t>723</w:t>
            </w:r>
          </w:p>
        </w:tc>
        <w:tc>
          <w:tcPr>
            <w:tcW w:w="100" w:type="dxa"/>
            <w:vAlign w:val="bottom"/>
            <w:tcBorders>
              <w:top w:val="single" w:sz="8" w:color="DBDBDB"/>
            </w:tcBorders>
            <w:shd w:val="clear" w:color="auto" w:fill="DBDBDB"/>
          </w:tcPr>
          <w:p>
            <w:pPr>
              <w:spacing w:after="0"/>
              <w:rPr>
                <w:sz w:val="19"/>
                <w:szCs w:val="19"/>
                <w:color w:val="auto"/>
              </w:rPr>
            </w:pPr>
          </w:p>
        </w:tc>
        <w:tc>
          <w:tcPr>
            <w:tcW w:w="260" w:type="dxa"/>
            <w:vAlign w:val="bottom"/>
            <w:tcBorders>
              <w:top w:val="single" w:sz="8" w:color="auto"/>
            </w:tcBorders>
            <w:shd w:val="clear" w:color="auto" w:fill="DBDBDB"/>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shd w:val="clear" w:color="auto" w:fill="DBDBDB"/>
          </w:tcPr>
          <w:p>
            <w:pPr>
              <w:jc w:val="right"/>
              <w:ind w:right="155"/>
              <w:spacing w:after="0"/>
              <w:rPr>
                <w:sz w:val="20"/>
                <w:szCs w:val="20"/>
                <w:color w:val="auto"/>
              </w:rPr>
            </w:pPr>
            <w:r>
              <w:rPr>
                <w:rFonts w:ascii="Arial" w:cs="Arial" w:eastAsia="Arial" w:hAnsi="Arial"/>
                <w:sz w:val="18"/>
                <w:szCs w:val="18"/>
                <w:color w:val="auto"/>
              </w:rPr>
              <w:t>647</w:t>
            </w:r>
          </w:p>
        </w:tc>
        <w:tc>
          <w:tcPr>
            <w:tcW w:w="100" w:type="dxa"/>
            <w:vAlign w:val="bottom"/>
            <w:tcBorders>
              <w:top w:val="single" w:sz="8" w:color="DBDBDB"/>
            </w:tcBorders>
            <w:shd w:val="clear" w:color="auto" w:fill="DBDBDB"/>
          </w:tcPr>
          <w:p>
            <w:pPr>
              <w:spacing w:after="0"/>
              <w:rPr>
                <w:sz w:val="19"/>
                <w:szCs w:val="19"/>
                <w:color w:val="auto"/>
              </w:rPr>
            </w:pPr>
          </w:p>
        </w:tc>
        <w:tc>
          <w:tcPr>
            <w:tcW w:w="134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12 %</w:t>
            </w:r>
          </w:p>
        </w:tc>
      </w:tr>
      <w:tr>
        <w:trPr>
          <w:trHeight w:val="229"/>
        </w:trPr>
        <w:tc>
          <w:tcPr>
            <w:tcW w:w="7020" w:type="dxa"/>
            <w:vAlign w:val="bottom"/>
          </w:tcPr>
          <w:p>
            <w:pPr>
              <w:ind w:left="20"/>
              <w:spacing w:after="0"/>
              <w:rPr>
                <w:sz w:val="20"/>
                <w:szCs w:val="20"/>
                <w:color w:val="auto"/>
              </w:rPr>
            </w:pPr>
            <w:r>
              <w:rPr>
                <w:rFonts w:ascii="Arial" w:cs="Arial" w:eastAsia="Arial" w:hAnsi="Arial"/>
                <w:sz w:val="18"/>
                <w:szCs w:val="18"/>
                <w:color w:val="auto"/>
              </w:rPr>
              <w:t>Operating profit</w:t>
            </w:r>
          </w:p>
        </w:tc>
        <w:tc>
          <w:tcPr>
            <w:tcW w:w="240" w:type="dxa"/>
            <w:vAlign w:val="bottom"/>
          </w:tcPr>
          <w:p>
            <w:pPr>
              <w:spacing w:after="0"/>
              <w:rPr>
                <w:sz w:val="19"/>
                <w:szCs w:val="19"/>
                <w:color w:val="auto"/>
              </w:rPr>
            </w:pPr>
          </w:p>
        </w:tc>
        <w:tc>
          <w:tcPr>
            <w:tcW w:w="1100" w:type="dxa"/>
            <w:vAlign w:val="bottom"/>
          </w:tcPr>
          <w:p>
            <w:pPr>
              <w:jc w:val="right"/>
              <w:ind w:right="155"/>
              <w:spacing w:after="0"/>
              <w:rPr>
                <w:sz w:val="20"/>
                <w:szCs w:val="20"/>
                <w:color w:val="auto"/>
              </w:rPr>
            </w:pPr>
            <w:r>
              <w:rPr>
                <w:rFonts w:ascii="Arial" w:cs="Arial" w:eastAsia="Arial" w:hAnsi="Arial"/>
                <w:sz w:val="18"/>
                <w:szCs w:val="18"/>
                <w:b w:val="1"/>
                <w:bCs w:val="1"/>
                <w:color w:val="auto"/>
              </w:rPr>
              <w:t>122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ind w:right="155"/>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205 %</w:t>
            </w:r>
          </w:p>
        </w:tc>
      </w:tr>
      <w:tr>
        <w:trPr>
          <w:trHeight w:val="230"/>
        </w:trPr>
        <w:tc>
          <w:tcPr>
            <w:tcW w:w="7020" w:type="dxa"/>
            <w:vAlign w:val="bottom"/>
            <w:shd w:val="clear" w:color="auto" w:fill="DBDBDB"/>
          </w:tcPr>
          <w:p>
            <w:pPr>
              <w:ind w:left="20"/>
              <w:spacing w:after="0"/>
              <w:rPr>
                <w:sz w:val="20"/>
                <w:szCs w:val="20"/>
                <w:color w:val="auto"/>
              </w:rPr>
            </w:pPr>
            <w:r>
              <w:rPr>
                <w:rFonts w:ascii="Arial" w:cs="Arial" w:eastAsia="Arial" w:hAnsi="Arial"/>
                <w:sz w:val="18"/>
                <w:szCs w:val="18"/>
                <w:color w:val="auto"/>
              </w:rPr>
              <w:t>Operating profit % of revenue</w:t>
            </w:r>
          </w:p>
        </w:tc>
        <w:tc>
          <w:tcPr>
            <w:tcW w:w="240" w:type="dxa"/>
            <w:vAlign w:val="bottom"/>
            <w:shd w:val="clear" w:color="auto" w:fill="DBDBDB"/>
          </w:tcPr>
          <w:p>
            <w:pPr>
              <w:spacing w:after="0"/>
              <w:rPr>
                <w:sz w:val="19"/>
                <w:szCs w:val="19"/>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16.9 %</w:t>
            </w:r>
          </w:p>
        </w:tc>
        <w:tc>
          <w:tcPr>
            <w:tcW w:w="100" w:type="dxa"/>
            <w:vAlign w:val="bottom"/>
            <w:shd w:val="clear" w:color="auto" w:fill="DBDBDB"/>
          </w:tcPr>
          <w:p>
            <w:pPr>
              <w:spacing w:after="0"/>
              <w:rPr>
                <w:sz w:val="19"/>
                <w:szCs w:val="19"/>
                <w:color w:val="auto"/>
              </w:rPr>
            </w:pPr>
          </w:p>
        </w:tc>
        <w:tc>
          <w:tcPr>
            <w:tcW w:w="260" w:type="dxa"/>
            <w:vAlign w:val="bottom"/>
            <w:shd w:val="clear" w:color="auto" w:fill="DBDBDB"/>
          </w:tcPr>
          <w:p>
            <w:pPr>
              <w:spacing w:after="0"/>
              <w:rPr>
                <w:sz w:val="19"/>
                <w:szCs w:val="19"/>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6.2 %</w:t>
            </w:r>
          </w:p>
        </w:tc>
        <w:tc>
          <w:tcPr>
            <w:tcW w:w="100" w:type="dxa"/>
            <w:vAlign w:val="bottom"/>
            <w:shd w:val="clear" w:color="auto" w:fill="DBDBDB"/>
          </w:tcPr>
          <w:p>
            <w:pPr>
              <w:spacing w:after="0"/>
              <w:rPr>
                <w:sz w:val="19"/>
                <w:szCs w:val="19"/>
                <w:color w:val="auto"/>
              </w:rPr>
            </w:pPr>
          </w:p>
        </w:tc>
        <w:tc>
          <w:tcPr>
            <w:tcW w:w="1340" w:type="dxa"/>
            <w:vAlign w:val="bottom"/>
            <w:shd w:val="clear" w:color="auto" w:fill="DBDBDB"/>
          </w:tcPr>
          <w:p>
            <w:pPr>
              <w:spacing w:after="0"/>
              <w:rPr>
                <w:sz w:val="19"/>
                <w:szCs w:val="19"/>
                <w:color w:val="auto"/>
              </w:rPr>
            </w:pPr>
          </w:p>
        </w:tc>
      </w:tr>
    </w:tbl>
    <w:p>
      <w:pPr>
        <w:spacing w:after="0" w:line="278" w:lineRule="exact"/>
        <w:rPr>
          <w:sz w:val="20"/>
          <w:szCs w:val="20"/>
          <w:color w:val="auto"/>
        </w:rPr>
      </w:pPr>
    </w:p>
    <w:p>
      <w:pPr>
        <w:spacing w:after="0"/>
        <w:rPr>
          <w:sz w:val="20"/>
          <w:szCs w:val="20"/>
          <w:color w:val="auto"/>
        </w:rPr>
      </w:pPr>
      <w:r>
        <w:rPr>
          <w:rFonts w:ascii="Arial" w:cs="Arial" w:eastAsia="Arial" w:hAnsi="Arial"/>
          <w:sz w:val="18"/>
          <w:szCs w:val="18"/>
          <w:color w:val="auto"/>
        </w:rPr>
        <w:t>Embedded Processing revenue increased due to higher demand, which was impacted by the macroeconomic factors discussed above.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Operating profit increased primarily due to higher revenue and associated gross profit.</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(includes DLP</w:t>
      </w:r>
      <w:r>
        <w:rPr>
          <w:rFonts w:ascii="Arial" w:cs="Arial" w:eastAsia="Arial" w:hAnsi="Arial"/>
          <w:sz w:val="23"/>
          <w:szCs w:val="23"/>
          <w:i w:val="1"/>
          <w:iCs w:val="1"/>
          <w:color w:val="auto"/>
          <w:vertAlign w:val="superscript"/>
        </w:rPr>
        <w:t>®</w:t>
      </w:r>
      <w:r>
        <w:rPr>
          <w:rFonts w:ascii="Arial" w:cs="Arial" w:eastAsia="Arial" w:hAnsi="Arial"/>
          <w:sz w:val="18"/>
          <w:szCs w:val="18"/>
          <w:i w:val="1"/>
          <w:iCs w:val="1"/>
          <w:color w:val="auto"/>
        </w:rPr>
        <w:t xml:space="preserve"> products and calculators)</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gridSpan w:val="2"/>
          </w:tcPr>
          <w:p>
            <w:pPr>
              <w:ind w:left="140"/>
              <w:spacing w:after="0"/>
              <w:rPr>
                <w:sz w:val="20"/>
                <w:szCs w:val="20"/>
                <w:color w:val="auto"/>
              </w:rPr>
            </w:pPr>
            <w:r>
              <w:rPr>
                <w:rFonts w:ascii="Arial" w:cs="Arial" w:eastAsia="Arial" w:hAnsi="Arial"/>
                <w:sz w:val="14"/>
                <w:szCs w:val="14"/>
                <w:b w:val="1"/>
                <w:bCs w:val="1"/>
                <w:color w:val="auto"/>
              </w:rPr>
              <w:t>Q1 2026</w:t>
            </w:r>
          </w:p>
        </w:tc>
        <w:tc>
          <w:tcPr>
            <w:tcW w:w="260" w:type="dxa"/>
            <w:vAlign w:val="bottom"/>
          </w:tcPr>
          <w:p>
            <w:pPr>
              <w:spacing w:after="0"/>
              <w:rPr>
                <w:sz w:val="16"/>
                <w:szCs w:val="16"/>
                <w:color w:val="auto"/>
              </w:rPr>
            </w:pPr>
          </w:p>
        </w:tc>
        <w:tc>
          <w:tcPr>
            <w:tcW w:w="1180" w:type="dxa"/>
            <w:vAlign w:val="bottom"/>
            <w:gridSpan w:val="2"/>
          </w:tcPr>
          <w:p>
            <w:pPr>
              <w:ind w:left="140"/>
              <w:spacing w:after="0"/>
              <w:rPr>
                <w:sz w:val="20"/>
                <w:szCs w:val="20"/>
                <w:color w:val="auto"/>
              </w:rPr>
            </w:pPr>
            <w:r>
              <w:rPr>
                <w:rFonts w:ascii="Arial" w:cs="Arial" w:eastAsia="Arial" w:hAnsi="Arial"/>
                <w:sz w:val="14"/>
                <w:szCs w:val="14"/>
                <w:b w:val="1"/>
                <w:bCs w:val="1"/>
                <w:color w:val="auto"/>
              </w:rPr>
              <w:t>Q1 2025</w:t>
            </w:r>
          </w:p>
        </w:tc>
        <w:tc>
          <w:tcPr>
            <w:tcW w:w="1340" w:type="dxa"/>
            <w:vAlign w:val="bottom"/>
          </w:tcPr>
          <w:p>
            <w:pPr>
              <w:jc w:val="right"/>
              <w:ind w:right="316"/>
              <w:spacing w:after="0"/>
              <w:rPr>
                <w:sz w:val="20"/>
                <w:szCs w:val="20"/>
                <w:color w:val="auto"/>
              </w:rPr>
            </w:pPr>
            <w:r>
              <w:rPr>
                <w:rFonts w:ascii="Arial" w:cs="Arial" w:eastAsia="Arial" w:hAnsi="Arial"/>
                <w:sz w:val="14"/>
                <w:szCs w:val="14"/>
                <w:b w:val="1"/>
                <w:bCs w:val="1"/>
                <w:color w:val="auto"/>
              </w:rPr>
              <w:t>Change</w:t>
            </w:r>
          </w:p>
        </w:tc>
      </w:tr>
      <w:tr>
        <w:trPr>
          <w:trHeight w:val="223"/>
        </w:trPr>
        <w:tc>
          <w:tcPr>
            <w:tcW w:w="702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Revenue</w:t>
            </w:r>
          </w:p>
        </w:tc>
        <w:tc>
          <w:tcPr>
            <w:tcW w:w="240" w:type="dxa"/>
            <w:vAlign w:val="bottom"/>
            <w:tcBorders>
              <w:top w:val="single" w:sz="8" w:color="auto"/>
            </w:tcBorders>
            <w:shd w:val="clear" w:color="auto" w:fill="DBDBDB"/>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top w:val="single" w:sz="8" w:color="auto"/>
            </w:tcBorders>
            <w:shd w:val="clear" w:color="auto" w:fill="DBDBDB"/>
          </w:tcPr>
          <w:p>
            <w:pPr>
              <w:jc w:val="right"/>
              <w:ind w:right="155"/>
              <w:spacing w:after="0"/>
              <w:rPr>
                <w:sz w:val="20"/>
                <w:szCs w:val="20"/>
                <w:color w:val="auto"/>
              </w:rPr>
            </w:pPr>
            <w:r>
              <w:rPr>
                <w:rFonts w:ascii="Arial" w:cs="Arial" w:eastAsia="Arial" w:hAnsi="Arial"/>
                <w:sz w:val="18"/>
                <w:szCs w:val="18"/>
                <w:b w:val="1"/>
                <w:bCs w:val="1"/>
                <w:color w:val="auto"/>
              </w:rPr>
              <w:t>178</w:t>
            </w:r>
          </w:p>
        </w:tc>
        <w:tc>
          <w:tcPr>
            <w:tcW w:w="100" w:type="dxa"/>
            <w:vAlign w:val="bottom"/>
            <w:tcBorders>
              <w:top w:val="single" w:sz="8" w:color="DBDBDB"/>
            </w:tcBorders>
            <w:shd w:val="clear" w:color="auto" w:fill="DBDBDB"/>
          </w:tcPr>
          <w:p>
            <w:pPr>
              <w:spacing w:after="0"/>
              <w:rPr>
                <w:sz w:val="19"/>
                <w:szCs w:val="19"/>
                <w:color w:val="auto"/>
              </w:rPr>
            </w:pPr>
          </w:p>
        </w:tc>
        <w:tc>
          <w:tcPr>
            <w:tcW w:w="260" w:type="dxa"/>
            <w:vAlign w:val="bottom"/>
            <w:tcBorders>
              <w:top w:val="single" w:sz="8" w:color="auto"/>
            </w:tcBorders>
            <w:shd w:val="clear" w:color="auto" w:fill="DBDBDB"/>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shd w:val="clear" w:color="auto" w:fill="DBDBDB"/>
          </w:tcPr>
          <w:p>
            <w:pPr>
              <w:jc w:val="right"/>
              <w:ind w:right="155"/>
              <w:spacing w:after="0"/>
              <w:rPr>
                <w:sz w:val="20"/>
                <w:szCs w:val="20"/>
                <w:color w:val="auto"/>
              </w:rPr>
            </w:pPr>
            <w:r>
              <w:rPr>
                <w:rFonts w:ascii="Arial" w:cs="Arial" w:eastAsia="Arial" w:hAnsi="Arial"/>
                <w:sz w:val="18"/>
                <w:szCs w:val="18"/>
                <w:color w:val="auto"/>
              </w:rPr>
              <w:t>212</w:t>
            </w:r>
          </w:p>
        </w:tc>
        <w:tc>
          <w:tcPr>
            <w:tcW w:w="100" w:type="dxa"/>
            <w:vAlign w:val="bottom"/>
            <w:tcBorders>
              <w:top w:val="single" w:sz="8" w:color="DBDBDB"/>
            </w:tcBorders>
            <w:shd w:val="clear" w:color="auto" w:fill="DBDBDB"/>
          </w:tcPr>
          <w:p>
            <w:pPr>
              <w:spacing w:after="0"/>
              <w:rPr>
                <w:sz w:val="19"/>
                <w:szCs w:val="19"/>
                <w:color w:val="auto"/>
              </w:rPr>
            </w:pPr>
          </w:p>
        </w:tc>
        <w:tc>
          <w:tcPr>
            <w:tcW w:w="134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(16)%</w:t>
            </w:r>
          </w:p>
        </w:tc>
      </w:tr>
      <w:tr>
        <w:trPr>
          <w:trHeight w:val="230"/>
        </w:trPr>
        <w:tc>
          <w:tcPr>
            <w:tcW w:w="7020" w:type="dxa"/>
            <w:vAlign w:val="bottom"/>
          </w:tcPr>
          <w:p>
            <w:pPr>
              <w:ind w:left="20"/>
              <w:spacing w:after="0"/>
              <w:rPr>
                <w:sz w:val="20"/>
                <w:szCs w:val="20"/>
                <w:color w:val="auto"/>
              </w:rPr>
            </w:pPr>
            <w:r>
              <w:rPr>
                <w:rFonts w:ascii="Arial" w:cs="Arial" w:eastAsia="Arial" w:hAnsi="Arial"/>
                <w:sz w:val="18"/>
                <w:szCs w:val="18"/>
                <w:color w:val="auto"/>
              </w:rPr>
              <w:t>Operating profit *</w:t>
            </w:r>
          </w:p>
        </w:tc>
        <w:tc>
          <w:tcPr>
            <w:tcW w:w="240" w:type="dxa"/>
            <w:vAlign w:val="bottom"/>
          </w:tcPr>
          <w:p>
            <w:pPr>
              <w:spacing w:after="0"/>
              <w:rPr>
                <w:sz w:val="19"/>
                <w:szCs w:val="19"/>
                <w:color w:val="auto"/>
              </w:rPr>
            </w:pPr>
          </w:p>
        </w:tc>
        <w:tc>
          <w:tcPr>
            <w:tcW w:w="1100" w:type="dxa"/>
            <w:vAlign w:val="bottom"/>
          </w:tcPr>
          <w:p>
            <w:pPr>
              <w:jc w:val="right"/>
              <w:ind w:right="155"/>
              <w:spacing w:after="0"/>
              <w:rPr>
                <w:sz w:val="20"/>
                <w:szCs w:val="20"/>
                <w:color w:val="auto"/>
              </w:rPr>
            </w:pPr>
            <w:r>
              <w:rPr>
                <w:rFonts w:ascii="Arial" w:cs="Arial" w:eastAsia="Arial" w:hAnsi="Arial"/>
                <w:sz w:val="18"/>
                <w:szCs w:val="18"/>
                <w:b w:val="1"/>
                <w:bCs w:val="1"/>
                <w:color w:val="auto"/>
              </w:rPr>
              <w:t>48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ind w:right="155"/>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30"/>
        </w:trPr>
        <w:tc>
          <w:tcPr>
            <w:tcW w:w="7020" w:type="dxa"/>
            <w:vAlign w:val="bottom"/>
            <w:shd w:val="clear" w:color="auto" w:fill="DBDBDB"/>
          </w:tcPr>
          <w:p>
            <w:pPr>
              <w:ind w:left="20"/>
              <w:spacing w:after="0"/>
              <w:rPr>
                <w:sz w:val="20"/>
                <w:szCs w:val="20"/>
                <w:color w:val="auto"/>
              </w:rPr>
            </w:pPr>
            <w:r>
              <w:rPr>
                <w:rFonts w:ascii="Arial" w:cs="Arial" w:eastAsia="Arial" w:hAnsi="Arial"/>
                <w:sz w:val="18"/>
                <w:szCs w:val="18"/>
                <w:color w:val="auto"/>
              </w:rPr>
              <w:t>Operating profit % of revenue</w:t>
            </w:r>
          </w:p>
        </w:tc>
        <w:tc>
          <w:tcPr>
            <w:tcW w:w="240" w:type="dxa"/>
            <w:vAlign w:val="bottom"/>
            <w:shd w:val="clear" w:color="auto" w:fill="DBDBDB"/>
          </w:tcPr>
          <w:p>
            <w:pPr>
              <w:spacing w:after="0"/>
              <w:rPr>
                <w:sz w:val="19"/>
                <w:szCs w:val="19"/>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27.0 %</w:t>
            </w:r>
          </w:p>
        </w:tc>
        <w:tc>
          <w:tcPr>
            <w:tcW w:w="100" w:type="dxa"/>
            <w:vAlign w:val="bottom"/>
            <w:shd w:val="clear" w:color="auto" w:fill="DBDBDB"/>
          </w:tcPr>
          <w:p>
            <w:pPr>
              <w:spacing w:after="0"/>
              <w:rPr>
                <w:sz w:val="19"/>
                <w:szCs w:val="19"/>
                <w:color w:val="auto"/>
              </w:rPr>
            </w:pPr>
          </w:p>
        </w:tc>
        <w:tc>
          <w:tcPr>
            <w:tcW w:w="260" w:type="dxa"/>
            <w:vAlign w:val="bottom"/>
            <w:shd w:val="clear" w:color="auto" w:fill="DBDBDB"/>
          </w:tcPr>
          <w:p>
            <w:pPr>
              <w:spacing w:after="0"/>
              <w:rPr>
                <w:sz w:val="19"/>
                <w:szCs w:val="19"/>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36.8 %</w:t>
            </w:r>
          </w:p>
        </w:tc>
        <w:tc>
          <w:tcPr>
            <w:tcW w:w="100" w:type="dxa"/>
            <w:vAlign w:val="bottom"/>
            <w:shd w:val="clear" w:color="auto" w:fill="DBDBDB"/>
          </w:tcPr>
          <w:p>
            <w:pPr>
              <w:spacing w:after="0"/>
              <w:rPr>
                <w:sz w:val="19"/>
                <w:szCs w:val="19"/>
                <w:color w:val="auto"/>
              </w:rPr>
            </w:pPr>
          </w:p>
        </w:tc>
        <w:tc>
          <w:tcPr>
            <w:tcW w:w="1340" w:type="dxa"/>
            <w:vAlign w:val="bottom"/>
            <w:shd w:val="clear" w:color="auto" w:fill="DBDBDB"/>
          </w:tcPr>
          <w:p>
            <w:pPr>
              <w:spacing w:after="0"/>
              <w:rPr>
                <w:sz w:val="19"/>
                <w:szCs w:val="19"/>
                <w:color w:val="auto"/>
              </w:rPr>
            </w:pPr>
          </w:p>
        </w:tc>
      </w:tr>
      <w:tr>
        <w:trPr>
          <w:trHeight w:val="239"/>
        </w:trPr>
        <w:tc>
          <w:tcPr>
            <w:tcW w:w="7020" w:type="dxa"/>
            <w:vAlign w:val="bottom"/>
          </w:tcPr>
          <w:p>
            <w:pPr>
              <w:ind w:left="20"/>
              <w:spacing w:after="0"/>
              <w:rPr>
                <w:sz w:val="20"/>
                <w:szCs w:val="20"/>
                <w:color w:val="auto"/>
              </w:rPr>
            </w:pPr>
            <w:r>
              <w:rPr>
                <w:rFonts w:ascii="Arial" w:cs="Arial" w:eastAsia="Arial" w:hAnsi="Arial"/>
                <w:sz w:val="18"/>
                <w:szCs w:val="18"/>
                <w:color w:val="auto"/>
              </w:rPr>
              <w:t>* Includes Acquisition charges</w:t>
            </w: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r>
    </w:tbl>
    <w:p>
      <w:pPr>
        <w:spacing w:after="0" w:line="282" w:lineRule="exact"/>
        <w:rPr>
          <w:sz w:val="20"/>
          <w:szCs w:val="20"/>
          <w:color w:val="auto"/>
        </w:rPr>
      </w:pPr>
    </w:p>
    <w:p>
      <w:pPr>
        <w:spacing w:after="0"/>
        <w:rPr>
          <w:sz w:val="20"/>
          <w:szCs w:val="20"/>
          <w:color w:val="auto"/>
        </w:rPr>
      </w:pPr>
      <w:r>
        <w:rPr>
          <w:rFonts w:ascii="Arial" w:cs="Arial" w:eastAsia="Arial" w:hAnsi="Arial"/>
          <w:sz w:val="18"/>
          <w:szCs w:val="18"/>
          <w:color w:val="auto"/>
        </w:rPr>
        <w:t>Other revenue decreased $34 million, and operating profit decreased $30 million.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w:t>
      </w:r>
    </w:p>
    <w:p>
      <w:pPr>
        <w:spacing w:after="0" w:line="225" w:lineRule="exact"/>
        <w:rPr>
          <w:sz w:val="20"/>
          <w:szCs w:val="20"/>
          <w:color w:val="auto"/>
        </w:rPr>
      </w:pPr>
    </w:p>
    <w:p>
      <w:pPr>
        <w:ind w:right="280"/>
        <w:spacing w:after="0" w:line="287" w:lineRule="auto"/>
        <w:rPr>
          <w:sz w:val="20"/>
          <w:szCs w:val="20"/>
          <w:color w:val="auto"/>
        </w:rPr>
      </w:pPr>
      <w:r>
        <w:rPr>
          <w:rFonts w:ascii="Arial" w:cs="Arial" w:eastAsia="Arial" w:hAnsi="Arial"/>
          <w:sz w:val="18"/>
          <w:szCs w:val="18"/>
          <w:color w:val="auto"/>
        </w:rPr>
        <w:t>At the end of the first quarter of 2026, total cash (cash and cash equivalents plus short-term investments) was $5.10 billion, an increase of $222 million from the end of 2025.</w:t>
      </w:r>
    </w:p>
    <w:p>
      <w:pPr>
        <w:spacing w:after="0" w:line="153"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Accounts receivable were $2.25 billion, an increase of $282 million compared with the end of 2025. Days sales outstanding in the first quarter of 2026 were 42 compared with 40 at the end of 2025.</w:t>
      </w:r>
    </w:p>
    <w:p>
      <w:pPr>
        <w:spacing w:after="0" w:line="153" w:lineRule="exact"/>
        <w:rPr>
          <w:sz w:val="20"/>
          <w:szCs w:val="20"/>
          <w:color w:val="auto"/>
        </w:rPr>
      </w:pPr>
    </w:p>
    <w:p>
      <w:pPr>
        <w:ind w:right="760"/>
        <w:spacing w:after="0" w:line="287" w:lineRule="auto"/>
        <w:rPr>
          <w:sz w:val="20"/>
          <w:szCs w:val="20"/>
          <w:color w:val="auto"/>
        </w:rPr>
      </w:pPr>
      <w:r>
        <w:rPr>
          <w:rFonts w:ascii="Arial" w:cs="Arial" w:eastAsia="Arial" w:hAnsi="Arial"/>
          <w:sz w:val="18"/>
          <w:szCs w:val="18"/>
          <w:color w:val="auto"/>
        </w:rPr>
        <w:t>Inventory was $4.70 billion, a decrease of $109 million from the end of 2025. Days of inventory for the first quarter of 2026 were 209 compared with 222 at the end of 2025, which reflects the continued execution of our inventory strategy.</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6"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Our primary source of liquidity is cash flow from operations. Additional sources of liquidity are cash and cash equivalents, short-term</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investments and access to debt markets. We also have a variable-rate, revolving credit facility. As of March 31, 2026, our credit facility was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undrawn, and we had no commercial paper outstanding. Cash flows from operating activities for the first three months of 2026 were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$1.52 billion, an increase of $671 million from the year-ago period due to higher net income and non-cash items, as well as lower cash used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 working capital.</w:t>
      </w:r>
    </w:p>
    <w:p>
      <w:pPr>
        <w:spacing w:after="0" w:line="20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Investing activities for the first three months of 2026 used $47 million compared with $1.25 billion of cash provided in the year-ago period. Capital expenditures were $676 million compared with $1.12 billion in the year-ago period and were primarily for semiconductor manufacturing equipment and facilities in both periods. U.S. CHIPS and Science Act (CHIPS Act) incentives provided cash proceeds of $555 million of direct funding compared with $ 260 million related to the investment tax credit (ITC) in the year-ago period. Short-term investments provided cash of $108 million compared with $2.16 billion in the year-ago period.</w:t>
      </w:r>
    </w:p>
    <w:p>
      <w:pPr>
        <w:spacing w:after="0" w:line="179"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We are nearing the end of our six-year elevated capital expenditures cycle, and consistent with our capital management strategy, we are expecting to spend about $ 2 billion to $3 billion in 2026. Beyond 2026, capital expenditures will be dependent on revenue and growth expectations. We expect to continue benefiting from the CHIPS Act. This includes the 35% ITC on qualifying manufacturing investments as well as direct funding of up to $1.6 billion, of which we have received $630 million, for our three large-scale 300mm wafer fabs located in Sherman, Texas, and Lehi, Utah.</w:t>
      </w:r>
    </w:p>
    <w:p>
      <w:pPr>
        <w:spacing w:after="0" w:line="179" w:lineRule="exact"/>
        <w:rPr>
          <w:sz w:val="20"/>
          <w:szCs w:val="20"/>
          <w:color w:val="auto"/>
        </w:rPr>
      </w:pPr>
    </w:p>
    <w:p>
      <w:pPr>
        <w:ind w:right="260"/>
        <w:spacing w:after="0" w:line="257" w:lineRule="auto"/>
        <w:rPr>
          <w:sz w:val="20"/>
          <w:szCs w:val="20"/>
          <w:color w:val="auto"/>
        </w:rPr>
      </w:pPr>
      <w:r>
        <w:rPr>
          <w:rFonts w:ascii="Arial" w:cs="Arial" w:eastAsia="Arial" w:hAnsi="Arial"/>
          <w:sz w:val="18"/>
          <w:szCs w:val="18"/>
          <w:color w:val="auto"/>
        </w:rPr>
        <w:t>Financing activities for the first three months of 2026 used $1.15 billion compared with $2.54 billion in the year-ago period. We retired maturing debt of $750 million in the year-ago period. Dividends paid were $1.29 billion compared with $1.24 billion in the year-ago period, reflecting an increased dividend rate. We used $158 million to repurchase 0.8 million shares of our common stock compared with</w:t>
      </w:r>
    </w:p>
    <w:p>
      <w:pPr>
        <w:spacing w:after="0" w:line="1" w:lineRule="exact"/>
        <w:rPr>
          <w:sz w:val="20"/>
          <w:szCs w:val="20"/>
          <w:color w:val="auto"/>
        </w:rPr>
      </w:pPr>
    </w:p>
    <w:p>
      <w:pPr>
        <w:ind w:right="660"/>
        <w:spacing w:after="0" w:line="266" w:lineRule="auto"/>
        <w:rPr>
          <w:sz w:val="20"/>
          <w:szCs w:val="20"/>
          <w:color w:val="auto"/>
        </w:rPr>
      </w:pPr>
      <w:r>
        <w:rPr>
          <w:rFonts w:ascii="Arial" w:cs="Arial" w:eastAsia="Arial" w:hAnsi="Arial"/>
          <w:sz w:val="18"/>
          <w:szCs w:val="18"/>
          <w:color w:val="auto"/>
        </w:rPr>
        <w:t>$653 million to repurchase 3.5 million shares in the year-ago period. Employee exercises of stock options provided cash proceeds of $309 million compared with $118 million in the year-ago period.</w:t>
      </w:r>
    </w:p>
    <w:p>
      <w:pPr>
        <w:spacing w:after="0" w:line="17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We had $3.55 billion of cash and cash equivalents and $1.55 billion of short-term investments as of March 31, 2026. We believe we have the necessary financial resources and operating plans to fund our working capital needs, capital expenditures, dividend and debt-related payments, and other business requirements for at least the next 12 months.</w:t>
      </w:r>
    </w:p>
    <w:p>
      <w:pPr>
        <w:spacing w:after="0" w:line="200" w:lineRule="exact"/>
        <w:rPr>
          <w:sz w:val="20"/>
          <w:szCs w:val="20"/>
          <w:color w:val="auto"/>
        </w:rPr>
      </w:pPr>
    </w:p>
    <w:p>
      <w:pPr>
        <w:spacing w:after="0" w:line="3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06" w:right="37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Non-GAAP financial information</w:t>
      </w:r>
    </w:p>
    <w:p>
      <w:pPr>
        <w:spacing w:after="0" w:line="225"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This MD&amp;A includes references to free cash flow and ratios based on that measure. These are financial measures that were not prepared in accordance with generally accepted accounting principles in the United States (GAAP). Free cash flow is calculated as cash flows from operating activities (also referred to as cash flow from operations) less capital expenditures, plus proceeds from CHIPS Act incentives.</w:t>
      </w:r>
    </w:p>
    <w:p>
      <w:pPr>
        <w:spacing w:after="0" w:line="171"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We believe that free cash flow and the associated ratios provide insight into our liquidity, our cash-generating capability and the amount of cash potentially available to return to shareholders, as well as insight into our financial performance. These non-GAAP measures are supplemental to the comparable GAAP measures.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Reconciliation to the most directly comparable GAAP measures is provided in the table below.</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80" w:type="dxa"/>
            <w:vAlign w:val="bottom"/>
            <w:gridSpan w:val="4"/>
          </w:tcPr>
          <w:p>
            <w:pPr>
              <w:jc w:val="right"/>
              <w:ind w:right="572"/>
              <w:spacing w:after="0"/>
              <w:rPr>
                <w:sz w:val="20"/>
                <w:szCs w:val="20"/>
                <w:color w:val="auto"/>
              </w:rPr>
            </w:pPr>
            <w:r>
              <w:rPr>
                <w:rFonts w:ascii="Arial" w:cs="Arial" w:eastAsia="Arial" w:hAnsi="Arial"/>
                <w:sz w:val="14"/>
                <w:szCs w:val="14"/>
                <w:b w:val="1"/>
                <w:bCs w:val="1"/>
                <w:color w:val="auto"/>
              </w:rPr>
              <w:t>For 12 Months Ended</w:t>
            </w:r>
          </w:p>
        </w:tc>
        <w:tc>
          <w:tcPr>
            <w:tcW w:w="12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70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March 31,</w:t>
            </w:r>
          </w:p>
        </w:tc>
        <w:tc>
          <w:tcPr>
            <w:tcW w:w="94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197"/>
        </w:trPr>
        <w:tc>
          <w:tcPr>
            <w:tcW w:w="7000" w:type="dxa"/>
            <w:vAlign w:val="bottom"/>
            <w:tcBorders>
              <w:bottom w:val="single" w:sz="8" w:color="DBDBDB"/>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2026</w:t>
            </w:r>
          </w:p>
        </w:tc>
        <w:tc>
          <w:tcPr>
            <w:tcW w:w="100" w:type="dxa"/>
            <w:vAlign w:val="bottom"/>
            <w:tcBorders>
              <w:bottom w:val="single" w:sz="8" w:color="DBDBDB"/>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2025</w:t>
            </w:r>
          </w:p>
        </w:tc>
        <w:tc>
          <w:tcPr>
            <w:tcW w:w="120" w:type="dxa"/>
            <w:vAlign w:val="bottom"/>
            <w:tcBorders>
              <w:bottom w:val="single" w:sz="8" w:color="DBDBDB"/>
            </w:tcBorders>
          </w:tcPr>
          <w:p>
            <w:pPr>
              <w:spacing w:after="0"/>
              <w:rPr>
                <w:sz w:val="17"/>
                <w:szCs w:val="17"/>
                <w:color w:val="auto"/>
              </w:rPr>
            </w:pPr>
          </w:p>
        </w:tc>
        <w:tc>
          <w:tcPr>
            <w:tcW w:w="132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rPr>
              <w:t>Change</w:t>
            </w:r>
          </w:p>
        </w:tc>
      </w:tr>
      <w:tr>
        <w:trPr>
          <w:trHeight w:val="224"/>
        </w:trPr>
        <w:tc>
          <w:tcPr>
            <w:tcW w:w="7000" w:type="dxa"/>
            <w:vAlign w:val="bottom"/>
            <w:shd w:val="clear" w:color="auto" w:fill="DBDBDB"/>
          </w:tcPr>
          <w:p>
            <w:pPr>
              <w:ind w:left="20"/>
              <w:spacing w:after="0"/>
              <w:rPr>
                <w:sz w:val="20"/>
                <w:szCs w:val="20"/>
                <w:color w:val="auto"/>
              </w:rPr>
            </w:pPr>
            <w:r>
              <w:rPr>
                <w:rFonts w:ascii="Arial" w:cs="Arial" w:eastAsia="Arial" w:hAnsi="Arial"/>
                <w:sz w:val="18"/>
                <w:szCs w:val="18"/>
                <w:color w:val="auto"/>
              </w:rPr>
              <w:t>Cash flow from operations (GAAP) *</w:t>
            </w:r>
          </w:p>
        </w:tc>
        <w:tc>
          <w:tcPr>
            <w:tcW w:w="320" w:type="dxa"/>
            <w:vAlign w:val="bottom"/>
            <w:shd w:val="clear" w:color="auto" w:fill="DBDBDB"/>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40" w:type="dxa"/>
            <w:vAlign w:val="bottom"/>
            <w:shd w:val="clear" w:color="auto" w:fill="DBDBDB"/>
          </w:tcPr>
          <w:p>
            <w:pPr>
              <w:jc w:val="right"/>
              <w:ind w:right="155"/>
              <w:spacing w:after="0"/>
              <w:rPr>
                <w:sz w:val="20"/>
                <w:szCs w:val="20"/>
                <w:color w:val="auto"/>
              </w:rPr>
            </w:pPr>
            <w:r>
              <w:rPr>
                <w:rFonts w:ascii="Arial" w:cs="Arial" w:eastAsia="Arial" w:hAnsi="Arial"/>
                <w:sz w:val="18"/>
                <w:szCs w:val="18"/>
                <w:b w:val="1"/>
                <w:bCs w:val="1"/>
                <w:color w:val="auto"/>
              </w:rPr>
              <w:t>7,824</w:t>
            </w:r>
          </w:p>
        </w:tc>
        <w:tc>
          <w:tcPr>
            <w:tcW w:w="100" w:type="dxa"/>
            <w:vAlign w:val="bottom"/>
            <w:shd w:val="clear" w:color="auto" w:fill="DBDBDB"/>
          </w:tcPr>
          <w:p>
            <w:pPr>
              <w:spacing w:after="0"/>
              <w:rPr>
                <w:sz w:val="19"/>
                <w:szCs w:val="19"/>
                <w:color w:val="auto"/>
              </w:rPr>
            </w:pPr>
          </w:p>
        </w:tc>
        <w:tc>
          <w:tcPr>
            <w:tcW w:w="400" w:type="dxa"/>
            <w:vAlign w:val="bottom"/>
            <w:shd w:val="clear" w:color="auto" w:fill="DBDBDB"/>
          </w:tcPr>
          <w:p>
            <w:pPr>
              <w:jc w:val="right"/>
              <w:ind w:right="19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DBDBDB"/>
          </w:tcPr>
          <w:p>
            <w:pPr>
              <w:jc w:val="right"/>
              <w:ind w:right="132"/>
              <w:spacing w:after="0"/>
              <w:rPr>
                <w:sz w:val="20"/>
                <w:szCs w:val="20"/>
                <w:color w:val="auto"/>
              </w:rPr>
            </w:pPr>
            <w:r>
              <w:rPr>
                <w:rFonts w:ascii="Arial" w:cs="Arial" w:eastAsia="Arial" w:hAnsi="Arial"/>
                <w:sz w:val="18"/>
                <w:szCs w:val="18"/>
                <w:color w:val="auto"/>
              </w:rPr>
              <w:t>6,150</w:t>
            </w:r>
          </w:p>
        </w:tc>
        <w:tc>
          <w:tcPr>
            <w:tcW w:w="120" w:type="dxa"/>
            <w:vAlign w:val="bottom"/>
            <w:shd w:val="clear" w:color="auto" w:fill="DBDBDB"/>
          </w:tcPr>
          <w:p>
            <w:pPr>
              <w:spacing w:after="0"/>
              <w:rPr>
                <w:sz w:val="19"/>
                <w:szCs w:val="19"/>
                <w:color w:val="auto"/>
              </w:rPr>
            </w:pPr>
          </w:p>
        </w:tc>
        <w:tc>
          <w:tcPr>
            <w:tcW w:w="13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27 %</w:t>
            </w:r>
          </w:p>
        </w:tc>
      </w:tr>
      <w:tr>
        <w:trPr>
          <w:trHeight w:val="230"/>
        </w:trPr>
        <w:tc>
          <w:tcPr>
            <w:tcW w:w="7000" w:type="dxa"/>
            <w:vAlign w:val="bottom"/>
          </w:tcPr>
          <w:p>
            <w:pPr>
              <w:ind w:left="20"/>
              <w:spacing w:after="0"/>
              <w:rPr>
                <w:sz w:val="20"/>
                <w:szCs w:val="20"/>
                <w:color w:val="auto"/>
              </w:rPr>
            </w:pPr>
            <w:r>
              <w:rPr>
                <w:rFonts w:ascii="Arial" w:cs="Arial" w:eastAsia="Arial" w:hAnsi="Arial"/>
                <w:sz w:val="18"/>
                <w:szCs w:val="18"/>
                <w:color w:val="auto"/>
              </w:rPr>
              <w:t>Capital expenditures</w:t>
            </w:r>
          </w:p>
        </w:tc>
        <w:tc>
          <w:tcPr>
            <w:tcW w:w="320" w:type="dxa"/>
            <w:vAlign w:val="bottom"/>
          </w:tcPr>
          <w:p>
            <w:pPr>
              <w:spacing w:after="0"/>
              <w:rPr>
                <w:sz w:val="19"/>
                <w:szCs w:val="19"/>
                <w:color w:val="auto"/>
              </w:rPr>
            </w:pPr>
          </w:p>
        </w:tc>
        <w:tc>
          <w:tcPr>
            <w:tcW w:w="1040" w:type="dxa"/>
            <w:vAlign w:val="bottom"/>
          </w:tcPr>
          <w:p>
            <w:pPr>
              <w:jc w:val="right"/>
              <w:ind w:right="115"/>
              <w:spacing w:after="0"/>
              <w:rPr>
                <w:sz w:val="20"/>
                <w:szCs w:val="20"/>
                <w:color w:val="auto"/>
              </w:rPr>
            </w:pPr>
            <w:r>
              <w:rPr>
                <w:rFonts w:ascii="Arial" w:cs="Arial" w:eastAsia="Arial" w:hAnsi="Arial"/>
                <w:sz w:val="18"/>
                <w:szCs w:val="18"/>
                <w:b w:val="1"/>
                <w:bCs w:val="1"/>
                <w:color w:val="auto"/>
              </w:rPr>
              <w:t>(4,103)</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tcPr>
          <w:p>
            <w:pPr>
              <w:jc w:val="right"/>
              <w:ind w:right="92"/>
              <w:spacing w:after="0"/>
              <w:rPr>
                <w:sz w:val="20"/>
                <w:szCs w:val="20"/>
                <w:color w:val="auto"/>
              </w:rPr>
            </w:pPr>
            <w:r>
              <w:rPr>
                <w:rFonts w:ascii="Arial" w:cs="Arial" w:eastAsia="Arial" w:hAnsi="Arial"/>
                <w:sz w:val="18"/>
                <w:szCs w:val="18"/>
                <w:color w:val="auto"/>
              </w:rPr>
              <w:t>(4,695)</w:t>
            </w: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29"/>
        </w:trPr>
        <w:tc>
          <w:tcPr>
            <w:tcW w:w="7000" w:type="dxa"/>
            <w:vAlign w:val="bottom"/>
            <w:shd w:val="clear" w:color="auto" w:fill="DBDBDB"/>
          </w:tcPr>
          <w:p>
            <w:pPr>
              <w:ind w:left="20"/>
              <w:spacing w:after="0"/>
              <w:rPr>
                <w:sz w:val="20"/>
                <w:szCs w:val="20"/>
                <w:color w:val="auto"/>
              </w:rPr>
            </w:pPr>
            <w:r>
              <w:rPr>
                <w:rFonts w:ascii="Arial" w:cs="Arial" w:eastAsia="Arial" w:hAnsi="Arial"/>
                <w:sz w:val="18"/>
                <w:szCs w:val="18"/>
                <w:color w:val="auto"/>
              </w:rPr>
              <w:t>Proceeds from CHIPS Act incentives</w:t>
            </w:r>
          </w:p>
        </w:tc>
        <w:tc>
          <w:tcPr>
            <w:tcW w:w="320" w:type="dxa"/>
            <w:vAlign w:val="bottom"/>
            <w:tcBorders>
              <w:bottom w:val="single" w:sz="8" w:color="auto"/>
            </w:tcBorders>
            <w:shd w:val="clear" w:color="auto" w:fill="DBDBDB"/>
          </w:tcPr>
          <w:p>
            <w:pPr>
              <w:spacing w:after="0"/>
              <w:rPr>
                <w:sz w:val="19"/>
                <w:szCs w:val="19"/>
                <w:color w:val="auto"/>
              </w:rPr>
            </w:pPr>
          </w:p>
        </w:tc>
        <w:tc>
          <w:tcPr>
            <w:tcW w:w="1040" w:type="dxa"/>
            <w:vAlign w:val="bottom"/>
            <w:tcBorders>
              <w:bottom w:val="single" w:sz="8" w:color="auto"/>
            </w:tcBorders>
            <w:shd w:val="clear" w:color="auto" w:fill="DBDBDB"/>
          </w:tcPr>
          <w:p>
            <w:pPr>
              <w:jc w:val="right"/>
              <w:ind w:right="155"/>
              <w:spacing w:after="0"/>
              <w:rPr>
                <w:sz w:val="20"/>
                <w:szCs w:val="20"/>
                <w:color w:val="auto"/>
              </w:rPr>
            </w:pPr>
            <w:r>
              <w:rPr>
                <w:rFonts w:ascii="Arial" w:cs="Arial" w:eastAsia="Arial" w:hAnsi="Arial"/>
                <w:sz w:val="18"/>
                <w:szCs w:val="18"/>
                <w:b w:val="1"/>
                <w:bCs w:val="1"/>
                <w:color w:val="auto"/>
              </w:rPr>
              <w:t>630</w:t>
            </w:r>
          </w:p>
        </w:tc>
        <w:tc>
          <w:tcPr>
            <w:tcW w:w="100" w:type="dxa"/>
            <w:vAlign w:val="bottom"/>
            <w:shd w:val="clear" w:color="auto" w:fill="DBDBDB"/>
          </w:tcPr>
          <w:p>
            <w:pPr>
              <w:spacing w:after="0"/>
              <w:rPr>
                <w:sz w:val="19"/>
                <w:szCs w:val="19"/>
                <w:color w:val="auto"/>
              </w:rPr>
            </w:pPr>
          </w:p>
        </w:tc>
        <w:tc>
          <w:tcPr>
            <w:tcW w:w="400" w:type="dxa"/>
            <w:vAlign w:val="bottom"/>
            <w:tcBorders>
              <w:bottom w:val="single" w:sz="8" w:color="auto"/>
            </w:tcBorders>
            <w:shd w:val="clear" w:color="auto" w:fill="DBDBDB"/>
          </w:tcPr>
          <w:p>
            <w:pPr>
              <w:spacing w:after="0"/>
              <w:rPr>
                <w:sz w:val="19"/>
                <w:szCs w:val="19"/>
                <w:color w:val="auto"/>
              </w:rPr>
            </w:pPr>
          </w:p>
        </w:tc>
        <w:tc>
          <w:tcPr>
            <w:tcW w:w="940" w:type="dxa"/>
            <w:vAlign w:val="bottom"/>
            <w:tcBorders>
              <w:bottom w:val="single" w:sz="8" w:color="auto"/>
            </w:tcBorders>
            <w:shd w:val="clear" w:color="auto" w:fill="DBDBDB"/>
          </w:tcPr>
          <w:p>
            <w:pPr>
              <w:jc w:val="right"/>
              <w:ind w:right="132"/>
              <w:spacing w:after="0"/>
              <w:rPr>
                <w:sz w:val="20"/>
                <w:szCs w:val="20"/>
                <w:color w:val="auto"/>
              </w:rPr>
            </w:pPr>
            <w:r>
              <w:rPr>
                <w:rFonts w:ascii="Arial" w:cs="Arial" w:eastAsia="Arial" w:hAnsi="Arial"/>
                <w:sz w:val="18"/>
                <w:szCs w:val="18"/>
                <w:color w:val="auto"/>
              </w:rPr>
              <w:t>260</w:t>
            </w:r>
          </w:p>
        </w:tc>
        <w:tc>
          <w:tcPr>
            <w:tcW w:w="120" w:type="dxa"/>
            <w:vAlign w:val="bottom"/>
            <w:shd w:val="clear" w:color="auto" w:fill="DBDBDB"/>
          </w:tcPr>
          <w:p>
            <w:pPr>
              <w:spacing w:after="0"/>
              <w:rPr>
                <w:sz w:val="19"/>
                <w:szCs w:val="19"/>
                <w:color w:val="auto"/>
              </w:rPr>
            </w:pPr>
          </w:p>
        </w:tc>
        <w:tc>
          <w:tcPr>
            <w:tcW w:w="1320" w:type="dxa"/>
            <w:vAlign w:val="bottom"/>
            <w:shd w:val="clear" w:color="auto" w:fill="DBDBDB"/>
          </w:tcPr>
          <w:p>
            <w:pPr>
              <w:spacing w:after="0"/>
              <w:rPr>
                <w:sz w:val="19"/>
                <w:szCs w:val="19"/>
                <w:color w:val="auto"/>
              </w:rPr>
            </w:pPr>
          </w:p>
        </w:tc>
      </w:tr>
      <w:tr>
        <w:trPr>
          <w:trHeight w:val="223"/>
        </w:trPr>
        <w:tc>
          <w:tcPr>
            <w:tcW w:w="7000" w:type="dxa"/>
            <w:vAlign w:val="bottom"/>
          </w:tcPr>
          <w:p>
            <w:pPr>
              <w:ind w:left="20"/>
              <w:spacing w:after="0"/>
              <w:rPr>
                <w:sz w:val="20"/>
                <w:szCs w:val="20"/>
                <w:color w:val="auto"/>
              </w:rPr>
            </w:pPr>
            <w:r>
              <w:rPr>
                <w:rFonts w:ascii="Arial" w:cs="Arial" w:eastAsia="Arial" w:hAnsi="Arial"/>
                <w:sz w:val="18"/>
                <w:szCs w:val="18"/>
                <w:color w:val="auto"/>
              </w:rPr>
              <w:t>Free cash flow (non-GAAP)</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bottom w:val="single" w:sz="8" w:color="auto"/>
            </w:tcBorders>
          </w:tcPr>
          <w:p>
            <w:pPr>
              <w:jc w:val="right"/>
              <w:ind w:right="155"/>
              <w:spacing w:after="0"/>
              <w:rPr>
                <w:sz w:val="20"/>
                <w:szCs w:val="20"/>
                <w:color w:val="auto"/>
              </w:rPr>
            </w:pPr>
            <w:r>
              <w:rPr>
                <w:rFonts w:ascii="Arial" w:cs="Arial" w:eastAsia="Arial" w:hAnsi="Arial"/>
                <w:sz w:val="18"/>
                <w:szCs w:val="18"/>
                <w:b w:val="1"/>
                <w:bCs w:val="1"/>
                <w:color w:val="auto"/>
              </w:rPr>
              <w:t>4,351</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1,715</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154 %</w:t>
            </w:r>
          </w:p>
        </w:tc>
      </w:tr>
      <w:tr>
        <w:trPr>
          <w:trHeight w:val="20"/>
        </w:trPr>
        <w:tc>
          <w:tcPr>
            <w:tcW w:w="7000" w:type="dxa"/>
            <w:vAlign w:val="bottom"/>
            <w:tcBorders>
              <w:bottom w:val="single" w:sz="8" w:color="DBDBDB"/>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BDBDB"/>
            </w:tcBorders>
          </w:tcPr>
          <w:p>
            <w:pPr>
              <w:spacing w:after="0" w:line="20" w:lineRule="exact"/>
              <w:rPr>
                <w:sz w:val="1"/>
                <w:szCs w:val="1"/>
                <w:color w:val="auto"/>
              </w:rPr>
            </w:pPr>
          </w:p>
        </w:tc>
        <w:tc>
          <w:tcPr>
            <w:tcW w:w="1320" w:type="dxa"/>
            <w:vAlign w:val="bottom"/>
            <w:tcBorders>
              <w:bottom w:val="single" w:sz="8" w:color="DBDBDB"/>
            </w:tcBorders>
          </w:tcPr>
          <w:p>
            <w:pPr>
              <w:spacing w:after="0" w:line="20" w:lineRule="exact"/>
              <w:rPr>
                <w:sz w:val="1"/>
                <w:szCs w:val="1"/>
                <w:color w:val="auto"/>
              </w:rPr>
            </w:pPr>
          </w:p>
        </w:tc>
      </w:tr>
      <w:tr>
        <w:trPr>
          <w:trHeight w:val="183"/>
        </w:trPr>
        <w:tc>
          <w:tcPr>
            <w:tcW w:w="7000" w:type="dxa"/>
            <w:vAlign w:val="bottom"/>
            <w:shd w:val="clear" w:color="auto" w:fill="DBDBDB"/>
          </w:tcPr>
          <w:p>
            <w:pPr>
              <w:spacing w:after="0"/>
              <w:rPr>
                <w:sz w:val="15"/>
                <w:szCs w:val="15"/>
                <w:color w:val="auto"/>
              </w:rPr>
            </w:pPr>
          </w:p>
        </w:tc>
        <w:tc>
          <w:tcPr>
            <w:tcW w:w="320" w:type="dxa"/>
            <w:vAlign w:val="bottom"/>
            <w:shd w:val="clear" w:color="auto" w:fill="DBDBDB"/>
          </w:tcPr>
          <w:p>
            <w:pPr>
              <w:spacing w:after="0"/>
              <w:rPr>
                <w:sz w:val="15"/>
                <w:szCs w:val="15"/>
                <w:color w:val="auto"/>
              </w:rPr>
            </w:pPr>
          </w:p>
        </w:tc>
        <w:tc>
          <w:tcPr>
            <w:tcW w:w="1040" w:type="dxa"/>
            <w:vAlign w:val="bottom"/>
            <w:shd w:val="clear" w:color="auto" w:fill="DBDBDB"/>
          </w:tcPr>
          <w:p>
            <w:pPr>
              <w:spacing w:after="0"/>
              <w:rPr>
                <w:sz w:val="15"/>
                <w:szCs w:val="15"/>
                <w:color w:val="auto"/>
              </w:rPr>
            </w:pPr>
          </w:p>
        </w:tc>
        <w:tc>
          <w:tcPr>
            <w:tcW w:w="100" w:type="dxa"/>
            <w:vAlign w:val="bottom"/>
            <w:shd w:val="clear" w:color="auto" w:fill="DBDBDB"/>
          </w:tcPr>
          <w:p>
            <w:pPr>
              <w:spacing w:after="0"/>
              <w:rPr>
                <w:sz w:val="15"/>
                <w:szCs w:val="15"/>
                <w:color w:val="auto"/>
              </w:rPr>
            </w:pPr>
          </w:p>
        </w:tc>
        <w:tc>
          <w:tcPr>
            <w:tcW w:w="400" w:type="dxa"/>
            <w:vAlign w:val="bottom"/>
            <w:shd w:val="clear" w:color="auto" w:fill="DBDBDB"/>
          </w:tcPr>
          <w:p>
            <w:pPr>
              <w:spacing w:after="0"/>
              <w:rPr>
                <w:sz w:val="15"/>
                <w:szCs w:val="15"/>
                <w:color w:val="auto"/>
              </w:rPr>
            </w:pPr>
          </w:p>
        </w:tc>
        <w:tc>
          <w:tcPr>
            <w:tcW w:w="940" w:type="dxa"/>
            <w:vAlign w:val="bottom"/>
            <w:shd w:val="clear" w:color="auto" w:fill="DBDBDB"/>
          </w:tcPr>
          <w:p>
            <w:pPr>
              <w:spacing w:after="0"/>
              <w:rPr>
                <w:sz w:val="15"/>
                <w:szCs w:val="15"/>
                <w:color w:val="auto"/>
              </w:rPr>
            </w:pPr>
          </w:p>
        </w:tc>
        <w:tc>
          <w:tcPr>
            <w:tcW w:w="120" w:type="dxa"/>
            <w:vAlign w:val="bottom"/>
            <w:shd w:val="clear" w:color="auto" w:fill="DBDBDB"/>
          </w:tcPr>
          <w:p>
            <w:pPr>
              <w:spacing w:after="0"/>
              <w:rPr>
                <w:sz w:val="15"/>
                <w:szCs w:val="15"/>
                <w:color w:val="auto"/>
              </w:rPr>
            </w:pPr>
          </w:p>
        </w:tc>
        <w:tc>
          <w:tcPr>
            <w:tcW w:w="1320" w:type="dxa"/>
            <w:vAlign w:val="bottom"/>
            <w:shd w:val="clear" w:color="auto" w:fill="DBDBDB"/>
          </w:tcPr>
          <w:p>
            <w:pPr>
              <w:spacing w:after="0"/>
              <w:rPr>
                <w:sz w:val="15"/>
                <w:szCs w:val="15"/>
                <w:color w:val="auto"/>
              </w:rPr>
            </w:pPr>
          </w:p>
        </w:tc>
      </w:tr>
      <w:tr>
        <w:trPr>
          <w:trHeight w:val="230"/>
        </w:trPr>
        <w:tc>
          <w:tcPr>
            <w:tcW w:w="7000" w:type="dxa"/>
            <w:vAlign w:val="bottom"/>
          </w:tcPr>
          <w:p>
            <w:pPr>
              <w:ind w:left="20"/>
              <w:spacing w:after="0"/>
              <w:rPr>
                <w:sz w:val="20"/>
                <w:szCs w:val="20"/>
                <w:color w:val="auto"/>
              </w:rPr>
            </w:pPr>
            <w:r>
              <w:rPr>
                <w:rFonts w:ascii="Arial" w:cs="Arial" w:eastAsia="Arial" w:hAnsi="Arial"/>
                <w:sz w:val="18"/>
                <w:szCs w:val="18"/>
                <w:color w:val="auto"/>
              </w:rPr>
              <w:t>Revenue</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bottom w:val="single" w:sz="8" w:color="auto"/>
            </w:tcBorders>
          </w:tcPr>
          <w:p>
            <w:pPr>
              <w:jc w:val="right"/>
              <w:ind w:right="155"/>
              <w:spacing w:after="0"/>
              <w:rPr>
                <w:sz w:val="20"/>
                <w:szCs w:val="20"/>
                <w:color w:val="auto"/>
              </w:rPr>
            </w:pPr>
            <w:r>
              <w:rPr>
                <w:rFonts w:ascii="Arial" w:cs="Arial" w:eastAsia="Arial" w:hAnsi="Arial"/>
                <w:sz w:val="18"/>
                <w:szCs w:val="18"/>
                <w:b w:val="1"/>
                <w:bCs w:val="1"/>
                <w:color w:val="auto"/>
              </w:rPr>
              <w:t>18,438</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16,049</w:t>
            </w: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0"/>
        </w:trPr>
        <w:tc>
          <w:tcPr>
            <w:tcW w:w="7000" w:type="dxa"/>
            <w:vAlign w:val="bottom"/>
            <w:tcBorders>
              <w:bottom w:val="single" w:sz="8" w:color="DBDBDB"/>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BDBDB"/>
            </w:tcBorders>
          </w:tcPr>
          <w:p>
            <w:pPr>
              <w:spacing w:after="0" w:line="20" w:lineRule="exact"/>
              <w:rPr>
                <w:sz w:val="1"/>
                <w:szCs w:val="1"/>
                <w:color w:val="auto"/>
              </w:rPr>
            </w:pPr>
          </w:p>
        </w:tc>
        <w:tc>
          <w:tcPr>
            <w:tcW w:w="1320" w:type="dxa"/>
            <w:vAlign w:val="bottom"/>
            <w:tcBorders>
              <w:bottom w:val="single" w:sz="8" w:color="DBDBDB"/>
            </w:tcBorders>
          </w:tcPr>
          <w:p>
            <w:pPr>
              <w:spacing w:after="0" w:line="20" w:lineRule="exact"/>
              <w:rPr>
                <w:sz w:val="1"/>
                <w:szCs w:val="1"/>
                <w:color w:val="auto"/>
              </w:rPr>
            </w:pPr>
          </w:p>
        </w:tc>
      </w:tr>
      <w:tr>
        <w:trPr>
          <w:trHeight w:val="183"/>
        </w:trPr>
        <w:tc>
          <w:tcPr>
            <w:tcW w:w="7000" w:type="dxa"/>
            <w:vAlign w:val="bottom"/>
            <w:shd w:val="clear" w:color="auto" w:fill="DBDBDB"/>
          </w:tcPr>
          <w:p>
            <w:pPr>
              <w:spacing w:after="0"/>
              <w:rPr>
                <w:sz w:val="15"/>
                <w:szCs w:val="15"/>
                <w:color w:val="auto"/>
              </w:rPr>
            </w:pPr>
          </w:p>
        </w:tc>
        <w:tc>
          <w:tcPr>
            <w:tcW w:w="320" w:type="dxa"/>
            <w:vAlign w:val="bottom"/>
            <w:shd w:val="clear" w:color="auto" w:fill="DBDBDB"/>
          </w:tcPr>
          <w:p>
            <w:pPr>
              <w:spacing w:after="0"/>
              <w:rPr>
                <w:sz w:val="15"/>
                <w:szCs w:val="15"/>
                <w:color w:val="auto"/>
              </w:rPr>
            </w:pPr>
          </w:p>
        </w:tc>
        <w:tc>
          <w:tcPr>
            <w:tcW w:w="1040" w:type="dxa"/>
            <w:vAlign w:val="bottom"/>
            <w:shd w:val="clear" w:color="auto" w:fill="DBDBDB"/>
          </w:tcPr>
          <w:p>
            <w:pPr>
              <w:spacing w:after="0"/>
              <w:rPr>
                <w:sz w:val="15"/>
                <w:szCs w:val="15"/>
                <w:color w:val="auto"/>
              </w:rPr>
            </w:pPr>
          </w:p>
        </w:tc>
        <w:tc>
          <w:tcPr>
            <w:tcW w:w="100" w:type="dxa"/>
            <w:vAlign w:val="bottom"/>
            <w:shd w:val="clear" w:color="auto" w:fill="DBDBDB"/>
          </w:tcPr>
          <w:p>
            <w:pPr>
              <w:spacing w:after="0"/>
              <w:rPr>
                <w:sz w:val="15"/>
                <w:szCs w:val="15"/>
                <w:color w:val="auto"/>
              </w:rPr>
            </w:pPr>
          </w:p>
        </w:tc>
        <w:tc>
          <w:tcPr>
            <w:tcW w:w="400" w:type="dxa"/>
            <w:vAlign w:val="bottom"/>
            <w:shd w:val="clear" w:color="auto" w:fill="DBDBDB"/>
          </w:tcPr>
          <w:p>
            <w:pPr>
              <w:spacing w:after="0"/>
              <w:rPr>
                <w:sz w:val="15"/>
                <w:szCs w:val="15"/>
                <w:color w:val="auto"/>
              </w:rPr>
            </w:pPr>
          </w:p>
        </w:tc>
        <w:tc>
          <w:tcPr>
            <w:tcW w:w="940" w:type="dxa"/>
            <w:vAlign w:val="bottom"/>
            <w:shd w:val="clear" w:color="auto" w:fill="DBDBDB"/>
          </w:tcPr>
          <w:p>
            <w:pPr>
              <w:spacing w:after="0"/>
              <w:rPr>
                <w:sz w:val="15"/>
                <w:szCs w:val="15"/>
                <w:color w:val="auto"/>
              </w:rPr>
            </w:pPr>
          </w:p>
        </w:tc>
        <w:tc>
          <w:tcPr>
            <w:tcW w:w="120" w:type="dxa"/>
            <w:vAlign w:val="bottom"/>
            <w:shd w:val="clear" w:color="auto" w:fill="DBDBDB"/>
          </w:tcPr>
          <w:p>
            <w:pPr>
              <w:spacing w:after="0"/>
              <w:rPr>
                <w:sz w:val="15"/>
                <w:szCs w:val="15"/>
                <w:color w:val="auto"/>
              </w:rPr>
            </w:pPr>
          </w:p>
        </w:tc>
        <w:tc>
          <w:tcPr>
            <w:tcW w:w="1320" w:type="dxa"/>
            <w:vAlign w:val="bottom"/>
            <w:shd w:val="clear" w:color="auto" w:fill="DBDBDB"/>
          </w:tcPr>
          <w:p>
            <w:pPr>
              <w:spacing w:after="0"/>
              <w:rPr>
                <w:sz w:val="15"/>
                <w:szCs w:val="15"/>
                <w:color w:val="auto"/>
              </w:rPr>
            </w:pPr>
          </w:p>
        </w:tc>
      </w:tr>
      <w:tr>
        <w:trPr>
          <w:trHeight w:val="230"/>
        </w:trPr>
        <w:tc>
          <w:tcPr>
            <w:tcW w:w="7000" w:type="dxa"/>
            <w:vAlign w:val="bottom"/>
          </w:tcPr>
          <w:p>
            <w:pPr>
              <w:ind w:left="20"/>
              <w:spacing w:after="0"/>
              <w:rPr>
                <w:sz w:val="20"/>
                <w:szCs w:val="20"/>
                <w:color w:val="auto"/>
              </w:rPr>
            </w:pPr>
            <w:r>
              <w:rPr>
                <w:rFonts w:ascii="Arial" w:cs="Arial" w:eastAsia="Arial" w:hAnsi="Arial"/>
                <w:sz w:val="18"/>
                <w:szCs w:val="18"/>
                <w:color w:val="auto"/>
              </w:rPr>
              <w:t>Cash flow from operations as a percentage of revenue (GAAP)</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42.4 %</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38.3 %</w:t>
            </w: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29"/>
        </w:trPr>
        <w:tc>
          <w:tcPr>
            <w:tcW w:w="7000" w:type="dxa"/>
            <w:vAlign w:val="bottom"/>
            <w:shd w:val="clear" w:color="auto" w:fill="DBDBDB"/>
          </w:tcPr>
          <w:p>
            <w:pPr>
              <w:ind w:left="20"/>
              <w:spacing w:after="0"/>
              <w:rPr>
                <w:sz w:val="20"/>
                <w:szCs w:val="20"/>
                <w:color w:val="auto"/>
              </w:rPr>
            </w:pPr>
            <w:r>
              <w:rPr>
                <w:rFonts w:ascii="Arial" w:cs="Arial" w:eastAsia="Arial" w:hAnsi="Arial"/>
                <w:sz w:val="18"/>
                <w:szCs w:val="18"/>
                <w:color w:val="auto"/>
              </w:rPr>
              <w:t>Free cash flow as a percentage of revenue (non-GAAP)</w:t>
            </w:r>
          </w:p>
        </w:tc>
        <w:tc>
          <w:tcPr>
            <w:tcW w:w="320" w:type="dxa"/>
            <w:vAlign w:val="bottom"/>
            <w:shd w:val="clear" w:color="auto" w:fill="DBDBDB"/>
          </w:tcPr>
          <w:p>
            <w:pPr>
              <w:spacing w:after="0"/>
              <w:rPr>
                <w:sz w:val="19"/>
                <w:szCs w:val="19"/>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23.6 %</w:t>
            </w:r>
          </w:p>
        </w:tc>
        <w:tc>
          <w:tcPr>
            <w:tcW w:w="100" w:type="dxa"/>
            <w:vAlign w:val="bottom"/>
            <w:shd w:val="clear" w:color="auto" w:fill="DBDBDB"/>
          </w:tcPr>
          <w:p>
            <w:pPr>
              <w:spacing w:after="0"/>
              <w:rPr>
                <w:sz w:val="19"/>
                <w:szCs w:val="19"/>
                <w:color w:val="auto"/>
              </w:rPr>
            </w:pPr>
          </w:p>
        </w:tc>
        <w:tc>
          <w:tcPr>
            <w:tcW w:w="400" w:type="dxa"/>
            <w:vAlign w:val="bottom"/>
            <w:shd w:val="clear" w:color="auto" w:fill="DBDBDB"/>
          </w:tcPr>
          <w:p>
            <w:pPr>
              <w:spacing w:after="0"/>
              <w:rPr>
                <w:sz w:val="19"/>
                <w:szCs w:val="19"/>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10.7 %</w:t>
            </w:r>
          </w:p>
        </w:tc>
        <w:tc>
          <w:tcPr>
            <w:tcW w:w="120" w:type="dxa"/>
            <w:vAlign w:val="bottom"/>
            <w:shd w:val="clear" w:color="auto" w:fill="DBDBDB"/>
          </w:tcPr>
          <w:p>
            <w:pPr>
              <w:spacing w:after="0"/>
              <w:rPr>
                <w:sz w:val="19"/>
                <w:szCs w:val="19"/>
                <w:color w:val="auto"/>
              </w:rPr>
            </w:pPr>
          </w:p>
        </w:tc>
        <w:tc>
          <w:tcPr>
            <w:tcW w:w="1320" w:type="dxa"/>
            <w:vAlign w:val="bottom"/>
            <w:shd w:val="clear" w:color="auto" w:fill="DBDBDB"/>
          </w:tcPr>
          <w:p>
            <w:pPr>
              <w:spacing w:after="0"/>
              <w:rPr>
                <w:sz w:val="19"/>
                <w:szCs w:val="19"/>
                <w:color w:val="auto"/>
              </w:rPr>
            </w:pPr>
          </w:p>
        </w:tc>
      </w:tr>
    </w:tbl>
    <w:p>
      <w:pPr>
        <w:spacing w:after="0" w:line="184" w:lineRule="exact"/>
        <w:rPr>
          <w:sz w:val="20"/>
          <w:szCs w:val="20"/>
          <w:color w:val="auto"/>
        </w:rPr>
      </w:pPr>
    </w:p>
    <w:p>
      <w:pPr>
        <w:ind w:left="180" w:right="20" w:hanging="172"/>
        <w:spacing w:after="0" w:line="287" w:lineRule="auto"/>
        <w:tabs>
          <w:tab w:leader="none" w:pos="138"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Includes cash benefits of $335 million and $588 million from the CHIPS Act ITC used to reduce income taxes payable for the twelve months ended March 31, 2026 and 2025, respectively.</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6"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5"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An evaluation as of the end of the period covered by this report was carried out under the supervision and with the participation of management, including our Chief Executive Officer and Chief Financial Officer, of the effectiveness of the design and operation of our disclosure controls and procedures (as defined in Rules 13a-15(e) and 15d-15(e) under the Securities Exchange Act of 1934). Based upon that evaluation, the Chief Executive Officer and Chief Financial Officer concluded that those disclosure controls and procedures were effective. In addition, there has been no change in our internal control over financial reporting (as defined in Rule 13a-15(f) and 15d-15(f) under the Securities Exchange Act of 1934) that occurred during the period covered by this report that has materially affected, or is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890" w:right="539" w:bottom="1440" w:gutter="0" w:footer="0" w:header="0"/>
        </w:sectPr>
      </w:pPr>
    </w:p>
    <w:bookmarkStart w:id="22" w:name="page23"/>
    <w:bookmarkEnd w:id="22"/>
    <w:p>
      <w:pPr>
        <w:jc w:val="center"/>
        <w:ind w:right="-19"/>
        <w:spacing w:after="0"/>
        <w:rPr>
          <w:sz w:val="20"/>
          <w:szCs w:val="20"/>
          <w:color w:val="auto"/>
        </w:rPr>
      </w:pPr>
      <w:r>
        <w:rPr>
          <w:rFonts w:ascii="Arial" w:cs="Arial" w:eastAsia="Arial" w:hAnsi="Arial"/>
          <w:sz w:val="18"/>
          <w:szCs w:val="18"/>
          <w:b w:val="1"/>
          <w:bCs w:val="1"/>
          <w:color w:val="auto"/>
        </w:rPr>
        <w:t>PART II – OTHER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Information with respect to legal proceedings can be found in Note 8 to the financial statements.</w:t>
      </w:r>
    </w:p>
    <w:p>
      <w:pPr>
        <w:spacing w:after="0" w:line="225"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color w:val="auto"/>
        </w:rPr>
        <w:t>Pursuant to SEC regulation, we have elected to use a disclosure threshold of $1 million in monetary sanctions for environmental proceedings involving a governmental authority.</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5" w:lineRule="exact"/>
        <w:rPr>
          <w:sz w:val="20"/>
          <w:szCs w:val="20"/>
          <w:color w:val="auto"/>
        </w:rPr>
      </w:pPr>
    </w:p>
    <w:p>
      <w:pPr>
        <w:ind w:right="100"/>
        <w:spacing w:after="0" w:line="287" w:lineRule="auto"/>
        <w:rPr>
          <w:sz w:val="20"/>
          <w:szCs w:val="20"/>
          <w:color w:val="auto"/>
        </w:rPr>
      </w:pPr>
      <w:r>
        <w:rPr>
          <w:rFonts w:ascii="Arial" w:cs="Arial" w:eastAsia="Arial" w:hAnsi="Arial"/>
          <w:sz w:val="18"/>
          <w:szCs w:val="18"/>
          <w:color w:val="auto"/>
        </w:rPr>
        <w:t>Information concerning our risk factors is contained in Item 1A of our Form 10-K for the year ended December 31, 2025, and is incorporated by reference herein.</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contains information regarding our purchases of our common stock during the quarter.</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59" w:lineRule="exact"/>
        <w:rPr>
          <w:sz w:val="20"/>
          <w:szCs w:val="20"/>
          <w:color w:val="auto"/>
        </w:rPr>
      </w:pPr>
    </w:p>
    <w:tbl>
      <w:tblPr>
        <w:tblLayout w:type="fixed"/>
        <w:tblInd w:w="20" w:type="dxa"/>
        <w:tblCellMar>
          <w:top w:w="0" w:type="dxa"/>
          <w:left w:w="0" w:type="dxa"/>
          <w:bottom w:w="0" w:type="dxa"/>
          <w:right w:w="0" w:type="dxa"/>
        </w:tblCellMar>
      </w:tblPr>
      <w:tr>
        <w:trPr>
          <w:trHeight w:val="162"/>
        </w:trPr>
        <w:tc>
          <w:tcPr>
            <w:tcW w:w="4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rPr>
              <w:t>Total Number of Shares</w:t>
            </w:r>
          </w:p>
        </w:tc>
        <w:tc>
          <w:tcPr>
            <w:tcW w:w="100" w:type="dxa"/>
            <w:vAlign w:val="bottom"/>
          </w:tcPr>
          <w:p>
            <w:pPr>
              <w:spacing w:after="0"/>
              <w:rPr>
                <w:sz w:val="14"/>
                <w:szCs w:val="14"/>
                <w:color w:val="auto"/>
              </w:rPr>
            </w:pPr>
          </w:p>
        </w:tc>
        <w:tc>
          <w:tcPr>
            <w:tcW w:w="196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rPr>
              <w:t>Approximate Dollar Value of</w:t>
            </w:r>
          </w:p>
        </w:tc>
        <w:tc>
          <w:tcPr>
            <w:tcW w:w="0" w:type="dxa"/>
            <w:vAlign w:val="bottom"/>
          </w:tcPr>
          <w:p>
            <w:pPr>
              <w:spacing w:after="0"/>
              <w:rPr>
                <w:sz w:val="1"/>
                <w:szCs w:val="1"/>
                <w:color w:val="auto"/>
              </w:rPr>
            </w:pPr>
          </w:p>
        </w:tc>
      </w:tr>
      <w:tr>
        <w:trPr>
          <w:trHeight w:val="54"/>
        </w:trPr>
        <w:tc>
          <w:tcPr>
            <w:tcW w:w="4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70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Purchased as Part of</w:t>
            </w:r>
          </w:p>
        </w:tc>
        <w:tc>
          <w:tcPr>
            <w:tcW w:w="100" w:type="dxa"/>
            <w:vAlign w:val="bottom"/>
          </w:tcPr>
          <w:p>
            <w:pPr>
              <w:spacing w:after="0"/>
              <w:rPr>
                <w:sz w:val="4"/>
                <w:szCs w:val="4"/>
                <w:color w:val="auto"/>
              </w:rPr>
            </w:pPr>
          </w:p>
        </w:tc>
        <w:tc>
          <w:tcPr>
            <w:tcW w:w="196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8"/>
        </w:trPr>
        <w:tc>
          <w:tcPr>
            <w:tcW w:w="4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70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960" w:type="dxa"/>
            <w:vAlign w:val="bottom"/>
            <w:gridSpan w:val="2"/>
            <w:vMerge w:val="restart"/>
          </w:tcPr>
          <w:p>
            <w:pPr>
              <w:jc w:val="center"/>
              <w:spacing w:after="0" w:line="145" w:lineRule="exact"/>
              <w:rPr>
                <w:sz w:val="20"/>
                <w:szCs w:val="20"/>
                <w:color w:val="auto"/>
              </w:rPr>
            </w:pPr>
            <w:r>
              <w:rPr>
                <w:rFonts w:ascii="Arial" w:cs="Arial" w:eastAsia="Arial" w:hAnsi="Arial"/>
                <w:sz w:val="14"/>
                <w:szCs w:val="14"/>
                <w:b w:val="1"/>
                <w:bCs w:val="1"/>
                <w:color w:val="auto"/>
              </w:rPr>
              <w:t>Shares that May Yet Be</w:t>
            </w:r>
          </w:p>
        </w:tc>
        <w:tc>
          <w:tcPr>
            <w:tcW w:w="0" w:type="dxa"/>
            <w:vAlign w:val="bottom"/>
          </w:tcPr>
          <w:p>
            <w:pPr>
              <w:spacing w:after="0"/>
              <w:rPr>
                <w:sz w:val="1"/>
                <w:szCs w:val="1"/>
                <w:color w:val="auto"/>
              </w:rPr>
            </w:pPr>
          </w:p>
        </w:tc>
      </w:tr>
      <w:tr>
        <w:trPr>
          <w:trHeight w:val="36"/>
        </w:trPr>
        <w:tc>
          <w:tcPr>
            <w:tcW w:w="4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7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Total Number of Shares</w:t>
            </w: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6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rPr>
              <w:t>Average Price</w:t>
            </w:r>
          </w:p>
        </w:tc>
        <w:tc>
          <w:tcPr>
            <w:tcW w:w="170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Publicly Announced</w:t>
            </w:r>
          </w:p>
        </w:tc>
        <w:tc>
          <w:tcPr>
            <w:tcW w:w="100" w:type="dxa"/>
            <w:vAlign w:val="bottom"/>
          </w:tcPr>
          <w:p>
            <w:pPr>
              <w:spacing w:after="0"/>
              <w:rPr>
                <w:sz w:val="3"/>
                <w:szCs w:val="3"/>
                <w:color w:val="auto"/>
              </w:rPr>
            </w:pPr>
          </w:p>
        </w:tc>
        <w:tc>
          <w:tcPr>
            <w:tcW w:w="19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48"/>
        </w:trPr>
        <w:tc>
          <w:tcPr>
            <w:tcW w:w="42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Period</w:t>
            </w:r>
          </w:p>
        </w:tc>
        <w:tc>
          <w:tcPr>
            <w:tcW w:w="17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7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9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rPr>
              <w:t>Purchased Under the Plans</w:t>
            </w:r>
          </w:p>
        </w:tc>
        <w:tc>
          <w:tcPr>
            <w:tcW w:w="0" w:type="dxa"/>
            <w:vAlign w:val="bottom"/>
          </w:tcPr>
          <w:p>
            <w:pPr>
              <w:spacing w:after="0"/>
              <w:rPr>
                <w:sz w:val="1"/>
                <w:szCs w:val="1"/>
                <w:color w:val="auto"/>
              </w:rPr>
            </w:pPr>
          </w:p>
        </w:tc>
      </w:tr>
      <w:tr>
        <w:trPr>
          <w:trHeight w:val="189"/>
        </w:trPr>
        <w:tc>
          <w:tcPr>
            <w:tcW w:w="4260" w:type="dxa"/>
            <w:vAlign w:val="bottom"/>
            <w:gridSpan w:val="2"/>
            <w:vMerge w:val="continue"/>
          </w:tcPr>
          <w:p>
            <w:pPr>
              <w:spacing w:after="0"/>
              <w:rPr>
                <w:sz w:val="16"/>
                <w:szCs w:val="16"/>
                <w:color w:val="auto"/>
              </w:rPr>
            </w:pPr>
          </w:p>
        </w:tc>
        <w:tc>
          <w:tcPr>
            <w:tcW w:w="1700" w:type="dxa"/>
            <w:vAlign w:val="bottom"/>
          </w:tcPr>
          <w:p>
            <w:pPr>
              <w:jc w:val="right"/>
              <w:ind w:right="396"/>
              <w:spacing w:after="0"/>
              <w:rPr>
                <w:sz w:val="20"/>
                <w:szCs w:val="20"/>
                <w:color w:val="auto"/>
              </w:rPr>
            </w:pPr>
            <w:r>
              <w:rPr>
                <w:rFonts w:ascii="Arial" w:cs="Arial" w:eastAsia="Arial" w:hAnsi="Arial"/>
                <w:sz w:val="14"/>
                <w:szCs w:val="14"/>
                <w:b w:val="1"/>
                <w:bCs w:val="1"/>
                <w:color w:val="auto"/>
              </w:rPr>
              <w:t>Purchased</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Paid per Share</w:t>
            </w: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rPr>
              <w:t>Plans or Programs (a)</w:t>
            </w:r>
          </w:p>
        </w:tc>
        <w:tc>
          <w:tcPr>
            <w:tcW w:w="100" w:type="dxa"/>
            <w:vAlign w:val="bottom"/>
          </w:tcPr>
          <w:p>
            <w:pPr>
              <w:spacing w:after="0"/>
              <w:rPr>
                <w:sz w:val="16"/>
                <w:szCs w:val="16"/>
                <w:color w:val="auto"/>
              </w:rPr>
            </w:pPr>
          </w:p>
        </w:tc>
        <w:tc>
          <w:tcPr>
            <w:tcW w:w="1960" w:type="dxa"/>
            <w:vAlign w:val="bottom"/>
            <w:gridSpan w:val="2"/>
          </w:tcPr>
          <w:p>
            <w:pPr>
              <w:jc w:val="center"/>
              <w:spacing w:after="0"/>
              <w:rPr>
                <w:sz w:val="20"/>
                <w:szCs w:val="20"/>
                <w:color w:val="auto"/>
              </w:rPr>
            </w:pPr>
            <w:r>
              <w:rPr>
                <w:rFonts w:ascii="Arial" w:cs="Arial" w:eastAsia="Arial" w:hAnsi="Arial"/>
                <w:sz w:val="14"/>
                <w:szCs w:val="14"/>
                <w:b w:val="1"/>
                <w:bCs w:val="1"/>
                <w:color w:val="auto"/>
              </w:rPr>
              <w:t>or Programs (a)</w:t>
            </w:r>
          </w:p>
        </w:tc>
        <w:tc>
          <w:tcPr>
            <w:tcW w:w="0" w:type="dxa"/>
            <w:vAlign w:val="bottom"/>
          </w:tcPr>
          <w:p>
            <w:pPr>
              <w:spacing w:after="0"/>
              <w:rPr>
                <w:sz w:val="1"/>
                <w:szCs w:val="1"/>
                <w:color w:val="auto"/>
              </w:rPr>
            </w:pPr>
          </w:p>
        </w:tc>
      </w:tr>
      <w:tr>
        <w:trPr>
          <w:trHeight w:val="223"/>
        </w:trPr>
        <w:tc>
          <w:tcPr>
            <w:tcW w:w="4140" w:type="dxa"/>
            <w:vAlign w:val="bottom"/>
            <w:tcBorders>
              <w:top w:val="single" w:sz="8" w:color="auto"/>
            </w:tcBorders>
            <w:shd w:val="clear" w:color="auto" w:fill="DBDBDB"/>
          </w:tcPr>
          <w:p>
            <w:pPr>
              <w:ind w:left="20"/>
              <w:spacing w:after="0"/>
              <w:rPr>
                <w:sz w:val="20"/>
                <w:szCs w:val="20"/>
                <w:color w:val="auto"/>
              </w:rPr>
            </w:pPr>
            <w:r>
              <w:rPr>
                <w:rFonts w:ascii="Arial" w:cs="Arial" w:eastAsia="Arial" w:hAnsi="Arial"/>
                <w:sz w:val="18"/>
                <w:szCs w:val="18"/>
                <w:color w:val="auto"/>
              </w:rPr>
              <w:t>January 1 - 31, 2026</w:t>
            </w:r>
          </w:p>
        </w:tc>
        <w:tc>
          <w:tcPr>
            <w:tcW w:w="120" w:type="dxa"/>
            <w:vAlign w:val="bottom"/>
            <w:tcBorders>
              <w:top w:val="single" w:sz="8" w:color="DBDBDB"/>
            </w:tcBorders>
            <w:shd w:val="clear" w:color="auto" w:fill="DBDBDB"/>
          </w:tcPr>
          <w:p>
            <w:pPr>
              <w:spacing w:after="0"/>
              <w:rPr>
                <w:sz w:val="19"/>
                <w:szCs w:val="19"/>
                <w:color w:val="auto"/>
              </w:rPr>
            </w:pPr>
          </w:p>
        </w:tc>
        <w:tc>
          <w:tcPr>
            <w:tcW w:w="170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156,271</w:t>
            </w:r>
          </w:p>
        </w:tc>
        <w:tc>
          <w:tcPr>
            <w:tcW w:w="100" w:type="dxa"/>
            <w:vAlign w:val="bottom"/>
            <w:tcBorders>
              <w:top w:val="single" w:sz="8" w:color="DBDBDB"/>
            </w:tcBorders>
            <w:shd w:val="clear" w:color="auto" w:fill="DBDBDB"/>
          </w:tcPr>
          <w:p>
            <w:pPr>
              <w:spacing w:after="0"/>
              <w:rPr>
                <w:sz w:val="19"/>
                <w:szCs w:val="19"/>
                <w:color w:val="auto"/>
              </w:rPr>
            </w:pPr>
          </w:p>
        </w:tc>
        <w:tc>
          <w:tcPr>
            <w:tcW w:w="12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187.17</w:t>
            </w:r>
          </w:p>
        </w:tc>
        <w:tc>
          <w:tcPr>
            <w:tcW w:w="100" w:type="dxa"/>
            <w:vAlign w:val="bottom"/>
            <w:tcBorders>
              <w:top w:val="single" w:sz="8" w:color="DBDBDB"/>
            </w:tcBorders>
            <w:shd w:val="clear" w:color="auto" w:fill="DBDBDB"/>
          </w:tcPr>
          <w:p>
            <w:pPr>
              <w:spacing w:after="0"/>
              <w:rPr>
                <w:sz w:val="19"/>
                <w:szCs w:val="19"/>
                <w:color w:val="auto"/>
              </w:rPr>
            </w:pPr>
          </w:p>
        </w:tc>
        <w:tc>
          <w:tcPr>
            <w:tcW w:w="170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156,271</w:t>
            </w:r>
          </w:p>
        </w:tc>
        <w:tc>
          <w:tcPr>
            <w:tcW w:w="100" w:type="dxa"/>
            <w:vAlign w:val="bottom"/>
            <w:tcBorders>
              <w:top w:val="single" w:sz="8" w:color="DBDBDB"/>
            </w:tcBorders>
            <w:shd w:val="clear" w:color="auto" w:fill="DBDBDB"/>
          </w:tcPr>
          <w:p>
            <w:pPr>
              <w:spacing w:after="0"/>
              <w:rPr>
                <w:sz w:val="19"/>
                <w:szCs w:val="19"/>
                <w:color w:val="auto"/>
              </w:rPr>
            </w:pPr>
          </w:p>
        </w:tc>
        <w:tc>
          <w:tcPr>
            <w:tcW w:w="88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   18.76</w:t>
            </w:r>
          </w:p>
        </w:tc>
        <w:tc>
          <w:tcPr>
            <w:tcW w:w="1080" w:type="dxa"/>
            <w:vAlign w:val="bottom"/>
            <w:tcBorders>
              <w:top w:val="single" w:sz="8" w:color="auto"/>
            </w:tcBorders>
            <w:shd w:val="clear" w:color="auto" w:fill="DBDBDB"/>
          </w:tcPr>
          <w:p>
            <w:pPr>
              <w:ind w:left="40"/>
              <w:spacing w:after="0"/>
              <w:rPr>
                <w:sz w:val="20"/>
                <w:szCs w:val="20"/>
                <w:color w:val="auto"/>
              </w:rPr>
            </w:pPr>
            <w:r>
              <w:rPr>
                <w:rFonts w:ascii="Arial" w:cs="Arial" w:eastAsia="Arial" w:hAnsi="Arial"/>
                <w:sz w:val="18"/>
                <w:szCs w:val="18"/>
                <w:color w:val="auto"/>
              </w:rPr>
              <w:t>billion</w:t>
            </w:r>
          </w:p>
        </w:tc>
        <w:tc>
          <w:tcPr>
            <w:tcW w:w="0" w:type="dxa"/>
            <w:vAlign w:val="bottom"/>
          </w:tcPr>
          <w:p>
            <w:pPr>
              <w:spacing w:after="0"/>
              <w:rPr>
                <w:sz w:val="1"/>
                <w:szCs w:val="1"/>
                <w:color w:val="auto"/>
              </w:rPr>
            </w:pPr>
          </w:p>
        </w:tc>
      </w:tr>
      <w:tr>
        <w:trPr>
          <w:trHeight w:val="230"/>
        </w:trPr>
        <w:tc>
          <w:tcPr>
            <w:tcW w:w="4260" w:type="dxa"/>
            <w:vAlign w:val="bottom"/>
            <w:gridSpan w:val="2"/>
          </w:tcPr>
          <w:p>
            <w:pPr>
              <w:ind w:left="20"/>
              <w:spacing w:after="0"/>
              <w:rPr>
                <w:sz w:val="20"/>
                <w:szCs w:val="20"/>
                <w:color w:val="auto"/>
              </w:rPr>
            </w:pPr>
            <w:r>
              <w:rPr>
                <w:rFonts w:ascii="Arial" w:cs="Arial" w:eastAsia="Arial" w:hAnsi="Arial"/>
                <w:sz w:val="18"/>
                <w:szCs w:val="18"/>
                <w:color w:val="auto"/>
              </w:rPr>
              <w:t>February 1 - 28, 2026</w:t>
            </w:r>
          </w:p>
        </w:tc>
        <w:tc>
          <w:tcPr>
            <w:tcW w:w="1700" w:type="dxa"/>
            <w:vAlign w:val="bottom"/>
          </w:tcPr>
          <w:p>
            <w:pPr>
              <w:jc w:val="right"/>
              <w:spacing w:after="0"/>
              <w:rPr>
                <w:sz w:val="20"/>
                <w:szCs w:val="20"/>
                <w:color w:val="auto"/>
              </w:rPr>
            </w:pPr>
            <w:r>
              <w:rPr>
                <w:rFonts w:ascii="Arial" w:cs="Arial" w:eastAsia="Arial" w:hAnsi="Arial"/>
                <w:sz w:val="18"/>
                <w:szCs w:val="18"/>
                <w:color w:val="auto"/>
              </w:rPr>
              <w:t>72,608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215.12</w:t>
            </w:r>
          </w:p>
        </w:tc>
        <w:tc>
          <w:tcPr>
            <w:tcW w:w="1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72,608</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18.74</w:t>
            </w:r>
          </w:p>
        </w:tc>
        <w:tc>
          <w:tcPr>
            <w:tcW w:w="1080" w:type="dxa"/>
            <w:vAlign w:val="bottom"/>
          </w:tcPr>
          <w:p>
            <w:pPr>
              <w:ind w:left="40"/>
              <w:spacing w:after="0"/>
              <w:rPr>
                <w:sz w:val="20"/>
                <w:szCs w:val="20"/>
                <w:color w:val="auto"/>
              </w:rPr>
            </w:pPr>
            <w:r>
              <w:rPr>
                <w:rFonts w:ascii="Arial" w:cs="Arial" w:eastAsia="Arial" w:hAnsi="Arial"/>
                <w:sz w:val="18"/>
                <w:szCs w:val="18"/>
                <w:color w:val="auto"/>
              </w:rPr>
              <w:t>billion</w:t>
            </w:r>
          </w:p>
        </w:tc>
        <w:tc>
          <w:tcPr>
            <w:tcW w:w="0" w:type="dxa"/>
            <w:vAlign w:val="bottom"/>
          </w:tcPr>
          <w:p>
            <w:pPr>
              <w:spacing w:after="0"/>
              <w:rPr>
                <w:sz w:val="1"/>
                <w:szCs w:val="1"/>
                <w:color w:val="auto"/>
              </w:rPr>
            </w:pPr>
          </w:p>
        </w:tc>
      </w:tr>
      <w:tr>
        <w:trPr>
          <w:trHeight w:val="229"/>
        </w:trPr>
        <w:tc>
          <w:tcPr>
            <w:tcW w:w="426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March 1 - 31, 2026</w:t>
            </w:r>
          </w:p>
        </w:tc>
        <w:tc>
          <w:tcPr>
            <w:tcW w:w="17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584,217</w:t>
            </w:r>
          </w:p>
        </w:tc>
        <w:tc>
          <w:tcPr>
            <w:tcW w:w="10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1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193.93</w:t>
            </w:r>
          </w:p>
        </w:tc>
        <w:tc>
          <w:tcPr>
            <w:tcW w:w="100" w:type="dxa"/>
            <w:vAlign w:val="bottom"/>
            <w:shd w:val="clear" w:color="auto" w:fill="DBDBDB"/>
          </w:tcPr>
          <w:p>
            <w:pPr>
              <w:spacing w:after="0"/>
              <w:rPr>
                <w:sz w:val="19"/>
                <w:szCs w:val="19"/>
                <w:color w:val="auto"/>
              </w:rPr>
            </w:pPr>
          </w:p>
        </w:tc>
        <w:tc>
          <w:tcPr>
            <w:tcW w:w="17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584,217</w:t>
            </w:r>
          </w:p>
        </w:tc>
        <w:tc>
          <w:tcPr>
            <w:tcW w:w="980" w:type="dxa"/>
            <w:vAlign w:val="bottom"/>
            <w:gridSpan w:val="2"/>
            <w:shd w:val="clear" w:color="auto" w:fill="DBDBDB"/>
          </w:tcPr>
          <w:p>
            <w:pPr>
              <w:jc w:val="right"/>
              <w:spacing w:after="0"/>
              <w:rPr>
                <w:sz w:val="20"/>
                <w:szCs w:val="20"/>
                <w:color w:val="auto"/>
              </w:rPr>
            </w:pPr>
            <w:r>
              <w:rPr>
                <w:rFonts w:ascii="Arial" w:cs="Arial" w:eastAsia="Arial" w:hAnsi="Arial"/>
                <w:sz w:val="18"/>
                <w:szCs w:val="18"/>
                <w:color w:val="auto"/>
              </w:rPr>
              <w:t>18.63</w:t>
            </w:r>
          </w:p>
        </w:tc>
        <w:tc>
          <w:tcPr>
            <w:tcW w:w="1080" w:type="dxa"/>
            <w:vAlign w:val="bottom"/>
            <w:shd w:val="clear" w:color="auto" w:fill="DBDBDB"/>
          </w:tcPr>
          <w:p>
            <w:pPr>
              <w:ind w:left="40"/>
              <w:spacing w:after="0"/>
              <w:rPr>
                <w:sz w:val="20"/>
                <w:szCs w:val="20"/>
                <w:color w:val="auto"/>
              </w:rPr>
            </w:pPr>
            <w:r>
              <w:rPr>
                <w:rFonts w:ascii="Arial" w:cs="Arial" w:eastAsia="Arial" w:hAnsi="Arial"/>
                <w:sz w:val="18"/>
                <w:szCs w:val="18"/>
                <w:color w:val="auto"/>
              </w:rPr>
              <w:t>billion (b)</w:t>
            </w:r>
          </w:p>
        </w:tc>
        <w:tc>
          <w:tcPr>
            <w:tcW w:w="0" w:type="dxa"/>
            <w:vAlign w:val="bottom"/>
          </w:tcPr>
          <w:p>
            <w:pPr>
              <w:spacing w:after="0"/>
              <w:rPr>
                <w:sz w:val="1"/>
                <w:szCs w:val="1"/>
                <w:color w:val="auto"/>
              </w:rPr>
            </w:pPr>
          </w:p>
        </w:tc>
      </w:tr>
      <w:tr>
        <w:trPr>
          <w:trHeight w:val="223"/>
        </w:trPr>
        <w:tc>
          <w:tcPr>
            <w:tcW w:w="4260" w:type="dxa"/>
            <w:vAlign w:val="bottom"/>
            <w:gridSpan w:val="2"/>
          </w:tcPr>
          <w:p>
            <w:pPr>
              <w:ind w:left="20"/>
              <w:spacing w:after="0"/>
              <w:rPr>
                <w:sz w:val="20"/>
                <w:szCs w:val="20"/>
                <w:color w:val="auto"/>
              </w:rPr>
            </w:pPr>
            <w:r>
              <w:rPr>
                <w:rFonts w:ascii="Arial" w:cs="Arial" w:eastAsia="Arial" w:hAnsi="Arial"/>
                <w:sz w:val="18"/>
                <w:szCs w:val="18"/>
                <w:color w:val="auto"/>
              </w:rPr>
              <w:t>Total</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813,096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813,096</w:t>
            </w: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ind w:left="340" w:right="40" w:hanging="332"/>
        <w:spacing w:after="0" w:line="268" w:lineRule="auto"/>
        <w:tabs>
          <w:tab w:leader="none" w:pos="33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All open-market purchases during the quarter were made under the authorizations from our board of directors to purchase up to $12.0 billion and $15.0 billion of additional shares of TI common stock announced September 20, 2018, and September 15, 2022, respectively. No expiration date has been specified for these authorizations.</w:t>
      </w:r>
    </w:p>
    <w:p>
      <w:pPr>
        <w:spacing w:after="0" w:line="197" w:lineRule="exact"/>
        <w:rPr>
          <w:rFonts w:ascii="Arial" w:cs="Arial" w:eastAsia="Arial" w:hAnsi="Arial"/>
          <w:sz w:val="18"/>
          <w:szCs w:val="18"/>
          <w:color w:val="auto"/>
        </w:rPr>
      </w:pPr>
    </w:p>
    <w:p>
      <w:pPr>
        <w:ind w:left="340" w:right="280" w:hanging="332"/>
        <w:spacing w:after="0" w:line="287" w:lineRule="auto"/>
        <w:tabs>
          <w:tab w:leader="none" w:pos="33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As of March 31, 2026, this amount consisted of the remaining portion of the $12.0 billion authorized in September 2018 and the $15.0 billion authorized in September 2022.</w:t>
      </w: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0" w:right="359" w:bottom="1440" w:gutter="0" w:footer="0" w:header="0"/>
        </w:sectPr>
      </w:pPr>
    </w:p>
    <w:bookmarkStart w:id="23" w:name="page24"/>
    <w:bookmarkEnd w:id="23"/>
    <w:p>
      <w:pPr>
        <w:spacing w:after="0" w:line="199" w:lineRule="auto"/>
        <w:framePr w:w="1460" w:h="163" w:wrap="auto" w:vAnchor="page" w:hAnchor="page" w:x="280" w:y="909"/>
        <w:rPr>
          <w:rFonts w:ascii="Arial" w:cs="Arial" w:eastAsia="Arial" w:hAnsi="Arial"/>
          <w:sz w:val="17"/>
          <w:szCs w:val="17"/>
          <w:b w:val="1"/>
          <w:bCs w:val="1"/>
          <w:color w:val="auto"/>
        </w:rPr>
      </w:pPr>
      <w:r>
        <w:rPr>
          <w:rFonts w:ascii="Arial" w:cs="Arial" w:eastAsia="Arial" w:hAnsi="Arial"/>
          <w:sz w:val="17"/>
          <w:szCs w:val="17"/>
          <w:b w:val="1"/>
          <w:bCs w:val="1"/>
          <w:color w:val="auto"/>
        </w:rPr>
        <w:t>ITEM 6. Exhibits</w:t>
      </w:r>
    </w:p>
    <w:tbl>
      <w:tblPr>
        <w:tblLayout w:type="fixed"/>
        <w:tblInd w:w="0" w:type="dxa"/>
        <w:tblCellMar>
          <w:top w:w="0" w:type="dxa"/>
          <w:left w:w="0" w:type="dxa"/>
          <w:bottom w:w="0" w:type="dxa"/>
          <w:right w:w="0" w:type="dxa"/>
        </w:tblCellMar>
      </w:tblPr>
      <w:tr>
        <w:trPr>
          <w:trHeight w:val="175"/>
        </w:trPr>
        <w:tc>
          <w:tcPr>
            <w:tcW w:w="1920" w:type="dxa"/>
            <w:vAlign w:val="bottom"/>
          </w:tcPr>
          <w:p>
            <w:pPr>
              <w:jc w:val="center"/>
              <w:ind w:right="13"/>
              <w:spacing w:after="0"/>
              <w:rPr>
                <w:sz w:val="20"/>
                <w:szCs w:val="20"/>
                <w:color w:val="auto"/>
              </w:rPr>
            </w:pPr>
            <w:r>
              <w:rPr>
                <w:rFonts w:ascii="Arial" w:cs="Arial" w:eastAsia="Arial" w:hAnsi="Arial"/>
                <w:sz w:val="14"/>
                <w:szCs w:val="14"/>
                <w:b w:val="1"/>
                <w:bCs w:val="1"/>
                <w:color w:val="auto"/>
              </w:rPr>
              <w:t>Designation of Exhibits in</w:t>
            </w:r>
          </w:p>
        </w:tc>
        <w:tc>
          <w:tcPr>
            <w:tcW w:w="186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1920" w:type="dxa"/>
            <w:vAlign w:val="bottom"/>
          </w:tcPr>
          <w:p>
            <w:pPr>
              <w:jc w:val="center"/>
              <w:spacing w:after="0"/>
              <w:rPr>
                <w:sz w:val="20"/>
                <w:szCs w:val="20"/>
                <w:color w:val="auto"/>
              </w:rPr>
            </w:pPr>
            <w:r>
              <w:rPr>
                <w:rFonts w:ascii="Arial" w:cs="Arial" w:eastAsia="Arial" w:hAnsi="Arial"/>
                <w:sz w:val="14"/>
                <w:szCs w:val="14"/>
                <w:b w:val="1"/>
                <w:bCs w:val="1"/>
                <w:color w:val="auto"/>
              </w:rPr>
              <w:t>This Report</w:t>
            </w:r>
          </w:p>
        </w:tc>
        <w:tc>
          <w:tcPr>
            <w:tcW w:w="9320" w:type="dxa"/>
            <w:vAlign w:val="bottom"/>
            <w:gridSpan w:val="16"/>
          </w:tcPr>
          <w:p>
            <w:pPr>
              <w:spacing w:after="0"/>
              <w:rPr>
                <w:sz w:val="20"/>
                <w:szCs w:val="20"/>
                <w:color w:val="auto"/>
              </w:rPr>
            </w:pPr>
            <w:r>
              <w:rPr>
                <w:rFonts w:ascii="Arial" w:cs="Arial" w:eastAsia="Arial" w:hAnsi="Arial"/>
                <w:sz w:val="14"/>
                <w:szCs w:val="14"/>
                <w:b w:val="1"/>
                <w:bCs w:val="1"/>
                <w:color w:val="auto"/>
              </w:rPr>
              <w:t>Description of Exhibit</w:t>
            </w:r>
          </w:p>
        </w:tc>
        <w:tc>
          <w:tcPr>
            <w:tcW w:w="0" w:type="dxa"/>
            <w:vAlign w:val="bottom"/>
          </w:tcPr>
          <w:p>
            <w:pPr>
              <w:spacing w:after="0"/>
              <w:rPr>
                <w:sz w:val="1"/>
                <w:szCs w:val="1"/>
                <w:color w:val="auto"/>
              </w:rPr>
            </w:pPr>
          </w:p>
        </w:tc>
      </w:tr>
      <w:tr>
        <w:trPr>
          <w:trHeight w:val="210"/>
        </w:trPr>
        <w:tc>
          <w:tcPr>
            <w:tcW w:w="1920" w:type="dxa"/>
            <w:vAlign w:val="bottom"/>
            <w:vMerge w:val="restart"/>
            <w:shd w:val="clear" w:color="auto" w:fill="DBDBDB"/>
          </w:tcPr>
          <w:p>
            <w:pPr>
              <w:jc w:val="center"/>
              <w:spacing w:after="0"/>
              <w:rPr>
                <w:sz w:val="20"/>
                <w:szCs w:val="20"/>
                <w:color w:val="auto"/>
              </w:rPr>
            </w:pPr>
            <w:r>
              <w:rPr>
                <w:rFonts w:ascii="Arial" w:cs="Arial" w:eastAsia="Arial" w:hAnsi="Arial"/>
                <w:sz w:val="18"/>
                <w:szCs w:val="18"/>
                <w:color w:val="auto"/>
                <w:w w:val="99"/>
              </w:rPr>
              <w:t>3(a)</w:t>
            </w:r>
          </w:p>
        </w:tc>
        <w:tc>
          <w:tcPr>
            <w:tcW w:w="9320" w:type="dxa"/>
            <w:vAlign w:val="bottom"/>
            <w:gridSpan w:val="16"/>
            <w:shd w:val="clear" w:color="auto" w:fill="DBDBDB"/>
          </w:tcPr>
          <w:p>
            <w:pPr>
              <w:spacing w:after="0"/>
              <w:rPr>
                <w:rFonts w:ascii="Arial" w:cs="Arial" w:eastAsia="Arial" w:hAnsi="Arial"/>
                <w:sz w:val="18"/>
                <w:szCs w:val="18"/>
                <w:color w:val="0000FF"/>
              </w:rPr>
            </w:pPr>
            <w:hyperlink r:id="rId41">
              <w:r>
                <w:rPr>
                  <w:rFonts w:ascii="Arial" w:cs="Arial" w:eastAsia="Arial" w:hAnsi="Arial"/>
                  <w:sz w:val="18"/>
                  <w:szCs w:val="18"/>
                  <w:color w:val="0000FF"/>
                </w:rPr>
                <w:t>Restated Certificate of Incorporation of the Registrant, dated April 18, 1985, as amended (incorporated by reference</w:t>
              </w:r>
            </w:hyperlink>
          </w:p>
        </w:tc>
        <w:tc>
          <w:tcPr>
            <w:tcW w:w="0" w:type="dxa"/>
            <w:vAlign w:val="bottom"/>
          </w:tcPr>
          <w:p>
            <w:pPr>
              <w:spacing w:after="0"/>
              <w:rPr>
                <w:sz w:val="1"/>
                <w:szCs w:val="1"/>
                <w:color w:val="auto"/>
              </w:rPr>
            </w:pPr>
          </w:p>
        </w:tc>
      </w:tr>
      <w:tr>
        <w:trPr>
          <w:trHeight w:val="133"/>
        </w:trPr>
        <w:tc>
          <w:tcPr>
            <w:tcW w:w="1920" w:type="dxa"/>
            <w:vAlign w:val="bottom"/>
            <w:tcBorders>
              <w:top w:val="single" w:sz="8" w:color="DBDBDB"/>
            </w:tcBorders>
            <w:vMerge w:val="continue"/>
            <w:shd w:val="clear" w:color="auto" w:fill="DBDBDB"/>
          </w:tcPr>
          <w:p>
            <w:pPr>
              <w:spacing w:after="0"/>
              <w:rPr>
                <w:sz w:val="11"/>
                <w:szCs w:val="11"/>
                <w:color w:val="auto"/>
              </w:rPr>
            </w:pPr>
          </w:p>
        </w:tc>
        <w:tc>
          <w:tcPr>
            <w:tcW w:w="8220" w:type="dxa"/>
            <w:vAlign w:val="bottom"/>
            <w:tcBorders>
              <w:top w:val="single" w:sz="8" w:color="0000FF"/>
            </w:tcBorders>
            <w:gridSpan w:val="10"/>
            <w:vMerge w:val="restart"/>
            <w:shd w:val="clear" w:color="auto" w:fill="DBDBDB"/>
          </w:tcPr>
          <w:p>
            <w:pPr>
              <w:spacing w:after="0" w:line="196" w:lineRule="exact"/>
              <w:rPr>
                <w:rFonts w:ascii="Arial" w:cs="Arial" w:eastAsia="Arial" w:hAnsi="Arial"/>
                <w:sz w:val="18"/>
                <w:szCs w:val="18"/>
                <w:color w:val="0000FF"/>
                <w:w w:val="99"/>
              </w:rPr>
            </w:pPr>
            <w:hyperlink r:id="rId41">
              <w:r>
                <w:rPr>
                  <w:rFonts w:ascii="Arial" w:cs="Arial" w:eastAsia="Arial" w:hAnsi="Arial"/>
                  <w:sz w:val="18"/>
                  <w:szCs w:val="18"/>
                  <w:color w:val="0000FF"/>
                  <w:w w:val="99"/>
                </w:rPr>
                <w:t>to Exhibit 3(a) of the Registrant’s Annual Report on Form 10-K for the year ended December 31, 2014).</w:t>
              </w:r>
            </w:hyperlink>
          </w:p>
        </w:tc>
        <w:tc>
          <w:tcPr>
            <w:tcW w:w="1000" w:type="dxa"/>
            <w:vAlign w:val="bottom"/>
            <w:tcBorders>
              <w:top w:val="single" w:sz="8" w:color="0000FF"/>
            </w:tcBorders>
            <w:gridSpan w:val="5"/>
            <w:vMerge w:val="restart"/>
            <w:shd w:val="clear" w:color="auto" w:fill="DBDBDB"/>
          </w:tcPr>
          <w:p>
            <w:pPr>
              <w:spacing w:after="0"/>
              <w:rPr>
                <w:sz w:val="11"/>
                <w:szCs w:val="11"/>
                <w:color w:val="auto"/>
              </w:rPr>
            </w:pPr>
          </w:p>
        </w:tc>
        <w:tc>
          <w:tcPr>
            <w:tcW w:w="100" w:type="dxa"/>
            <w:vAlign w:val="bottom"/>
            <w:tcBorders>
              <w:top w:val="single" w:sz="8" w:color="DBDBDB"/>
            </w:tcBorders>
            <w:vMerge w:val="restart"/>
            <w:shd w:val="clear" w:color="auto" w:fill="DBDBDB"/>
          </w:tcPr>
          <w:p>
            <w:pPr>
              <w:spacing w:after="0"/>
              <w:rPr>
                <w:sz w:val="11"/>
                <w:szCs w:val="11"/>
                <w:color w:val="auto"/>
              </w:rPr>
            </w:pPr>
          </w:p>
        </w:tc>
        <w:tc>
          <w:tcPr>
            <w:tcW w:w="0" w:type="dxa"/>
            <w:vAlign w:val="bottom"/>
          </w:tcPr>
          <w:p>
            <w:pPr>
              <w:spacing w:after="0"/>
              <w:rPr>
                <w:sz w:val="1"/>
                <w:szCs w:val="1"/>
                <w:color w:val="auto"/>
              </w:rPr>
            </w:pPr>
          </w:p>
        </w:tc>
      </w:tr>
      <w:tr>
        <w:trPr>
          <w:trHeight w:val="111"/>
        </w:trPr>
        <w:tc>
          <w:tcPr>
            <w:tcW w:w="1920" w:type="dxa"/>
            <w:vAlign w:val="bottom"/>
            <w:tcBorders>
              <w:bottom w:val="single" w:sz="8" w:color="DBDBDB"/>
            </w:tcBorders>
            <w:shd w:val="clear" w:color="auto" w:fill="DBDBDB"/>
          </w:tcPr>
          <w:p>
            <w:pPr>
              <w:spacing w:after="0"/>
              <w:rPr>
                <w:sz w:val="9"/>
                <w:szCs w:val="9"/>
                <w:color w:val="auto"/>
              </w:rPr>
            </w:pPr>
          </w:p>
        </w:tc>
        <w:tc>
          <w:tcPr>
            <w:tcW w:w="8220" w:type="dxa"/>
            <w:vAlign w:val="bottom"/>
            <w:tcBorders>
              <w:bottom w:val="single" w:sz="8" w:color="0000FF"/>
            </w:tcBorders>
            <w:gridSpan w:val="10"/>
            <w:vMerge w:val="continue"/>
            <w:shd w:val="clear" w:color="auto" w:fill="DBDBDB"/>
          </w:tcPr>
          <w:p>
            <w:pPr>
              <w:spacing w:after="0"/>
              <w:rPr>
                <w:sz w:val="9"/>
                <w:szCs w:val="9"/>
                <w:color w:val="auto"/>
              </w:rPr>
            </w:pPr>
          </w:p>
        </w:tc>
        <w:tc>
          <w:tcPr>
            <w:tcW w:w="1000" w:type="dxa"/>
            <w:vAlign w:val="bottom"/>
            <w:tcBorders>
              <w:bottom w:val="single" w:sz="8" w:color="DBDBDB"/>
            </w:tcBorders>
            <w:gridSpan w:val="5"/>
            <w:vMerge w:val="continue"/>
            <w:shd w:val="clear" w:color="auto" w:fill="DBDBDB"/>
          </w:tcPr>
          <w:p>
            <w:pPr>
              <w:spacing w:after="0"/>
              <w:rPr>
                <w:sz w:val="9"/>
                <w:szCs w:val="9"/>
                <w:color w:val="auto"/>
              </w:rPr>
            </w:pPr>
          </w:p>
        </w:tc>
        <w:tc>
          <w:tcPr>
            <w:tcW w:w="100" w:type="dxa"/>
            <w:vAlign w:val="bottom"/>
            <w:tcBorders>
              <w:bottom w:val="single" w:sz="8" w:color="DBDBDB"/>
            </w:tcBorders>
            <w:vMerge w:val="continue"/>
            <w:shd w:val="clear" w:color="auto" w:fill="DBDBDB"/>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1920" w:type="dxa"/>
            <w:vAlign w:val="bottom"/>
            <w:vMerge w:val="restart"/>
          </w:tcPr>
          <w:p>
            <w:pPr>
              <w:jc w:val="center"/>
              <w:spacing w:after="0"/>
              <w:rPr>
                <w:sz w:val="20"/>
                <w:szCs w:val="20"/>
                <w:color w:val="auto"/>
              </w:rPr>
            </w:pPr>
            <w:r>
              <w:rPr>
                <w:rFonts w:ascii="Arial" w:cs="Arial" w:eastAsia="Arial" w:hAnsi="Arial"/>
                <w:sz w:val="18"/>
                <w:szCs w:val="18"/>
                <w:color w:val="auto"/>
                <w:w w:val="99"/>
              </w:rPr>
              <w:t>3(b)</w:t>
            </w:r>
          </w:p>
        </w:tc>
        <w:tc>
          <w:tcPr>
            <w:tcW w:w="9320" w:type="dxa"/>
            <w:vAlign w:val="bottom"/>
            <w:gridSpan w:val="16"/>
          </w:tcPr>
          <w:p>
            <w:pPr>
              <w:spacing w:after="0" w:line="202" w:lineRule="exact"/>
              <w:rPr>
                <w:rFonts w:ascii="Arial" w:cs="Arial" w:eastAsia="Arial" w:hAnsi="Arial"/>
                <w:sz w:val="18"/>
                <w:szCs w:val="18"/>
                <w:color w:val="0000FF"/>
              </w:rPr>
            </w:pPr>
            <w:hyperlink r:id="rId42">
              <w:r>
                <w:rPr>
                  <w:rFonts w:ascii="Arial" w:cs="Arial" w:eastAsia="Arial" w:hAnsi="Arial"/>
                  <w:sz w:val="18"/>
                  <w:szCs w:val="18"/>
                  <w:color w:val="0000FF"/>
                </w:rPr>
                <w:t>By-Laws of the Registrant (incorporated by reference to Exhibit 3.1 of the Registrant’s Current Report on Form 8-K</w:t>
              </w:r>
            </w:hyperlink>
          </w:p>
        </w:tc>
        <w:tc>
          <w:tcPr>
            <w:tcW w:w="0" w:type="dxa"/>
            <w:vAlign w:val="bottom"/>
          </w:tcPr>
          <w:p>
            <w:pPr>
              <w:spacing w:after="0"/>
              <w:rPr>
                <w:sz w:val="1"/>
                <w:szCs w:val="1"/>
                <w:color w:val="auto"/>
              </w:rPr>
            </w:pPr>
          </w:p>
        </w:tc>
      </w:tr>
      <w:tr>
        <w:trPr>
          <w:trHeight w:val="133"/>
        </w:trPr>
        <w:tc>
          <w:tcPr>
            <w:tcW w:w="1920" w:type="dxa"/>
            <w:vAlign w:val="bottom"/>
            <w:vMerge w:val="continue"/>
          </w:tcPr>
          <w:p>
            <w:pPr>
              <w:spacing w:after="0"/>
              <w:rPr>
                <w:sz w:val="11"/>
                <w:szCs w:val="11"/>
                <w:color w:val="auto"/>
              </w:rPr>
            </w:pPr>
          </w:p>
        </w:tc>
        <w:tc>
          <w:tcPr>
            <w:tcW w:w="9100" w:type="dxa"/>
            <w:vAlign w:val="bottom"/>
            <w:tcBorders>
              <w:top w:val="single" w:sz="8" w:color="0000FF"/>
            </w:tcBorders>
            <w:gridSpan w:val="14"/>
            <w:vMerge w:val="restart"/>
          </w:tcPr>
          <w:p>
            <w:pPr>
              <w:spacing w:after="0" w:line="196" w:lineRule="exact"/>
              <w:rPr>
                <w:rFonts w:ascii="Arial" w:cs="Arial" w:eastAsia="Arial" w:hAnsi="Arial"/>
                <w:sz w:val="18"/>
                <w:szCs w:val="18"/>
                <w:color w:val="0000FF"/>
              </w:rPr>
            </w:pPr>
            <w:hyperlink r:id="rId42">
              <w:r>
                <w:rPr>
                  <w:rFonts w:ascii="Arial" w:cs="Arial" w:eastAsia="Arial" w:hAnsi="Arial"/>
                  <w:sz w:val="18"/>
                  <w:szCs w:val="18"/>
                  <w:color w:val="0000FF"/>
                </w:rPr>
                <w:t>filed February 6, 2026).</w:t>
              </w:r>
            </w:hyperlink>
          </w:p>
        </w:tc>
        <w:tc>
          <w:tcPr>
            <w:tcW w:w="220" w:type="dxa"/>
            <w:vAlign w:val="bottom"/>
            <w:gridSpan w:val="2"/>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63"/>
        </w:trPr>
        <w:tc>
          <w:tcPr>
            <w:tcW w:w="1920" w:type="dxa"/>
            <w:vAlign w:val="bottom"/>
          </w:tcPr>
          <w:p>
            <w:pPr>
              <w:spacing w:after="0"/>
              <w:rPr>
                <w:sz w:val="5"/>
                <w:szCs w:val="5"/>
                <w:color w:val="auto"/>
              </w:rPr>
            </w:pPr>
          </w:p>
        </w:tc>
        <w:tc>
          <w:tcPr>
            <w:tcW w:w="9100" w:type="dxa"/>
            <w:vAlign w:val="bottom"/>
            <w:gridSpan w:val="14"/>
            <w:vMerge w:val="continue"/>
          </w:tcPr>
          <w:p>
            <w:pPr>
              <w:spacing w:after="0"/>
              <w:rPr>
                <w:sz w:val="5"/>
                <w:szCs w:val="5"/>
                <w:color w:val="auto"/>
              </w:rPr>
            </w:pPr>
          </w:p>
        </w:tc>
        <w:tc>
          <w:tcPr>
            <w:tcW w:w="22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1920" w:type="dxa"/>
            <w:vAlign w:val="bottom"/>
          </w:tcPr>
          <w:p>
            <w:pPr>
              <w:spacing w:after="0"/>
              <w:rPr>
                <w:sz w:val="4"/>
                <w:szCs w:val="4"/>
                <w:color w:val="auto"/>
              </w:rPr>
            </w:pPr>
          </w:p>
        </w:tc>
        <w:tc>
          <w:tcPr>
            <w:tcW w:w="1860" w:type="dxa"/>
            <w:vAlign w:val="bottom"/>
            <w:tcBorders>
              <w:top w:val="single" w:sz="8" w:color="0000FF"/>
            </w:tcBorders>
          </w:tcPr>
          <w:p>
            <w:pPr>
              <w:spacing w:after="0"/>
              <w:rPr>
                <w:sz w:val="4"/>
                <w:szCs w:val="4"/>
                <w:color w:val="auto"/>
              </w:rPr>
            </w:pPr>
          </w:p>
        </w:tc>
        <w:tc>
          <w:tcPr>
            <w:tcW w:w="2060" w:type="dxa"/>
            <w:vAlign w:val="bottom"/>
          </w:tcPr>
          <w:p>
            <w:pPr>
              <w:spacing w:after="0"/>
              <w:rPr>
                <w:sz w:val="4"/>
                <w:szCs w:val="4"/>
                <w:color w:val="auto"/>
              </w:rPr>
            </w:pPr>
          </w:p>
        </w:tc>
        <w:tc>
          <w:tcPr>
            <w:tcW w:w="440" w:type="dxa"/>
            <w:vAlign w:val="bottom"/>
          </w:tcPr>
          <w:p>
            <w:pPr>
              <w:spacing w:after="0"/>
              <w:rPr>
                <w:sz w:val="4"/>
                <w:szCs w:val="4"/>
                <w:color w:val="auto"/>
              </w:rPr>
            </w:pPr>
          </w:p>
        </w:tc>
        <w:tc>
          <w:tcPr>
            <w:tcW w:w="1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520" w:type="dxa"/>
            <w:vAlign w:val="bottom"/>
          </w:tcPr>
          <w:p>
            <w:pPr>
              <w:spacing w:after="0"/>
              <w:rPr>
                <w:sz w:val="4"/>
                <w:szCs w:val="4"/>
                <w:color w:val="auto"/>
              </w:rPr>
            </w:pPr>
          </w:p>
        </w:tc>
        <w:tc>
          <w:tcPr>
            <w:tcW w:w="6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70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1920" w:type="dxa"/>
            <w:vAlign w:val="bottom"/>
            <w:tcBorders>
              <w:bottom w:val="single" w:sz="8" w:color="DBDBDB"/>
            </w:tcBorders>
            <w:shd w:val="clear" w:color="auto" w:fill="DBDBDB"/>
          </w:tcPr>
          <w:p>
            <w:pPr>
              <w:jc w:val="center"/>
              <w:ind w:right="13"/>
              <w:spacing w:after="0" w:line="202" w:lineRule="exact"/>
              <w:rPr>
                <w:sz w:val="20"/>
                <w:szCs w:val="20"/>
                <w:color w:val="auto"/>
              </w:rPr>
            </w:pPr>
            <w:r>
              <w:rPr>
                <w:rFonts w:ascii="Arial" w:cs="Arial" w:eastAsia="Arial" w:hAnsi="Arial"/>
                <w:sz w:val="18"/>
                <w:szCs w:val="18"/>
                <w:color w:val="auto"/>
                <w:w w:val="99"/>
              </w:rPr>
              <w:t>31(a)</w:t>
            </w:r>
          </w:p>
        </w:tc>
        <w:tc>
          <w:tcPr>
            <w:tcW w:w="8360" w:type="dxa"/>
            <w:vAlign w:val="bottom"/>
            <w:tcBorders>
              <w:bottom w:val="single" w:sz="8" w:color="0000FF"/>
            </w:tcBorders>
            <w:gridSpan w:val="12"/>
            <w:shd w:val="clear" w:color="auto" w:fill="DBDBDB"/>
          </w:tcPr>
          <w:p>
            <w:pPr>
              <w:spacing w:after="0" w:line="202" w:lineRule="exact"/>
              <w:rPr>
                <w:sz w:val="20"/>
                <w:szCs w:val="20"/>
                <w:color w:val="auto"/>
              </w:rPr>
            </w:pPr>
            <w:r>
              <w:rPr>
                <w:rFonts w:ascii="Arial" w:cs="Arial" w:eastAsia="Arial" w:hAnsi="Arial"/>
                <w:sz w:val="18"/>
                <w:szCs w:val="18"/>
                <w:color w:val="0000FF"/>
                <w:w w:val="99"/>
              </w:rPr>
              <w:t>Certification of Chief Executive Officer of Periodic Report Pursuant to Rule 13a-14(a) or Rule 15d-14(a).†</w:t>
            </w:r>
          </w:p>
        </w:tc>
        <w:tc>
          <w:tcPr>
            <w:tcW w:w="960" w:type="dxa"/>
            <w:vAlign w:val="bottom"/>
            <w:tcBorders>
              <w:bottom w:val="single" w:sz="8" w:color="DBDBDB"/>
            </w:tcBorders>
            <w:gridSpan w:val="4"/>
            <w:shd w:val="clear" w:color="auto" w:fill="DBDBDB"/>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1920" w:type="dxa"/>
            <w:vAlign w:val="bottom"/>
          </w:tcPr>
          <w:p>
            <w:pPr>
              <w:jc w:val="center"/>
              <w:ind w:right="13"/>
              <w:spacing w:after="0" w:line="202" w:lineRule="exact"/>
              <w:rPr>
                <w:sz w:val="20"/>
                <w:szCs w:val="20"/>
                <w:color w:val="auto"/>
              </w:rPr>
            </w:pPr>
            <w:r>
              <w:rPr>
                <w:rFonts w:ascii="Arial" w:cs="Arial" w:eastAsia="Arial" w:hAnsi="Arial"/>
                <w:sz w:val="18"/>
                <w:szCs w:val="18"/>
                <w:color w:val="auto"/>
                <w:w w:val="99"/>
              </w:rPr>
              <w:t>31(b)</w:t>
            </w:r>
          </w:p>
        </w:tc>
        <w:tc>
          <w:tcPr>
            <w:tcW w:w="9320" w:type="dxa"/>
            <w:vAlign w:val="bottom"/>
            <w:gridSpan w:val="16"/>
          </w:tcPr>
          <w:p>
            <w:pPr>
              <w:spacing w:after="0" w:line="202" w:lineRule="exact"/>
              <w:rPr>
                <w:sz w:val="20"/>
                <w:szCs w:val="20"/>
                <w:color w:val="auto"/>
              </w:rPr>
            </w:pPr>
            <w:r>
              <w:rPr>
                <w:rFonts w:ascii="Arial" w:cs="Arial" w:eastAsia="Arial" w:hAnsi="Arial"/>
                <w:sz w:val="18"/>
                <w:szCs w:val="18"/>
                <w:color w:val="0000FF"/>
              </w:rPr>
              <w:t>Certification of Chief Financial Officer of Periodic Report Pursuant to Rule 13a-14(a) or Rule 15d-14(a).†</w:t>
            </w:r>
          </w:p>
        </w:tc>
        <w:tc>
          <w:tcPr>
            <w:tcW w:w="0" w:type="dxa"/>
            <w:vAlign w:val="bottom"/>
          </w:tcPr>
          <w:p>
            <w:pPr>
              <w:spacing w:after="0"/>
              <w:rPr>
                <w:sz w:val="1"/>
                <w:szCs w:val="1"/>
                <w:color w:val="auto"/>
              </w:rPr>
            </w:pPr>
          </w:p>
        </w:tc>
      </w:tr>
      <w:tr>
        <w:trPr>
          <w:trHeight w:val="48"/>
        </w:trPr>
        <w:tc>
          <w:tcPr>
            <w:tcW w:w="1920" w:type="dxa"/>
            <w:vAlign w:val="bottom"/>
          </w:tcPr>
          <w:p>
            <w:pPr>
              <w:spacing w:after="0"/>
              <w:rPr>
                <w:sz w:val="4"/>
                <w:szCs w:val="4"/>
                <w:color w:val="auto"/>
              </w:rPr>
            </w:pPr>
          </w:p>
        </w:tc>
        <w:tc>
          <w:tcPr>
            <w:tcW w:w="1860" w:type="dxa"/>
            <w:vAlign w:val="bottom"/>
            <w:tcBorders>
              <w:top w:val="single" w:sz="8" w:color="0000FF"/>
            </w:tcBorders>
          </w:tcPr>
          <w:p>
            <w:pPr>
              <w:spacing w:after="0"/>
              <w:rPr>
                <w:sz w:val="4"/>
                <w:szCs w:val="4"/>
                <w:color w:val="auto"/>
              </w:rPr>
            </w:pPr>
          </w:p>
        </w:tc>
        <w:tc>
          <w:tcPr>
            <w:tcW w:w="2060" w:type="dxa"/>
            <w:vAlign w:val="bottom"/>
            <w:tcBorders>
              <w:top w:val="single" w:sz="8" w:color="0000FF"/>
            </w:tcBorders>
          </w:tcPr>
          <w:p>
            <w:pPr>
              <w:spacing w:after="0"/>
              <w:rPr>
                <w:sz w:val="4"/>
                <w:szCs w:val="4"/>
                <w:color w:val="auto"/>
              </w:rPr>
            </w:pPr>
          </w:p>
        </w:tc>
        <w:tc>
          <w:tcPr>
            <w:tcW w:w="44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252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60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60" w:type="dxa"/>
            <w:vAlign w:val="bottom"/>
          </w:tcPr>
          <w:p>
            <w:pPr>
              <w:spacing w:after="0"/>
              <w:rPr>
                <w:sz w:val="4"/>
                <w:szCs w:val="4"/>
                <w:color w:val="auto"/>
              </w:rPr>
            </w:pPr>
          </w:p>
        </w:tc>
        <w:tc>
          <w:tcPr>
            <w:tcW w:w="70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1920" w:type="dxa"/>
            <w:vAlign w:val="bottom"/>
            <w:tcBorders>
              <w:bottom w:val="single" w:sz="8" w:color="DBDBDB"/>
            </w:tcBorders>
            <w:shd w:val="clear" w:color="auto" w:fill="DBDBDB"/>
          </w:tcPr>
          <w:p>
            <w:pPr>
              <w:jc w:val="center"/>
              <w:ind w:right="13"/>
              <w:spacing w:after="0" w:line="202" w:lineRule="exact"/>
              <w:rPr>
                <w:sz w:val="20"/>
                <w:szCs w:val="20"/>
                <w:color w:val="auto"/>
              </w:rPr>
            </w:pPr>
            <w:r>
              <w:rPr>
                <w:rFonts w:ascii="Arial" w:cs="Arial" w:eastAsia="Arial" w:hAnsi="Arial"/>
                <w:sz w:val="18"/>
                <w:szCs w:val="18"/>
                <w:color w:val="auto"/>
                <w:w w:val="99"/>
              </w:rPr>
              <w:t>32(a)</w:t>
            </w:r>
          </w:p>
        </w:tc>
        <w:tc>
          <w:tcPr>
            <w:tcW w:w="7620" w:type="dxa"/>
            <w:vAlign w:val="bottom"/>
            <w:tcBorders>
              <w:bottom w:val="single" w:sz="8" w:color="0000FF"/>
            </w:tcBorders>
            <w:gridSpan w:val="9"/>
            <w:shd w:val="clear" w:color="auto" w:fill="DBDBDB"/>
          </w:tcPr>
          <w:p>
            <w:pPr>
              <w:spacing w:after="0" w:line="202" w:lineRule="exact"/>
              <w:rPr>
                <w:sz w:val="20"/>
                <w:szCs w:val="20"/>
                <w:color w:val="auto"/>
              </w:rPr>
            </w:pPr>
            <w:r>
              <w:rPr>
                <w:rFonts w:ascii="Arial" w:cs="Arial" w:eastAsia="Arial" w:hAnsi="Arial"/>
                <w:sz w:val="18"/>
                <w:szCs w:val="18"/>
                <w:color w:val="0000FF"/>
                <w:w w:val="99"/>
              </w:rPr>
              <w:t>Certification by Chief Executive Officer of Periodic Report Pursuant to 18 U.S.C. Section 1350.†</w:t>
            </w:r>
          </w:p>
        </w:tc>
        <w:tc>
          <w:tcPr>
            <w:tcW w:w="1700" w:type="dxa"/>
            <w:vAlign w:val="bottom"/>
            <w:tcBorders>
              <w:bottom w:val="single" w:sz="8" w:color="DBDBDB"/>
            </w:tcBorders>
            <w:gridSpan w:val="7"/>
            <w:shd w:val="clear" w:color="auto" w:fill="DBDBDB"/>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1920" w:type="dxa"/>
            <w:vAlign w:val="bottom"/>
          </w:tcPr>
          <w:p>
            <w:pPr>
              <w:jc w:val="center"/>
              <w:ind w:right="13"/>
              <w:spacing w:after="0" w:line="202" w:lineRule="exact"/>
              <w:rPr>
                <w:sz w:val="20"/>
                <w:szCs w:val="20"/>
                <w:color w:val="auto"/>
              </w:rPr>
            </w:pPr>
            <w:r>
              <w:rPr>
                <w:rFonts w:ascii="Arial" w:cs="Arial" w:eastAsia="Arial" w:hAnsi="Arial"/>
                <w:sz w:val="18"/>
                <w:szCs w:val="18"/>
                <w:color w:val="auto"/>
                <w:w w:val="99"/>
              </w:rPr>
              <w:t>32(b)</w:t>
            </w:r>
          </w:p>
        </w:tc>
        <w:tc>
          <w:tcPr>
            <w:tcW w:w="9320" w:type="dxa"/>
            <w:vAlign w:val="bottom"/>
            <w:gridSpan w:val="16"/>
          </w:tcPr>
          <w:p>
            <w:pPr>
              <w:spacing w:after="0" w:line="202" w:lineRule="exact"/>
              <w:rPr>
                <w:sz w:val="20"/>
                <w:szCs w:val="20"/>
                <w:color w:val="auto"/>
              </w:rPr>
            </w:pPr>
            <w:r>
              <w:rPr>
                <w:rFonts w:ascii="Arial" w:cs="Arial" w:eastAsia="Arial" w:hAnsi="Arial"/>
                <w:sz w:val="18"/>
                <w:szCs w:val="18"/>
                <w:color w:val="0000FF"/>
              </w:rPr>
              <w:t>Certification by Chief Financial Officer of Periodic Report Pursuant to 18 U.S.C. Section 1350.†</w:t>
            </w:r>
          </w:p>
        </w:tc>
        <w:tc>
          <w:tcPr>
            <w:tcW w:w="0" w:type="dxa"/>
            <w:vAlign w:val="bottom"/>
          </w:tcPr>
          <w:p>
            <w:pPr>
              <w:spacing w:after="0"/>
              <w:rPr>
                <w:sz w:val="1"/>
                <w:szCs w:val="1"/>
                <w:color w:val="auto"/>
              </w:rPr>
            </w:pPr>
          </w:p>
        </w:tc>
      </w:tr>
      <w:tr>
        <w:trPr>
          <w:trHeight w:val="48"/>
        </w:trPr>
        <w:tc>
          <w:tcPr>
            <w:tcW w:w="1920" w:type="dxa"/>
            <w:vAlign w:val="bottom"/>
          </w:tcPr>
          <w:p>
            <w:pPr>
              <w:spacing w:after="0"/>
              <w:rPr>
                <w:sz w:val="4"/>
                <w:szCs w:val="4"/>
                <w:color w:val="auto"/>
              </w:rPr>
            </w:pPr>
          </w:p>
        </w:tc>
        <w:tc>
          <w:tcPr>
            <w:tcW w:w="1860" w:type="dxa"/>
            <w:vAlign w:val="bottom"/>
            <w:tcBorders>
              <w:top w:val="single" w:sz="8" w:color="0000FF"/>
            </w:tcBorders>
          </w:tcPr>
          <w:p>
            <w:pPr>
              <w:spacing w:after="0"/>
              <w:rPr>
                <w:sz w:val="4"/>
                <w:szCs w:val="4"/>
                <w:color w:val="auto"/>
              </w:rPr>
            </w:pPr>
          </w:p>
        </w:tc>
        <w:tc>
          <w:tcPr>
            <w:tcW w:w="2060" w:type="dxa"/>
            <w:vAlign w:val="bottom"/>
            <w:tcBorders>
              <w:top w:val="single" w:sz="8" w:color="0000FF"/>
            </w:tcBorders>
          </w:tcPr>
          <w:p>
            <w:pPr>
              <w:spacing w:after="0"/>
              <w:rPr>
                <w:sz w:val="4"/>
                <w:szCs w:val="4"/>
                <w:color w:val="auto"/>
              </w:rPr>
            </w:pPr>
          </w:p>
        </w:tc>
        <w:tc>
          <w:tcPr>
            <w:tcW w:w="44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2520" w:type="dxa"/>
            <w:vAlign w:val="bottom"/>
            <w:tcBorders>
              <w:top w:val="single" w:sz="8" w:color="0000FF"/>
            </w:tcBorders>
          </w:tcPr>
          <w:p>
            <w:pPr>
              <w:spacing w:after="0"/>
              <w:rPr>
                <w:sz w:val="4"/>
                <w:szCs w:val="4"/>
                <w:color w:val="auto"/>
              </w:rPr>
            </w:pPr>
          </w:p>
        </w:tc>
        <w:tc>
          <w:tcPr>
            <w:tcW w:w="6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70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1920" w:type="dxa"/>
            <w:vAlign w:val="bottom"/>
            <w:vMerge w:val="restart"/>
            <w:shd w:val="clear" w:color="auto" w:fill="DBDBDB"/>
          </w:tcPr>
          <w:p>
            <w:pPr>
              <w:jc w:val="center"/>
              <w:ind w:right="13"/>
              <w:spacing w:after="0"/>
              <w:rPr>
                <w:sz w:val="20"/>
                <w:szCs w:val="20"/>
                <w:color w:val="auto"/>
              </w:rPr>
            </w:pPr>
            <w:r>
              <w:rPr>
                <w:rFonts w:ascii="Arial" w:cs="Arial" w:eastAsia="Arial" w:hAnsi="Arial"/>
                <w:sz w:val="18"/>
                <w:szCs w:val="18"/>
                <w:color w:val="auto"/>
                <w:w w:val="99"/>
              </w:rPr>
              <w:t>101.ins</w:t>
            </w:r>
          </w:p>
        </w:tc>
        <w:tc>
          <w:tcPr>
            <w:tcW w:w="9320" w:type="dxa"/>
            <w:vAlign w:val="bottom"/>
            <w:gridSpan w:val="16"/>
            <w:shd w:val="clear" w:color="auto" w:fill="DBDBDB"/>
          </w:tcPr>
          <w:p>
            <w:pPr>
              <w:spacing w:after="0" w:line="202" w:lineRule="exact"/>
              <w:rPr>
                <w:sz w:val="20"/>
                <w:szCs w:val="20"/>
                <w:color w:val="auto"/>
              </w:rPr>
            </w:pPr>
            <w:r>
              <w:rPr>
                <w:rFonts w:ascii="Arial" w:cs="Arial" w:eastAsia="Arial" w:hAnsi="Arial"/>
                <w:sz w:val="18"/>
                <w:szCs w:val="18"/>
                <w:color w:val="auto"/>
              </w:rPr>
              <w:t>XBRL Instance Document – the instance document does not appear in the Interactive Data File because its XBRL</w:t>
            </w:r>
          </w:p>
        </w:tc>
        <w:tc>
          <w:tcPr>
            <w:tcW w:w="0" w:type="dxa"/>
            <w:vAlign w:val="bottom"/>
          </w:tcPr>
          <w:p>
            <w:pPr>
              <w:spacing w:after="0"/>
              <w:rPr>
                <w:sz w:val="1"/>
                <w:szCs w:val="1"/>
                <w:color w:val="auto"/>
              </w:rPr>
            </w:pPr>
          </w:p>
        </w:tc>
      </w:tr>
      <w:tr>
        <w:trPr>
          <w:trHeight w:val="133"/>
        </w:trPr>
        <w:tc>
          <w:tcPr>
            <w:tcW w:w="1920" w:type="dxa"/>
            <w:vAlign w:val="bottom"/>
            <w:tcBorders>
              <w:top w:val="single" w:sz="8" w:color="DBDBDB"/>
            </w:tcBorders>
            <w:vMerge w:val="continue"/>
            <w:shd w:val="clear" w:color="auto" w:fill="DBDBDB"/>
          </w:tcPr>
          <w:p>
            <w:pPr>
              <w:spacing w:after="0"/>
              <w:rPr>
                <w:sz w:val="11"/>
                <w:szCs w:val="11"/>
                <w:color w:val="auto"/>
              </w:rPr>
            </w:pPr>
          </w:p>
        </w:tc>
        <w:tc>
          <w:tcPr>
            <w:tcW w:w="9060" w:type="dxa"/>
            <w:vAlign w:val="bottom"/>
            <w:tcBorders>
              <w:top w:val="single" w:sz="8" w:color="auto"/>
            </w:tcBorders>
            <w:gridSpan w:val="13"/>
            <w:vMerge w:val="restart"/>
            <w:shd w:val="clear" w:color="auto" w:fill="DBDBDB"/>
          </w:tcPr>
          <w:p>
            <w:pPr>
              <w:spacing w:after="0" w:line="196" w:lineRule="exact"/>
              <w:rPr>
                <w:sz w:val="20"/>
                <w:szCs w:val="20"/>
                <w:color w:val="auto"/>
              </w:rPr>
            </w:pPr>
            <w:r>
              <w:rPr>
                <w:rFonts w:ascii="Arial" w:cs="Arial" w:eastAsia="Arial" w:hAnsi="Arial"/>
                <w:sz w:val="18"/>
                <w:szCs w:val="18"/>
                <w:color w:val="auto"/>
              </w:rPr>
              <w:t>tags are embedded within the Inline XBRL document.†</w:t>
            </w:r>
          </w:p>
        </w:tc>
        <w:tc>
          <w:tcPr>
            <w:tcW w:w="260" w:type="dxa"/>
            <w:vAlign w:val="bottom"/>
            <w:tcBorders>
              <w:top w:val="single" w:sz="8" w:color="DBDBDB"/>
            </w:tcBorders>
            <w:gridSpan w:val="3"/>
            <w:vMerge w:val="restart"/>
            <w:shd w:val="clear" w:color="auto" w:fill="DBDBDB"/>
          </w:tcPr>
          <w:p>
            <w:pPr>
              <w:spacing w:after="0"/>
              <w:rPr>
                <w:sz w:val="11"/>
                <w:szCs w:val="11"/>
                <w:color w:val="auto"/>
              </w:rPr>
            </w:pPr>
          </w:p>
        </w:tc>
        <w:tc>
          <w:tcPr>
            <w:tcW w:w="0" w:type="dxa"/>
            <w:vAlign w:val="bottom"/>
          </w:tcPr>
          <w:p>
            <w:pPr>
              <w:spacing w:after="0"/>
              <w:rPr>
                <w:sz w:val="1"/>
                <w:szCs w:val="1"/>
                <w:color w:val="auto"/>
              </w:rPr>
            </w:pPr>
          </w:p>
        </w:tc>
      </w:tr>
      <w:tr>
        <w:trPr>
          <w:trHeight w:val="63"/>
        </w:trPr>
        <w:tc>
          <w:tcPr>
            <w:tcW w:w="1920" w:type="dxa"/>
            <w:vAlign w:val="bottom"/>
            <w:shd w:val="clear" w:color="auto" w:fill="DBDBDB"/>
          </w:tcPr>
          <w:p>
            <w:pPr>
              <w:spacing w:after="0"/>
              <w:rPr>
                <w:sz w:val="5"/>
                <w:szCs w:val="5"/>
                <w:color w:val="auto"/>
              </w:rPr>
            </w:pPr>
          </w:p>
        </w:tc>
        <w:tc>
          <w:tcPr>
            <w:tcW w:w="9060" w:type="dxa"/>
            <w:vAlign w:val="bottom"/>
            <w:gridSpan w:val="13"/>
            <w:vMerge w:val="continue"/>
            <w:shd w:val="clear" w:color="auto" w:fill="DBDBDB"/>
          </w:tcPr>
          <w:p>
            <w:pPr>
              <w:spacing w:after="0"/>
              <w:rPr>
                <w:sz w:val="5"/>
                <w:szCs w:val="5"/>
                <w:color w:val="auto"/>
              </w:rPr>
            </w:pPr>
          </w:p>
        </w:tc>
        <w:tc>
          <w:tcPr>
            <w:tcW w:w="260" w:type="dxa"/>
            <w:vAlign w:val="bottom"/>
            <w:gridSpan w:val="3"/>
            <w:vMerge w:val="continue"/>
            <w:shd w:val="clear" w:color="auto" w:fill="DBDBDB"/>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1920" w:type="dxa"/>
            <w:vAlign w:val="bottom"/>
            <w:tcBorders>
              <w:top w:val="single" w:sz="8" w:color="DBDBDB"/>
            </w:tcBorders>
            <w:shd w:val="clear" w:color="auto" w:fill="DBDBDB"/>
          </w:tcPr>
          <w:p>
            <w:pPr>
              <w:spacing w:after="0"/>
              <w:rPr>
                <w:sz w:val="4"/>
                <w:szCs w:val="4"/>
                <w:color w:val="auto"/>
              </w:rPr>
            </w:pPr>
          </w:p>
        </w:tc>
        <w:tc>
          <w:tcPr>
            <w:tcW w:w="1860" w:type="dxa"/>
            <w:vAlign w:val="bottom"/>
            <w:tcBorders>
              <w:top w:val="single" w:sz="8" w:color="auto"/>
            </w:tcBorders>
            <w:shd w:val="clear" w:color="auto" w:fill="DBDBDB"/>
          </w:tcPr>
          <w:p>
            <w:pPr>
              <w:spacing w:after="0"/>
              <w:rPr>
                <w:sz w:val="4"/>
                <w:szCs w:val="4"/>
                <w:color w:val="auto"/>
              </w:rPr>
            </w:pPr>
          </w:p>
        </w:tc>
        <w:tc>
          <w:tcPr>
            <w:tcW w:w="2060" w:type="dxa"/>
            <w:vAlign w:val="bottom"/>
            <w:tcBorders>
              <w:top w:val="single" w:sz="8" w:color="auto"/>
            </w:tcBorders>
            <w:shd w:val="clear" w:color="auto" w:fill="DBDBDB"/>
          </w:tcPr>
          <w:p>
            <w:pPr>
              <w:spacing w:after="0"/>
              <w:rPr>
                <w:sz w:val="4"/>
                <w:szCs w:val="4"/>
                <w:color w:val="auto"/>
              </w:rPr>
            </w:pPr>
          </w:p>
        </w:tc>
        <w:tc>
          <w:tcPr>
            <w:tcW w:w="440" w:type="dxa"/>
            <w:vAlign w:val="bottom"/>
            <w:tcBorders>
              <w:top w:val="single" w:sz="8" w:color="auto"/>
            </w:tcBorders>
            <w:shd w:val="clear" w:color="auto" w:fill="DBDBDB"/>
          </w:tcPr>
          <w:p>
            <w:pPr>
              <w:spacing w:after="0"/>
              <w:rPr>
                <w:sz w:val="4"/>
                <w:szCs w:val="4"/>
                <w:color w:val="auto"/>
              </w:rPr>
            </w:pPr>
          </w:p>
        </w:tc>
        <w:tc>
          <w:tcPr>
            <w:tcW w:w="120" w:type="dxa"/>
            <w:vAlign w:val="bottom"/>
            <w:tcBorders>
              <w:top w:val="single" w:sz="8" w:color="DBDBDB"/>
            </w:tcBorders>
            <w:shd w:val="clear" w:color="auto" w:fill="DBDBDB"/>
          </w:tcPr>
          <w:p>
            <w:pPr>
              <w:spacing w:after="0"/>
              <w:rPr>
                <w:sz w:val="4"/>
                <w:szCs w:val="4"/>
                <w:color w:val="auto"/>
              </w:rPr>
            </w:pPr>
          </w:p>
        </w:tc>
        <w:tc>
          <w:tcPr>
            <w:tcW w:w="300" w:type="dxa"/>
            <w:vAlign w:val="bottom"/>
            <w:tcBorders>
              <w:top w:val="single" w:sz="8" w:color="DBDBDB"/>
            </w:tcBorders>
            <w:shd w:val="clear" w:color="auto" w:fill="DBDBDB"/>
          </w:tcPr>
          <w:p>
            <w:pPr>
              <w:spacing w:after="0"/>
              <w:rPr>
                <w:sz w:val="4"/>
                <w:szCs w:val="4"/>
                <w:color w:val="auto"/>
              </w:rPr>
            </w:pPr>
          </w:p>
        </w:tc>
        <w:tc>
          <w:tcPr>
            <w:tcW w:w="140" w:type="dxa"/>
            <w:vAlign w:val="bottom"/>
            <w:tcBorders>
              <w:top w:val="single" w:sz="8" w:color="DBDBDB"/>
            </w:tcBorders>
            <w:shd w:val="clear" w:color="auto" w:fill="DBDBDB"/>
          </w:tcPr>
          <w:p>
            <w:pPr>
              <w:spacing w:after="0"/>
              <w:rPr>
                <w:sz w:val="4"/>
                <w:szCs w:val="4"/>
                <w:color w:val="auto"/>
              </w:rPr>
            </w:pPr>
          </w:p>
        </w:tc>
        <w:tc>
          <w:tcPr>
            <w:tcW w:w="120" w:type="dxa"/>
            <w:vAlign w:val="bottom"/>
            <w:tcBorders>
              <w:top w:val="single" w:sz="8" w:color="DBDBDB"/>
            </w:tcBorders>
            <w:shd w:val="clear" w:color="auto" w:fill="DBDBDB"/>
          </w:tcPr>
          <w:p>
            <w:pPr>
              <w:spacing w:after="0"/>
              <w:rPr>
                <w:sz w:val="4"/>
                <w:szCs w:val="4"/>
                <w:color w:val="auto"/>
              </w:rPr>
            </w:pPr>
          </w:p>
        </w:tc>
        <w:tc>
          <w:tcPr>
            <w:tcW w:w="2520" w:type="dxa"/>
            <w:vAlign w:val="bottom"/>
            <w:tcBorders>
              <w:top w:val="single" w:sz="8" w:color="DBDBDB"/>
            </w:tcBorders>
            <w:shd w:val="clear" w:color="auto" w:fill="DBDBDB"/>
          </w:tcPr>
          <w:p>
            <w:pPr>
              <w:spacing w:after="0"/>
              <w:rPr>
                <w:sz w:val="4"/>
                <w:szCs w:val="4"/>
                <w:color w:val="auto"/>
              </w:rPr>
            </w:pPr>
          </w:p>
        </w:tc>
        <w:tc>
          <w:tcPr>
            <w:tcW w:w="60" w:type="dxa"/>
            <w:vAlign w:val="bottom"/>
            <w:tcBorders>
              <w:top w:val="single" w:sz="8" w:color="DBDBDB"/>
            </w:tcBorders>
            <w:shd w:val="clear" w:color="auto" w:fill="DBDBDB"/>
          </w:tcPr>
          <w:p>
            <w:pPr>
              <w:spacing w:after="0"/>
              <w:rPr>
                <w:sz w:val="4"/>
                <w:szCs w:val="4"/>
                <w:color w:val="auto"/>
              </w:rPr>
            </w:pPr>
          </w:p>
        </w:tc>
        <w:tc>
          <w:tcPr>
            <w:tcW w:w="600" w:type="dxa"/>
            <w:vAlign w:val="bottom"/>
            <w:tcBorders>
              <w:top w:val="single" w:sz="8" w:color="DBDBDB"/>
            </w:tcBorders>
            <w:shd w:val="clear" w:color="auto" w:fill="DBDBDB"/>
          </w:tcPr>
          <w:p>
            <w:pPr>
              <w:spacing w:after="0"/>
              <w:rPr>
                <w:sz w:val="4"/>
                <w:szCs w:val="4"/>
                <w:color w:val="auto"/>
              </w:rPr>
            </w:pPr>
          </w:p>
        </w:tc>
        <w:tc>
          <w:tcPr>
            <w:tcW w:w="80" w:type="dxa"/>
            <w:vAlign w:val="bottom"/>
            <w:tcBorders>
              <w:top w:val="single" w:sz="8" w:color="DBDBDB"/>
            </w:tcBorders>
            <w:shd w:val="clear" w:color="auto" w:fill="DBDBDB"/>
          </w:tcPr>
          <w:p>
            <w:pPr>
              <w:spacing w:after="0"/>
              <w:rPr>
                <w:sz w:val="4"/>
                <w:szCs w:val="4"/>
                <w:color w:val="auto"/>
              </w:rPr>
            </w:pPr>
          </w:p>
        </w:tc>
        <w:tc>
          <w:tcPr>
            <w:tcW w:w="60" w:type="dxa"/>
            <w:vAlign w:val="bottom"/>
            <w:tcBorders>
              <w:top w:val="single" w:sz="8" w:color="DBDBDB"/>
            </w:tcBorders>
            <w:shd w:val="clear" w:color="auto" w:fill="DBDBDB"/>
          </w:tcPr>
          <w:p>
            <w:pPr>
              <w:spacing w:after="0"/>
              <w:rPr>
                <w:sz w:val="4"/>
                <w:szCs w:val="4"/>
                <w:color w:val="auto"/>
              </w:rPr>
            </w:pPr>
          </w:p>
        </w:tc>
        <w:tc>
          <w:tcPr>
            <w:tcW w:w="700" w:type="dxa"/>
            <w:vAlign w:val="bottom"/>
            <w:tcBorders>
              <w:top w:val="single" w:sz="8" w:color="DBDBDB"/>
            </w:tcBorders>
            <w:shd w:val="clear" w:color="auto" w:fill="DBDBDB"/>
          </w:tcPr>
          <w:p>
            <w:pPr>
              <w:spacing w:after="0"/>
              <w:rPr>
                <w:sz w:val="4"/>
                <w:szCs w:val="4"/>
                <w:color w:val="auto"/>
              </w:rPr>
            </w:pPr>
          </w:p>
        </w:tc>
        <w:tc>
          <w:tcPr>
            <w:tcW w:w="40" w:type="dxa"/>
            <w:vAlign w:val="bottom"/>
            <w:tcBorders>
              <w:top w:val="single" w:sz="8" w:color="DBDBDB"/>
            </w:tcBorders>
            <w:shd w:val="clear" w:color="auto" w:fill="DBDBDB"/>
          </w:tcPr>
          <w:p>
            <w:pPr>
              <w:spacing w:after="0"/>
              <w:rPr>
                <w:sz w:val="4"/>
                <w:szCs w:val="4"/>
                <w:color w:val="auto"/>
              </w:rPr>
            </w:pPr>
          </w:p>
        </w:tc>
        <w:tc>
          <w:tcPr>
            <w:tcW w:w="120" w:type="dxa"/>
            <w:vAlign w:val="bottom"/>
            <w:tcBorders>
              <w:top w:val="single" w:sz="8" w:color="DBDBDB"/>
            </w:tcBorders>
            <w:shd w:val="clear" w:color="auto" w:fill="DBDBDB"/>
          </w:tcPr>
          <w:p>
            <w:pPr>
              <w:spacing w:after="0"/>
              <w:rPr>
                <w:sz w:val="4"/>
                <w:szCs w:val="4"/>
                <w:color w:val="auto"/>
              </w:rPr>
            </w:pPr>
          </w:p>
        </w:tc>
        <w:tc>
          <w:tcPr>
            <w:tcW w:w="100" w:type="dxa"/>
            <w:vAlign w:val="bottom"/>
            <w:tcBorders>
              <w:top w:val="single" w:sz="8" w:color="DBDBDB"/>
            </w:tcBorders>
            <w:shd w:val="clear" w:color="auto" w:fill="DBDBDB"/>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1920" w:type="dxa"/>
            <w:vAlign w:val="bottom"/>
          </w:tcPr>
          <w:p>
            <w:pPr>
              <w:jc w:val="center"/>
              <w:spacing w:after="0" w:line="202" w:lineRule="exact"/>
              <w:rPr>
                <w:sz w:val="20"/>
                <w:szCs w:val="20"/>
                <w:color w:val="auto"/>
              </w:rPr>
            </w:pPr>
            <w:r>
              <w:rPr>
                <w:rFonts w:ascii="Arial" w:cs="Arial" w:eastAsia="Arial" w:hAnsi="Arial"/>
                <w:sz w:val="18"/>
                <w:szCs w:val="18"/>
                <w:color w:val="auto"/>
                <w:w w:val="99"/>
              </w:rPr>
              <w:t>101.def</w:t>
            </w:r>
          </w:p>
        </w:tc>
        <w:tc>
          <w:tcPr>
            <w:tcW w:w="9320" w:type="dxa"/>
            <w:vAlign w:val="bottom"/>
            <w:gridSpan w:val="16"/>
          </w:tcPr>
          <w:p>
            <w:pPr>
              <w:spacing w:after="0" w:line="202" w:lineRule="exact"/>
              <w:rPr>
                <w:sz w:val="20"/>
                <w:szCs w:val="20"/>
                <w:color w:val="auto"/>
              </w:rPr>
            </w:pPr>
            <w:r>
              <w:rPr>
                <w:rFonts w:ascii="Arial" w:cs="Arial" w:eastAsia="Arial" w:hAnsi="Arial"/>
                <w:sz w:val="18"/>
                <w:szCs w:val="18"/>
                <w:color w:val="auto"/>
              </w:rPr>
              <w:t>XBRL Taxonomy Extension Definition Linkbase Document.†</w:t>
            </w:r>
          </w:p>
        </w:tc>
        <w:tc>
          <w:tcPr>
            <w:tcW w:w="0" w:type="dxa"/>
            <w:vAlign w:val="bottom"/>
          </w:tcPr>
          <w:p>
            <w:pPr>
              <w:spacing w:after="0"/>
              <w:rPr>
                <w:sz w:val="1"/>
                <w:szCs w:val="1"/>
                <w:color w:val="auto"/>
              </w:rPr>
            </w:pPr>
          </w:p>
        </w:tc>
      </w:tr>
      <w:tr>
        <w:trPr>
          <w:trHeight w:val="48"/>
        </w:trPr>
        <w:tc>
          <w:tcPr>
            <w:tcW w:w="1920" w:type="dxa"/>
            <w:vAlign w:val="bottom"/>
          </w:tcPr>
          <w:p>
            <w:pPr>
              <w:spacing w:after="0"/>
              <w:rPr>
                <w:sz w:val="4"/>
                <w:szCs w:val="4"/>
                <w:color w:val="auto"/>
              </w:rPr>
            </w:pPr>
          </w:p>
        </w:tc>
        <w:tc>
          <w:tcPr>
            <w:tcW w:w="1860" w:type="dxa"/>
            <w:vAlign w:val="bottom"/>
            <w:tcBorders>
              <w:top w:val="single" w:sz="8" w:color="auto"/>
            </w:tcBorders>
          </w:tcPr>
          <w:p>
            <w:pPr>
              <w:spacing w:after="0"/>
              <w:rPr>
                <w:sz w:val="4"/>
                <w:szCs w:val="4"/>
                <w:color w:val="auto"/>
              </w:rPr>
            </w:pPr>
          </w:p>
        </w:tc>
        <w:tc>
          <w:tcPr>
            <w:tcW w:w="2060" w:type="dxa"/>
            <w:vAlign w:val="bottom"/>
            <w:tcBorders>
              <w:top w:val="single" w:sz="8" w:color="auto"/>
            </w:tcBorders>
          </w:tcPr>
          <w:p>
            <w:pPr>
              <w:spacing w:after="0"/>
              <w:rPr>
                <w:sz w:val="4"/>
                <w:szCs w:val="4"/>
                <w:color w:val="auto"/>
              </w:rPr>
            </w:pPr>
          </w:p>
        </w:tc>
        <w:tc>
          <w:tcPr>
            <w:tcW w:w="440" w:type="dxa"/>
            <w:vAlign w:val="bottom"/>
            <w:tcBorders>
              <w:top w:val="single" w:sz="8" w:color="auto"/>
            </w:tcBorders>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300" w:type="dxa"/>
            <w:vAlign w:val="bottom"/>
            <w:tcBorders>
              <w:top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520" w:type="dxa"/>
            <w:vAlign w:val="bottom"/>
          </w:tcPr>
          <w:p>
            <w:pPr>
              <w:spacing w:after="0"/>
              <w:rPr>
                <w:sz w:val="4"/>
                <w:szCs w:val="4"/>
                <w:color w:val="auto"/>
              </w:rPr>
            </w:pPr>
          </w:p>
        </w:tc>
        <w:tc>
          <w:tcPr>
            <w:tcW w:w="6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70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1920" w:type="dxa"/>
            <w:vAlign w:val="bottom"/>
            <w:tcBorders>
              <w:bottom w:val="single" w:sz="8" w:color="DBDBDB"/>
            </w:tcBorders>
            <w:shd w:val="clear" w:color="auto" w:fill="DBDBDB"/>
          </w:tcPr>
          <w:p>
            <w:pPr>
              <w:jc w:val="center"/>
              <w:ind w:right="13"/>
              <w:spacing w:after="0" w:line="202" w:lineRule="exact"/>
              <w:rPr>
                <w:sz w:val="20"/>
                <w:szCs w:val="20"/>
                <w:color w:val="auto"/>
              </w:rPr>
            </w:pPr>
            <w:r>
              <w:rPr>
                <w:rFonts w:ascii="Arial" w:cs="Arial" w:eastAsia="Arial" w:hAnsi="Arial"/>
                <w:sz w:val="18"/>
                <w:szCs w:val="18"/>
                <w:color w:val="auto"/>
                <w:w w:val="98"/>
              </w:rPr>
              <w:t>101.sch</w:t>
            </w:r>
          </w:p>
        </w:tc>
        <w:tc>
          <w:tcPr>
            <w:tcW w:w="3920" w:type="dxa"/>
            <w:vAlign w:val="bottom"/>
            <w:tcBorders>
              <w:bottom w:val="single" w:sz="8" w:color="auto"/>
            </w:tcBorders>
            <w:gridSpan w:val="2"/>
            <w:shd w:val="clear" w:color="auto" w:fill="DBDBDB"/>
          </w:tcPr>
          <w:p>
            <w:pPr>
              <w:spacing w:after="0" w:line="202" w:lineRule="exact"/>
              <w:rPr>
                <w:sz w:val="20"/>
                <w:szCs w:val="20"/>
                <w:color w:val="auto"/>
              </w:rPr>
            </w:pPr>
            <w:r>
              <w:rPr>
                <w:rFonts w:ascii="Arial" w:cs="Arial" w:eastAsia="Arial" w:hAnsi="Arial"/>
                <w:sz w:val="18"/>
                <w:szCs w:val="18"/>
                <w:color w:val="auto"/>
                <w:w w:val="99"/>
              </w:rPr>
              <w:t>XBRL Taxonomy Extension Schema Document.†</w:t>
            </w:r>
          </w:p>
        </w:tc>
        <w:tc>
          <w:tcPr>
            <w:tcW w:w="5400" w:type="dxa"/>
            <w:vAlign w:val="bottom"/>
            <w:tcBorders>
              <w:bottom w:val="single" w:sz="8" w:color="DBDBDB"/>
            </w:tcBorders>
            <w:gridSpan w:val="14"/>
            <w:shd w:val="clear" w:color="auto" w:fill="DBDBDB"/>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1920" w:type="dxa"/>
            <w:vAlign w:val="bottom"/>
          </w:tcPr>
          <w:p>
            <w:pPr>
              <w:jc w:val="center"/>
              <w:ind w:right="13"/>
              <w:spacing w:after="0" w:line="202" w:lineRule="exact"/>
              <w:rPr>
                <w:sz w:val="20"/>
                <w:szCs w:val="20"/>
                <w:color w:val="auto"/>
              </w:rPr>
            </w:pPr>
            <w:r>
              <w:rPr>
                <w:rFonts w:ascii="Arial" w:cs="Arial" w:eastAsia="Arial" w:hAnsi="Arial"/>
                <w:sz w:val="18"/>
                <w:szCs w:val="18"/>
                <w:color w:val="auto"/>
                <w:w w:val="99"/>
              </w:rPr>
              <w:t>101.cal</w:t>
            </w:r>
          </w:p>
        </w:tc>
        <w:tc>
          <w:tcPr>
            <w:tcW w:w="9320" w:type="dxa"/>
            <w:vAlign w:val="bottom"/>
            <w:gridSpan w:val="16"/>
          </w:tcPr>
          <w:p>
            <w:pPr>
              <w:spacing w:after="0" w:line="202" w:lineRule="exact"/>
              <w:rPr>
                <w:sz w:val="20"/>
                <w:szCs w:val="20"/>
                <w:color w:val="auto"/>
              </w:rPr>
            </w:pPr>
            <w:r>
              <w:rPr>
                <w:rFonts w:ascii="Arial" w:cs="Arial" w:eastAsia="Arial" w:hAnsi="Arial"/>
                <w:sz w:val="18"/>
                <w:szCs w:val="18"/>
                <w:color w:val="auto"/>
              </w:rPr>
              <w:t>XBRL Taxonomy Extension Calculation Linkbase Document.†</w:t>
            </w:r>
          </w:p>
        </w:tc>
        <w:tc>
          <w:tcPr>
            <w:tcW w:w="0" w:type="dxa"/>
            <w:vAlign w:val="bottom"/>
          </w:tcPr>
          <w:p>
            <w:pPr>
              <w:spacing w:after="0"/>
              <w:rPr>
                <w:sz w:val="1"/>
                <w:szCs w:val="1"/>
                <w:color w:val="auto"/>
              </w:rPr>
            </w:pPr>
          </w:p>
        </w:tc>
      </w:tr>
      <w:tr>
        <w:trPr>
          <w:trHeight w:val="48"/>
        </w:trPr>
        <w:tc>
          <w:tcPr>
            <w:tcW w:w="1920" w:type="dxa"/>
            <w:vAlign w:val="bottom"/>
          </w:tcPr>
          <w:p>
            <w:pPr>
              <w:spacing w:after="0"/>
              <w:rPr>
                <w:sz w:val="4"/>
                <w:szCs w:val="4"/>
                <w:color w:val="auto"/>
              </w:rPr>
            </w:pPr>
          </w:p>
        </w:tc>
        <w:tc>
          <w:tcPr>
            <w:tcW w:w="1860" w:type="dxa"/>
            <w:vAlign w:val="bottom"/>
            <w:tcBorders>
              <w:top w:val="single" w:sz="8" w:color="auto"/>
            </w:tcBorders>
          </w:tcPr>
          <w:p>
            <w:pPr>
              <w:spacing w:after="0"/>
              <w:rPr>
                <w:sz w:val="4"/>
                <w:szCs w:val="4"/>
                <w:color w:val="auto"/>
              </w:rPr>
            </w:pPr>
          </w:p>
        </w:tc>
        <w:tc>
          <w:tcPr>
            <w:tcW w:w="2060" w:type="dxa"/>
            <w:vAlign w:val="bottom"/>
            <w:tcBorders>
              <w:top w:val="single" w:sz="8" w:color="auto"/>
            </w:tcBorders>
          </w:tcPr>
          <w:p>
            <w:pPr>
              <w:spacing w:after="0"/>
              <w:rPr>
                <w:sz w:val="4"/>
                <w:szCs w:val="4"/>
                <w:color w:val="auto"/>
              </w:rPr>
            </w:pPr>
          </w:p>
        </w:tc>
        <w:tc>
          <w:tcPr>
            <w:tcW w:w="440" w:type="dxa"/>
            <w:vAlign w:val="bottom"/>
            <w:tcBorders>
              <w:top w:val="single" w:sz="8" w:color="auto"/>
            </w:tcBorders>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300" w:type="dxa"/>
            <w:vAlign w:val="bottom"/>
            <w:tcBorders>
              <w:top w:val="single" w:sz="8" w:color="auto"/>
            </w:tcBorders>
          </w:tcPr>
          <w:p>
            <w:pPr>
              <w:spacing w:after="0"/>
              <w:rPr>
                <w:sz w:val="4"/>
                <w:szCs w:val="4"/>
                <w:color w:val="auto"/>
              </w:rPr>
            </w:pPr>
          </w:p>
        </w:tc>
        <w:tc>
          <w:tcPr>
            <w:tcW w:w="140" w:type="dxa"/>
            <w:vAlign w:val="bottom"/>
            <w:tcBorders>
              <w:top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520" w:type="dxa"/>
            <w:vAlign w:val="bottom"/>
          </w:tcPr>
          <w:p>
            <w:pPr>
              <w:spacing w:after="0"/>
              <w:rPr>
                <w:sz w:val="4"/>
                <w:szCs w:val="4"/>
                <w:color w:val="auto"/>
              </w:rPr>
            </w:pPr>
          </w:p>
        </w:tc>
        <w:tc>
          <w:tcPr>
            <w:tcW w:w="6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70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1920" w:type="dxa"/>
            <w:vAlign w:val="bottom"/>
            <w:tcBorders>
              <w:bottom w:val="single" w:sz="8" w:color="DBDBDB"/>
            </w:tcBorders>
            <w:shd w:val="clear" w:color="auto" w:fill="DBDBDB"/>
          </w:tcPr>
          <w:p>
            <w:pPr>
              <w:jc w:val="center"/>
              <w:ind w:right="13"/>
              <w:spacing w:after="0" w:line="202" w:lineRule="exact"/>
              <w:rPr>
                <w:sz w:val="20"/>
                <w:szCs w:val="20"/>
                <w:color w:val="auto"/>
              </w:rPr>
            </w:pPr>
            <w:r>
              <w:rPr>
                <w:rFonts w:ascii="Arial" w:cs="Arial" w:eastAsia="Arial" w:hAnsi="Arial"/>
                <w:sz w:val="18"/>
                <w:szCs w:val="18"/>
                <w:color w:val="auto"/>
                <w:w w:val="98"/>
              </w:rPr>
              <w:t>101.lab</w:t>
            </w:r>
          </w:p>
        </w:tc>
        <w:tc>
          <w:tcPr>
            <w:tcW w:w="4480" w:type="dxa"/>
            <w:vAlign w:val="bottom"/>
            <w:tcBorders>
              <w:bottom w:val="single" w:sz="8" w:color="auto"/>
            </w:tcBorders>
            <w:gridSpan w:val="4"/>
            <w:shd w:val="clear" w:color="auto" w:fill="DBDBDB"/>
          </w:tcPr>
          <w:p>
            <w:pPr>
              <w:spacing w:after="0" w:line="202" w:lineRule="exact"/>
              <w:rPr>
                <w:sz w:val="20"/>
                <w:szCs w:val="20"/>
                <w:color w:val="auto"/>
              </w:rPr>
            </w:pPr>
            <w:r>
              <w:rPr>
                <w:rFonts w:ascii="Arial" w:cs="Arial" w:eastAsia="Arial" w:hAnsi="Arial"/>
                <w:sz w:val="18"/>
                <w:szCs w:val="18"/>
                <w:color w:val="auto"/>
                <w:w w:val="99"/>
              </w:rPr>
              <w:t>XBRL Taxonomy Extension Label Linkbase Document.†</w:t>
            </w:r>
          </w:p>
        </w:tc>
        <w:tc>
          <w:tcPr>
            <w:tcW w:w="4840" w:type="dxa"/>
            <w:vAlign w:val="bottom"/>
            <w:tcBorders>
              <w:bottom w:val="single" w:sz="8" w:color="DBDBDB"/>
            </w:tcBorders>
            <w:gridSpan w:val="12"/>
            <w:shd w:val="clear" w:color="auto" w:fill="DBDBDB"/>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1920" w:type="dxa"/>
            <w:vAlign w:val="bottom"/>
          </w:tcPr>
          <w:p>
            <w:pPr>
              <w:jc w:val="center"/>
              <w:ind w:right="13"/>
              <w:spacing w:after="0" w:line="202" w:lineRule="exact"/>
              <w:rPr>
                <w:sz w:val="20"/>
                <w:szCs w:val="20"/>
                <w:color w:val="auto"/>
              </w:rPr>
            </w:pPr>
            <w:r>
              <w:rPr>
                <w:rFonts w:ascii="Arial" w:cs="Arial" w:eastAsia="Arial" w:hAnsi="Arial"/>
                <w:sz w:val="18"/>
                <w:szCs w:val="18"/>
                <w:color w:val="auto"/>
              </w:rPr>
              <w:t>101.pre</w:t>
            </w:r>
          </w:p>
        </w:tc>
        <w:tc>
          <w:tcPr>
            <w:tcW w:w="9320" w:type="dxa"/>
            <w:vAlign w:val="bottom"/>
            <w:gridSpan w:val="16"/>
          </w:tcPr>
          <w:p>
            <w:pPr>
              <w:spacing w:after="0" w:line="202" w:lineRule="exact"/>
              <w:rPr>
                <w:sz w:val="20"/>
                <w:szCs w:val="20"/>
                <w:color w:val="auto"/>
              </w:rPr>
            </w:pPr>
            <w:r>
              <w:rPr>
                <w:rFonts w:ascii="Arial" w:cs="Arial" w:eastAsia="Arial" w:hAnsi="Arial"/>
                <w:sz w:val="18"/>
                <w:szCs w:val="18"/>
                <w:color w:val="auto"/>
              </w:rPr>
              <w:t>XBRL Taxonomy Extension Presentation Linkbase Document.†</w:t>
            </w:r>
          </w:p>
        </w:tc>
        <w:tc>
          <w:tcPr>
            <w:tcW w:w="0" w:type="dxa"/>
            <w:vAlign w:val="bottom"/>
          </w:tcPr>
          <w:p>
            <w:pPr>
              <w:spacing w:after="0"/>
              <w:rPr>
                <w:sz w:val="1"/>
                <w:szCs w:val="1"/>
                <w:color w:val="auto"/>
              </w:rPr>
            </w:pPr>
          </w:p>
        </w:tc>
      </w:tr>
      <w:tr>
        <w:trPr>
          <w:trHeight w:val="20"/>
        </w:trPr>
        <w:tc>
          <w:tcPr>
            <w:tcW w:w="1920" w:type="dxa"/>
            <w:vAlign w:val="bottom"/>
          </w:tcPr>
          <w:p>
            <w:pPr>
              <w:spacing w:after="0" w:line="20" w:lineRule="exact"/>
              <w:rPr>
                <w:sz w:val="1"/>
                <w:szCs w:val="1"/>
                <w:color w:val="auto"/>
              </w:rPr>
            </w:pPr>
          </w:p>
        </w:tc>
        <w:tc>
          <w:tcPr>
            <w:tcW w:w="1860" w:type="dxa"/>
            <w:vAlign w:val="bottom"/>
            <w:shd w:val="clear" w:color="auto" w:fill="000000"/>
          </w:tcPr>
          <w:p>
            <w:pPr>
              <w:spacing w:after="0" w:line="20" w:lineRule="exact"/>
              <w:rPr>
                <w:sz w:val="1"/>
                <w:szCs w:val="1"/>
                <w:color w:val="auto"/>
              </w:rPr>
            </w:pPr>
          </w:p>
        </w:tc>
        <w:tc>
          <w:tcPr>
            <w:tcW w:w="20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2" w:lineRule="exact"/>
        <w:rPr>
          <w:sz w:val="20"/>
          <w:szCs w:val="20"/>
          <w:color w:val="auto"/>
        </w:rPr>
      </w:pPr>
    </w:p>
    <w:p>
      <w:pPr>
        <w:ind w:left="1920" w:hanging="1158"/>
        <w:spacing w:after="0"/>
        <w:tabs>
          <w:tab w:leader="none" w:pos="1920" w:val="left"/>
        </w:tabs>
        <w:numPr>
          <w:ilvl w:val="1"/>
          <w:numId w:val="16"/>
        </w:numPr>
        <w:rPr>
          <w:rFonts w:ascii="Arial" w:cs="Arial" w:eastAsia="Arial" w:hAnsi="Arial"/>
          <w:sz w:val="18"/>
          <w:szCs w:val="18"/>
          <w:color w:val="auto"/>
        </w:rPr>
      </w:pPr>
      <w:r>
        <w:rPr>
          <w:rFonts w:ascii="Arial" w:cs="Arial" w:eastAsia="Arial" w:hAnsi="Arial"/>
          <w:sz w:val="18"/>
          <w:szCs w:val="18"/>
          <w:u w:val="single" w:color="auto"/>
          <w:color w:val="auto"/>
        </w:rPr>
        <w:t>Cover Page Interactive Data File (embedded within the Inline XBRL document).†</w:t>
      </w:r>
    </w:p>
    <w:p>
      <w:pPr>
        <w:spacing w:after="0" w:line="63" w:lineRule="exact"/>
        <w:rPr>
          <w:rFonts w:ascii="Arial" w:cs="Arial" w:eastAsia="Arial" w:hAnsi="Arial"/>
          <w:sz w:val="18"/>
          <w:szCs w:val="18"/>
          <w:color w:val="auto"/>
        </w:rPr>
      </w:pPr>
    </w:p>
    <w:p>
      <w:pPr>
        <w:ind w:left="180" w:hanging="154"/>
        <w:spacing w:after="0"/>
        <w:tabs>
          <w:tab w:leader="none" w:pos="1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Filed or furnished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86"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Notice regarding forward-looking statements</w:t>
      </w:r>
    </w:p>
    <w:p>
      <w:pPr>
        <w:spacing w:after="0" w:line="225" w:lineRule="exact"/>
        <w:rPr>
          <w:sz w:val="20"/>
          <w:szCs w:val="20"/>
          <w:color w:val="auto"/>
        </w:rPr>
      </w:pPr>
    </w:p>
    <w:p>
      <w:pPr>
        <w:ind w:right="480"/>
        <w:spacing w:after="0" w:line="257" w:lineRule="auto"/>
        <w:rPr>
          <w:sz w:val="20"/>
          <w:szCs w:val="20"/>
          <w:color w:val="auto"/>
        </w:rPr>
      </w:pPr>
      <w:r>
        <w:rPr>
          <w:rFonts w:ascii="Arial" w:cs="Arial" w:eastAsia="Arial" w:hAnsi="Arial"/>
          <w:sz w:val="18"/>
          <w:szCs w:val="18"/>
          <w:color w:val="auto"/>
        </w:rPr>
        <w:t>This report includes forward-looking statements intended to qualify for the safe harbor from liability established by the Private Securities Litigation Reform Act of 1995. These forward-looking statements generally can be identified by phrases such as TI or its management “believes,” “expects,” “anticipates,” “foresees,” “forecasts,” “estimates” or other words or phrases of similar import. Similarly, statements herein that describe TI’s business strategy, outlook, objectives, plans, intentions or goals also are forward-looking statements. All such forward-looking statements are subject to certain risks and uncertainties that could cause actual results to differ materially from those in forward-looking statements.</w:t>
      </w:r>
    </w:p>
    <w:p>
      <w:pPr>
        <w:spacing w:after="0" w:line="182"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We urge you to carefully consider the following important factors that could cause actual results to differ materially from the expectations of TI or our management:</w:t>
      </w:r>
    </w:p>
    <w:p>
      <w:pPr>
        <w:spacing w:after="0" w:line="153" w:lineRule="exact"/>
        <w:rPr>
          <w:sz w:val="20"/>
          <w:szCs w:val="20"/>
          <w:color w:val="auto"/>
        </w:rPr>
      </w:pPr>
    </w:p>
    <w:p>
      <w:pPr>
        <w:ind w:left="620" w:right="340" w:hanging="329"/>
        <w:spacing w:after="0" w:line="287" w:lineRule="auto"/>
        <w:tabs>
          <w:tab w:leader="none" w:pos="615" w:val="left"/>
        </w:tabs>
        <w:numPr>
          <w:ilvl w:val="0"/>
          <w:numId w:val="17"/>
        </w:numPr>
        <w:rPr>
          <w:rFonts w:ascii="Arial" w:cs="Arial" w:eastAsia="Arial" w:hAnsi="Arial"/>
          <w:sz w:val="18"/>
          <w:szCs w:val="18"/>
          <w:color w:val="auto"/>
        </w:rPr>
      </w:pPr>
      <w:r>
        <w:rPr>
          <w:rFonts w:ascii="Arial" w:cs="Arial" w:eastAsia="Arial" w:hAnsi="Arial"/>
          <w:sz w:val="18"/>
          <w:szCs w:val="18"/>
          <w:color w:val="auto"/>
        </w:rPr>
        <w:t>Economic, social and political conditions, and natural events in the countries in which we, our customers or our suppliers operate, including global trade policies;</w:t>
      </w:r>
    </w:p>
    <w:p>
      <w:pPr>
        <w:spacing w:after="0" w:line="44" w:lineRule="exact"/>
        <w:rPr>
          <w:rFonts w:ascii="Arial" w:cs="Arial" w:eastAsia="Arial" w:hAnsi="Arial"/>
          <w:sz w:val="18"/>
          <w:szCs w:val="18"/>
          <w:color w:val="auto"/>
        </w:rPr>
      </w:pPr>
    </w:p>
    <w:p>
      <w:pPr>
        <w:ind w:left="620" w:hanging="329"/>
        <w:spacing w:after="0"/>
        <w:tabs>
          <w:tab w:leader="none" w:pos="6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ability to compete in products and prices in an intensely competitive industry;</w:t>
      </w:r>
    </w:p>
    <w:p>
      <w:pPr>
        <w:spacing w:after="0" w:line="117" w:lineRule="exact"/>
        <w:rPr>
          <w:rFonts w:ascii="Arial" w:cs="Arial" w:eastAsia="Arial" w:hAnsi="Arial"/>
          <w:sz w:val="18"/>
          <w:szCs w:val="18"/>
          <w:color w:val="auto"/>
        </w:rPr>
      </w:pPr>
    </w:p>
    <w:p>
      <w:pPr>
        <w:ind w:left="620" w:right="420" w:hanging="329"/>
        <w:spacing w:after="0" w:line="287" w:lineRule="auto"/>
        <w:tabs>
          <w:tab w:leader="none" w:pos="615" w:val="left"/>
        </w:tabs>
        <w:numPr>
          <w:ilvl w:val="0"/>
          <w:numId w:val="17"/>
        </w:numPr>
        <w:rPr>
          <w:rFonts w:ascii="Arial" w:cs="Arial" w:eastAsia="Arial" w:hAnsi="Arial"/>
          <w:sz w:val="18"/>
          <w:szCs w:val="18"/>
          <w:color w:val="auto"/>
        </w:rPr>
      </w:pPr>
      <w:r>
        <w:rPr>
          <w:rFonts w:ascii="Arial" w:cs="Arial" w:eastAsia="Arial" w:hAnsi="Arial"/>
          <w:sz w:val="18"/>
          <w:szCs w:val="18"/>
          <w:color w:val="auto"/>
        </w:rPr>
        <w:t>Market demand for semiconductors, particularly in the industrial and automotive markets, and customer demand that differs from forecasts;</w:t>
      </w:r>
    </w:p>
    <w:p>
      <w:pPr>
        <w:spacing w:after="0" w:line="44" w:lineRule="exact"/>
        <w:rPr>
          <w:rFonts w:ascii="Arial" w:cs="Arial" w:eastAsia="Arial" w:hAnsi="Arial"/>
          <w:sz w:val="18"/>
          <w:szCs w:val="18"/>
          <w:color w:val="auto"/>
        </w:rPr>
      </w:pPr>
    </w:p>
    <w:p>
      <w:pPr>
        <w:ind w:left="620" w:hanging="329"/>
        <w:spacing w:after="0"/>
        <w:tabs>
          <w:tab w:leader="none" w:pos="6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Losses or curtailments of purchases from key customers or the timing and amount of customer inventory adjustments;</w:t>
      </w:r>
    </w:p>
    <w:p>
      <w:pPr>
        <w:spacing w:after="0" w:line="117" w:lineRule="exact"/>
        <w:rPr>
          <w:rFonts w:ascii="Arial" w:cs="Arial" w:eastAsia="Arial" w:hAnsi="Arial"/>
          <w:sz w:val="18"/>
          <w:szCs w:val="18"/>
          <w:color w:val="auto"/>
        </w:rPr>
      </w:pPr>
    </w:p>
    <w:p>
      <w:pPr>
        <w:ind w:left="620" w:right="440" w:hanging="329"/>
        <w:spacing w:after="0" w:line="287" w:lineRule="auto"/>
        <w:tabs>
          <w:tab w:leader="none" w:pos="615" w:val="left"/>
        </w:tabs>
        <w:numPr>
          <w:ilvl w:val="0"/>
          <w:numId w:val="17"/>
        </w:numPr>
        <w:rPr>
          <w:rFonts w:ascii="Arial" w:cs="Arial" w:eastAsia="Arial" w:hAnsi="Arial"/>
          <w:sz w:val="18"/>
          <w:szCs w:val="18"/>
          <w:color w:val="auto"/>
        </w:rPr>
      </w:pPr>
      <w:r>
        <w:rPr>
          <w:rFonts w:ascii="Arial" w:cs="Arial" w:eastAsia="Arial" w:hAnsi="Arial"/>
          <w:sz w:val="18"/>
          <w:szCs w:val="18"/>
          <w:color w:val="auto"/>
        </w:rPr>
        <w:t>Evolving cybersecurity and other threats relating to our information technology systems or those of our customers, suppliers and other third parties;</w:t>
      </w:r>
    </w:p>
    <w:p>
      <w:pPr>
        <w:spacing w:after="0" w:line="44" w:lineRule="exact"/>
        <w:rPr>
          <w:rFonts w:ascii="Arial" w:cs="Arial" w:eastAsia="Arial" w:hAnsi="Arial"/>
          <w:sz w:val="18"/>
          <w:szCs w:val="18"/>
          <w:color w:val="auto"/>
        </w:rPr>
      </w:pPr>
    </w:p>
    <w:p>
      <w:pPr>
        <w:ind w:left="620" w:right="220" w:hanging="329"/>
        <w:spacing w:after="0" w:line="287" w:lineRule="auto"/>
        <w:tabs>
          <w:tab w:leader="none" w:pos="615"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ability to successfully implement and realize opportunities from strategic, business and organizational changes, or our ability to realize our expectations regarding the amount and timing of associated restructuring charges and cost savings;</w:t>
      </w:r>
    </w:p>
    <w:p>
      <w:pPr>
        <w:spacing w:after="0" w:line="44" w:lineRule="exact"/>
        <w:rPr>
          <w:rFonts w:ascii="Arial" w:cs="Arial" w:eastAsia="Arial" w:hAnsi="Arial"/>
          <w:sz w:val="18"/>
          <w:szCs w:val="18"/>
          <w:color w:val="auto"/>
        </w:rPr>
      </w:pPr>
    </w:p>
    <w:p>
      <w:pPr>
        <w:ind w:left="620" w:right="260" w:hanging="329"/>
        <w:spacing w:after="0" w:line="268" w:lineRule="auto"/>
        <w:tabs>
          <w:tab w:leader="none" w:pos="615"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ability to develop, manufacture and market innovative products in a rapidly changing technological environment, our timely implementation of new manufacturing technologies and installation of manufacturing equipment, and our ability to realize expected returns on significant investments in manufacturing capacity;</w:t>
      </w:r>
    </w:p>
    <w:p>
      <w:pPr>
        <w:spacing w:after="0" w:line="62" w:lineRule="exact"/>
        <w:rPr>
          <w:rFonts w:ascii="Arial" w:cs="Arial" w:eastAsia="Arial" w:hAnsi="Arial"/>
          <w:sz w:val="18"/>
          <w:szCs w:val="18"/>
          <w:color w:val="auto"/>
        </w:rPr>
      </w:pPr>
    </w:p>
    <w:p>
      <w:pPr>
        <w:ind w:left="620" w:right="620" w:hanging="329"/>
        <w:spacing w:after="0" w:line="287" w:lineRule="auto"/>
        <w:tabs>
          <w:tab w:leader="none" w:pos="615" w:val="left"/>
        </w:tabs>
        <w:numPr>
          <w:ilvl w:val="0"/>
          <w:numId w:val="17"/>
        </w:numPr>
        <w:rPr>
          <w:rFonts w:ascii="Arial" w:cs="Arial" w:eastAsia="Arial" w:hAnsi="Arial"/>
          <w:sz w:val="18"/>
          <w:szCs w:val="18"/>
          <w:color w:val="auto"/>
        </w:rPr>
      </w:pPr>
      <w:r>
        <w:rPr>
          <w:rFonts w:ascii="Arial" w:cs="Arial" w:eastAsia="Arial" w:hAnsi="Arial"/>
          <w:sz w:val="18"/>
          <w:szCs w:val="18"/>
          <w:color w:val="auto"/>
        </w:rPr>
        <w:t>Availability and cost of key materials, utilities, manufacturing equipment, third-party manufacturing services and manufacturing technology;</w:t>
      </w:r>
    </w:p>
    <w:p>
      <w:pPr>
        <w:spacing w:after="0" w:line="44" w:lineRule="exact"/>
        <w:rPr>
          <w:rFonts w:ascii="Arial" w:cs="Arial" w:eastAsia="Arial" w:hAnsi="Arial"/>
          <w:sz w:val="18"/>
          <w:szCs w:val="18"/>
          <w:color w:val="auto"/>
        </w:rPr>
      </w:pPr>
    </w:p>
    <w:p>
      <w:pPr>
        <w:ind w:left="620" w:hanging="329"/>
        <w:spacing w:after="0"/>
        <w:tabs>
          <w:tab w:leader="none" w:pos="6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ability to retain, train and recruit skilled personnel and effectively manage key employee succession;</w:t>
      </w:r>
    </w:p>
    <w:p>
      <w:pPr>
        <w:spacing w:after="0" w:line="117" w:lineRule="exact"/>
        <w:rPr>
          <w:rFonts w:ascii="Arial" w:cs="Arial" w:eastAsia="Arial" w:hAnsi="Arial"/>
          <w:sz w:val="18"/>
          <w:szCs w:val="18"/>
          <w:color w:val="auto"/>
        </w:rPr>
      </w:pPr>
    </w:p>
    <w:p>
      <w:pPr>
        <w:ind w:left="620" w:right="1200" w:hanging="329"/>
        <w:spacing w:after="0" w:line="287" w:lineRule="auto"/>
        <w:tabs>
          <w:tab w:leader="none" w:pos="615"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Product liability, warranty or other claims relating to our products, software, manufacturing, delivery, services, design or communications, or recalls by our customers for a product containing one of our parts;</w:t>
      </w:r>
    </w:p>
    <w:p>
      <w:pPr>
        <w:spacing w:after="0" w:line="44" w:lineRule="exact"/>
        <w:rPr>
          <w:rFonts w:ascii="Arial" w:cs="Arial" w:eastAsia="Arial" w:hAnsi="Arial"/>
          <w:sz w:val="18"/>
          <w:szCs w:val="18"/>
          <w:color w:val="auto"/>
        </w:rPr>
      </w:pPr>
    </w:p>
    <w:p>
      <w:pPr>
        <w:ind w:left="620" w:right="660" w:hanging="329"/>
        <w:spacing w:after="0" w:line="287" w:lineRule="auto"/>
        <w:tabs>
          <w:tab w:leader="none" w:pos="615" w:val="left"/>
        </w:tabs>
        <w:numPr>
          <w:ilvl w:val="0"/>
          <w:numId w:val="17"/>
        </w:numPr>
        <w:rPr>
          <w:rFonts w:ascii="Arial" w:cs="Arial" w:eastAsia="Arial" w:hAnsi="Arial"/>
          <w:sz w:val="18"/>
          <w:szCs w:val="18"/>
          <w:color w:val="auto"/>
        </w:rPr>
      </w:pPr>
      <w:r>
        <w:rPr>
          <w:rFonts w:ascii="Arial" w:cs="Arial" w:eastAsia="Arial" w:hAnsi="Arial"/>
          <w:sz w:val="18"/>
          <w:szCs w:val="18"/>
          <w:color w:val="auto"/>
        </w:rPr>
        <w:t>Financial difficulties of our distributors or semiconductor distributors’ promotion of competing product lines to our detriment; or disputes with current or former distributors;</w:t>
      </w:r>
    </w:p>
    <w:p>
      <w:pPr>
        <w:spacing w:after="0" w:line="44" w:lineRule="exact"/>
        <w:rPr>
          <w:rFonts w:ascii="Arial" w:cs="Arial" w:eastAsia="Arial" w:hAnsi="Arial"/>
          <w:sz w:val="18"/>
          <w:szCs w:val="18"/>
          <w:color w:val="auto"/>
        </w:rPr>
      </w:pPr>
    </w:p>
    <w:p>
      <w:pPr>
        <w:ind w:left="620" w:right="160" w:hanging="329"/>
        <w:spacing w:after="0" w:line="287" w:lineRule="auto"/>
        <w:tabs>
          <w:tab w:leader="none" w:pos="615"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ability to maintain or improve profit margins, including our ability to utilize our manufacturing facilities at sufficient levels to cover our fixed operating costs, in an intensely competitive and cyclical industry and changing regulatory environment;</w:t>
      </w:r>
    </w:p>
    <w:p>
      <w:pPr>
        <w:spacing w:after="0" w:line="44" w:lineRule="exact"/>
        <w:rPr>
          <w:rFonts w:ascii="Arial" w:cs="Arial" w:eastAsia="Arial" w:hAnsi="Arial"/>
          <w:sz w:val="18"/>
          <w:szCs w:val="18"/>
          <w:color w:val="auto"/>
        </w:rPr>
      </w:pPr>
    </w:p>
    <w:p>
      <w:pPr>
        <w:jc w:val="both"/>
        <w:ind w:left="620" w:right="680" w:hanging="329"/>
        <w:spacing w:after="0" w:line="287" w:lineRule="auto"/>
        <w:tabs>
          <w:tab w:leader="none" w:pos="615"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Compliance with or changes in the complex laws, rules and regulations to which we are or may become subject, or actions of enforcement authorities, that restrict our ability to operate our business or subject us to fines, penalties or other legal liability;</w:t>
      </w:r>
    </w:p>
    <w:p>
      <w:pPr>
        <w:spacing w:after="0" w:line="44" w:lineRule="exact"/>
        <w:rPr>
          <w:rFonts w:ascii="Arial" w:cs="Arial" w:eastAsia="Arial" w:hAnsi="Arial"/>
          <w:sz w:val="18"/>
          <w:szCs w:val="18"/>
          <w:color w:val="auto"/>
        </w:rPr>
      </w:pPr>
    </w:p>
    <w:p>
      <w:pPr>
        <w:ind w:left="620" w:right="320" w:hanging="329"/>
        <w:spacing w:after="0" w:line="268" w:lineRule="auto"/>
        <w:tabs>
          <w:tab w:leader="none" w:pos="615"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in tax law and accounting standards that impact the tax rate applicable to us, the jurisdictions in which profits are determined to be earned and taxed, adverse resolution of tax audits, increases in tariff rates, and the ability to realize deferred tax assets;</w:t>
      </w:r>
    </w:p>
    <w:p>
      <w:pPr>
        <w:spacing w:after="0" w:line="62" w:lineRule="exact"/>
        <w:rPr>
          <w:rFonts w:ascii="Arial" w:cs="Arial" w:eastAsia="Arial" w:hAnsi="Arial"/>
          <w:sz w:val="18"/>
          <w:szCs w:val="18"/>
          <w:color w:val="auto"/>
        </w:rPr>
      </w:pPr>
    </w:p>
    <w:p>
      <w:pPr>
        <w:ind w:left="620" w:right="140" w:hanging="329"/>
        <w:spacing w:after="0" w:line="287" w:lineRule="auto"/>
        <w:tabs>
          <w:tab w:leader="none" w:pos="615"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ability to maintain and enforce a strong intellectual property portfolio and maintain freedom of operation in all jurisdictions where we conduct business; or our exposure to infringement claims;</w:t>
      </w:r>
    </w:p>
    <w:p>
      <w:pPr>
        <w:spacing w:after="0" w:line="44" w:lineRule="exact"/>
        <w:rPr>
          <w:rFonts w:ascii="Arial" w:cs="Arial" w:eastAsia="Arial" w:hAnsi="Arial"/>
          <w:sz w:val="18"/>
          <w:szCs w:val="18"/>
          <w:color w:val="auto"/>
        </w:rPr>
      </w:pPr>
    </w:p>
    <w:p>
      <w:pPr>
        <w:ind w:left="620" w:hanging="329"/>
        <w:spacing w:after="0"/>
        <w:tabs>
          <w:tab w:leader="none" w:pos="6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ability to make principal and interest payments on our debt when due;</w:t>
      </w:r>
    </w:p>
    <w:p>
      <w:pPr>
        <w:spacing w:after="0" w:line="117" w:lineRule="exact"/>
        <w:rPr>
          <w:rFonts w:ascii="Arial" w:cs="Arial" w:eastAsia="Arial" w:hAnsi="Arial"/>
          <w:sz w:val="18"/>
          <w:szCs w:val="18"/>
          <w:color w:val="auto"/>
        </w:rPr>
      </w:pPr>
    </w:p>
    <w:p>
      <w:pPr>
        <w:ind w:left="620" w:hanging="329"/>
        <w:spacing w:after="0"/>
        <w:tabs>
          <w:tab w:leader="none" w:pos="6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Instability in the global credit and financial markets; and</w:t>
      </w:r>
    </w:p>
    <w:p>
      <w:pPr>
        <w:spacing w:after="0" w:line="117" w:lineRule="exact"/>
        <w:rPr>
          <w:rFonts w:ascii="Arial" w:cs="Arial" w:eastAsia="Arial" w:hAnsi="Arial"/>
          <w:sz w:val="18"/>
          <w:szCs w:val="18"/>
          <w:color w:val="auto"/>
        </w:rPr>
      </w:pPr>
    </w:p>
    <w:p>
      <w:pPr>
        <w:ind w:left="620" w:hanging="329"/>
        <w:spacing w:after="0"/>
        <w:tabs>
          <w:tab w:leader="none" w:pos="6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Impairments of our non-financial assets.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25" w:name="page26"/>
    <w:bookmarkEnd w:id="25"/>
    <w:p>
      <w:pPr>
        <w:spacing w:after="0" w:line="262" w:lineRule="auto"/>
        <w:rPr>
          <w:sz w:val="20"/>
          <w:szCs w:val="20"/>
          <w:color w:val="auto"/>
        </w:rPr>
      </w:pPr>
      <w:r>
        <w:rPr>
          <w:rFonts w:ascii="Arial" w:cs="Arial" w:eastAsia="Arial" w:hAnsi="Arial"/>
          <w:sz w:val="18"/>
          <w:szCs w:val="18"/>
          <w:color w:val="auto"/>
        </w:rPr>
        <w:t>For a more detailed discussion of these factors, see the Risk factors discussion in Item 1A of our most recent Form 10-K. The forward-looking statements included in this report are made only as of the date of this report, and we undertake no obligation to update the forward-looking statements to reflect subsequent events or circumstances. If we do update any forward-looking statement, you should not infer that we will make additional updates with respect to that statement or any other forward-looking statement.</w:t>
      </w:r>
    </w:p>
    <w:p>
      <w:pPr>
        <w:spacing w:after="0" w:line="200" w:lineRule="exact"/>
        <w:rPr>
          <w:sz w:val="20"/>
          <w:szCs w:val="20"/>
          <w:color w:val="auto"/>
        </w:rPr>
      </w:pPr>
    </w:p>
    <w:p>
      <w:pPr>
        <w:spacing w:after="0" w:line="31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1106" w:right="519" w:bottom="1440" w:gutter="0" w:footer="0" w:header="0"/>
        </w:sectPr>
      </w:pPr>
    </w:p>
    <w:bookmarkStart w:id="26" w:name="page27"/>
    <w:bookmarkEnd w:id="26"/>
    <w:p>
      <w:pPr>
        <w:jc w:val="center"/>
        <w:ind w:right="-59"/>
        <w:spacing w:after="0"/>
        <w:rPr>
          <w:sz w:val="20"/>
          <w:szCs w:val="20"/>
          <w:color w:val="auto"/>
        </w:rPr>
      </w:pPr>
      <w:r>
        <w:rPr>
          <w:rFonts w:ascii="Arial" w:cs="Arial" w:eastAsia="Arial" w:hAnsi="Arial"/>
          <w:sz w:val="18"/>
          <w:szCs w:val="18"/>
          <w:color w:val="auto"/>
        </w:rPr>
        <w:t>SIGNATURE</w:t>
      </w:r>
    </w:p>
    <w:p>
      <w:pPr>
        <w:spacing w:after="0" w:line="200" w:lineRule="exact"/>
        <w:rPr>
          <w:sz w:val="20"/>
          <w:szCs w:val="20"/>
          <w:color w:val="auto"/>
        </w:rPr>
      </w:pPr>
    </w:p>
    <w:p>
      <w:pPr>
        <w:spacing w:after="0" w:line="201"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82" w:lineRule="exact"/>
        <w:rPr>
          <w:sz w:val="20"/>
          <w:szCs w:val="20"/>
          <w:color w:val="auto"/>
        </w:rPr>
      </w:pPr>
    </w:p>
    <w:p>
      <w:pPr>
        <w:ind w:left="6940"/>
        <w:spacing w:after="0"/>
        <w:rPr>
          <w:sz w:val="20"/>
          <w:szCs w:val="20"/>
          <w:color w:val="auto"/>
        </w:rPr>
      </w:pPr>
      <w:r>
        <w:rPr>
          <w:rFonts w:ascii="Arial" w:cs="Arial" w:eastAsia="Arial" w:hAnsi="Arial"/>
          <w:sz w:val="18"/>
          <w:szCs w:val="18"/>
          <w:color w:val="auto"/>
        </w:rPr>
        <w:t>TEXAS INSTRUMENTS INCORPORATED</w:t>
      </w:r>
    </w:p>
    <w:p>
      <w:pPr>
        <w:spacing w:after="0" w:line="293" w:lineRule="exact"/>
        <w:rPr>
          <w:sz w:val="20"/>
          <w:szCs w:val="20"/>
          <w:color w:val="auto"/>
        </w:rPr>
      </w:pPr>
    </w:p>
    <w:p>
      <w:pPr>
        <w:ind w:left="6120"/>
        <w:spacing w:after="0"/>
        <w:tabs>
          <w:tab w:leader="none" w:pos="79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Rafael R. Lizardi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4162425</wp:posOffset>
            </wp:positionH>
            <wp:positionV relativeFrom="paragraph">
              <wp:posOffset>17780</wp:posOffset>
            </wp:positionV>
            <wp:extent cx="295783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7">
                      <a:extLst>
                        <a:ext uri="{28A0092B-C50C-407E-A947-70E740481C1C}"/>
                      </a:extLst>
                    </a:blip>
                    <a:srcRect/>
                    <a:stretch>
                      <a:fillRect/>
                    </a:stretch>
                  </pic:blipFill>
                  <pic:spPr bwMode="auto">
                    <a:xfrm>
                      <a:off x="0" y="0"/>
                      <a:ext cx="2957830" cy="8255"/>
                    </a:xfrm>
                    <a:prstGeom prst="rect">
                      <a:avLst/>
                    </a:prstGeom>
                    <a:noFill/>
                  </pic:spPr>
                </pic:pic>
              </a:graphicData>
            </a:graphic>
          </wp:anchor>
        </w:drawing>
      </w:r>
    </w:p>
    <w:p>
      <w:pPr>
        <w:spacing w:after="0" w:line="3" w:lineRule="exact"/>
        <w:rPr>
          <w:sz w:val="20"/>
          <w:szCs w:val="20"/>
          <w:color w:val="auto"/>
        </w:rPr>
      </w:pPr>
    </w:p>
    <w:p>
      <w:pPr>
        <w:jc w:val="center"/>
        <w:ind w:left="6520"/>
        <w:spacing w:after="0"/>
        <w:rPr>
          <w:sz w:val="20"/>
          <w:szCs w:val="20"/>
          <w:color w:val="auto"/>
        </w:rPr>
      </w:pPr>
      <w:r>
        <w:rPr>
          <w:rFonts w:ascii="Arial" w:cs="Arial" w:eastAsia="Arial" w:hAnsi="Arial"/>
          <w:sz w:val="18"/>
          <w:szCs w:val="18"/>
          <w:b w:val="1"/>
          <w:bCs w:val="1"/>
          <w:color w:val="auto"/>
        </w:rPr>
        <w:t xml:space="preserve">Rafael R. Lizardi, </w:t>
      </w:r>
      <w:r>
        <w:rPr>
          <w:rFonts w:ascii="Arial" w:cs="Arial" w:eastAsia="Arial" w:hAnsi="Arial"/>
          <w:sz w:val="18"/>
          <w:szCs w:val="18"/>
          <w:color w:val="auto"/>
        </w:rPr>
        <w:t>Senior Vice President and Chief</w:t>
      </w:r>
    </w:p>
    <w:p>
      <w:pPr>
        <w:jc w:val="center"/>
        <w:ind w:left="6520"/>
        <w:spacing w:after="0"/>
        <w:rPr>
          <w:sz w:val="20"/>
          <w:szCs w:val="20"/>
          <w:color w:val="auto"/>
        </w:rPr>
      </w:pPr>
      <w:r>
        <w:rPr>
          <w:rFonts w:ascii="Arial" w:cs="Arial" w:eastAsia="Arial" w:hAnsi="Arial"/>
          <w:sz w:val="18"/>
          <w:szCs w:val="18"/>
          <w:color w:val="auto"/>
        </w:rPr>
        <w:t>Financial Officer</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color w:val="auto"/>
        </w:rPr>
        <w:t>Date: April 24, 2026</w:t>
      </w:r>
    </w:p>
    <w:p>
      <w:pPr>
        <w:sectPr>
          <w:pgSz w:w="11900" w:h="16838" w:orient="portrait"/>
          <w:cols w:equalWidth="0" w:num="1">
            <w:col w:w="11200"/>
          </w:cols>
          <w:pgMar w:left="320" w:top="890" w:right="379" w:bottom="1440" w:gutter="0" w:footer="0" w:header="0"/>
        </w:sectPr>
      </w:pPr>
    </w:p>
    <w:bookmarkStart w:id="27" w:name="page28"/>
    <w:bookmarkEnd w:id="27"/>
    <w:p>
      <w:pPr>
        <w:jc w:val="right"/>
        <w:spacing w:after="0"/>
        <w:rPr>
          <w:sz w:val="20"/>
          <w:szCs w:val="20"/>
          <w:color w:val="auto"/>
        </w:rPr>
      </w:pPr>
      <w:r>
        <w:rPr>
          <w:rFonts w:ascii="Arial" w:cs="Arial" w:eastAsia="Arial" w:hAnsi="Arial"/>
          <w:sz w:val="18"/>
          <w:szCs w:val="18"/>
          <w:u w:val="single" w:color="auto"/>
          <w:color w:val="auto"/>
        </w:rPr>
        <w:t>Exhibit 31(a)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Haviv Ilan, certify that:</w:t>
      </w:r>
    </w:p>
    <w:p>
      <w:pPr>
        <w:spacing w:after="0" w:line="212" w:lineRule="exact"/>
        <w:rPr>
          <w:sz w:val="20"/>
          <w:szCs w:val="20"/>
          <w:color w:val="auto"/>
        </w:rPr>
      </w:pPr>
    </w:p>
    <w:p>
      <w:pPr>
        <w:ind w:left="480" w:hanging="472"/>
        <w:spacing w:after="0"/>
        <w:tabs>
          <w:tab w:leader="none" w:pos="4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 have reviewed this report on Form 10-Q of Texas Instruments Incorporated;</w:t>
      </w:r>
    </w:p>
    <w:p>
      <w:pPr>
        <w:spacing w:after="0" w:line="184" w:lineRule="exact"/>
        <w:rPr>
          <w:rFonts w:ascii="Arial" w:cs="Arial" w:eastAsia="Arial" w:hAnsi="Arial"/>
          <w:sz w:val="18"/>
          <w:szCs w:val="18"/>
          <w:color w:val="auto"/>
        </w:rPr>
      </w:pPr>
    </w:p>
    <w:p>
      <w:pPr>
        <w:ind w:left="500" w:right="120" w:hanging="492"/>
        <w:spacing w:after="0" w:line="233" w:lineRule="auto"/>
        <w:tabs>
          <w:tab w:leader="none" w:pos="488" w:val="left"/>
        </w:tabs>
        <w:numPr>
          <w:ilvl w:val="0"/>
          <w:numId w:val="1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3" w:lineRule="exact"/>
        <w:rPr>
          <w:rFonts w:ascii="Arial" w:cs="Arial" w:eastAsia="Arial" w:hAnsi="Arial"/>
          <w:sz w:val="18"/>
          <w:szCs w:val="18"/>
          <w:color w:val="auto"/>
        </w:rPr>
      </w:pPr>
    </w:p>
    <w:p>
      <w:pPr>
        <w:ind w:left="500" w:hanging="492"/>
        <w:spacing w:after="0" w:line="285" w:lineRule="auto"/>
        <w:tabs>
          <w:tab w:leader="none" w:pos="488" w:val="left"/>
        </w:tabs>
        <w:numPr>
          <w:ilvl w:val="0"/>
          <w:numId w:val="1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7"/>
          <w:szCs w:val="17"/>
          <w:color w:val="auto"/>
        </w:rPr>
      </w:pPr>
    </w:p>
    <w:p>
      <w:pPr>
        <w:ind w:left="500" w:right="100" w:hanging="492"/>
        <w:spacing w:after="0" w:line="233" w:lineRule="auto"/>
        <w:tabs>
          <w:tab w:leader="none" w:pos="488"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6" w:lineRule="exact"/>
        <w:rPr>
          <w:rFonts w:ascii="Arial" w:cs="Arial" w:eastAsia="Arial" w:hAnsi="Arial"/>
          <w:sz w:val="18"/>
          <w:szCs w:val="18"/>
          <w:color w:val="auto"/>
        </w:rPr>
      </w:pPr>
    </w:p>
    <w:p>
      <w:pPr>
        <w:ind w:left="980" w:right="20" w:hanging="486"/>
        <w:spacing w:after="0" w:line="268" w:lineRule="auto"/>
        <w:tabs>
          <w:tab w:leader="none" w:pos="97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0" w:lineRule="exact"/>
        <w:rPr>
          <w:rFonts w:ascii="Arial" w:cs="Arial" w:eastAsia="Arial" w:hAnsi="Arial"/>
          <w:sz w:val="18"/>
          <w:szCs w:val="18"/>
          <w:color w:val="auto"/>
        </w:rPr>
      </w:pPr>
    </w:p>
    <w:p>
      <w:pPr>
        <w:ind w:left="980" w:right="320" w:hanging="486"/>
        <w:spacing w:after="0" w:line="268" w:lineRule="auto"/>
        <w:tabs>
          <w:tab w:leader="none" w:pos="97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0" w:lineRule="exact"/>
        <w:rPr>
          <w:rFonts w:ascii="Arial" w:cs="Arial" w:eastAsia="Arial" w:hAnsi="Arial"/>
          <w:sz w:val="18"/>
          <w:szCs w:val="18"/>
          <w:color w:val="auto"/>
        </w:rPr>
      </w:pPr>
    </w:p>
    <w:p>
      <w:pPr>
        <w:jc w:val="both"/>
        <w:ind w:left="980" w:right="260" w:hanging="486"/>
        <w:spacing w:after="0" w:line="268" w:lineRule="auto"/>
        <w:tabs>
          <w:tab w:leader="none" w:pos="974" w:val="left"/>
        </w:tabs>
        <w:numPr>
          <w:ilvl w:val="1"/>
          <w:numId w:val="1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18"/>
          <w:szCs w:val="18"/>
          <w:color w:val="auto"/>
        </w:rPr>
      </w:pPr>
    </w:p>
    <w:p>
      <w:pPr>
        <w:ind w:left="980" w:right="80" w:hanging="486"/>
        <w:spacing w:after="0" w:line="268" w:lineRule="auto"/>
        <w:tabs>
          <w:tab w:leader="none" w:pos="97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7" w:lineRule="exact"/>
        <w:rPr>
          <w:rFonts w:ascii="Arial" w:cs="Arial" w:eastAsia="Arial" w:hAnsi="Arial"/>
          <w:sz w:val="18"/>
          <w:szCs w:val="18"/>
          <w:color w:val="auto"/>
        </w:rPr>
      </w:pPr>
    </w:p>
    <w:p>
      <w:pPr>
        <w:ind w:left="500" w:right="300" w:hanging="492"/>
        <w:spacing w:after="0" w:line="233" w:lineRule="auto"/>
        <w:tabs>
          <w:tab w:leader="none" w:pos="488"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6" w:lineRule="exact"/>
        <w:rPr>
          <w:rFonts w:ascii="Arial" w:cs="Arial" w:eastAsia="Arial" w:hAnsi="Arial"/>
          <w:sz w:val="18"/>
          <w:szCs w:val="18"/>
          <w:color w:val="auto"/>
        </w:rPr>
      </w:pPr>
    </w:p>
    <w:p>
      <w:pPr>
        <w:ind w:left="980" w:right="260" w:hanging="486"/>
        <w:spacing w:after="0" w:line="268" w:lineRule="auto"/>
        <w:tabs>
          <w:tab w:leader="none" w:pos="970" w:val="left"/>
        </w:tabs>
        <w:numPr>
          <w:ilvl w:val="1"/>
          <w:numId w:val="1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980" w:right="180" w:hanging="486"/>
        <w:spacing w:after="0" w:line="287" w:lineRule="auto"/>
        <w:tabs>
          <w:tab w:leader="none" w:pos="970" w:val="left"/>
        </w:tabs>
        <w:numPr>
          <w:ilvl w:val="1"/>
          <w:numId w:val="1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Date: April 24, 2026</w:t>
      </w:r>
    </w:p>
    <w:p>
      <w:pPr>
        <w:spacing w:after="0" w:line="266" w:lineRule="exact"/>
        <w:rPr>
          <w:sz w:val="20"/>
          <w:szCs w:val="20"/>
          <w:color w:val="auto"/>
        </w:rPr>
      </w:pPr>
    </w:p>
    <w:p>
      <w:pPr>
        <w:ind w:left="9180"/>
        <w:spacing w:after="0"/>
        <w:rPr>
          <w:sz w:val="20"/>
          <w:szCs w:val="20"/>
          <w:color w:val="auto"/>
        </w:rPr>
      </w:pPr>
      <w:r>
        <w:rPr>
          <w:rFonts w:ascii="Arial" w:cs="Arial" w:eastAsia="Arial" w:hAnsi="Arial"/>
          <w:sz w:val="18"/>
          <w:szCs w:val="18"/>
          <w:color w:val="auto"/>
        </w:rPr>
        <w:t>/s/ Haviv Ilan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5173980</wp:posOffset>
            </wp:positionH>
            <wp:positionV relativeFrom="paragraph">
              <wp:posOffset>17780</wp:posOffset>
            </wp:positionV>
            <wp:extent cx="196278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8">
                      <a:extLst>
                        <a:ext uri="{28A0092B-C50C-407E-A947-70E740481C1C}"/>
                      </a:extLst>
                    </a:blip>
                    <a:srcRect/>
                    <a:stretch>
                      <a:fillRect/>
                    </a:stretch>
                  </pic:blipFill>
                  <pic:spPr bwMode="auto">
                    <a:xfrm>
                      <a:off x="0" y="0"/>
                      <a:ext cx="1962785" cy="8255"/>
                    </a:xfrm>
                    <a:prstGeom prst="rect">
                      <a:avLst/>
                    </a:prstGeom>
                    <a:noFill/>
                  </pic:spPr>
                </pic:pic>
              </a:graphicData>
            </a:graphic>
          </wp:anchor>
        </w:drawing>
      </w:r>
    </w:p>
    <w:p>
      <w:pPr>
        <w:spacing w:after="0" w:line="3" w:lineRule="exact"/>
        <w:rPr>
          <w:sz w:val="20"/>
          <w:szCs w:val="20"/>
          <w:color w:val="auto"/>
        </w:rPr>
      </w:pPr>
    </w:p>
    <w:p>
      <w:pPr>
        <w:ind w:left="9300"/>
        <w:spacing w:after="0"/>
        <w:rPr>
          <w:sz w:val="20"/>
          <w:szCs w:val="20"/>
          <w:color w:val="auto"/>
        </w:rPr>
      </w:pPr>
      <w:r>
        <w:rPr>
          <w:rFonts w:ascii="Arial" w:cs="Arial" w:eastAsia="Arial" w:hAnsi="Arial"/>
          <w:sz w:val="18"/>
          <w:szCs w:val="18"/>
          <w:color w:val="auto"/>
        </w:rPr>
        <w:t>Haviv Ilan</w:t>
      </w:r>
    </w:p>
    <w:p>
      <w:pPr>
        <w:jc w:val="right"/>
        <w:ind w:right="580"/>
        <w:spacing w:after="0" w:line="219" w:lineRule="auto"/>
        <w:rPr>
          <w:sz w:val="20"/>
          <w:szCs w:val="20"/>
          <w:color w:val="auto"/>
        </w:rPr>
      </w:pPr>
      <w:r>
        <w:rPr>
          <w:rFonts w:ascii="Arial" w:cs="Arial" w:eastAsia="Arial" w:hAnsi="Arial"/>
          <w:sz w:val="18"/>
          <w:szCs w:val="18"/>
          <w:color w:val="auto"/>
        </w:rPr>
        <w:t>Chairman, President and</w:t>
      </w:r>
    </w:p>
    <w:p>
      <w:pPr>
        <w:jc w:val="right"/>
        <w:ind w:right="64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240"/>
          </w:cols>
          <w:pgMar w:left="320" w:top="890" w:right="339" w:bottom="1440" w:gutter="0" w:footer="0" w:header="0"/>
        </w:sectPr>
      </w:pPr>
    </w:p>
    <w:bookmarkStart w:id="28" w:name="page29"/>
    <w:bookmarkEnd w:id="28"/>
    <w:p>
      <w:pPr>
        <w:jc w:val="right"/>
        <w:spacing w:after="0"/>
        <w:rPr>
          <w:sz w:val="20"/>
          <w:szCs w:val="20"/>
          <w:color w:val="auto"/>
        </w:rPr>
      </w:pPr>
      <w:r>
        <w:rPr>
          <w:rFonts w:ascii="Arial" w:cs="Arial" w:eastAsia="Arial" w:hAnsi="Arial"/>
          <w:sz w:val="18"/>
          <w:szCs w:val="18"/>
          <w:u w:val="single" w:color="auto"/>
          <w:color w:val="auto"/>
        </w:rPr>
        <w:t>Exhibit 31(b)</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Rafael R. Lizardi, certify that:</w:t>
      </w:r>
    </w:p>
    <w:p>
      <w:pPr>
        <w:spacing w:after="0" w:line="212" w:lineRule="exact"/>
        <w:rPr>
          <w:sz w:val="20"/>
          <w:szCs w:val="20"/>
          <w:color w:val="auto"/>
        </w:rPr>
      </w:pPr>
    </w:p>
    <w:p>
      <w:pPr>
        <w:ind w:left="480" w:hanging="472"/>
        <w:spacing w:after="0"/>
        <w:tabs>
          <w:tab w:leader="none" w:pos="4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 have reviewed this report on Form 10-Q of Texas Instruments Incorporated;</w:t>
      </w:r>
    </w:p>
    <w:p>
      <w:pPr>
        <w:spacing w:after="0" w:line="184" w:lineRule="exact"/>
        <w:rPr>
          <w:rFonts w:ascii="Arial" w:cs="Arial" w:eastAsia="Arial" w:hAnsi="Arial"/>
          <w:sz w:val="18"/>
          <w:szCs w:val="18"/>
          <w:color w:val="auto"/>
        </w:rPr>
      </w:pPr>
    </w:p>
    <w:p>
      <w:pPr>
        <w:ind w:left="500" w:right="120" w:hanging="492"/>
        <w:spacing w:after="0" w:line="233" w:lineRule="auto"/>
        <w:tabs>
          <w:tab w:leader="none" w:pos="488" w:val="left"/>
        </w:tabs>
        <w:numPr>
          <w:ilvl w:val="0"/>
          <w:numId w:val="1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3" w:lineRule="exact"/>
        <w:rPr>
          <w:rFonts w:ascii="Arial" w:cs="Arial" w:eastAsia="Arial" w:hAnsi="Arial"/>
          <w:sz w:val="18"/>
          <w:szCs w:val="18"/>
          <w:color w:val="auto"/>
        </w:rPr>
      </w:pPr>
    </w:p>
    <w:p>
      <w:pPr>
        <w:ind w:left="500" w:hanging="492"/>
        <w:spacing w:after="0" w:line="285" w:lineRule="auto"/>
        <w:tabs>
          <w:tab w:leader="none" w:pos="488" w:val="left"/>
        </w:tabs>
        <w:numPr>
          <w:ilvl w:val="0"/>
          <w:numId w:val="1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7"/>
          <w:szCs w:val="17"/>
          <w:color w:val="auto"/>
        </w:rPr>
      </w:pPr>
    </w:p>
    <w:p>
      <w:pPr>
        <w:ind w:left="500" w:right="100" w:hanging="492"/>
        <w:spacing w:after="0" w:line="233" w:lineRule="auto"/>
        <w:tabs>
          <w:tab w:leader="none" w:pos="488"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6" w:lineRule="exact"/>
        <w:rPr>
          <w:rFonts w:ascii="Arial" w:cs="Arial" w:eastAsia="Arial" w:hAnsi="Arial"/>
          <w:sz w:val="18"/>
          <w:szCs w:val="18"/>
          <w:color w:val="auto"/>
        </w:rPr>
      </w:pPr>
    </w:p>
    <w:p>
      <w:pPr>
        <w:ind w:left="980" w:right="20" w:hanging="486"/>
        <w:spacing w:after="0" w:line="268" w:lineRule="auto"/>
        <w:tabs>
          <w:tab w:leader="none" w:pos="97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0" w:lineRule="exact"/>
        <w:rPr>
          <w:rFonts w:ascii="Arial" w:cs="Arial" w:eastAsia="Arial" w:hAnsi="Arial"/>
          <w:sz w:val="18"/>
          <w:szCs w:val="18"/>
          <w:color w:val="auto"/>
        </w:rPr>
      </w:pPr>
    </w:p>
    <w:p>
      <w:pPr>
        <w:ind w:left="980" w:right="320" w:hanging="486"/>
        <w:spacing w:after="0" w:line="268" w:lineRule="auto"/>
        <w:tabs>
          <w:tab w:leader="none" w:pos="97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0" w:lineRule="exact"/>
        <w:rPr>
          <w:rFonts w:ascii="Arial" w:cs="Arial" w:eastAsia="Arial" w:hAnsi="Arial"/>
          <w:sz w:val="18"/>
          <w:szCs w:val="18"/>
          <w:color w:val="auto"/>
        </w:rPr>
      </w:pPr>
    </w:p>
    <w:p>
      <w:pPr>
        <w:jc w:val="both"/>
        <w:ind w:left="980" w:right="260" w:hanging="486"/>
        <w:spacing w:after="0" w:line="268" w:lineRule="auto"/>
        <w:tabs>
          <w:tab w:leader="none" w:pos="974" w:val="left"/>
        </w:tabs>
        <w:numPr>
          <w:ilvl w:val="1"/>
          <w:numId w:val="1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18"/>
          <w:szCs w:val="18"/>
          <w:color w:val="auto"/>
        </w:rPr>
      </w:pPr>
    </w:p>
    <w:p>
      <w:pPr>
        <w:ind w:left="980" w:right="80" w:hanging="486"/>
        <w:spacing w:after="0" w:line="268" w:lineRule="auto"/>
        <w:tabs>
          <w:tab w:leader="none" w:pos="97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7" w:lineRule="exact"/>
        <w:rPr>
          <w:rFonts w:ascii="Arial" w:cs="Arial" w:eastAsia="Arial" w:hAnsi="Arial"/>
          <w:sz w:val="18"/>
          <w:szCs w:val="18"/>
          <w:color w:val="auto"/>
        </w:rPr>
      </w:pPr>
    </w:p>
    <w:p>
      <w:pPr>
        <w:ind w:left="500" w:right="300" w:hanging="492"/>
        <w:spacing w:after="0" w:line="233" w:lineRule="auto"/>
        <w:tabs>
          <w:tab w:leader="none" w:pos="488"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6" w:lineRule="exact"/>
        <w:rPr>
          <w:rFonts w:ascii="Arial" w:cs="Arial" w:eastAsia="Arial" w:hAnsi="Arial"/>
          <w:sz w:val="18"/>
          <w:szCs w:val="18"/>
          <w:color w:val="auto"/>
        </w:rPr>
      </w:pPr>
    </w:p>
    <w:p>
      <w:pPr>
        <w:ind w:left="980" w:right="260" w:hanging="486"/>
        <w:spacing w:after="0" w:line="268" w:lineRule="auto"/>
        <w:tabs>
          <w:tab w:leader="none" w:pos="970" w:val="left"/>
        </w:tabs>
        <w:numPr>
          <w:ilvl w:val="1"/>
          <w:numId w:val="1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980" w:right="180" w:hanging="486"/>
        <w:spacing w:after="0" w:line="287" w:lineRule="auto"/>
        <w:tabs>
          <w:tab w:leader="none" w:pos="970" w:val="left"/>
        </w:tabs>
        <w:numPr>
          <w:ilvl w:val="1"/>
          <w:numId w:val="1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Date: April 24, 2026</w:t>
      </w:r>
    </w:p>
    <w:p>
      <w:pPr>
        <w:spacing w:after="0" w:line="266" w:lineRule="exact"/>
        <w:rPr>
          <w:sz w:val="20"/>
          <w:szCs w:val="20"/>
          <w:color w:val="auto"/>
        </w:rPr>
      </w:pPr>
    </w:p>
    <w:p>
      <w:pPr>
        <w:ind w:left="8900"/>
        <w:spacing w:after="0"/>
        <w:rPr>
          <w:sz w:val="20"/>
          <w:szCs w:val="20"/>
          <w:color w:val="auto"/>
        </w:rPr>
      </w:pPr>
      <w:r>
        <w:rPr>
          <w:rFonts w:ascii="Arial" w:cs="Arial" w:eastAsia="Arial" w:hAnsi="Arial"/>
          <w:sz w:val="18"/>
          <w:szCs w:val="18"/>
          <w:color w:val="auto"/>
        </w:rPr>
        <w:t>/s/ Rafael R. Lizardi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5173980</wp:posOffset>
            </wp:positionH>
            <wp:positionV relativeFrom="paragraph">
              <wp:posOffset>17780</wp:posOffset>
            </wp:positionV>
            <wp:extent cx="196278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9">
                      <a:extLst>
                        <a:ext uri="{28A0092B-C50C-407E-A947-70E740481C1C}"/>
                      </a:extLst>
                    </a:blip>
                    <a:srcRect/>
                    <a:stretch>
                      <a:fillRect/>
                    </a:stretch>
                  </pic:blipFill>
                  <pic:spPr bwMode="auto">
                    <a:xfrm>
                      <a:off x="0" y="0"/>
                      <a:ext cx="1962785" cy="8255"/>
                    </a:xfrm>
                    <a:prstGeom prst="rect">
                      <a:avLst/>
                    </a:prstGeom>
                    <a:noFill/>
                  </pic:spPr>
                </pic:pic>
              </a:graphicData>
            </a:graphic>
          </wp:anchor>
        </w:drawing>
      </w:r>
    </w:p>
    <w:p>
      <w:pPr>
        <w:spacing w:after="0" w:line="3" w:lineRule="exact"/>
        <w:rPr>
          <w:sz w:val="20"/>
          <w:szCs w:val="20"/>
          <w:color w:val="auto"/>
        </w:rPr>
      </w:pPr>
    </w:p>
    <w:p>
      <w:pPr>
        <w:ind w:left="9020"/>
        <w:spacing w:after="0"/>
        <w:rPr>
          <w:sz w:val="20"/>
          <w:szCs w:val="20"/>
          <w:color w:val="auto"/>
        </w:rPr>
      </w:pPr>
      <w:r>
        <w:rPr>
          <w:rFonts w:ascii="Arial" w:cs="Arial" w:eastAsia="Arial" w:hAnsi="Arial"/>
          <w:sz w:val="18"/>
          <w:szCs w:val="18"/>
          <w:color w:val="auto"/>
        </w:rPr>
        <w:t>Rafael R. Lizardi</w:t>
      </w:r>
    </w:p>
    <w:p>
      <w:pPr>
        <w:jc w:val="center"/>
        <w:ind w:left="8120"/>
        <w:spacing w:after="0" w:line="219" w:lineRule="auto"/>
        <w:rPr>
          <w:sz w:val="20"/>
          <w:szCs w:val="20"/>
          <w:color w:val="auto"/>
        </w:rPr>
      </w:pPr>
      <w:r>
        <w:rPr>
          <w:rFonts w:ascii="Arial" w:cs="Arial" w:eastAsia="Arial" w:hAnsi="Arial"/>
          <w:sz w:val="18"/>
          <w:szCs w:val="18"/>
          <w:color w:val="auto"/>
        </w:rPr>
        <w:t>Senior Vice President and</w:t>
      </w:r>
    </w:p>
    <w:p>
      <w:pPr>
        <w:jc w:val="center"/>
        <w:ind w:left="812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240"/>
          </w:cols>
          <w:pgMar w:left="320" w:top="890" w:right="339" w:bottom="1440" w:gutter="0" w:footer="0" w:header="0"/>
        </w:sectPr>
      </w:pPr>
    </w:p>
    <w:bookmarkStart w:id="29" w:name="page30"/>
    <w:bookmarkEnd w:id="29"/>
    <w:p>
      <w:pPr>
        <w:jc w:val="right"/>
        <w:spacing w:after="0"/>
        <w:rPr>
          <w:sz w:val="20"/>
          <w:szCs w:val="20"/>
          <w:color w:val="auto"/>
        </w:rPr>
      </w:pPr>
      <w:r>
        <w:rPr>
          <w:rFonts w:ascii="Arial" w:cs="Arial" w:eastAsia="Arial" w:hAnsi="Arial"/>
          <w:sz w:val="18"/>
          <w:szCs w:val="18"/>
          <w:u w:val="single" w:color="auto"/>
          <w:color w:val="auto"/>
        </w:rPr>
        <w:t>Exhibit 32(a)</w:t>
      </w:r>
    </w:p>
    <w:p>
      <w:pPr>
        <w:spacing w:after="0" w:line="225"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Certification of Periodic Report</w:t>
      </w:r>
    </w:p>
    <w:p>
      <w:pPr>
        <w:spacing w:after="0" w:line="50" w:lineRule="exact"/>
        <w:rPr>
          <w:sz w:val="20"/>
          <w:szCs w:val="20"/>
          <w:color w:val="auto"/>
        </w:rPr>
      </w:pPr>
    </w:p>
    <w:p>
      <w:pPr>
        <w:ind w:left="4160"/>
        <w:spacing w:after="0"/>
        <w:rPr>
          <w:sz w:val="20"/>
          <w:szCs w:val="20"/>
          <w:color w:val="auto"/>
        </w:rPr>
      </w:pPr>
      <w:r>
        <w:rPr>
          <w:rFonts w:ascii="Arial" w:cs="Arial" w:eastAsia="Arial" w:hAnsi="Arial"/>
          <w:sz w:val="18"/>
          <w:szCs w:val="18"/>
          <w:color w:val="auto"/>
        </w:rPr>
        <w:t>Pursuant to 18 U.S.C. Section 1350</w:t>
      </w:r>
    </w:p>
    <w:p>
      <w:pPr>
        <w:spacing w:after="0" w:line="333" w:lineRule="exact"/>
        <w:rPr>
          <w:sz w:val="20"/>
          <w:szCs w:val="20"/>
          <w:color w:val="auto"/>
        </w:rPr>
      </w:pPr>
    </w:p>
    <w:p>
      <w:pPr>
        <w:ind w:right="140" w:firstLine="486"/>
        <w:spacing w:after="0" w:line="268" w:lineRule="auto"/>
        <w:rPr>
          <w:sz w:val="20"/>
          <w:szCs w:val="20"/>
          <w:color w:val="auto"/>
        </w:rPr>
      </w:pPr>
      <w:r>
        <w:rPr>
          <w:rFonts w:ascii="Arial" w:cs="Arial" w:eastAsia="Arial" w:hAnsi="Arial"/>
          <w:sz w:val="18"/>
          <w:szCs w:val="18"/>
          <w:color w:val="auto"/>
        </w:rPr>
        <w:t>For purposes of 18 U.S.C. Section 1350, as adopted pursuant to Section 906 of the Sarbanes-Oxley Act of 2002, the undersigned, Haviv Ilan, Chairman, President and Chief Executive Officer of Texas Instruments Incorporated (the “Company”), hereby certifies that, to his knowledge:</w:t>
      </w:r>
    </w:p>
    <w:p>
      <w:pPr>
        <w:spacing w:after="0" w:line="171" w:lineRule="exact"/>
        <w:rPr>
          <w:sz w:val="20"/>
          <w:szCs w:val="20"/>
          <w:color w:val="auto"/>
        </w:rPr>
      </w:pPr>
    </w:p>
    <w:p>
      <w:pPr>
        <w:jc w:val="both"/>
        <w:ind w:firstLine="494"/>
        <w:spacing w:after="0" w:line="268" w:lineRule="auto"/>
        <w:tabs>
          <w:tab w:leader="none" w:pos="696"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quarter ended March 31, 2026, as filed with the Securities and Exchange Commission on the date hereof (the “Report”) fully complies with the requirements of Section 13(a) or 15(d) of the Securities Exchange Act of 1934; and</w:t>
      </w:r>
    </w:p>
    <w:p>
      <w:pPr>
        <w:spacing w:after="0" w:line="170" w:lineRule="exact"/>
        <w:rPr>
          <w:rFonts w:ascii="Arial" w:cs="Arial" w:eastAsia="Arial" w:hAnsi="Arial"/>
          <w:sz w:val="18"/>
          <w:szCs w:val="18"/>
          <w:color w:val="auto"/>
        </w:rPr>
      </w:pPr>
    </w:p>
    <w:p>
      <w:pPr>
        <w:ind w:right="280" w:firstLine="494"/>
        <w:spacing w:after="0" w:line="287" w:lineRule="auto"/>
        <w:tabs>
          <w:tab w:leader="none" w:pos="736"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Dated: April 24, 2026</w:t>
      </w:r>
    </w:p>
    <w:p>
      <w:pPr>
        <w:spacing w:after="0" w:line="306" w:lineRule="exact"/>
        <w:rPr>
          <w:sz w:val="20"/>
          <w:szCs w:val="20"/>
          <w:color w:val="auto"/>
        </w:rPr>
      </w:pPr>
    </w:p>
    <w:p>
      <w:pPr>
        <w:ind w:left="9180"/>
        <w:spacing w:after="0"/>
        <w:rPr>
          <w:sz w:val="20"/>
          <w:szCs w:val="20"/>
          <w:color w:val="auto"/>
        </w:rPr>
      </w:pPr>
      <w:r>
        <w:rPr>
          <w:rFonts w:ascii="Arial" w:cs="Arial" w:eastAsia="Arial" w:hAnsi="Arial"/>
          <w:sz w:val="18"/>
          <w:szCs w:val="18"/>
          <w:color w:val="auto"/>
        </w:rPr>
        <w:t>/s/ Haviv Ilan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5173980</wp:posOffset>
            </wp:positionH>
            <wp:positionV relativeFrom="paragraph">
              <wp:posOffset>17780</wp:posOffset>
            </wp:positionV>
            <wp:extent cx="196278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0">
                      <a:extLst>
                        <a:ext uri="{28A0092B-C50C-407E-A947-70E740481C1C}"/>
                      </a:extLst>
                    </a:blip>
                    <a:srcRect/>
                    <a:stretch>
                      <a:fillRect/>
                    </a:stretch>
                  </pic:blipFill>
                  <pic:spPr bwMode="auto">
                    <a:xfrm>
                      <a:off x="0" y="0"/>
                      <a:ext cx="1962785" cy="8255"/>
                    </a:xfrm>
                    <a:prstGeom prst="rect">
                      <a:avLst/>
                    </a:prstGeom>
                    <a:noFill/>
                  </pic:spPr>
                </pic:pic>
              </a:graphicData>
            </a:graphic>
          </wp:anchor>
        </w:drawing>
      </w:r>
    </w:p>
    <w:p>
      <w:pPr>
        <w:spacing w:after="0" w:line="16" w:lineRule="exact"/>
        <w:rPr>
          <w:sz w:val="20"/>
          <w:szCs w:val="20"/>
          <w:color w:val="auto"/>
        </w:rPr>
      </w:pPr>
    </w:p>
    <w:p>
      <w:pPr>
        <w:ind w:left="9300"/>
        <w:spacing w:after="0"/>
        <w:rPr>
          <w:sz w:val="20"/>
          <w:szCs w:val="20"/>
          <w:color w:val="auto"/>
        </w:rPr>
      </w:pPr>
      <w:r>
        <w:rPr>
          <w:rFonts w:ascii="Arial" w:cs="Arial" w:eastAsia="Arial" w:hAnsi="Arial"/>
          <w:sz w:val="18"/>
          <w:szCs w:val="18"/>
          <w:color w:val="auto"/>
        </w:rPr>
        <w:t>Haviv Ilan</w:t>
      </w:r>
    </w:p>
    <w:p>
      <w:pPr>
        <w:jc w:val="right"/>
        <w:ind w:right="580"/>
        <w:spacing w:after="0" w:line="203" w:lineRule="auto"/>
        <w:rPr>
          <w:sz w:val="20"/>
          <w:szCs w:val="20"/>
          <w:color w:val="auto"/>
        </w:rPr>
      </w:pPr>
      <w:r>
        <w:rPr>
          <w:rFonts w:ascii="Arial" w:cs="Arial" w:eastAsia="Arial" w:hAnsi="Arial"/>
          <w:sz w:val="18"/>
          <w:szCs w:val="18"/>
          <w:color w:val="auto"/>
        </w:rPr>
        <w:t>Chairman, President and</w:t>
      </w:r>
    </w:p>
    <w:p>
      <w:pPr>
        <w:jc w:val="right"/>
        <w:ind w:right="64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240"/>
          </w:cols>
          <w:pgMar w:left="320" w:top="890" w:right="339" w:bottom="1440" w:gutter="0" w:footer="0" w:header="0"/>
        </w:sectPr>
      </w:pPr>
    </w:p>
    <w:bookmarkStart w:id="30" w:name="page31"/>
    <w:bookmarkEnd w:id="30"/>
    <w:p>
      <w:pPr>
        <w:jc w:val="right"/>
        <w:spacing w:after="0"/>
        <w:rPr>
          <w:sz w:val="20"/>
          <w:szCs w:val="20"/>
          <w:color w:val="auto"/>
        </w:rPr>
      </w:pPr>
      <w:r>
        <w:rPr>
          <w:rFonts w:ascii="Arial" w:cs="Arial" w:eastAsia="Arial" w:hAnsi="Arial"/>
          <w:sz w:val="18"/>
          <w:szCs w:val="18"/>
          <w:u w:val="single" w:color="auto"/>
          <w:color w:val="auto"/>
        </w:rPr>
        <w:t>Exhibit 32(b)</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Periodic Report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 18 U.S.C. Section 1350</w:t>
      </w:r>
    </w:p>
    <w:p>
      <w:pPr>
        <w:spacing w:after="0" w:line="315" w:lineRule="exact"/>
        <w:rPr>
          <w:sz w:val="20"/>
          <w:szCs w:val="20"/>
          <w:color w:val="auto"/>
        </w:rPr>
      </w:pPr>
    </w:p>
    <w:p>
      <w:pPr>
        <w:ind w:right="60" w:firstLine="486"/>
        <w:spacing w:after="0" w:line="268" w:lineRule="auto"/>
        <w:rPr>
          <w:sz w:val="20"/>
          <w:szCs w:val="20"/>
          <w:color w:val="auto"/>
        </w:rPr>
      </w:pPr>
      <w:r>
        <w:rPr>
          <w:rFonts w:ascii="Arial" w:cs="Arial" w:eastAsia="Arial" w:hAnsi="Arial"/>
          <w:sz w:val="18"/>
          <w:szCs w:val="18"/>
          <w:color w:val="auto"/>
        </w:rPr>
        <w:t>For purposes of 18 U.S.C. Section 1350, as adopted pursuant to Section 906 of the Sarbanes-Oxley Act of 2002, the undersigned, Rafael R. Lizardi, Senior Vice President and Chief Financial Officer of Texas Instruments Incorporated (the “Company”), hereby certifies that, to his knowledge:</w:t>
      </w:r>
    </w:p>
    <w:p>
      <w:pPr>
        <w:spacing w:after="0" w:line="171" w:lineRule="exact"/>
        <w:rPr>
          <w:sz w:val="20"/>
          <w:szCs w:val="20"/>
          <w:color w:val="auto"/>
        </w:rPr>
      </w:pPr>
    </w:p>
    <w:p>
      <w:pPr>
        <w:jc w:val="both"/>
        <w:ind w:firstLine="494"/>
        <w:spacing w:after="0" w:line="268" w:lineRule="auto"/>
        <w:tabs>
          <w:tab w:leader="none" w:pos="696"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quarter ended March 31, 2026, as filed with the Securities and Exchange Commission on the date hereof (the “Report”) fully complies with the requirements of Section 13(a) or 15(d) of the Securities Exchange Act of 1934; and</w:t>
      </w:r>
    </w:p>
    <w:p>
      <w:pPr>
        <w:spacing w:after="0" w:line="170" w:lineRule="exact"/>
        <w:rPr>
          <w:rFonts w:ascii="Arial" w:cs="Arial" w:eastAsia="Arial" w:hAnsi="Arial"/>
          <w:sz w:val="18"/>
          <w:szCs w:val="18"/>
          <w:color w:val="auto"/>
        </w:rPr>
      </w:pPr>
    </w:p>
    <w:p>
      <w:pPr>
        <w:ind w:right="280" w:firstLine="494"/>
        <w:spacing w:after="0" w:line="287" w:lineRule="auto"/>
        <w:tabs>
          <w:tab w:leader="none" w:pos="736"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Dated: April 24, 2026</w:t>
      </w:r>
    </w:p>
    <w:p>
      <w:pPr>
        <w:spacing w:after="0" w:line="306" w:lineRule="exact"/>
        <w:rPr>
          <w:sz w:val="20"/>
          <w:szCs w:val="20"/>
          <w:color w:val="auto"/>
        </w:rPr>
      </w:pPr>
    </w:p>
    <w:p>
      <w:pPr>
        <w:ind w:left="8900"/>
        <w:spacing w:after="0"/>
        <w:rPr>
          <w:sz w:val="20"/>
          <w:szCs w:val="20"/>
          <w:color w:val="auto"/>
        </w:rPr>
      </w:pPr>
      <w:r>
        <w:rPr>
          <w:rFonts w:ascii="Arial" w:cs="Arial" w:eastAsia="Arial" w:hAnsi="Arial"/>
          <w:sz w:val="18"/>
          <w:szCs w:val="18"/>
          <w:color w:val="auto"/>
        </w:rPr>
        <w:t>/s/ Rafael R. Lizardi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5173980</wp:posOffset>
            </wp:positionH>
            <wp:positionV relativeFrom="paragraph">
              <wp:posOffset>17780</wp:posOffset>
            </wp:positionV>
            <wp:extent cx="196278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1">
                      <a:extLst>
                        <a:ext uri="{28A0092B-C50C-407E-A947-70E740481C1C}"/>
                      </a:extLst>
                    </a:blip>
                    <a:srcRect/>
                    <a:stretch>
                      <a:fillRect/>
                    </a:stretch>
                  </pic:blipFill>
                  <pic:spPr bwMode="auto">
                    <a:xfrm>
                      <a:off x="0" y="0"/>
                      <a:ext cx="1962785" cy="8255"/>
                    </a:xfrm>
                    <a:prstGeom prst="rect">
                      <a:avLst/>
                    </a:prstGeom>
                    <a:noFill/>
                  </pic:spPr>
                </pic:pic>
              </a:graphicData>
            </a:graphic>
          </wp:anchor>
        </w:drawing>
      </w:r>
    </w:p>
    <w:p>
      <w:pPr>
        <w:spacing w:after="0" w:line="16" w:lineRule="exact"/>
        <w:rPr>
          <w:sz w:val="20"/>
          <w:szCs w:val="20"/>
          <w:color w:val="auto"/>
        </w:rPr>
      </w:pPr>
    </w:p>
    <w:p>
      <w:pPr>
        <w:ind w:left="9020"/>
        <w:spacing w:after="0"/>
        <w:rPr>
          <w:sz w:val="20"/>
          <w:szCs w:val="20"/>
          <w:color w:val="auto"/>
        </w:rPr>
      </w:pPr>
      <w:r>
        <w:rPr>
          <w:rFonts w:ascii="Arial" w:cs="Arial" w:eastAsia="Arial" w:hAnsi="Arial"/>
          <w:sz w:val="18"/>
          <w:szCs w:val="18"/>
          <w:color w:val="auto"/>
        </w:rPr>
        <w:t>Rafael R. Lizardi</w:t>
      </w:r>
    </w:p>
    <w:p>
      <w:pPr>
        <w:jc w:val="center"/>
        <w:ind w:left="8120"/>
        <w:spacing w:after="0" w:line="203" w:lineRule="auto"/>
        <w:rPr>
          <w:sz w:val="20"/>
          <w:szCs w:val="20"/>
          <w:color w:val="auto"/>
        </w:rPr>
      </w:pPr>
      <w:r>
        <w:rPr>
          <w:rFonts w:ascii="Arial" w:cs="Arial" w:eastAsia="Arial" w:hAnsi="Arial"/>
          <w:sz w:val="18"/>
          <w:szCs w:val="18"/>
          <w:color w:val="auto"/>
        </w:rPr>
        <w:t>Senior Vice President and</w:t>
      </w:r>
    </w:p>
    <w:p>
      <w:pPr>
        <w:jc w:val="center"/>
        <w:ind w:left="8120"/>
        <w:spacing w:after="0"/>
        <w:rPr>
          <w:sz w:val="20"/>
          <w:szCs w:val="20"/>
          <w:color w:val="auto"/>
        </w:rPr>
      </w:pPr>
      <w:r>
        <w:rPr>
          <w:rFonts w:ascii="Arial" w:cs="Arial" w:eastAsia="Arial" w:hAnsi="Arial"/>
          <w:sz w:val="18"/>
          <w:szCs w:val="18"/>
          <w:color w:val="auto"/>
        </w:rPr>
        <w:t>Chief Financial Officer</w:t>
      </w:r>
    </w:p>
    <w:sectPr>
      <w:pgSz w:w="11900" w:h="16838" w:orient="portrait"/>
      <w:cols w:equalWidth="0" w:num="1">
        <w:col w:w="11240"/>
      </w:cols>
      <w:pgMar w:left="320" w:top="89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F16E9E8"/>
    <w:multiLevelType w:val="hybridMultilevel"/>
    <w:lvl w:ilvl="0">
      <w:lvlJc w:val="left"/>
      <w:lvlText w:val="☒"/>
      <w:numFmt w:val="bullet"/>
      <w:start w:val="1"/>
    </w:lvl>
  </w:abstractNum>
  <w:abstractNum w:abstractNumId="1">
    <w:nsid w:val="1190CDE7"/>
    <w:multiLevelType w:val="hybridMultilevel"/>
    <w:lvl w:ilvl="0">
      <w:lvlJc w:val="left"/>
      <w:lvlText w:val="☐"/>
      <w:numFmt w:val="bullet"/>
      <w:start w:val="1"/>
    </w:lvl>
  </w:abstractNum>
  <w:abstractNum w:abstractNumId="2">
    <w:nsid w:val="66EF438D"/>
    <w:multiLevelType w:val="hybridMultilevel"/>
    <w:lvl w:ilvl="0">
      <w:lvlJc w:val="left"/>
      <w:lvlText w:val="%1."/>
      <w:numFmt w:val="decimal"/>
      <w:start w:val="1"/>
    </w:lvl>
  </w:abstractNum>
  <w:abstractNum w:abstractNumId="3">
    <w:nsid w:val="140E0F76"/>
    <w:multiLevelType w:val="hybridMultilevel"/>
    <w:lvl w:ilvl="0">
      <w:lvlJc w:val="left"/>
      <w:lvlText w:val="•"/>
      <w:numFmt w:val="bullet"/>
      <w:start w:val="1"/>
    </w:lvl>
  </w:abstractNum>
  <w:abstractNum w:abstractNumId="4">
    <w:nsid w:val="3352255A"/>
    <w:multiLevelType w:val="hybridMultilevel"/>
    <w:lvl w:ilvl="0">
      <w:lvlJc w:val="left"/>
      <w:lvlText w:val="(%1)"/>
      <w:numFmt w:val="lowerLetter"/>
      <w:start w:val="1"/>
    </w:lvl>
  </w:abstractNum>
  <w:abstractNum w:abstractNumId="5">
    <w:nsid w:val="109CF92E"/>
    <w:multiLevelType w:val="hybridMultilevel"/>
    <w:lvl w:ilvl="0">
      <w:lvlJc w:val="left"/>
      <w:lvlText w:val="%1."/>
      <w:numFmt w:val="decimal"/>
      <w:start w:val="4"/>
    </w:lvl>
  </w:abstractNum>
  <w:abstractNum w:abstractNumId="6">
    <w:nsid w:val="DED7263"/>
    <w:multiLevelType w:val="hybridMultilevel"/>
    <w:lvl w:ilvl="0">
      <w:lvlJc w:val="left"/>
      <w:lvlText w:val="•"/>
      <w:numFmt w:val="bullet"/>
      <w:start w:val="1"/>
    </w:lvl>
  </w:abstractNum>
  <w:abstractNum w:abstractNumId="7">
    <w:nsid w:val="7FDCC233"/>
    <w:multiLevelType w:val="hybridMultilevel"/>
    <w:lvl w:ilvl="0">
      <w:lvlJc w:val="left"/>
      <w:lvlText w:val="%1."/>
      <w:numFmt w:val="decimal"/>
      <w:start w:val="5"/>
    </w:lvl>
  </w:abstractNum>
  <w:abstractNum w:abstractNumId="8">
    <w:nsid w:val="1BEFD79F"/>
    <w:multiLevelType w:val="hybridMultilevel"/>
    <w:lvl w:ilvl="0">
      <w:lvlJc w:val="left"/>
      <w:lvlText w:val="%1."/>
      <w:numFmt w:val="decimal"/>
      <w:start w:val="9"/>
    </w:lvl>
  </w:abstractNum>
  <w:abstractNum w:abstractNumId="9">
    <w:nsid w:val="41A7C4C9"/>
    <w:multiLevelType w:val="hybridMultilevel"/>
    <w:lvl w:ilvl="0">
      <w:lvlJc w:val="left"/>
      <w:lvlText w:val="%1."/>
      <w:numFmt w:val="decimal"/>
      <w:start w:val="1"/>
    </w:lvl>
    <w:lvl w:ilvl="1">
      <w:lvlJc w:val="left"/>
      <w:lvlText w:val="(%2)"/>
      <w:numFmt w:val="lowerLetter"/>
      <w:start w:val="1"/>
    </w:lvl>
  </w:abstractNum>
  <w:abstractNum w:abstractNumId="10">
    <w:nsid w:val="6B68079A"/>
    <w:multiLevelType w:val="hybridMultilevel"/>
    <w:lvl w:ilvl="0">
      <w:lvlJc w:val="left"/>
      <w:lvlText w:val="%1."/>
      <w:numFmt w:val="decimal"/>
      <w:start w:val="2"/>
    </w:lvl>
  </w:abstractNum>
  <w:abstractNum w:abstractNumId="11">
    <w:nsid w:val="4E6AFB66"/>
    <w:multiLevelType w:val="hybridMultilevel"/>
    <w:lvl w:ilvl="0">
      <w:lvlJc w:val="left"/>
      <w:lvlText w:val="•"/>
      <w:numFmt w:val="bullet"/>
      <w:start w:val="1"/>
    </w:lvl>
    <w:lvl w:ilvl="1">
      <w:lvlJc w:val="left"/>
      <w:lvlText w:val="◦"/>
      <w:numFmt w:val="bullet"/>
      <w:start w:val="1"/>
    </w:lvl>
  </w:abstractNum>
  <w:abstractNum w:abstractNumId="12">
    <w:nsid w:val="25E45D32"/>
    <w:multiLevelType w:val="hybridMultilevel"/>
    <w:lvl w:ilvl="0">
      <w:lvlJc w:val="left"/>
      <w:lvlText w:val="•"/>
      <w:numFmt w:val="bullet"/>
      <w:start w:val="1"/>
    </w:lvl>
  </w:abstractNum>
  <w:abstractNum w:abstractNumId="13">
    <w:nsid w:val="519B500D"/>
    <w:multiLevelType w:val="hybridMultilevel"/>
    <w:lvl w:ilvl="0">
      <w:lvlJc w:val="left"/>
      <w:lvlText w:val="*"/>
      <w:numFmt w:val="bullet"/>
      <w:start w:val="1"/>
    </w:lvl>
  </w:abstractNum>
  <w:abstractNum w:abstractNumId="14">
    <w:nsid w:val="431BD7B7"/>
    <w:multiLevelType w:val="hybridMultilevel"/>
    <w:lvl w:ilvl="0">
      <w:lvlJc w:val="left"/>
      <w:lvlText w:val="(%1)"/>
      <w:numFmt w:val="lowerLetter"/>
      <w:start w:val="1"/>
    </w:lvl>
  </w:abstractNum>
  <w:abstractNum w:abstractNumId="15">
    <w:nsid w:val="3F2DBA31"/>
    <w:multiLevelType w:val="hybridMultilevel"/>
    <w:lvl w:ilvl="0">
      <w:lvlJc w:val="left"/>
      <w:lvlText w:val="†"/>
      <w:numFmt w:val="bullet"/>
      <w:start w:val="1"/>
    </w:lvl>
    <w:lvl w:ilvl="1">
      <w:lvlJc w:val="left"/>
      <w:lvlText w:val="%2"/>
      <w:numFmt w:val="decimal"/>
      <w:start w:val="104"/>
    </w:lvl>
  </w:abstractNum>
  <w:abstractNum w:abstractNumId="16">
    <w:nsid w:val="7C83E458"/>
    <w:multiLevelType w:val="hybridMultilevel"/>
    <w:lvl w:ilvl="0">
      <w:lvlJc w:val="left"/>
      <w:lvlText w:val="•"/>
      <w:numFmt w:val="bullet"/>
      <w:start w:val="1"/>
    </w:lvl>
  </w:abstractNum>
  <w:abstractNum w:abstractNumId="17">
    <w:nsid w:val="257130A3"/>
    <w:multiLevelType w:val="hybridMultilevel"/>
    <w:lvl w:ilvl="0">
      <w:lvlJc w:val="left"/>
      <w:lvlText w:val="%1."/>
      <w:numFmt w:val="decimal"/>
      <w:start w:val="1"/>
    </w:lvl>
    <w:lvl w:ilvl="1">
      <w:lvlJc w:val="left"/>
      <w:lvlText w:val="(%2)"/>
      <w:numFmt w:val="lowerLetter"/>
      <w:start w:val="1"/>
    </w:lvl>
  </w:abstractNum>
  <w:abstractNum w:abstractNumId="18">
    <w:nsid w:val="62BBD95A"/>
    <w:multiLevelType w:val="hybridMultilevel"/>
    <w:lvl w:ilvl="0">
      <w:lvlJc w:val="left"/>
      <w:lvlText w:val="%1."/>
      <w:numFmt w:val="decimal"/>
      <w:start w:val="1"/>
    </w:lvl>
    <w:lvl w:ilvl="1">
      <w:lvlJc w:val="left"/>
      <w:lvlText w:val="(%2)"/>
      <w:numFmt w:val="lowerLetter"/>
      <w:start w:val="1"/>
    </w:lvl>
  </w:abstractNum>
  <w:abstractNum w:abstractNumId="19">
    <w:nsid w:val="436C6125"/>
    <w:multiLevelType w:val="hybridMultilevel"/>
    <w:lvl w:ilvl="0">
      <w:lvlJc w:val="left"/>
      <w:lvlText w:val="(%1)"/>
      <w:numFmt w:val="lowerRoman"/>
      <w:start w:val="1"/>
    </w:lvl>
  </w:abstractNum>
  <w:abstractNum w:abstractNumId="20">
    <w:nsid w:val="628C895D"/>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3" Type="http://schemas.openxmlformats.org/officeDocument/2006/relationships/image" Target="media/image34.png"/><Relationship Id="rId44" Type="http://schemas.openxmlformats.org/officeDocument/2006/relationships/image" Target="media/image35.png"/><Relationship Id="rId45" Type="http://schemas.openxmlformats.org/officeDocument/2006/relationships/image" Target="media/image36.png"/><Relationship Id="rId46" Type="http://schemas.openxmlformats.org/officeDocument/2006/relationships/image" Target="media/image37.png"/><Relationship Id="rId47" Type="http://schemas.openxmlformats.org/officeDocument/2006/relationships/image" Target="media/image38.png"/><Relationship Id="rId48" Type="http://schemas.openxmlformats.org/officeDocument/2006/relationships/image" Target="media/image39.png"/><Relationship Id="rId49" Type="http://schemas.openxmlformats.org/officeDocument/2006/relationships/image" Target="media/image40.png"/><Relationship Id="rId50" Type="http://schemas.openxmlformats.org/officeDocument/2006/relationships/image" Target="media/image41.png"/><Relationship Id="rId51" Type="http://schemas.openxmlformats.org/officeDocument/2006/relationships/image" Target="media/image42.png"/><Relationship Id="rId41" Type="http://schemas.openxmlformats.org/officeDocument/2006/relationships/hyperlink" Target="https://www.sec.gov/Archives/edgar/data/97476/000009747615000003/txn-12312014xexhibit3a.htm" TargetMode="External"/><Relationship Id="rId42" Type="http://schemas.openxmlformats.org/officeDocument/2006/relationships/hyperlink" Target="https://www.sec.gov/Archives/edgar/data/97476/000119312526040312/d937106dex3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2026-04-24T08:37:51Z</dcterms:created>
  <dcterms:modified xsi:type="dcterms:W3CDTF">2026-04-24T08:37:51Z</dcterms:modified>
</cp:coreProperties>
</file>