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83"/>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right="-18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18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83"/>
        <w:spacing w:after="0"/>
        <w:tabs>
          <w:tab w:leader="none" w:pos="2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
        <w:spacing w:after="0" w:line="184" w:lineRule="exact"/>
        <w:tabs>
          <w:tab w:leader="none" w:pos="306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6" w:lineRule="exact"/>
        <w:rPr>
          <w:sz w:val="24"/>
          <w:szCs w:val="24"/>
          <w:color w:val="auto"/>
        </w:rPr>
      </w:pPr>
    </w:p>
    <w:p>
      <w:pPr>
        <w:ind w:left="104"/>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6"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75" w:lineRule="exact"/>
        <w:rPr>
          <w:sz w:val="24"/>
          <w:szCs w:val="24"/>
          <w:color w:val="auto"/>
        </w:rPr>
      </w:pPr>
    </w:p>
    <w:p>
      <w:pPr>
        <w:jc w:val="center"/>
        <w:ind w:right="-183"/>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9" w:lineRule="exact"/>
        <w:rPr>
          <w:sz w:val="24"/>
          <w:szCs w:val="24"/>
          <w:color w:val="auto"/>
        </w:rPr>
      </w:pPr>
    </w:p>
    <w:p>
      <w:pPr>
        <w:jc w:val="center"/>
        <w:ind w:right="-183"/>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469265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30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2"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221"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right="40" w:hanging="537"/>
        <w:spacing w:after="0" w:line="260" w:lineRule="auto"/>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564" w:hanging="564"/>
        <w:spacing w:after="0" w:line="260" w:lineRule="auto"/>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-3383280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-2929255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-2354580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-1900555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-1506220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-134620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319405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44"/>
          </w:cols>
          <w:pgMar w:left="436" w:top="522" w:right="619" w:bottom="558"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-134620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319405</wp:posOffset>
            </wp:positionV>
            <wp:extent cx="62922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499110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542290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456"/>
          </w:cols>
          <w:pgMar w:left="1003" w:top="155" w:right="1440" w:bottom="1440" w:gutter="0" w:footer="0" w:header="0"/>
        </w:sectPr>
      </w:pPr>
    </w:p>
    <w:bookmarkStart w:id="2" w:name="page3"/>
    <w:bookmarkEnd w:id="2"/>
    <w:p>
      <w:pPr>
        <w:jc w:val="center"/>
        <w:ind w:left="2200" w:right="24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Stockholder Meeting to Be Held on April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174625</wp:posOffset>
            </wp:positionV>
            <wp:extent cx="3386455" cy="1765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86455" cy="1765935"/>
                    </a:xfrm>
                    <a:prstGeom prst="rect">
                      <a:avLst/>
                    </a:prstGeom>
                    <a:noFill/>
                  </pic:spPr>
                </pic:pic>
              </a:graphicData>
            </a:graphic>
          </wp:anchor>
        </w:drawing>
      </w:r>
    </w:p>
    <w:p>
      <w:pPr>
        <w:sectPr>
          <w:pgSz w:w="11900" w:h="16838" w:orient="portrait"/>
          <w:cols w:equalWidth="0" w:num="1">
            <w:col w:w="10120"/>
          </w:cols>
          <w:pgMar w:left="1020" w:top="270" w:right="75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1157605</wp:posOffset>
            </wp:positionV>
            <wp:extent cx="1354455"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44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0"/>
        <w:spacing w:after="0" w:line="255" w:lineRule="auto"/>
        <w:rPr>
          <w:sz w:val="20"/>
          <w:szCs w:val="20"/>
          <w:color w:val="auto"/>
        </w:rPr>
      </w:pPr>
      <w:r>
        <w:rPr>
          <w:rFonts w:ascii="Arial" w:cs="Arial" w:eastAsia="Arial" w:hAnsi="Arial"/>
          <w:sz w:val="18"/>
          <w:szCs w:val="18"/>
          <w:i w:val="1"/>
          <w:iCs w:val="1"/>
          <w:color w:val="auto"/>
        </w:rPr>
        <w:t>TEXAS INSTRUMENTS INCORPORATED ATTN: JANE NAHRA P.O. BOX 655474</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3999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DALLAS, TX 75265-5474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768985</wp:posOffset>
            </wp:positionV>
            <wp:extent cx="145415" cy="574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415" cy="574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Meeting Information</w:t>
            </w:r>
          </w:p>
        </w:tc>
      </w:tr>
      <w:tr>
        <w:trPr>
          <w:trHeight w:val="367"/>
        </w:trPr>
        <w:tc>
          <w:tcPr>
            <w:tcW w:w="130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Annual Meeting</w:t>
            </w: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February 24, 2020</w:t>
            </w:r>
          </w:p>
        </w:tc>
      </w:tr>
      <w:tr>
        <w:trPr>
          <w:trHeight w:val="234"/>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April 23, 2020</w:t>
            </w:r>
          </w:p>
        </w:tc>
        <w:tc>
          <w:tcPr>
            <w:tcW w:w="1600" w:type="dxa"/>
            <w:vAlign w:val="bottom"/>
          </w:tcPr>
          <w:p>
            <w:pPr>
              <w:ind w:left="260"/>
              <w:spacing w:after="0"/>
              <w:rPr>
                <w:sz w:val="20"/>
                <w:szCs w:val="20"/>
                <w:color w:val="auto"/>
              </w:rPr>
            </w:pPr>
            <w:r>
              <w:rPr>
                <w:rFonts w:ascii="Arial" w:cs="Arial" w:eastAsia="Arial" w:hAnsi="Arial"/>
                <w:sz w:val="18"/>
                <w:szCs w:val="18"/>
                <w:b w:val="1"/>
                <w:bCs w:val="1"/>
                <w:color w:val="auto"/>
                <w:w w:val="99"/>
              </w:rPr>
              <w:t xml:space="preserve">Time:  </w:t>
            </w:r>
            <w:r>
              <w:rPr>
                <w:rFonts w:ascii="Arial" w:cs="Arial" w:eastAsia="Arial" w:hAnsi="Arial"/>
                <w:sz w:val="18"/>
                <w:szCs w:val="18"/>
                <w:color w:val="auto"/>
                <w:w w:val="99"/>
              </w:rPr>
              <w:t>8:30 a.m.</w:t>
            </w:r>
          </w:p>
        </w:tc>
      </w:tr>
    </w:tbl>
    <w:p>
      <w:pPr>
        <w:ind w:left="160"/>
        <w:spacing w:after="0"/>
        <w:tabs>
          <w:tab w:leader="none" w:pos="11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Texas Instruments Incorporated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Dallas, Texas 75243</w:t>
      </w:r>
    </w:p>
    <w:p>
      <w:pPr>
        <w:spacing w:after="0" w:line="9"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See page 52 of the Proxy Statement (available at www.proxyvote.com) for directions to the meeting location. To attend the annual meeting you must request an advance registration form at www.proxyvote.com</w:t>
      </w:r>
    </w:p>
    <w:p>
      <w:pPr>
        <w:spacing w:after="0" w:line="19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This is not a ballot. </w:t>
      </w:r>
      <w:r>
        <w:rPr>
          <w:rFonts w:ascii="Arial" w:cs="Arial" w:eastAsia="Arial" w:hAnsi="Arial"/>
          <w:sz w:val="16"/>
          <w:szCs w:val="16"/>
          <w:b w:val="1"/>
          <w:bCs w:val="1"/>
          <w:color w:val="auto"/>
        </w:rPr>
        <w:t>You cannot use this notice to vote these shares.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This communication presents only an overview of the more complete proxy materials that are available to you on the Internet. You may view the proxy materials online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 xml:space="preserve"> or easily request a paper copy (see reverse side).</w:t>
      </w:r>
    </w:p>
    <w:p>
      <w:pPr>
        <w:spacing w:after="0" w:line="73" w:lineRule="exact"/>
        <w:rPr>
          <w:sz w:val="20"/>
          <w:szCs w:val="20"/>
          <w:color w:val="auto"/>
        </w:rPr>
      </w:pPr>
    </w:p>
    <w:p>
      <w:pPr>
        <w:jc w:val="both"/>
        <w:ind w:right="520"/>
        <w:spacing w:after="0" w:line="347" w:lineRule="auto"/>
        <w:rPr>
          <w:sz w:val="20"/>
          <w:szCs w:val="20"/>
          <w:color w:val="auto"/>
        </w:rPr>
      </w:pPr>
      <w:r>
        <w:rPr>
          <w:rFonts w:ascii="Arial" w:cs="Arial" w:eastAsia="Arial" w:hAnsi="Arial"/>
          <w:sz w:val="16"/>
          <w:szCs w:val="16"/>
          <w:b w:val="1"/>
          <w:bCs w:val="1"/>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3274695"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334645"/>
                    </a:xfrm>
                    <a:prstGeom prst="rect">
                      <a:avLst/>
                    </a:prstGeom>
                    <a:noFill/>
                  </pic:spPr>
                </pic:pic>
              </a:graphicData>
            </a:graphic>
          </wp:anchor>
        </w:drawing>
      </w:r>
    </w:p>
    <w:p>
      <w:pPr>
        <w:spacing w:after="0" w:line="15" w:lineRule="exact"/>
        <w:rPr>
          <w:sz w:val="20"/>
          <w:szCs w:val="20"/>
          <w:color w:val="auto"/>
        </w:rPr>
      </w:pPr>
    </w:p>
    <w:p>
      <w:pPr>
        <w:ind w:left="100" w:right="1260"/>
        <w:spacing w:after="0" w:line="312" w:lineRule="auto"/>
        <w:rPr>
          <w:sz w:val="20"/>
          <w:szCs w:val="20"/>
          <w:color w:val="auto"/>
        </w:rPr>
      </w:pPr>
      <w:r>
        <w:rPr>
          <w:rFonts w:ascii="Arial" w:cs="Arial" w:eastAsia="Arial" w:hAnsi="Arial"/>
          <w:sz w:val="17"/>
          <w:szCs w:val="17"/>
          <w:b w:val="1"/>
          <w:bCs w:val="1"/>
          <w:color w:val="FFFFFF"/>
        </w:rPr>
        <w:t>See the reverse side of this notice to obtain proxy materials and voting instructions.</w:t>
      </w:r>
    </w:p>
    <w:p>
      <w:pPr>
        <w:sectPr>
          <w:pgSz w:w="11900" w:h="16838" w:orient="portrait"/>
          <w:cols w:equalWidth="0" w:num="2">
            <w:col w:w="4320" w:space="720"/>
            <w:col w:w="5080"/>
          </w:cols>
          <w:pgMar w:left="1020" w:top="270" w:right="759" w:bottom="1440" w:gutter="0" w:footer="0" w:header="0"/>
          <w:type w:val="continuous"/>
        </w:sectPr>
      </w:pPr>
    </w:p>
    <w:bookmarkStart w:id="3" w:name="page4"/>
    <w:bookmarkEnd w:id="3"/>
    <w:p>
      <w:pPr>
        <w:jc w:val="center"/>
        <w:ind w:right="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Before You Vote —</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How to Access the Proxy Materials</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-127635</wp:posOffset>
            </wp:positionV>
            <wp:extent cx="6763385" cy="2863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3385" cy="2863215"/>
                    </a:xfrm>
                    <a:prstGeom prst="rect">
                      <a:avLst/>
                    </a:prstGeom>
                    <a:noFill/>
                  </pic:spPr>
                </pic:pic>
              </a:graphicData>
            </a:graphic>
          </wp:anchor>
        </w:drawing>
      </w:r>
    </w:p>
    <w:p>
      <w:pPr>
        <w:spacing w:after="0" w:line="115" w:lineRule="exact"/>
        <w:rPr>
          <w:sz w:val="20"/>
          <w:szCs w:val="20"/>
          <w:color w:val="auto"/>
        </w:rPr>
      </w:pPr>
    </w:p>
    <w:p>
      <w:pPr>
        <w:ind w:left="20"/>
        <w:spacing w:after="0"/>
        <w:tabs>
          <w:tab w:leader="none" w:pos="3280" w:val="left"/>
        </w:tabs>
        <w:rPr>
          <w:sz w:val="20"/>
          <w:szCs w:val="20"/>
          <w:color w:val="auto"/>
        </w:rPr>
      </w:pPr>
      <w:r>
        <w:rPr>
          <w:rFonts w:ascii="Arial" w:cs="Arial" w:eastAsia="Arial" w:hAnsi="Arial"/>
          <w:sz w:val="18"/>
          <w:szCs w:val="18"/>
          <w:color w:val="auto"/>
        </w:rPr>
        <w:t>1. 2020 Notice and Proxy Statement</w:t>
      </w:r>
      <w:r>
        <w:rPr>
          <w:sz w:val="20"/>
          <w:szCs w:val="20"/>
          <w:color w:val="auto"/>
        </w:rPr>
        <w:tab/>
      </w:r>
      <w:r>
        <w:rPr>
          <w:rFonts w:ascii="Arial" w:cs="Arial" w:eastAsia="Arial" w:hAnsi="Arial"/>
          <w:sz w:val="16"/>
          <w:szCs w:val="16"/>
          <w:color w:val="auto"/>
        </w:rPr>
        <w:t>2. 2019 Annual Report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How to View Online:</w:t>
      </w:r>
    </w:p>
    <w:p>
      <w:pPr>
        <w:sectPr>
          <w:pgSz w:w="11900" w:h="16838" w:orient="portrait"/>
          <w:cols w:equalWidth="0" w:num="1">
            <w:col w:w="10160"/>
          </w:cols>
          <w:pgMar w:left="1020" w:top="594" w:right="719" w:bottom="1440" w:gutter="0" w:footer="0" w:header="0"/>
        </w:sectPr>
      </w:pPr>
    </w:p>
    <w:p>
      <w:pPr>
        <w:spacing w:after="0" w:line="148" w:lineRule="exact"/>
        <w:rPr>
          <w:sz w:val="20"/>
          <w:szCs w:val="20"/>
          <w:color w:val="auto"/>
        </w:rPr>
      </w:pPr>
    </w:p>
    <w:p>
      <w:pPr>
        <w:ind w:left="20" w:right="1540"/>
        <w:spacing w:after="0" w:line="277"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rFonts w:ascii="Arial" w:cs="Arial" w:eastAsia="Arial" w:hAnsi="Arial"/>
          <w:sz w:val="18"/>
          <w:szCs w:val="18"/>
          <w:i w:val="1"/>
          <w:iCs w:val="1"/>
          <w:color w:val="auto"/>
        </w:rPr>
        <w:t>www.proxyvote.com.</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(located on the following page) and visit:</w:t>
      </w:r>
    </w:p>
    <w:p>
      <w:pPr>
        <w:spacing w:after="0" w:line="733" w:lineRule="exact"/>
        <w:rPr>
          <w:sz w:val="20"/>
          <w:szCs w:val="20"/>
          <w:color w:val="auto"/>
        </w:rPr>
      </w:pPr>
    </w:p>
    <w:p>
      <w:pPr>
        <w:sectPr>
          <w:pgSz w:w="11900" w:h="16838" w:orient="portrait"/>
          <w:cols w:equalWidth="0" w:num="2">
            <w:col w:w="6420" w:space="720"/>
            <w:col w:w="3020"/>
          </w:cols>
          <w:pgMar w:left="1020" w:top="594" w:right="719" w:bottom="1440" w:gutter="0" w:footer="0" w:header="0"/>
          <w:type w:val="continuous"/>
        </w:sectPr>
      </w:pPr>
    </w:p>
    <w:p>
      <w:pPr>
        <w:ind w:left="20" w:right="240"/>
        <w:spacing w:after="0" w:line="27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211" w:lineRule="exact"/>
        <w:rPr>
          <w:sz w:val="20"/>
          <w:szCs w:val="20"/>
          <w:color w:val="auto"/>
        </w:rPr>
      </w:pPr>
    </w:p>
    <w:p>
      <w:pPr>
        <w:ind w:left="1500"/>
        <w:spacing w:after="0"/>
        <w:tabs>
          <w:tab w:leader="none" w:pos="32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23" w:lineRule="exact"/>
        <w:rPr>
          <w:sz w:val="20"/>
          <w:szCs w:val="20"/>
          <w:color w:val="auto"/>
        </w:rPr>
      </w:pPr>
    </w:p>
    <w:p>
      <w:pPr>
        <w:ind w:left="1640" w:hanging="191"/>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22" w:lineRule="exact"/>
        <w:rPr>
          <w:rFonts w:ascii="Arial" w:cs="Arial" w:eastAsia="Arial" w:hAnsi="Arial"/>
          <w:sz w:val="18"/>
          <w:szCs w:val="18"/>
          <w:color w:val="auto"/>
        </w:rPr>
      </w:pPr>
    </w:p>
    <w:p>
      <w:pPr>
        <w:ind w:left="1640" w:hanging="191"/>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116"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268730" cy="1028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68730"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26" w:lineRule="exact"/>
        <w:rPr>
          <w:sz w:val="20"/>
          <w:szCs w:val="20"/>
          <w:color w:val="auto"/>
        </w:rPr>
      </w:pPr>
    </w:p>
    <w:p>
      <w:pPr>
        <w:ind w:left="20" w:right="300"/>
        <w:spacing w:after="0" w:line="282" w:lineRule="auto"/>
        <w:rPr>
          <w:sz w:val="20"/>
          <w:szCs w:val="20"/>
          <w:color w:val="auto"/>
        </w:rPr>
      </w:pPr>
      <w:r>
        <w:rPr>
          <w:rFonts w:ascii="Arial" w:cs="Arial" w:eastAsia="Arial" w:hAnsi="Arial"/>
          <w:sz w:val="18"/>
          <w:szCs w:val="18"/>
          <w:color w:val="auto"/>
        </w:rPr>
        <w:t xml:space="preserve">Requests, instructions and other inquiries sent to this email address will NOT be forwarded to your investment advisor. </w:t>
      </w:r>
      <w:r>
        <w:rPr>
          <w:rFonts w:ascii="Arial" w:cs="Arial" w:eastAsia="Arial" w:hAnsi="Arial"/>
          <w:sz w:val="18"/>
          <w:szCs w:val="18"/>
          <w:b w:val="1"/>
          <w:bCs w:val="1"/>
          <w:color w:val="auto"/>
        </w:rPr>
        <w:t>Please make the</w:t>
      </w:r>
      <w:r>
        <w:rPr>
          <w:rFonts w:ascii="Arial" w:cs="Arial" w:eastAsia="Arial" w:hAnsi="Arial"/>
          <w:sz w:val="18"/>
          <w:szCs w:val="18"/>
          <w:color w:val="auto"/>
        </w:rPr>
        <w:t xml:space="preserve"> </w:t>
      </w:r>
      <w:r>
        <w:rPr>
          <w:rFonts w:ascii="Arial" w:cs="Arial" w:eastAsia="Arial" w:hAnsi="Arial"/>
          <w:sz w:val="18"/>
          <w:szCs w:val="18"/>
          <w:b w:val="1"/>
          <w:bCs w:val="1"/>
          <w:color w:val="auto"/>
        </w:rPr>
        <w:t>request as instructed above on or before April 9, 2020 to facilitate timely delivery.</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How To Vote —</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91440</wp:posOffset>
            </wp:positionV>
            <wp:extent cx="6763385" cy="1482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63385" cy="1482725"/>
                    </a:xfrm>
                    <a:prstGeom prst="rect">
                      <a:avLst/>
                    </a:prstGeom>
                    <a:noFill/>
                  </pic:spPr>
                </pic:pic>
              </a:graphicData>
            </a:graphic>
          </wp:anchor>
        </w:drawing>
      </w:r>
    </w:p>
    <w:p>
      <w:pPr>
        <w:spacing w:after="0" w:line="160" w:lineRule="exact"/>
        <w:rPr>
          <w:sz w:val="20"/>
          <w:szCs w:val="20"/>
          <w:color w:val="auto"/>
        </w:rPr>
      </w:pPr>
    </w:p>
    <w:p>
      <w:pPr>
        <w:ind w:left="20"/>
        <w:spacing w:after="0" w:line="261"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plan to attend the annual meeting you must print your advance registration form by 11:59 p.m. Eastern time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April 22, 2020 at the Stockholder Meeting Registration site: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are unable to print your advance registration form call (Toll Free) 1-844-318-0137 or (International Toll Call) 1-925-331-6070. At the meeting you will also be required to show a government-issued photo ID and you will need to request a ballot to vote these shares.</w:t>
      </w:r>
    </w:p>
    <w:p>
      <w:pPr>
        <w:spacing w:after="0" w:line="99"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 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268730" cy="1028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68730"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follow the instructions. For registered shares, you may vote by Internet up until 11:59 p.m. Eastern time on April 22, 2020. For shares allocable to a benefit plan account, voting instructions must be received no later than 11:59 p.m. Eastern time on April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-473710</wp:posOffset>
            </wp:positionV>
            <wp:extent cx="128270" cy="557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270" cy="557530"/>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Vote By Mail: </w:t>
      </w:r>
      <w:r>
        <w:rPr>
          <w:rFonts w:ascii="Arial" w:cs="Arial" w:eastAsia="Arial" w:hAnsi="Arial"/>
          <w:sz w:val="17"/>
          <w:szCs w:val="17"/>
          <w:color w:val="auto"/>
        </w:rPr>
        <w:t>You can vote by mail by requesting a paper copy of the materials (as indicated above), which will include a proxy card.</w:t>
      </w:r>
    </w:p>
    <w:p>
      <w:pPr>
        <w:sectPr>
          <w:pgSz w:w="11900" w:h="16838" w:orient="portrait"/>
          <w:cols w:equalWidth="0" w:num="1">
            <w:col w:w="10160"/>
          </w:cols>
          <w:pgMar w:left="1020" w:top="594" w:right="719" w:bottom="1440" w:gutter="0" w:footer="0" w:header="0"/>
          <w:type w:val="continuous"/>
        </w:sectPr>
      </w:pPr>
    </w:p>
    <w:bookmarkStart w:id="4" w:name="page5"/>
    <w:bookmarkEnd w:id="4"/>
    <w:p>
      <w:pPr>
        <w:ind w:left="1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236601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66010" cy="171450"/>
                    </a:xfrm>
                    <a:prstGeom prst="rect">
                      <a:avLst/>
                    </a:prstGeom>
                    <a:noFill/>
                  </pic:spPr>
                </pic:pic>
              </a:graphicData>
            </a:graphic>
          </wp:anchor>
        </w:drawing>
        <w:t>Voting Items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Board of Directors recommends you vote </w:t>
      </w:r>
      <w:r>
        <w:rPr>
          <w:rFonts w:ascii="Arial" w:cs="Arial" w:eastAsia="Arial" w:hAnsi="Arial"/>
          <w:sz w:val="18"/>
          <w:szCs w:val="18"/>
          <w:b w:val="1"/>
          <w:bCs w:val="1"/>
          <w:color w:val="auto"/>
        </w:rPr>
        <w:t>FOR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of the nominees for Director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Proposals 2 and 3.</w:t>
      </w:r>
    </w:p>
    <w:p>
      <w:pPr>
        <w:spacing w:after="0" w:line="153"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1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34"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1a.  Mark A. Blinn</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1b.  Todd M. Bluedorn</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1c.  Janet F. Clark</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1d.  Carrie S. Cox</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1e.  Martin S. Craighead</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1f.  Jean M. Hobby</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1g.  Michael D. Hsu</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1h.  Ronald Kirk</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1i.  Pamela H. Patsley</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1j.  Robert E. Sanchez</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1k.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28270" cy="582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270"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4" w:right="580" w:hanging="364"/>
        <w:spacing w:after="0" w:line="277" w:lineRule="auto"/>
        <w:tabs>
          <w:tab w:leader="none" w:pos="364"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proposal regarding advisory approval of the Company’s executive compensation.</w:t>
      </w:r>
    </w:p>
    <w:p>
      <w:pPr>
        <w:spacing w:after="0" w:line="75" w:lineRule="exact"/>
        <w:rPr>
          <w:rFonts w:ascii="Arial" w:cs="Arial" w:eastAsia="Arial" w:hAnsi="Arial"/>
          <w:sz w:val="18"/>
          <w:szCs w:val="18"/>
          <w:color w:val="auto"/>
        </w:rPr>
      </w:pPr>
    </w:p>
    <w:p>
      <w:pPr>
        <w:ind w:left="364" w:hanging="364"/>
        <w:spacing w:after="0" w:line="342" w:lineRule="auto"/>
        <w:tabs>
          <w:tab w:leader="none" w:pos="364" w:val="left"/>
        </w:tabs>
        <w:numPr>
          <w:ilvl w:val="0"/>
          <w:numId w:val="9"/>
        </w:numPr>
        <w:rPr>
          <w:rFonts w:ascii="Arial" w:cs="Arial" w:eastAsia="Arial" w:hAnsi="Arial"/>
          <w:sz w:val="16"/>
          <w:szCs w:val="16"/>
          <w:color w:val="auto"/>
        </w:rPr>
      </w:pPr>
      <w:r>
        <w:rPr>
          <w:rFonts w:ascii="Arial" w:cs="Arial" w:eastAsia="Arial" w:hAnsi="Arial"/>
          <w:sz w:val="16"/>
          <w:szCs w:val="16"/>
          <w:color w:val="auto"/>
        </w:rPr>
        <w:t>Board proposal to ratify the appointment of Ernst &amp; Young LLP as the Company’s independent registered public accounting firm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-1797685</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00"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Such other business as may properly come before the meeting or</w:t>
      </w:r>
      <w:r>
        <w:rPr>
          <w:rFonts w:ascii="Arial" w:cs="Arial" w:eastAsia="Arial" w:hAnsi="Arial"/>
          <w:sz w:val="18"/>
          <w:szCs w:val="18"/>
          <w:b w:val="1"/>
          <w:bCs w:val="1"/>
          <w:color w:val="auto"/>
        </w:rPr>
        <w:t xml:space="preserve"> </w:t>
      </w:r>
      <w:r>
        <w:rPr>
          <w:rFonts w:ascii="Arial" w:cs="Arial" w:eastAsia="Arial" w:hAnsi="Arial"/>
          <w:sz w:val="18"/>
          <w:szCs w:val="18"/>
          <w:color w:val="auto"/>
        </w:rPr>
        <w:t>any adjournment thereof.</w:t>
      </w:r>
    </w:p>
    <w:p>
      <w:pPr>
        <w:sectPr>
          <w:pgSz w:w="11900" w:h="16838" w:orient="portrait"/>
          <w:cols w:equalWidth="0" w:num="2">
            <w:col w:w="5016" w:space="720"/>
            <w:col w:w="5444"/>
          </w:cols>
          <w:pgMar w:left="320" w:top="297" w:right="399" w:bottom="1440" w:gutter="0" w:footer="0" w:header="0"/>
        </w:sectPr>
      </w:pPr>
    </w:p>
    <w:bookmarkStart w:id="5" w:name="page6"/>
    <w:bookmarkEnd w:id="5"/>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353695</wp:posOffset>
            </wp:positionH>
            <wp:positionV relativeFrom="page">
              <wp:posOffset>2420620</wp:posOffset>
            </wp:positionV>
            <wp:extent cx="698627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86270" cy="25400"/>
                    </a:xfrm>
                    <a:prstGeom prst="rect">
                      <a:avLst/>
                    </a:prstGeom>
                    <a:noFill/>
                  </pic:spPr>
                </pic:pic>
              </a:graphicData>
            </a:graphic>
          </wp:anchor>
        </w:drawing>
        <w:drawing>
          <wp:anchor simplePos="0" relativeHeight="251657728" behindDoc="1" locked="0" layoutInCell="0" allowOverlap="1">
            <wp:simplePos x="0" y="0"/>
            <wp:positionH relativeFrom="page">
              <wp:posOffset>353695</wp:posOffset>
            </wp:positionH>
            <wp:positionV relativeFrom="page">
              <wp:posOffset>2480945</wp:posOffset>
            </wp:positionV>
            <wp:extent cx="69862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3140710</wp:posOffset>
            </wp:positionV>
            <wp:extent cx="137160" cy="565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7160" cy="5657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
      <w:numFmt w:val="bullet"/>
      <w:start w:val="1"/>
    </w:lvl>
    <w:lvl w:ilvl="1">
      <w:lvlJc w:val="left"/>
      <w:lvlText w:val="%2)"/>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2020-03-10T10:21:31Z</dcterms:created>
  <dcterms:modified xsi:type="dcterms:W3CDTF">2020-03-10T10:21:31Z</dcterms:modified>
</cp:coreProperties>
</file>