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01/31/2011</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60,000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34.0993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311,942</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415.55</w:t>
            </w:r>
            <w:r>
              <w:rPr>
                <w:rFonts w:ascii="Arial" w:cs="Arial" w:eastAsia="Arial" w:hAnsi="Arial"/>
                <w:sz w:val="22"/>
                <w:szCs w:val="22"/>
                <w:color w:val="008000"/>
                <w:w w:val="84"/>
                <w:vertAlign w:val="superscript"/>
              </w:rPr>
              <w:t>(2)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3,239.09</w:t>
            </w:r>
            <w:r>
              <w:rPr>
                <w:rFonts w:ascii="Arial" w:cs="Arial" w:eastAsia="Arial" w:hAnsi="Arial"/>
                <w:sz w:val="22"/>
                <w:szCs w:val="22"/>
                <w:color w:val="008000"/>
                <w:w w:val="84"/>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4-27-2009. The price in Table 1 is a weighted average sale price. The sales were at prices ranging from $33.97 to $34.27.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02/01/2011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2019-12-17T00:33:23Z</dcterms:created>
  <dcterms:modified xsi:type="dcterms:W3CDTF">2019-12-17T00:33:23Z</dcterms:modified>
</cp:coreProperties>
</file>