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62"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143510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8"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240"/>
        <w:spacing w:after="0" w:line="29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4" w:lineRule="exact"/>
        <w:rPr>
          <w:sz w:val="24"/>
          <w:szCs w:val="24"/>
          <w:color w:val="auto"/>
        </w:rPr>
      </w:pPr>
    </w:p>
    <w:p>
      <w:pPr>
        <w:ind w:right="4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300"/>
              <w:spacing w:after="0"/>
              <w:rPr>
                <w:sz w:val="20"/>
                <w:szCs w:val="20"/>
                <w:color w:val="auto"/>
              </w:rPr>
            </w:pPr>
            <w:r>
              <w:rPr>
                <w:rFonts w:ascii="Arial" w:cs="Arial" w:eastAsia="Arial" w:hAnsi="Arial"/>
                <w:sz w:val="18"/>
                <w:szCs w:val="18"/>
                <w:color w:val="auto"/>
              </w:rPr>
              <w:t>Accelerated filer</w:t>
            </w:r>
          </w:p>
        </w:tc>
        <w:tc>
          <w:tcPr>
            <w:tcW w:w="22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08"/>
        </w:trPr>
        <w:tc>
          <w:tcPr>
            <w:tcW w:w="2220" w:type="dxa"/>
            <w:vAlign w:val="bottom"/>
            <w:vMerge w:val="continue"/>
          </w:tcPr>
          <w:p>
            <w:pPr>
              <w:spacing w:after="0"/>
              <w:rPr>
                <w:sz w:val="9"/>
                <w:szCs w:val="9"/>
                <w:color w:val="auto"/>
              </w:rPr>
            </w:pPr>
          </w:p>
        </w:tc>
        <w:tc>
          <w:tcPr>
            <w:tcW w:w="5100" w:type="dxa"/>
            <w:vAlign w:val="bottom"/>
            <w:vMerge w:val="continue"/>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3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1"/>
        </w:trPr>
        <w:tc>
          <w:tcPr>
            <w:tcW w:w="11200" w:type="dxa"/>
            <w:vAlign w:val="bottom"/>
            <w:gridSpan w:val="3"/>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 new</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w w:val="94"/>
              </w:rPr>
              <w:t>or revised financial accounting standards provided pursuant to Section 13(a) of the Exchange Act</w:t>
            </w: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ind w:left="5260" w:right="1920" w:hanging="5255"/>
        <w:spacing w:after="0" w:line="231"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8"/>
          <w:szCs w:val="18"/>
          <w:color w:val="auto"/>
        </w:rPr>
        <w:t>938,206,171</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April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Arial" w:cs="Arial" w:eastAsia="Arial" w:hAnsi="Arial"/>
                <w:sz w:val="16"/>
                <w:szCs w:val="16"/>
                <w:b w:val="1"/>
                <w:bCs w:val="1"/>
                <w:color w:val="auto"/>
              </w:rPr>
              <w:t>For Three Months Ended</w:t>
            </w:r>
          </w:p>
        </w:tc>
      </w:tr>
      <w:tr>
        <w:trPr>
          <w:trHeight w:val="219"/>
        </w:trPr>
        <w:tc>
          <w:tcPr>
            <w:tcW w:w="910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3,594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w:t>
            </w:r>
          </w:p>
        </w:tc>
        <w:tc>
          <w:tcPr>
            <w:tcW w:w="120" w:type="dxa"/>
            <w:vAlign w:val="bottom"/>
            <w:shd w:val="clear" w:color="auto" w:fill="CCEEFF"/>
          </w:tcPr>
          <w:p>
            <w:pPr>
              <w:spacing w:after="0"/>
              <w:rPr>
                <w:sz w:val="18"/>
                <w:szCs w:val="18"/>
                <w:color w:val="auto"/>
              </w:rPr>
            </w:pPr>
          </w:p>
        </w:tc>
      </w:tr>
      <w:tr>
        <w:trPr>
          <w:trHeight w:val="213"/>
        </w:trPr>
        <w:tc>
          <w:tcPr>
            <w:tcW w:w="910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1,333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910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389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shd w:val="clear" w:color="auto" w:fill="CCEEFF"/>
          </w:tcPr>
          <w:p>
            <w:pPr>
              <w:spacing w:after="0"/>
              <w:rPr>
                <w:sz w:val="19"/>
                <w:szCs w:val="19"/>
                <w:color w:val="auto"/>
              </w:rPr>
            </w:pPr>
          </w:p>
        </w:tc>
      </w:tr>
      <w:tr>
        <w:trPr>
          <w:trHeight w:val="213"/>
        </w:trPr>
        <w:tc>
          <w:tcPr>
            <w:tcW w:w="910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r>
      <w:tr>
        <w:trPr>
          <w:trHeight w:val="207"/>
        </w:trPr>
        <w:tc>
          <w:tcPr>
            <w:tcW w:w="910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1,379</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r>
      <w:tr>
        <w:trPr>
          <w:trHeight w:val="213"/>
        </w:trPr>
        <w:tc>
          <w:tcPr>
            <w:tcW w:w="910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1,377</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910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160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9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90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8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9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939</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90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956</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1,217</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120" w:type="dxa"/>
            <w:vAlign w:val="bottom"/>
            <w:shd w:val="clear" w:color="auto" w:fill="CCEEFF"/>
          </w:tcPr>
          <w:p>
            <w:pPr>
              <w:spacing w:after="0"/>
              <w:rPr>
                <w:sz w:val="18"/>
                <w:szCs w:val="18"/>
                <w:color w:val="auto"/>
              </w:rPr>
            </w:pPr>
          </w:p>
        </w:tc>
      </w:tr>
      <w:tr>
        <w:trPr>
          <w:trHeight w:val="213"/>
        </w:trPr>
        <w:tc>
          <w:tcPr>
            <w:tcW w:w="910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3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(8)</w:t>
            </w:r>
          </w:p>
        </w:tc>
        <w:tc>
          <w:tcPr>
            <w:tcW w:w="3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r>
      <w:tr>
        <w:trPr>
          <w:trHeight w:val="210"/>
        </w:trPr>
        <w:tc>
          <w:tcPr>
            <w:tcW w:w="9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w w:val="94"/>
              </w:rPr>
              <w:t>For Three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losses of defined benefit plans: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Prior service credit of defined benefit plans: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2"/>
            <w:vMerge w:val="restart"/>
          </w:tcPr>
          <w:p>
            <w:pPr>
              <w:ind w:left="1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9"/>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240" w:type="dxa"/>
            <w:vAlign w:val="bottom"/>
          </w:tcPr>
          <w:p>
            <w:pPr>
              <w:spacing w:after="0"/>
              <w:rPr>
                <w:sz w:val="19"/>
                <w:szCs w:val="19"/>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3,720</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366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($17) and ($19)</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1,440</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924</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2,131</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7,951</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5,642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(2,324)</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3,318</w:t>
            </w:r>
          </w:p>
        </w:tc>
        <w:tc>
          <w:tcPr>
            <w:tcW w:w="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290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17,443</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342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477</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2,159</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5,057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1,545</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8,924</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 None issued</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1,927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38,396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March 31, 2019 – 802,016,668; December 31, 2018 – 795,665,646</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(33,080)</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(32,130)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(465)</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8,519</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17,443</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3"/>
              </w:rPr>
              <w:t>For Three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1,217</w:t>
            </w:r>
          </w:p>
        </w:tc>
        <w:tc>
          <w:tcPr>
            <w:tcW w:w="22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Gains on sales of assets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Deferred taxes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(373)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(251)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(149)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(724)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(1,152)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(998)</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2,438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7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3"/>
          <w:szCs w:val="13"/>
          <w:color w:val="auto"/>
        </w:rPr>
        <w:t>®</w:t>
      </w:r>
      <w:r>
        <w:rPr>
          <w:rFonts w:ascii="Arial" w:cs="Arial" w:eastAsia="Arial" w:hAnsi="Arial"/>
          <w:sz w:val="15"/>
          <w:szCs w:val="15"/>
          <w:color w:val="auto"/>
        </w:rPr>
        <w:t xml:space="preserve"> products, calculators and custom ASIC products.</w:t>
      </w:r>
    </w:p>
    <w:p>
      <w:pPr>
        <w:spacing w:after="0" w:line="10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80" w:type="dxa"/>
            <w:vAlign w:val="bottom"/>
            <w:gridSpan w:val="4"/>
          </w:tcPr>
          <w:p>
            <w:pPr>
              <w:jc w:val="right"/>
              <w:ind w:right="123"/>
              <w:spacing w:after="0"/>
              <w:rPr>
                <w:sz w:val="20"/>
                <w:szCs w:val="20"/>
                <w:color w:val="auto"/>
              </w:rPr>
            </w:pPr>
            <w:r>
              <w:rPr>
                <w:rFonts w:ascii="Arial" w:cs="Arial" w:eastAsia="Arial" w:hAnsi="Arial"/>
                <w:sz w:val="16"/>
                <w:szCs w:val="16"/>
                <w:b w:val="1"/>
                <w:bCs w:val="1"/>
                <w:color w:val="auto"/>
              </w:rPr>
              <w:t>For Three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3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6"/>
                <w:szCs w:val="16"/>
                <w:color w:val="auto"/>
              </w:rPr>
              <w:t>Analog</w:t>
            </w:r>
          </w:p>
        </w:tc>
        <w:tc>
          <w:tcPr>
            <w:tcW w:w="4240" w:type="dxa"/>
            <w:vAlign w:val="bottom"/>
            <w:gridSpan w:val="2"/>
          </w:tcPr>
          <w:p>
            <w:pPr>
              <w:jc w:val="right"/>
              <w:ind w:right="722"/>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2,518</w:t>
            </w:r>
          </w:p>
        </w:tc>
        <w:tc>
          <w:tcPr>
            <w:tcW w:w="360" w:type="dxa"/>
            <w:vAlign w:val="bottom"/>
          </w:tcPr>
          <w:p>
            <w:pPr>
              <w:spacing w:after="0"/>
              <w:rPr>
                <w:sz w:val="18"/>
                <w:szCs w:val="18"/>
                <w:color w:val="auto"/>
              </w:rPr>
            </w:pP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3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796</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33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w:t>
            </w: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3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3,594</w:t>
            </w: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3,789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3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6"/>
                <w:szCs w:val="16"/>
                <w:color w:val="auto"/>
              </w:rPr>
              <w:t>Analog</w:t>
            </w:r>
          </w:p>
        </w:tc>
        <w:tc>
          <w:tcPr>
            <w:tcW w:w="4240" w:type="dxa"/>
            <w:vAlign w:val="bottom"/>
            <w:gridSpan w:val="2"/>
          </w:tcPr>
          <w:p>
            <w:pPr>
              <w:jc w:val="right"/>
              <w:ind w:right="722"/>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1,088</w:t>
            </w:r>
          </w:p>
        </w:tc>
        <w:tc>
          <w:tcPr>
            <w:tcW w:w="360" w:type="dxa"/>
            <w:vAlign w:val="bottom"/>
          </w:tcPr>
          <w:p>
            <w:pPr>
              <w:spacing w:after="0"/>
              <w:rPr>
                <w:sz w:val="18"/>
                <w:szCs w:val="18"/>
                <w:color w:val="auto"/>
              </w:rPr>
            </w:pP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3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33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3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1,379</w:t>
            </w: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1,548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geographic area information includes revenue based on product shipment destination. The revenue information is not necessarily indicative of the geographic area in which the end applications containing our products are ultimately consumed because our products tend to be shipped to the locations where our customers manufacture their products. Specifically, many of our products are shipped to our customers in China who may include these parts in the manufacture of their own end products, which they may in turn export to their customers around the world.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58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rPr>
              <w:t>For Three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524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2"/>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3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524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3920" w:type="dxa"/>
            <w:vAlign w:val="bottom"/>
            <w:gridSpan w:val="2"/>
          </w:tcPr>
          <w:p>
            <w:pPr>
              <w:jc w:val="right"/>
              <w:ind w:right="72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477</w:t>
            </w:r>
          </w:p>
        </w:tc>
        <w:tc>
          <w:tcPr>
            <w:tcW w:w="360" w:type="dxa"/>
            <w:vAlign w:val="bottom"/>
          </w:tcPr>
          <w:p>
            <w:pPr>
              <w:spacing w:after="0"/>
              <w:rPr>
                <w:sz w:val="18"/>
                <w:szCs w:val="18"/>
                <w:color w:val="auto"/>
              </w:rPr>
            </w:pP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r>
      <w:tr>
        <w:trPr>
          <w:trHeight w:val="21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3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2,092</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2,215</w:t>
            </w:r>
          </w:p>
        </w:tc>
        <w:tc>
          <w:tcPr>
            <w:tcW w:w="120" w:type="dxa"/>
            <w:vAlign w:val="bottom"/>
            <w:shd w:val="clear" w:color="auto" w:fill="CCEEFF"/>
          </w:tcPr>
          <w:p>
            <w:pPr>
              <w:spacing w:after="0"/>
              <w:rPr>
                <w:sz w:val="19"/>
                <w:szCs w:val="19"/>
                <w:color w:val="auto"/>
              </w:rPr>
            </w:pPr>
          </w:p>
        </w:tc>
      </w:tr>
      <w:tr>
        <w:trPr>
          <w:trHeight w:val="213"/>
        </w:trPr>
        <w:tc>
          <w:tcPr>
            <w:tcW w:w="524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3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743</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18"/>
                <w:szCs w:val="18"/>
                <w:color w:val="auto"/>
              </w:rPr>
            </w:pPr>
          </w:p>
        </w:tc>
      </w:tr>
      <w:tr>
        <w:trPr>
          <w:trHeight w:val="21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3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9"/>
                <w:szCs w:val="19"/>
                <w:color w:val="auto"/>
              </w:rPr>
            </w:pPr>
          </w:p>
        </w:tc>
      </w:tr>
      <w:tr>
        <w:trPr>
          <w:trHeight w:val="213"/>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30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w:t>
            </w: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18"/>
                <w:szCs w:val="18"/>
                <w:color w:val="auto"/>
              </w:rPr>
            </w:pPr>
          </w:p>
        </w:tc>
      </w:tr>
      <w:tr>
        <w:trPr>
          <w:trHeight w:val="21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30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3,594</w:t>
            </w: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3,789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was $1.7 billion and $1.6 billion in the first quarters of 2019 and 2018, respectively.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The consolidated financial statements have been prepared in accordance with accounting principles generally accepted in the United States (GAAP) and on the same basis as the audited financial statements included in our annual report on Form 10-K for the year ended December 31, 2018, except for the effects of adopting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Consolidated Statements of Income, Comprehensive Income and Cash Flows for the periods ended March 31, 2019 and 2018, and the Consolidated Balance Sheet as of March 31, 2019,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2018. The results for the three-month periods are not necessarily indicative of a full year’s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determine if an arrangement is a lease at inception. Leases are included in other long-term assets, accrued expenses and other liabilities, and other long-term liabilities on our Consolidated Balance Sheets.</w:t>
      </w:r>
    </w:p>
    <w:p>
      <w:pPr>
        <w:spacing w:after="0" w:line="14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not to terminate the lease when it is reasonably certain that we will exercise such options.</w:t>
      </w:r>
    </w:p>
    <w:p>
      <w:pPr>
        <w:spacing w:after="0" w:line="14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have agreements with lease and non-lease components, which are accounted for as a single lease component. Leases with a lease term of 12 months or less are not recorded on the balance sheet; we recognize lease expense for these leases on a straight-line basis over the lease term.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w w:val="98"/>
              </w:rPr>
              <w:t>For Three Months Ended March 31,</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Net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Net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Income</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Income</w:t>
            </w: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1,217</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1,366</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1,209</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939</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3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983</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Dilutive effect of stock compensation plans</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1,217</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1,366</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1,209</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956</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3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Potentially dilutive securities representing 9 million and 5 million shares of common stock that were outstanding during the first quarters of 2019 and 2018, respectively, were excluded from the computation of diluted earnings per common share during these periods because their effect would have been anti-dilutive.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March 31, 2019.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4 for a description of fair value and the definition of Level 2 inputs.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2016-02, Leases (Topic 842)</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effective January 1, 2019, using the modified retrospective transition method applied to leases existing at, or entered into after, the adoption date. The reported results for 2019 reflect the application of the new accounting guidance, while the reported results for prior periods are not adjusted and continue to be reported in accordance with our historical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addition, we elected the package of practical expedients permitted under the transition guidance that allowed us to apply prior conclusions related to lease definition, classification and initial direct costs.</w:t>
      </w:r>
    </w:p>
    <w:p>
      <w:pPr>
        <w:spacing w:after="0" w:line="1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adoption of the new standard resulted in the recognition of $229 million of lease liabilities with corresponding lease assets as of January 1, 2019. The standard did not materially impact our consolidated results of operations and had no impact on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standards were also adopted: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ASU</w:t>
            </w:r>
          </w:p>
        </w:tc>
        <w:tc>
          <w:tcPr>
            <w:tcW w:w="60" w:type="dxa"/>
            <w:vAlign w:val="bottom"/>
            <w:tcBorders>
              <w:bottom w:val="single" w:sz="8" w:color="CCEEFF"/>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21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ASU No. 2017-12</w:t>
            </w:r>
          </w:p>
        </w:tc>
        <w:tc>
          <w:tcPr>
            <w:tcW w:w="7920" w:type="dxa"/>
            <w:vAlign w:val="bottom"/>
            <w:gridSpan w:val="3"/>
            <w:shd w:val="clear" w:color="auto" w:fill="CCEEFF"/>
          </w:tcPr>
          <w:p>
            <w:pPr>
              <w:ind w:left="60"/>
              <w:spacing w:after="0"/>
              <w:rPr>
                <w:sz w:val="20"/>
                <w:szCs w:val="20"/>
                <w:color w:val="auto"/>
              </w:rPr>
            </w:pPr>
            <w:r>
              <w:rPr>
                <w:rFonts w:ascii="Arial" w:cs="Arial" w:eastAsia="Arial" w:hAnsi="Arial"/>
                <w:sz w:val="16"/>
                <w:szCs w:val="16"/>
                <w:i w:val="1"/>
                <w:iCs w:val="1"/>
                <w:color w:val="auto"/>
              </w:rPr>
              <w:t>Derivatives and Hedging (Topic 815): Targeted Improvements to Accounting for Hedging Activities</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1, 2019</w:t>
            </w:r>
          </w:p>
        </w:tc>
      </w:tr>
      <w:tr>
        <w:trPr>
          <w:trHeight w:val="206"/>
        </w:trPr>
        <w:tc>
          <w:tcPr>
            <w:tcW w:w="1780" w:type="dxa"/>
            <w:vAlign w:val="bottom"/>
          </w:tcPr>
          <w:p>
            <w:pPr>
              <w:spacing w:after="0"/>
              <w:rPr>
                <w:sz w:val="20"/>
                <w:szCs w:val="20"/>
                <w:color w:val="auto"/>
              </w:rPr>
            </w:pPr>
            <w:r>
              <w:rPr>
                <w:rFonts w:ascii="Arial" w:cs="Arial" w:eastAsia="Arial" w:hAnsi="Arial"/>
                <w:sz w:val="16"/>
                <w:szCs w:val="16"/>
                <w:color w:val="auto"/>
              </w:rPr>
              <w:t>ASU No. 2018-14</w:t>
            </w: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w w:val="95"/>
              </w:rPr>
              <w:t>Compensation – Retirement Benefits – Defined Benefit Plans – General (Subtopic 715-20): Disclosure Framework –</w:t>
            </w:r>
          </w:p>
        </w:tc>
        <w:tc>
          <w:tcPr>
            <w:tcW w:w="1720" w:type="dxa"/>
            <w:vAlign w:val="bottom"/>
          </w:tcPr>
          <w:p>
            <w:pPr>
              <w:jc w:val="center"/>
              <w:spacing w:after="0"/>
              <w:rPr>
                <w:sz w:val="20"/>
                <w:szCs w:val="20"/>
                <w:color w:val="auto"/>
              </w:rPr>
            </w:pPr>
            <w:r>
              <w:rPr>
                <w:rFonts w:ascii="Arial" w:cs="Arial" w:eastAsia="Arial" w:hAnsi="Arial"/>
                <w:sz w:val="16"/>
                <w:szCs w:val="16"/>
                <w:color w:val="auto"/>
                <w:w w:val="88"/>
              </w:rPr>
              <w:t>January 1, 2019</w:t>
            </w:r>
          </w:p>
        </w:tc>
      </w:tr>
      <w:tr>
        <w:trPr>
          <w:trHeight w:val="206"/>
        </w:trPr>
        <w:tc>
          <w:tcPr>
            <w:tcW w:w="1780" w:type="dxa"/>
            <w:vAlign w:val="bottom"/>
          </w:tcPr>
          <w:p>
            <w:pPr>
              <w:spacing w:after="0"/>
              <w:rPr>
                <w:sz w:val="17"/>
                <w:szCs w:val="17"/>
                <w:color w:val="auto"/>
              </w:rPr>
            </w:pP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rPr>
              <w:t>Changes to the Disclosure Requirements for Defined Benefit Plans</w:t>
            </w:r>
          </w:p>
        </w:tc>
        <w:tc>
          <w:tcPr>
            <w:tcW w:w="1720" w:type="dxa"/>
            <w:vAlign w:val="bottom"/>
          </w:tcPr>
          <w:p>
            <w:pPr>
              <w:spacing w:after="0"/>
              <w:rPr>
                <w:sz w:val="17"/>
                <w:szCs w:val="17"/>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2016-13, Financial Instruments – Credit Losses (Topic 326): Measurement of Credit Losses on Financial Instruments</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This standard will be effective for our interim and annual periods beginning January 1, 2020, with early adoption permitted beginning January 1, 2019, and must be applied on a modified retrospective basis. We are currently evaluating the potential impact of this standard, but we do not expect it to have a material impact on our financial position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We are evaluating the impact of the following standards, but we do not expect them to have a material impact on our financial position and results of operations. We plan to adopt these standards as of their effective dates.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ASU</w:t>
            </w:r>
          </w:p>
        </w:tc>
        <w:tc>
          <w:tcPr>
            <w:tcW w:w="60" w:type="dxa"/>
            <w:vAlign w:val="bottom"/>
            <w:tcBorders>
              <w:bottom w:val="single" w:sz="8" w:color="CCEEFF"/>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Effective Date</w:t>
            </w: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ASU No. 2018-13</w:t>
            </w:r>
          </w:p>
        </w:tc>
        <w:tc>
          <w:tcPr>
            <w:tcW w:w="7920" w:type="dxa"/>
            <w:vAlign w:val="bottom"/>
            <w:gridSpan w:val="3"/>
            <w:shd w:val="clear" w:color="auto" w:fill="CCEEFF"/>
          </w:tcPr>
          <w:p>
            <w:pPr>
              <w:ind w:left="60"/>
              <w:spacing w:after="0"/>
              <w:rPr>
                <w:sz w:val="20"/>
                <w:szCs w:val="20"/>
                <w:color w:val="auto"/>
              </w:rPr>
            </w:pPr>
            <w:r>
              <w:rPr>
                <w:rFonts w:ascii="Arial" w:cs="Arial" w:eastAsia="Arial" w:hAnsi="Arial"/>
                <w:sz w:val="16"/>
                <w:szCs w:val="16"/>
                <w:i w:val="1"/>
                <w:iCs w:val="1"/>
                <w:color w:val="auto"/>
                <w:w w:val="93"/>
              </w:rPr>
              <w:t>Fair Value Measurement (Topic 820): Disclosure Framework – Changes to the Disclosure Requirements for Fair Value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1, 2020</w:t>
            </w:r>
          </w:p>
        </w:tc>
      </w:tr>
      <w:tr>
        <w:trPr>
          <w:trHeight w:val="212"/>
        </w:trPr>
        <w:tc>
          <w:tcPr>
            <w:tcW w:w="1780" w:type="dxa"/>
            <w:vAlign w:val="bottom"/>
            <w:shd w:val="clear" w:color="auto" w:fill="CCEEFF"/>
          </w:tcPr>
          <w:p>
            <w:pPr>
              <w:spacing w:after="0"/>
              <w:rPr>
                <w:sz w:val="18"/>
                <w:szCs w:val="18"/>
                <w:color w:val="auto"/>
              </w:rPr>
            </w:pPr>
          </w:p>
        </w:tc>
        <w:tc>
          <w:tcPr>
            <w:tcW w:w="7920" w:type="dxa"/>
            <w:vAlign w:val="bottom"/>
            <w:gridSpan w:val="3"/>
            <w:shd w:val="clear" w:color="auto" w:fill="CCEEFF"/>
          </w:tcPr>
          <w:p>
            <w:pPr>
              <w:ind w:left="60"/>
              <w:spacing w:after="0"/>
              <w:rPr>
                <w:sz w:val="20"/>
                <w:szCs w:val="20"/>
                <w:color w:val="auto"/>
              </w:rPr>
            </w:pPr>
            <w:r>
              <w:rPr>
                <w:rFonts w:ascii="Arial" w:cs="Arial" w:eastAsia="Arial" w:hAnsi="Arial"/>
                <w:sz w:val="16"/>
                <w:szCs w:val="16"/>
                <w:i w:val="1"/>
                <w:iCs w:val="1"/>
                <w:color w:val="auto"/>
              </w:rPr>
              <w:t>Measurement</w:t>
            </w:r>
          </w:p>
        </w:tc>
        <w:tc>
          <w:tcPr>
            <w:tcW w:w="1720" w:type="dxa"/>
            <w:vAlign w:val="bottom"/>
            <w:shd w:val="clear" w:color="auto" w:fill="CCEEFF"/>
          </w:tcPr>
          <w:p>
            <w:pPr>
              <w:spacing w:after="0"/>
              <w:rPr>
                <w:sz w:val="18"/>
                <w:szCs w:val="18"/>
                <w:color w:val="auto"/>
              </w:rPr>
            </w:pPr>
          </w:p>
        </w:tc>
      </w:tr>
      <w:tr>
        <w:trPr>
          <w:trHeight w:val="206"/>
        </w:trPr>
        <w:tc>
          <w:tcPr>
            <w:tcW w:w="1780" w:type="dxa"/>
            <w:vAlign w:val="bottom"/>
          </w:tcPr>
          <w:p>
            <w:pPr>
              <w:spacing w:after="0"/>
              <w:rPr>
                <w:sz w:val="20"/>
                <w:szCs w:val="20"/>
                <w:color w:val="auto"/>
              </w:rPr>
            </w:pPr>
            <w:r>
              <w:rPr>
                <w:rFonts w:ascii="Arial" w:cs="Arial" w:eastAsia="Arial" w:hAnsi="Arial"/>
                <w:sz w:val="16"/>
                <w:szCs w:val="16"/>
                <w:color w:val="auto"/>
              </w:rPr>
              <w:t>ASU No. 2018-15</w:t>
            </w: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rPr>
              <w:t>Intangibles – Goodwill and Other – Internal-Use Software (Subtopic 350-40): Customer’s Accounting for</w:t>
            </w:r>
          </w:p>
        </w:tc>
        <w:tc>
          <w:tcPr>
            <w:tcW w:w="1720" w:type="dxa"/>
            <w:vAlign w:val="bottom"/>
          </w:tcPr>
          <w:p>
            <w:pPr>
              <w:jc w:val="center"/>
              <w:spacing w:after="0"/>
              <w:rPr>
                <w:sz w:val="20"/>
                <w:szCs w:val="20"/>
                <w:color w:val="auto"/>
              </w:rPr>
            </w:pPr>
            <w:r>
              <w:rPr>
                <w:rFonts w:ascii="Arial" w:cs="Arial" w:eastAsia="Arial" w:hAnsi="Arial"/>
                <w:sz w:val="16"/>
                <w:szCs w:val="16"/>
                <w:color w:val="auto"/>
                <w:w w:val="88"/>
              </w:rPr>
              <w:t>January 1, 2020</w:t>
            </w:r>
          </w:p>
        </w:tc>
      </w:tr>
      <w:tr>
        <w:trPr>
          <w:trHeight w:val="206"/>
        </w:trPr>
        <w:tc>
          <w:tcPr>
            <w:tcW w:w="1780" w:type="dxa"/>
            <w:vAlign w:val="bottom"/>
          </w:tcPr>
          <w:p>
            <w:pPr>
              <w:spacing w:after="0"/>
              <w:rPr>
                <w:sz w:val="17"/>
                <w:szCs w:val="17"/>
                <w:color w:val="auto"/>
              </w:rPr>
            </w:pP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rPr>
              <w:t>Implementation Costs Incurred in a Cloud Computing Arrangement That Is a Service Contract</w:t>
            </w:r>
          </w:p>
        </w:tc>
        <w:tc>
          <w:tcPr>
            <w:tcW w:w="1720" w:type="dxa"/>
            <w:vAlign w:val="bottom"/>
          </w:tcPr>
          <w:p>
            <w:pPr>
              <w:spacing w:after="0"/>
              <w:rPr>
                <w:sz w:val="17"/>
                <w:szCs w:val="17"/>
                <w:color w:val="auto"/>
              </w:rPr>
            </w:pPr>
          </w:p>
        </w:tc>
      </w:tr>
    </w:tbl>
    <w:p>
      <w:pPr>
        <w:spacing w:after="0" w:line="20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estimated annual effective tax rate is about 16%, which does not include discrete tax items. This differs from the 21% statutory corporate tax rate due to the effect of U.S.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tcPr>
          <w:p>
            <w:pPr>
              <w:spacing w:after="0"/>
              <w:rPr>
                <w:sz w:val="18"/>
                <w:szCs w:val="18"/>
                <w:color w:val="auto"/>
              </w:rPr>
            </w:pPr>
          </w:p>
        </w:tc>
        <w:tc>
          <w:tcPr>
            <w:tcW w:w="248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For Three Months Ended</w:t>
            </w:r>
          </w:p>
        </w:tc>
      </w:tr>
      <w:tr>
        <w:trPr>
          <w:trHeight w:val="219"/>
        </w:trPr>
        <w:tc>
          <w:tcPr>
            <w:tcW w:w="89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89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CEEFF"/>
            </w:tcBorders>
          </w:tcPr>
          <w:p>
            <w:pPr>
              <w:spacing w:after="0"/>
              <w:rPr>
                <w:sz w:val="18"/>
                <w:szCs w:val="18"/>
                <w:color w:val="auto"/>
              </w:rPr>
            </w:pPr>
          </w:p>
        </w:tc>
      </w:tr>
      <w:tr>
        <w:trPr>
          <w:trHeight w:val="212"/>
        </w:trPr>
        <w:tc>
          <w:tcPr>
            <w:tcW w:w="8940" w:type="dxa"/>
            <w:vAlign w:val="bottom"/>
            <w:shd w:val="clear" w:color="auto" w:fill="CCEEFF"/>
          </w:tcPr>
          <w:p>
            <w:pPr>
              <w:spacing w:after="0"/>
              <w:rPr>
                <w:sz w:val="20"/>
                <w:szCs w:val="20"/>
                <w:color w:val="auto"/>
              </w:rPr>
            </w:pPr>
            <w:r>
              <w:rPr>
                <w:rFonts w:ascii="Arial" w:cs="Arial" w:eastAsia="Arial" w:hAnsi="Arial"/>
                <w:sz w:val="16"/>
                <w:szCs w:val="16"/>
                <w:color w:val="auto"/>
              </w:rPr>
              <w:t>Taxes calculated using the estimated annual effective tax rate</w:t>
            </w: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220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40" w:type="dxa"/>
            <w:vAlign w:val="bottom"/>
            <w:shd w:val="clear" w:color="auto" w:fill="CCEEFF"/>
          </w:tcPr>
          <w:p>
            <w:pPr>
              <w:spacing w:after="0"/>
              <w:rPr>
                <w:sz w:val="18"/>
                <w:szCs w:val="18"/>
                <w:color w:val="auto"/>
              </w:rPr>
            </w:pPr>
          </w:p>
        </w:tc>
      </w:tr>
      <w:tr>
        <w:trPr>
          <w:trHeight w:val="213"/>
        </w:trPr>
        <w:tc>
          <w:tcPr>
            <w:tcW w:w="8940" w:type="dxa"/>
            <w:vAlign w:val="bottom"/>
          </w:tcPr>
          <w:p>
            <w:pPr>
              <w:spacing w:after="0"/>
              <w:rPr>
                <w:sz w:val="20"/>
                <w:szCs w:val="20"/>
                <w:color w:val="auto"/>
              </w:rPr>
            </w:pPr>
            <w:r>
              <w:rPr>
                <w:rFonts w:ascii="Arial" w:cs="Arial" w:eastAsia="Arial" w:hAnsi="Arial"/>
                <w:sz w:val="16"/>
                <w:szCs w:val="16"/>
                <w:color w:val="auto"/>
              </w:rPr>
              <w:t>Discrete tax items</w:t>
            </w:r>
          </w:p>
        </w:tc>
        <w:tc>
          <w:tcPr>
            <w:tcW w:w="6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(60)</w:t>
            </w: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(129)</w:t>
            </w:r>
          </w:p>
        </w:tc>
      </w:tr>
      <w:tr>
        <w:trPr>
          <w:trHeight w:val="210"/>
        </w:trPr>
        <w:tc>
          <w:tcPr>
            <w:tcW w:w="8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680" w:type="dxa"/>
            <w:vAlign w:val="bottom"/>
            <w:tcBorders>
              <w:top w:val="single" w:sz="8" w:color="auto"/>
              <w:bottom w:val="single" w:sz="8" w:color="auto"/>
            </w:tcBorders>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160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8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6"/>
                <w:szCs w:val="16"/>
                <w:color w:val="auto"/>
              </w:rPr>
              <w:t>Actual effective tax rate</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bl>
    <w:p>
      <w:pPr>
        <w:spacing w:after="0" w:line="20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 measured at fair value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Available-for-sale debt investments and trading securities are stated at fair value, which is generally based on market prices or broker quotes. See </w:t>
      </w:r>
      <w:r>
        <w:rPr>
          <w:rFonts w:ascii="Arial" w:cs="Arial" w:eastAsia="Arial" w:hAnsi="Arial"/>
          <w:sz w:val="18"/>
          <w:szCs w:val="18"/>
          <w:i w:val="1"/>
          <w:iCs w:val="1"/>
          <w:color w:val="auto"/>
        </w:rPr>
        <w:t>Fair-value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considerations </w:t>
      </w:r>
      <w:r>
        <w:rPr>
          <w:rFonts w:ascii="Arial" w:cs="Arial" w:eastAsia="Arial" w:hAnsi="Arial"/>
          <w:sz w:val="18"/>
          <w:szCs w:val="18"/>
          <w:color w:val="auto"/>
        </w:rPr>
        <w:t>below. Unrealized gains and losses from available-for-sale debt securities are recorded as an increase or decrease, net of taxes, in AOCI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Other-than-temporary impairments on available-for-sale debt securities are recorded in OI&amp;E in our Consolidated Statements of Income.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Cash and Cash</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Short-Term</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Long-Term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Cash and Cash</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Short-Term</w:t>
            </w: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Long-Term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Equivalents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spacing w:after="0"/>
              <w:rPr>
                <w:sz w:val="20"/>
                <w:szCs w:val="20"/>
                <w:color w:val="auto"/>
              </w:rPr>
            </w:pPr>
            <w:r>
              <w:rPr>
                <w:rFonts w:ascii="Arial" w:cs="Arial" w:eastAsia="Arial" w:hAnsi="Arial"/>
                <w:sz w:val="16"/>
                <w:szCs w:val="16"/>
                <w:color w:val="auto"/>
              </w:rPr>
              <w:t>Available-for-sale debt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U.S. government agency and Treasury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3,435</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366</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250</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2,208</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1,795</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Non-marketable equity investments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3,720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366</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281</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2,438</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1,795</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2019, and December 31, 2018, unrealized gains and losses associated with our available-for-sale investments were not material. We did not recognize any credit losses related to available-for-sale investments for the first three months of 2019 and 2018.</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Proceeds from sales, redemptions and maturities of short-term available-for-sale investments were $1.58 billion and $1.46 billion for the first quarters of 2019 and 2018, respectively. Gross realized gains and losses from these sales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March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Borders>
              <w:bottom w:val="single" w:sz="8" w:color="CCEEFF"/>
            </w:tcBorders>
          </w:tcPr>
          <w:p>
            <w:pPr>
              <w:spacing w:after="0"/>
              <w:rPr>
                <w:sz w:val="18"/>
                <w:szCs w:val="18"/>
                <w:color w:val="auto"/>
              </w:rPr>
            </w:pPr>
          </w:p>
        </w:tc>
        <w:tc>
          <w:tcPr>
            <w:tcW w:w="4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Borders>
              <w:bottom w:val="single" w:sz="8" w:color="CCEEFF"/>
            </w:tcBorders>
          </w:tcPr>
          <w:p>
            <w:pPr>
              <w:spacing w:after="0"/>
              <w:rPr>
                <w:sz w:val="18"/>
                <w:szCs w:val="18"/>
                <w:color w:val="auto"/>
              </w:rPr>
            </w:pPr>
          </w:p>
        </w:tc>
      </w:tr>
      <w:tr>
        <w:trPr>
          <w:trHeight w:val="21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One year or less</w:t>
            </w:r>
          </w:p>
        </w:tc>
        <w:tc>
          <w:tcPr>
            <w:tcW w:w="4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120" w:type="dxa"/>
            <w:vAlign w:val="bottom"/>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6"/>
                <w:szCs w:val="16"/>
                <w:color w:val="auto"/>
              </w:rPr>
              <w:t>One to two years</w:t>
            </w:r>
          </w:p>
        </w:tc>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declines and impairments in the values of our debt investments in the first three months of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ind w:left="1040" w:right="8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These values are generally determined using pricing models that utilize management estimates of market participant assumptions. As of March 31, 2019 and December 31, 2018, we had no Level 3 assets or liabilities.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March 31, 2019</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December 31, 2018</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1,073</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1,073</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747</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1,131</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1,597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2,920</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1,131</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4,051</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3,008</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1,221</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Goodwill was $4.36 billion as of March 31, 2019, and December 31, 2018. There was no impairment of goodwill during the first three months of 2019 or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Accumulated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c>
          <w:tcPr>
            <w:tcW w:w="14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r>
      <w:tr>
        <w:trPr>
          <w:trHeight w:val="213"/>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7 - 10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2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Customer relationships</w:t>
            </w:r>
          </w:p>
        </w:tc>
        <w:tc>
          <w:tcPr>
            <w:tcW w:w="1380" w:type="dxa"/>
            <w:vAlign w:val="bottom"/>
            <w:tcBorders>
              <w:bottom w:val="single" w:sz="8" w:color="CCEEFF"/>
            </w:tcBorders>
          </w:tcPr>
          <w:p>
            <w:pPr>
              <w:jc w:val="right"/>
              <w:ind w:right="559"/>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r>
      <w:tr>
        <w:trPr>
          <w:trHeight w:val="210"/>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2,386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Amortization of acquisition-related intangibles was $79 million and $80 million for the first quarters of 2019 and 2018, respectively. Fully amortized assets are written off against accumulated amortization.</w:t>
      </w:r>
    </w:p>
    <w:p>
      <w:pPr>
        <w:spacing w:after="0" w:line="1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70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rPr>
              <w:t>Defined Benefit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4"/>
          </w:tcPr>
          <w:p>
            <w:pPr>
              <w:jc w:val="right"/>
              <w:ind w:right="2"/>
              <w:spacing w:after="0"/>
              <w:rPr>
                <w:sz w:val="20"/>
                <w:szCs w:val="20"/>
                <w:color w:val="auto"/>
              </w:rPr>
            </w:pPr>
            <w:r>
              <w:rPr>
                <w:rFonts w:ascii="Arial" w:cs="Arial" w:eastAsia="Arial" w:hAnsi="Arial"/>
                <w:sz w:val="16"/>
                <w:szCs w:val="16"/>
                <w:b w:val="1"/>
                <w:bCs w:val="1"/>
                <w:color w:val="auto"/>
              </w:rPr>
              <w:t>Retiree Health Care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March 31,</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Borders>
              <w:bottom w:val="single" w:sz="8" w:color="CCEEFF"/>
            </w:tcBorders>
          </w:tcPr>
          <w:p>
            <w:pPr>
              <w:spacing w:after="0"/>
              <w:rPr>
                <w:sz w:val="18"/>
                <w:szCs w:val="18"/>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2"/>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Interest cost</w:t>
            </w: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(9)</w:t>
            </w:r>
          </w:p>
        </w:tc>
        <w:tc>
          <w:tcPr>
            <w:tcW w:w="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(21)</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3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March 31, 2019,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March 31, 2019,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the first quarter of 2019, we issued an aggregate principal amount of $750 million of fixed-rate, long-term debt due in 2039. We incurred $7 million of issuance and other related costs. We received $743 million in proceeds, net of the original issuance discount, to be used for general corporate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6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Notes due 2019 at 1.65%</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Notes due 2020 at 1.75%</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Notes due 2021 at 2.75%</w:t>
            </w: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9"/>
                <w:szCs w:val="19"/>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Notes due 2022 at 1.85%</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Notes due 2023 at 2.25%</w:t>
            </w: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Notes due 2024 at 2.625%</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Notes due 2027 at 2.90%</w:t>
            </w: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Notes due 2039 at 3.875%</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Notes due 2048 at 4.15%</w:t>
            </w:r>
          </w:p>
        </w:tc>
        <w:tc>
          <w:tcPr>
            <w:tcW w:w="15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1,500</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r>
      <w:tr>
        <w:trPr>
          <w:trHeight w:val="207"/>
        </w:trPr>
        <w:tc>
          <w:tcPr>
            <w:tcW w:w="6620" w:type="dxa"/>
            <w:vAlign w:val="bottom"/>
          </w:tcPr>
          <w:p>
            <w:pPr>
              <w:spacing w:after="0"/>
              <w:rPr>
                <w:sz w:val="20"/>
                <w:szCs w:val="20"/>
                <w:color w:val="auto"/>
              </w:rPr>
            </w:pPr>
            <w:r>
              <w:rPr>
                <w:rFonts w:ascii="Arial" w:cs="Arial" w:eastAsia="Arial" w:hAnsi="Arial"/>
                <w:sz w:val="16"/>
                <w:szCs w:val="16"/>
                <w:color w:val="auto"/>
              </w:rPr>
              <w:t>Total debt</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5,850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17"/>
                <w:szCs w:val="17"/>
                <w:color w:val="auto"/>
              </w:rPr>
            </w:pP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unamortized discounts, premiums and issuance costs</w:t>
            </w: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(43)</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r>
      <w:tr>
        <w:trPr>
          <w:trHeight w:val="207"/>
        </w:trPr>
        <w:tc>
          <w:tcPr>
            <w:tcW w:w="6620" w:type="dxa"/>
            <w:vAlign w:val="bottom"/>
          </w:tcPr>
          <w:p>
            <w:pPr>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15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5,807</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5,068</w:t>
            </w:r>
          </w:p>
        </w:tc>
        <w:tc>
          <w:tcPr>
            <w:tcW w:w="100" w:type="dxa"/>
            <w:vAlign w:val="bottom"/>
          </w:tcPr>
          <w:p>
            <w:pPr>
              <w:spacing w:after="0"/>
              <w:rPr>
                <w:sz w:val="17"/>
                <w:szCs w:val="17"/>
                <w:color w:val="auto"/>
              </w:rPr>
            </w:pP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(750)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(749)</w:t>
            </w:r>
          </w:p>
        </w:tc>
      </w:tr>
      <w:tr>
        <w:trPr>
          <w:trHeight w:val="207"/>
        </w:trPr>
        <w:tc>
          <w:tcPr>
            <w:tcW w:w="6620" w:type="dxa"/>
            <w:vAlign w:val="bottom"/>
          </w:tcPr>
          <w:p>
            <w:pPr>
              <w:spacing w:after="0"/>
              <w:rPr>
                <w:sz w:val="20"/>
                <w:szCs w:val="20"/>
                <w:color w:val="auto"/>
              </w:rPr>
            </w:pPr>
            <w:r>
              <w:rPr>
                <w:rFonts w:ascii="Arial" w:cs="Arial" w:eastAsia="Arial" w:hAnsi="Arial"/>
                <w:sz w:val="16"/>
                <w:szCs w:val="16"/>
                <w:color w:val="auto"/>
              </w:rPr>
              <w:t>Long-term debt</w:t>
            </w:r>
          </w:p>
        </w:tc>
        <w:tc>
          <w:tcPr>
            <w:tcW w:w="15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5,057</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4,319</w:t>
            </w:r>
          </w:p>
        </w:tc>
        <w:tc>
          <w:tcPr>
            <w:tcW w:w="10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and debt expense was $38 million and $23 million for the first quarters of 2019 and 2018, respectively. This was net of the amortized discounts, premiums and issuance costs. Capitalized interest was not material.</w:t>
      </w:r>
    </w:p>
    <w:p>
      <w:pPr>
        <w:spacing w:after="0" w:line="15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for the three months ended March 31, 2019 and 2018,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Common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Retained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Common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Earnings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Stock</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AOCI</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4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(32,130)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Dividends declared and paid ($0.77 per share)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6"/>
                <w:szCs w:val="16"/>
                <w:b w:val="1"/>
                <w:bCs w:val="1"/>
                <w:color w:val="auto"/>
              </w:rPr>
              <w:t>Common stock issued for stock-based awards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(84)</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Stock repurchases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(1,185)</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6"/>
                <w:szCs w:val="16"/>
                <w:b w:val="1"/>
                <w:bCs w:val="1"/>
                <w:color w:val="auto"/>
              </w:rPr>
              <w:t>Stock compensation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Other comprehensive income (loss), net of taxes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6"/>
                <w:szCs w:val="16"/>
                <w:b w:val="1"/>
                <w:bCs w:val="1"/>
                <w:color w:val="auto"/>
              </w:rPr>
              <w:t>Dividend equivalents on RSUs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Other</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Balance,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1,741</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1,927</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(33,080)</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Common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Retained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Common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Earnings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Stock</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AOCI</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(27,458)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($0.62 per share)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(891)</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Dividend equivalents on RSUs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Cumulative effect of accounting changes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March 31, 2018</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(28,096)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leases are included as a component of the following balance sheet lines: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other liabilities</w:t>
            </w:r>
          </w:p>
        </w:tc>
        <w:tc>
          <w:tcPr>
            <w:tcW w:w="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42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700" w:type="dxa"/>
            <w:vAlign w:val="bottom"/>
          </w:tcPr>
          <w:p>
            <w:pPr>
              <w:spacing w:after="0"/>
              <w:rPr>
                <w:sz w:val="20"/>
                <w:szCs w:val="20"/>
                <w:color w:val="auto"/>
              </w:rPr>
            </w:pPr>
            <w:r>
              <w:rPr>
                <w:rFonts w:ascii="Arial" w:cs="Arial" w:eastAsia="Arial" w:hAnsi="Arial"/>
                <w:sz w:val="18"/>
                <w:szCs w:val="18"/>
                <w:color w:val="auto"/>
              </w:rPr>
              <w:t>Details of our operating leases are as follows:</w:t>
            </w: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700" w:type="dxa"/>
            <w:vAlign w:val="bottom"/>
          </w:tcPr>
          <w:p>
            <w:pPr>
              <w:spacing w:after="0"/>
              <w:rPr>
                <w:sz w:val="24"/>
                <w:szCs w:val="24"/>
                <w:color w:val="auto"/>
              </w:rPr>
            </w:pPr>
          </w:p>
        </w:tc>
        <w:tc>
          <w:tcPr>
            <w:tcW w:w="2720" w:type="dxa"/>
            <w:vAlign w:val="bottom"/>
            <w:gridSpan w:val="4"/>
          </w:tcPr>
          <w:p>
            <w:pPr>
              <w:ind w:left="20"/>
              <w:spacing w:after="0"/>
              <w:rPr>
                <w:sz w:val="20"/>
                <w:szCs w:val="20"/>
                <w:color w:val="auto"/>
              </w:rPr>
            </w:pPr>
            <w:r>
              <w:rPr>
                <w:rFonts w:ascii="Arial" w:cs="Arial" w:eastAsia="Arial" w:hAnsi="Arial"/>
                <w:sz w:val="16"/>
                <w:szCs w:val="16"/>
                <w:b w:val="1"/>
                <w:bCs w:val="1"/>
                <w:color w:val="auto"/>
              </w:rPr>
              <w:t>For Three Months Ended March 31,</w:t>
            </w:r>
          </w:p>
        </w:tc>
        <w:tc>
          <w:tcPr>
            <w:tcW w:w="0" w:type="dxa"/>
            <w:vAlign w:val="bottom"/>
          </w:tcPr>
          <w:p>
            <w:pPr>
              <w:spacing w:after="0"/>
              <w:rPr>
                <w:sz w:val="1"/>
                <w:szCs w:val="1"/>
                <w:color w:val="auto"/>
              </w:rPr>
            </w:pPr>
          </w:p>
        </w:tc>
      </w:tr>
      <w:tr>
        <w:trPr>
          <w:trHeight w:val="213"/>
        </w:trPr>
        <w:tc>
          <w:tcPr>
            <w:tcW w:w="87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Lease cost</w:t>
            </w:r>
          </w:p>
        </w:tc>
        <w:tc>
          <w:tcPr>
            <w:tcW w:w="4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00" w:type="dxa"/>
            <w:vAlign w:val="bottom"/>
          </w:tcPr>
          <w:p>
            <w:pPr>
              <w:spacing w:after="0"/>
              <w:rPr>
                <w:sz w:val="20"/>
                <w:szCs w:val="20"/>
                <w:color w:val="auto"/>
              </w:rPr>
            </w:pPr>
            <w:r>
              <w:rPr>
                <w:rFonts w:ascii="Arial" w:cs="Arial" w:eastAsia="Arial" w:hAnsi="Arial"/>
                <w:sz w:val="16"/>
                <w:szCs w:val="16"/>
                <w:color w:val="auto"/>
              </w:rPr>
              <w:t>Variable lease cost</w:t>
            </w:r>
          </w:p>
        </w:tc>
        <w:tc>
          <w:tcPr>
            <w:tcW w:w="4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00" w:type="dxa"/>
            <w:vAlign w:val="bottom"/>
            <w:shd w:val="clear" w:color="auto" w:fill="CCEEFF"/>
          </w:tcPr>
          <w:p>
            <w:pPr>
              <w:spacing w:after="0"/>
              <w:rPr>
                <w:sz w:val="19"/>
                <w:szCs w:val="19"/>
                <w:color w:val="auto"/>
              </w:rPr>
            </w:pPr>
          </w:p>
        </w:tc>
        <w:tc>
          <w:tcPr>
            <w:tcW w:w="420" w:type="dxa"/>
            <w:vAlign w:val="bottom"/>
            <w:tcBorders>
              <w:left w:val="single" w:sz="8" w:color="CCEEFF"/>
            </w:tcBorders>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00" w:type="dxa"/>
            <w:vAlign w:val="bottom"/>
          </w:tcPr>
          <w:p>
            <w:pPr>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for leases</w:t>
            </w:r>
          </w:p>
        </w:tc>
        <w:tc>
          <w:tcPr>
            <w:tcW w:w="4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Lease assets obtained in exchange for new lease liabilities</w:t>
            </w:r>
          </w:p>
        </w:tc>
        <w:tc>
          <w:tcPr>
            <w:tcW w:w="4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remaining lease term</w:t>
            </w:r>
          </w:p>
        </w:tc>
        <w:tc>
          <w:tcPr>
            <w:tcW w:w="420" w:type="dxa"/>
            <w:vAlign w:val="bottom"/>
            <w:tcBorders>
              <w:left w:val="single" w:sz="8" w:color="CCEEFF"/>
            </w:tcBorders>
            <w:shd w:val="clear" w:color="auto" w:fill="CCEEFF"/>
          </w:tcPr>
          <w:p>
            <w:pPr>
              <w:spacing w:after="0"/>
              <w:rPr>
                <w:sz w:val="18"/>
                <w:szCs w:val="18"/>
                <w:color w:val="auto"/>
              </w:rPr>
            </w:pPr>
          </w:p>
        </w:tc>
        <w:tc>
          <w:tcPr>
            <w:tcW w:w="2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8.8 years</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420" w:type="dxa"/>
            <w:vAlign w:val="bottom"/>
          </w:tcPr>
          <w:p>
            <w:pPr>
              <w:spacing w:after="0"/>
              <w:rPr>
                <w:sz w:val="18"/>
                <w:szCs w:val="18"/>
                <w:color w:val="auto"/>
              </w:rPr>
            </w:pPr>
          </w:p>
        </w:tc>
        <w:tc>
          <w:tcPr>
            <w:tcW w:w="2300" w:type="dxa"/>
            <w:vAlign w:val="bottom"/>
            <w:gridSpan w:val="3"/>
          </w:tcPr>
          <w:p>
            <w:pPr>
              <w:jc w:val="right"/>
              <w:ind w:right="2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438"/>
        </w:trPr>
        <w:tc>
          <w:tcPr>
            <w:tcW w:w="8700" w:type="dxa"/>
            <w:vAlign w:val="bottom"/>
          </w:tcPr>
          <w:p>
            <w:pPr>
              <w:spacing w:after="0"/>
              <w:rPr>
                <w:sz w:val="20"/>
                <w:szCs w:val="20"/>
                <w:color w:val="auto"/>
              </w:rPr>
            </w:pPr>
            <w:r>
              <w:rPr>
                <w:rFonts w:ascii="Arial" w:cs="Arial" w:eastAsia="Arial" w:hAnsi="Arial"/>
                <w:sz w:val="18"/>
                <w:szCs w:val="18"/>
                <w:color w:val="auto"/>
              </w:rPr>
              <w:t>The following table presents the maturities of lease liabilities as of March 31, 2019:</w:t>
            </w: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7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00" w:type="dxa"/>
            <w:vAlign w:val="bottom"/>
          </w:tcPr>
          <w:p>
            <w:pPr>
              <w:spacing w:after="0"/>
              <w:rPr>
                <w:sz w:val="20"/>
                <w:szCs w:val="20"/>
                <w:color w:val="auto"/>
              </w:rPr>
            </w:pPr>
            <w:r>
              <w:rPr>
                <w:rFonts w:ascii="Arial" w:cs="Arial" w:eastAsia="Arial" w:hAnsi="Arial"/>
                <w:sz w:val="16"/>
                <w:szCs w:val="16"/>
                <w:color w:val="auto"/>
              </w:rPr>
              <w:t>2020</w:t>
            </w:r>
          </w:p>
        </w:tc>
        <w:tc>
          <w:tcPr>
            <w:tcW w:w="42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420" w:type="dxa"/>
            <w:vAlign w:val="bottom"/>
            <w:tcBorders>
              <w:left w:val="single" w:sz="8" w:color="CCEEFF"/>
            </w:tcBorders>
            <w:shd w:val="clear" w:color="auto" w:fill="CCEEFF"/>
          </w:tcPr>
          <w:p>
            <w:pPr>
              <w:spacing w:after="0"/>
              <w:rPr>
                <w:sz w:val="19"/>
                <w:szCs w:val="19"/>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00" w:type="dxa"/>
            <w:vAlign w:val="bottom"/>
          </w:tcPr>
          <w:p>
            <w:pPr>
              <w:spacing w:after="0"/>
              <w:rPr>
                <w:sz w:val="20"/>
                <w:szCs w:val="20"/>
                <w:color w:val="auto"/>
              </w:rPr>
            </w:pPr>
            <w:r>
              <w:rPr>
                <w:rFonts w:ascii="Arial" w:cs="Arial" w:eastAsia="Arial" w:hAnsi="Arial"/>
                <w:sz w:val="16"/>
                <w:szCs w:val="16"/>
                <w:color w:val="auto"/>
              </w:rPr>
              <w:t>2022</w:t>
            </w:r>
          </w:p>
        </w:tc>
        <w:tc>
          <w:tcPr>
            <w:tcW w:w="42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20" w:type="dxa"/>
            <w:vAlign w:val="bottom"/>
            <w:tcBorders>
              <w:left w:val="single" w:sz="8" w:color="CCEEFF"/>
            </w:tcBorders>
            <w:shd w:val="clear" w:color="auto" w:fill="CCEEFF"/>
          </w:tcPr>
          <w:p>
            <w:pPr>
              <w:spacing w:after="0"/>
              <w:rPr>
                <w:sz w:val="19"/>
                <w:szCs w:val="19"/>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Total lease payments</w:t>
            </w:r>
          </w:p>
        </w:tc>
        <w:tc>
          <w:tcPr>
            <w:tcW w:w="420" w:type="dxa"/>
            <w:vAlign w:val="bottom"/>
            <w:tcBorders>
              <w:left w:val="single" w:sz="8" w:color="CCEEFF"/>
            </w:tcBorders>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00" w:type="dxa"/>
            <w:vAlign w:val="bottom"/>
          </w:tcPr>
          <w:p>
            <w:pPr>
              <w:spacing w:after="0"/>
              <w:rPr>
                <w:sz w:val="20"/>
                <w:szCs w:val="20"/>
                <w:color w:val="auto"/>
              </w:rPr>
            </w:pPr>
            <w:r>
              <w:rPr>
                <w:rFonts w:ascii="Arial" w:cs="Arial" w:eastAsia="Arial" w:hAnsi="Arial"/>
                <w:sz w:val="16"/>
                <w:szCs w:val="16"/>
                <w:color w:val="auto"/>
              </w:rPr>
              <w:t>Imputed lease interest</w:t>
            </w:r>
          </w:p>
        </w:tc>
        <w:tc>
          <w:tcPr>
            <w:tcW w:w="420" w:type="dxa"/>
            <w:vAlign w:val="bottom"/>
          </w:tcPr>
          <w:p>
            <w:pPr>
              <w:spacing w:after="0"/>
              <w:rPr>
                <w:sz w:val="18"/>
                <w:szCs w:val="18"/>
                <w:color w:val="auto"/>
              </w:rPr>
            </w:pPr>
          </w:p>
        </w:tc>
        <w:tc>
          <w:tcPr>
            <w:tcW w:w="2300" w:type="dxa"/>
            <w:vAlign w:val="bottom"/>
            <w:gridSpan w:val="3"/>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8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lease liabilities</w:t>
            </w:r>
          </w:p>
        </w:tc>
        <w:tc>
          <w:tcPr>
            <w:tcW w:w="420" w:type="dxa"/>
            <w:vAlign w:val="bottom"/>
            <w:tcBorders>
              <w:left w:val="single" w:sz="8" w:color="CCEEFF"/>
            </w:tcBorders>
            <w:shd w:val="clear" w:color="auto" w:fill="000000"/>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vMerge w:val="continue"/>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 Changes in accrued restructuring balances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r>
      <w:tr>
        <w:trPr>
          <w:trHeight w:val="213"/>
        </w:trPr>
        <w:tc>
          <w:tcPr>
            <w:tcW w:w="10400" w:type="dxa"/>
            <w:vAlign w:val="bottom"/>
          </w:tcPr>
          <w:p>
            <w:pPr>
              <w:spacing w:after="0"/>
              <w:rPr>
                <w:sz w:val="20"/>
                <w:szCs w:val="20"/>
                <w:color w:val="auto"/>
              </w:rPr>
            </w:pPr>
            <w:r>
              <w:rPr>
                <w:rFonts w:ascii="Arial" w:cs="Arial" w:eastAsia="Arial" w:hAnsi="Arial"/>
                <w:sz w:val="16"/>
                <w:szCs w:val="16"/>
                <w:b w:val="1"/>
                <w:bCs w:val="1"/>
                <w:color w:val="auto"/>
              </w:rPr>
              <w:t>Payments</w:t>
            </w:r>
          </w:p>
        </w:tc>
        <w:tc>
          <w:tcPr>
            <w:tcW w:w="3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w:t>
            </w:r>
          </w:p>
        </w:tc>
      </w:tr>
      <w:tr>
        <w:trPr>
          <w:trHeight w:val="210"/>
        </w:trPr>
        <w:tc>
          <w:tcPr>
            <w:tcW w:w="10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2019</w:t>
            </w: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restructuring accrual balances are reported as a component of either accrued expenses and other liabilities or other long-term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2019, we entered into an agreement to sell our manufacturing facility in Greenock, Scotland. The sale closed in April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first quarters of 2019 and 2018. The table below details where these transactions are recorded in our Consolidated Statements of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2480" w:type="dxa"/>
            <w:vAlign w:val="bottom"/>
            <w:gridSpan w:val="4"/>
          </w:tcPr>
          <w:p>
            <w:pPr>
              <w:jc w:val="right"/>
              <w:ind w:right="123"/>
              <w:spacing w:after="0"/>
              <w:rPr>
                <w:sz w:val="20"/>
                <w:szCs w:val="20"/>
                <w:color w:val="auto"/>
              </w:rPr>
            </w:pPr>
            <w:r>
              <w:rPr>
                <w:rFonts w:ascii="Arial" w:cs="Arial" w:eastAsia="Arial" w:hAnsi="Arial"/>
                <w:sz w:val="16"/>
                <w:szCs w:val="16"/>
                <w:b w:val="1"/>
                <w:bCs w:val="1"/>
                <w:color w:val="auto"/>
              </w:rPr>
              <w:t>For Three Months Ended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6"/>
                <w:szCs w:val="16"/>
                <w:b w:val="1"/>
                <w:bCs w:val="1"/>
                <w:color w:val="auto"/>
              </w:rPr>
              <w:t>March 31,</w:t>
            </w: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tcPr>
          <w:p>
            <w:pPr>
              <w:ind w:left="1460"/>
              <w:spacing w:after="0"/>
              <w:rPr>
                <w:sz w:val="20"/>
                <w:szCs w:val="20"/>
                <w:color w:val="auto"/>
              </w:rPr>
            </w:pPr>
            <w:r>
              <w:rPr>
                <w:rFonts w:ascii="Arial" w:cs="Arial" w:eastAsia="Arial" w:hAnsi="Arial"/>
                <w:sz w:val="16"/>
                <w:szCs w:val="16"/>
                <w:b w:val="1"/>
                <w:bCs w:val="1"/>
                <w:color w:val="auto"/>
              </w:rPr>
              <w:t>Impact to Related</w:t>
            </w:r>
          </w:p>
        </w:tc>
      </w:tr>
      <w:tr>
        <w:trPr>
          <w:trHeight w:val="213"/>
        </w:trPr>
        <w:tc>
          <w:tcPr>
            <w:tcW w:w="4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18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Statement of Income Lines</w:t>
            </w:r>
          </w:p>
        </w:tc>
      </w:tr>
      <w:tr>
        <w:trPr>
          <w:trHeight w:val="212"/>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Net actuarial losses of defined benefit plans: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 losses (a)</w:t>
            </w:r>
          </w:p>
        </w:tc>
        <w:tc>
          <w:tcPr>
            <w:tcW w:w="940" w:type="dxa"/>
            <w:vAlign w:val="bottom"/>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Pr>
          <w:p>
            <w:pPr>
              <w:spacing w:after="0"/>
              <w:rPr>
                <w:sz w:val="18"/>
                <w:szCs w:val="18"/>
                <w:color w:val="auto"/>
              </w:rPr>
            </w:pP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Decrease to OI&amp;E</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r>
      <w:tr>
        <w:trPr>
          <w:trHeight w:val="247"/>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CCEEFF"/>
            </w:tcBorders>
          </w:tcPr>
          <w:p>
            <w:pPr>
              <w:spacing w:after="0"/>
              <w:rPr>
                <w:sz w:val="21"/>
                <w:szCs w:val="21"/>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Decrease to net income</w:t>
            </w:r>
          </w:p>
        </w:tc>
      </w:tr>
      <w:tr>
        <w:trPr>
          <w:trHeight w:val="199"/>
        </w:trPr>
        <w:tc>
          <w:tcPr>
            <w:tcW w:w="4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Prior service credit of defined benefit plans: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940" w:type="dxa"/>
            <w:vAlign w:val="bottom"/>
            <w:shd w:val="clear" w:color="auto" w:fill="CCEEFF"/>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Increase to OI&amp;E</w:t>
            </w:r>
          </w:p>
        </w:tc>
      </w:tr>
      <w:tr>
        <w:trPr>
          <w:trHeight w:val="213"/>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Increase to provision for income taxes</w:t>
            </w:r>
          </w:p>
        </w:tc>
      </w:tr>
      <w:tr>
        <w:trPr>
          <w:trHeight w:val="210"/>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940" w:type="dxa"/>
            <w:vAlign w:val="bottom"/>
            <w:shd w:val="clear" w:color="auto" w:fill="CCEEFF"/>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Increase to net income</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860" w:hanging="852"/>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Detailed in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shares of 5,712,018 were issued from treasury shares during the first quarter of 2019 related to stock compensation.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designed around the following four sustainable competitive advantages that we believe, in combination, put us in a unique class of companies:</w:t>
      </w:r>
    </w:p>
    <w:p>
      <w:pPr>
        <w:spacing w:after="0" w:line="170" w:lineRule="exact"/>
        <w:rPr>
          <w:sz w:val="20"/>
          <w:szCs w:val="20"/>
          <w:color w:val="auto"/>
        </w:rPr>
      </w:pPr>
    </w:p>
    <w:p>
      <w:pPr>
        <w:ind w:left="1040" w:hanging="519"/>
        <w:spacing w:after="0" w:line="255"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 strong foundation of manufacturing and technology. </w:t>
      </w:r>
      <w:r>
        <w:rPr>
          <w:rFonts w:ascii="Arial" w:cs="Arial" w:eastAsia="Arial" w:hAnsi="Arial"/>
          <w:sz w:val="18"/>
          <w:szCs w:val="18"/>
          <w:color w:val="auto"/>
        </w:rPr>
        <w:t>We invest in manufacturing technologies and do most of our manufacturing in-house.</w:t>
      </w:r>
      <w:r>
        <w:rPr>
          <w:rFonts w:ascii="Arial" w:cs="Arial" w:eastAsia="Arial" w:hAnsi="Arial"/>
          <w:sz w:val="18"/>
          <w:szCs w:val="18"/>
          <w:i w:val="1"/>
          <w:iCs w:val="1"/>
          <w:color w:val="auto"/>
        </w:rPr>
        <w:t xml:space="preserve"> </w:t>
      </w:r>
      <w:r>
        <w:rPr>
          <w:rFonts w:ascii="Arial" w:cs="Arial" w:eastAsia="Arial" w:hAnsi="Arial"/>
          <w:sz w:val="18"/>
          <w:szCs w:val="18"/>
          <w:color w:val="auto"/>
        </w:rPr>
        <w:t>This 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investing in our advanced analog 300-millimeter capacity, which has about a 40% cost advantage per unpackaged chip over 200-millimeter. To strengthen this advantage, we are planning our next phase of 300-millimeter capacity expansion as 300-millimeter wafers will continue to support the majority of our Analog growth.</w:t>
      </w:r>
    </w:p>
    <w:p>
      <w:pPr>
        <w:spacing w:after="0" w:line="85" w:lineRule="exact"/>
        <w:rPr>
          <w:rFonts w:ascii="Arial" w:cs="Arial" w:eastAsia="Arial" w:hAnsi="Arial"/>
          <w:sz w:val="18"/>
          <w:szCs w:val="18"/>
          <w:color w:val="auto"/>
        </w:rPr>
      </w:pPr>
    </w:p>
    <w:p>
      <w:pPr>
        <w:ind w:left="1040" w:right="22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semiconductors. </w:t>
      </w:r>
      <w:r>
        <w:rPr>
          <w:rFonts w:ascii="Arial" w:cs="Arial" w:eastAsia="Arial" w:hAnsi="Arial"/>
          <w:sz w:val="18"/>
          <w:szCs w:val="18"/>
          <w:color w:val="auto"/>
        </w:rPr>
        <w:t>Our customers need multiple chips for their systems.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means we can meet more of these needs than our competitors can,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ind w:left="1040" w:right="10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Broadest reach of market channels. </w:t>
      </w:r>
      <w:r>
        <w:rPr>
          <w:rFonts w:ascii="Arial" w:cs="Arial" w:eastAsia="Arial" w:hAnsi="Arial"/>
          <w:sz w:val="18"/>
          <w:szCs w:val="18"/>
          <w:color w:val="auto"/>
        </w:rPr>
        <w:t>Customers often begin their initial product selection process and design-in journey on our website,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attracts more customers to our website than any of our competitors’ websites. Our web presence, combined with our global sales force that is also greater in size than those of our competitors, are advantages that give us unique access to about 100,000 customers designing TI semiconductors into their end products.</w:t>
      </w:r>
    </w:p>
    <w:p>
      <w:pPr>
        <w:spacing w:after="0" w:line="78" w:lineRule="exact"/>
        <w:rPr>
          <w:rFonts w:ascii="Arial" w:cs="Arial" w:eastAsia="Arial" w:hAnsi="Arial"/>
          <w:sz w:val="18"/>
          <w:szCs w:val="18"/>
          <w:color w:val="auto"/>
        </w:rPr>
      </w:pPr>
    </w:p>
    <w:p>
      <w:pPr>
        <w:ind w:left="1040" w:right="60" w:hanging="519"/>
        <w:spacing w:after="0" w:line="312"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Diversity and longevity of our products, markets and customer positions. </w:t>
      </w:r>
      <w:r>
        <w:rPr>
          <w:rFonts w:ascii="Arial" w:cs="Arial" w:eastAsia="Arial" w:hAnsi="Arial"/>
          <w:sz w:val="16"/>
          <w:szCs w:val="16"/>
          <w:color w:val="auto"/>
        </w:rPr>
        <w:t>Together, the attributes above result in diverse and long-lived</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that deliver high terminal value to our shareholders. Because of the breadth of our portfolio, we are not dependent on any single product, customer, technology or market. Some of our products generate revenue for decades, which strengthens the return on our investments.</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strategic focus, and where we invest the majority of our resources, is on Analog and Embedded Processing, with a particular emphasis on designing and selling those products into the industrial and automotive markets, which we believe represent the best growth opportunities. Analog and embedded processing products sold into industrial and automotive markets provide long product life cycles, intrinsic diversity and less capital-intensive manufacturing, which we believe offer stability, profitability and strong cash generation. This business model is the foundation of our capital management strategy, which is based on our belief that free cash flow growth, especially on a per-share basis, is important for maximizing shareholder value over the long term. We also believe that free cash flow will be valued only if it is productively invested in the business or returned to shareholders.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combined effect of these sustainable competitive advantages is that over time we have gained market share in Analog and Embedded Processing and have grown free cash flow. Our business model puts us in a unique class of companies with the ability to grow, generate cash and return that cash to shareholders.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1040" w:right="12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sz w:val="20"/>
          <w:szCs w:val="20"/>
          <w:color w:val="auto"/>
        </w:rPr>
      </w:pPr>
    </w:p>
    <w:p>
      <w:pPr>
        <w:ind w:left="1520" w:right="120" w:hanging="378"/>
        <w:spacing w:after="0" w:line="259" w:lineRule="auto"/>
        <w:tabs>
          <w:tab w:leader="none" w:pos="152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76" w:lineRule="exact"/>
        <w:rPr>
          <w:rFonts w:ascii="Courier New" w:cs="Courier New" w:eastAsia="Courier New" w:hAnsi="Courier New"/>
          <w:sz w:val="18"/>
          <w:szCs w:val="18"/>
          <w:color w:val="auto"/>
        </w:rPr>
      </w:pPr>
    </w:p>
    <w:p>
      <w:pPr>
        <w:ind w:left="1520" w:hanging="378"/>
        <w:spacing w:after="0"/>
        <w:tabs>
          <w:tab w:leader="none" w:pos="1520" w:val="left"/>
        </w:tabs>
        <w:numPr>
          <w:ilvl w:val="0"/>
          <w:numId w:val="19"/>
        </w:numPr>
        <w:rPr>
          <w:rFonts w:ascii="Courier New" w:cs="Courier New" w:eastAsia="Courier New" w:hAnsi="Courier New"/>
          <w:sz w:val="16"/>
          <w:szCs w:val="16"/>
          <w:color w:val="auto"/>
        </w:rPr>
      </w:pP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126" w:lineRule="exact"/>
        <w:rPr>
          <w:rFonts w:ascii="Courier New" w:cs="Courier New" w:eastAsia="Courier New" w:hAnsi="Courier New"/>
          <w:sz w:val="16"/>
          <w:szCs w:val="16"/>
          <w:color w:val="auto"/>
        </w:rPr>
      </w:pPr>
    </w:p>
    <w:p>
      <w:pPr>
        <w:ind w:left="1520" w:right="40" w:hanging="378"/>
        <w:spacing w:after="0" w:line="259" w:lineRule="auto"/>
        <w:tabs>
          <w:tab w:leader="none" w:pos="152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left="1520" w:right="40" w:hanging="378"/>
        <w:spacing w:after="0" w:line="272" w:lineRule="auto"/>
        <w:tabs>
          <w:tab w:leader="none" w:pos="1520" w:val="left"/>
        </w:tabs>
        <w:numPr>
          <w:ilvl w:val="1"/>
          <w:numId w:val="20"/>
        </w:numPr>
        <w:rPr>
          <w:rFonts w:ascii="Courier New" w:cs="Courier New" w:eastAsia="Courier New" w:hAnsi="Courier New"/>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9" w:lineRule="exact"/>
        <w:rPr>
          <w:rFonts w:ascii="Courier New" w:cs="Courier New" w:eastAsia="Courier New" w:hAnsi="Courier New"/>
          <w:sz w:val="17"/>
          <w:szCs w:val="17"/>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first-quarter revenue was $3.59 billion, net income was $1.22 billion and earnings per share (EPS) were $1.26.</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Revenue decreased 5% from the same quarter a year ago as demand for our products continued to slow across most markets, offset by current strength in communications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our core businesses, Analog revenue declined 2% and Embedded Processing declined 14% from the same quarter a year ago.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flow from operations of $7.2 billion for the trailing 12 months again underscored the strength of our business model. Free cash flow for the trailing 12 months was $6.0 billion and represents 38.4% of revenue. This reflects the quality of our product portfolio, as well as the efficiency of our manufacturing strategy, including the benefit of 300-millimeter Analog production.</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have returned $8.0 billion to owners in the past 12 months through stock repurchases and dividends. Our strategy is to return all our free cash flow to shareholders. Over the last 12 months, our dividends represented 45% of free cash flow, underscoring their sustainability.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expect our annual operating tax rate to be about 16%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first-quarter 2019 compared with first-quarter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$3.59 billion decreased $195 million, or 5%, due to lower revenue from Embedded Processing and Analog.</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profit of $2.26 billion was down $186 million, or 8%, due to lower revenue and reduced factory loadings. As a percentage of revenue, gross profit decreased to 62.9% from 64.6%.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$803 million compared with $818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$79 million were non-cash. See Note 5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$1.38 billion, or 38.4% of revenue, compared with $1.55 billion, or 40.9%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$36 million of income compared with $28 million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$38 million increased $15 million due to the issuance of additional long-term debt.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provision for income taxes was $160 million compared with $187 million. The decrease was due to lower income before income taxes. Items related to the U.S. Tax Cuts and Jobs Act were largely offset by a decrease in discrete tax benefits.</w:t>
      </w:r>
    </w:p>
    <w:p>
      <w:pPr>
        <w:spacing w:after="0" w:line="170"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Our annual operating tax rate, which does not include discrete tax items, is about 16% compared with 20% in 2018. We use “annual operating tax rate” to describe the estimated annual effective tax rate. The 2019 rate differs from the 21% U.S. statutory corporate tax rate due to the effect of U.S. tax benefits.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$1.22 billion compared with $1.37 billion. EPS was $1.26 compared with $1.35.</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First-quarter 2019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1Q19</w:t>
            </w: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1Q18</w:t>
            </w:r>
          </w:p>
        </w:tc>
        <w:tc>
          <w:tcPr>
            <w:tcW w:w="3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CEEFF"/>
            </w:tcBorders>
          </w:tcPr>
          <w:p>
            <w:pPr>
              <w:spacing w:after="0"/>
              <w:rPr>
                <w:sz w:val="19"/>
                <w:szCs w:val="19"/>
                <w:color w:val="auto"/>
              </w:rPr>
            </w:pPr>
          </w:p>
        </w:tc>
      </w:tr>
      <w:tr>
        <w:trPr>
          <w:trHeight w:val="223"/>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2,518</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1,088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1,166</w:t>
            </w:r>
          </w:p>
        </w:tc>
        <w:tc>
          <w:tcPr>
            <w:tcW w:w="3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43.2%</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45.4%</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Analog revenue decreased due to High Volume and, to a lesser extent, Power. Signal Chain revenue increased due to the mix of products shipped. Operating profit decreased due to lower revenue and reduced factory loadings.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1Q19</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1Q18</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CEEFF"/>
            </w:tcBorders>
          </w:tcPr>
          <w:p>
            <w:pPr>
              <w:spacing w:after="0"/>
              <w:rPr>
                <w:sz w:val="19"/>
                <w:szCs w:val="19"/>
                <w:color w:val="auto"/>
              </w:rPr>
            </w:pPr>
          </w:p>
        </w:tc>
      </w:tr>
      <w:tr>
        <w:trPr>
          <w:trHeight w:val="223"/>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796</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Operating profit</w:t>
            </w: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249</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328</w:t>
            </w:r>
          </w:p>
        </w:tc>
        <w:tc>
          <w:tcPr>
            <w:tcW w:w="3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7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31.3%</w:t>
            </w:r>
          </w:p>
        </w:tc>
        <w:tc>
          <w:tcPr>
            <w:tcW w:w="7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35.4%</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Embedded Processing revenue decreased in both product lines, led by Processors. Operating profit decreased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1Q19</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1Q18</w:t>
            </w: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CCEEFF"/>
            </w:tcBorders>
          </w:tcPr>
          <w:p>
            <w:pPr>
              <w:spacing w:after="0"/>
              <w:rPr>
                <w:sz w:val="18"/>
                <w:szCs w:val="18"/>
                <w:color w:val="auto"/>
              </w:rPr>
            </w:pPr>
          </w:p>
        </w:tc>
      </w:tr>
      <w:tr>
        <w:trPr>
          <w:trHeight w:val="213"/>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13"/>
        </w:trPr>
        <w:tc>
          <w:tcPr>
            <w:tcW w:w="7400" w:type="dxa"/>
            <w:vAlign w:val="bottom"/>
          </w:tcPr>
          <w:p>
            <w:pPr>
              <w:spacing w:after="0"/>
              <w:rPr>
                <w:sz w:val="20"/>
                <w:szCs w:val="20"/>
                <w:color w:val="auto"/>
              </w:rPr>
            </w:pPr>
            <w:r>
              <w:rPr>
                <w:rFonts w:ascii="Arial" w:cs="Arial" w:eastAsia="Arial" w:hAnsi="Arial"/>
                <w:sz w:val="16"/>
                <w:szCs w:val="16"/>
                <w:color w:val="auto"/>
              </w:rPr>
              <w:t>Operating profit*</w:t>
            </w: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54</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19"/>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7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15.0%</w:t>
            </w:r>
          </w:p>
        </w:tc>
        <w:tc>
          <w:tcPr>
            <w:tcW w:w="7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18.2%</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 Includes acquisition charges and restructuring charges/other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$17 million, and operating profit decreased by $12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the end of the first quarter of 2019, total cash (cash and cash equivalents plus short-term investments) was $4.09 billion, a decrease of $147 million from the end of 2018.</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Accounts receivable were $1.44 billion, an increase of $233 million compared with the end of 2018. Days sales outstanding at the end of the first quarter of 2019 were 36 compared with 29 at the end of 2018.</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Inventory was $2.13 billion, a decrease of $86 million from the end of 2018. Days of inventory at the end of the first quarter of 2019 were 144 compared with 152 at the end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Our primary source of liquidity is cash flow from operations. Additional sources of liquidity are cash and cash equivalents, short-term investments and a variable-rate, revolving credit facility. Cash flows from operating activities for the first three months of 2019 and 2018 were $1.11 billion.</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2024. This credit facility also serves as support for the issuance of commercial paper. As of March 31, 2019, our credit facility was undrawn, and we had no commercial paper outstanding.</w:t>
      </w:r>
    </w:p>
    <w:p>
      <w:pPr>
        <w:spacing w:after="0" w:line="1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Investing activities for the first three months of 2019 provided $1.17 billion compared with $266 million in the year-ago period. Capital expenditures were $251 million compared with $189 million in the year-ago period and were primarily for semiconductor manufacturing equipment in both periods. We had sales of short-term investments, net of purchases, that provided cash proceeds of $1.44 billion compared with $459 million in the year-ago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right="120"/>
        <w:spacing w:after="0" w:line="257" w:lineRule="auto"/>
        <w:rPr>
          <w:sz w:val="20"/>
          <w:szCs w:val="20"/>
          <w:color w:val="auto"/>
        </w:rPr>
      </w:pPr>
      <w:r>
        <w:rPr>
          <w:rFonts w:ascii="Arial" w:cs="Arial" w:eastAsia="Arial" w:hAnsi="Arial"/>
          <w:sz w:val="18"/>
          <w:szCs w:val="18"/>
          <w:color w:val="auto"/>
        </w:rPr>
        <w:t>Financing activities for the first three months of 2019 used $998 million compared with $1.32 billion in the year-ago period. In 2019, we received net proceeds of $743 million from the issuance of fixed-rate, long-term debt. Dividends paid were $724 million compared with $611 million in the year-ago period, reflecting an increase in the dividend rate, partially offset by fewer shares outstanding. We used $1.15 billion to repurchase 11.7 million shares of our common stock compared with $873 million used in the year-ago period to repurchase 8.2 million shares. Employee exercises of stock options provided cash proceeds of $151 million compared with $178 million in the year-ago period.</w:t>
      </w:r>
    </w:p>
    <w:p>
      <w:pPr>
        <w:spacing w:after="0" w:line="18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had $3.72 billion of cash and cash equivalents and $366 million of short-term investments as of March 31, 2019.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24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For 12 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70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18"/>
                <w:szCs w:val="18"/>
                <w:color w:val="auto"/>
              </w:rPr>
            </w:pPr>
          </w:p>
        </w:tc>
      </w:tr>
      <w:tr>
        <w:trPr>
          <w:trHeight w:val="212"/>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(GAAP)</w:t>
            </w:r>
          </w:p>
        </w:tc>
        <w:tc>
          <w:tcPr>
            <w:tcW w:w="78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7,184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5,680</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213"/>
        </w:trPr>
        <w:tc>
          <w:tcPr>
            <w:tcW w:w="7020" w:type="dxa"/>
            <w:vAlign w:val="bottom"/>
          </w:tcPr>
          <w:p>
            <w:pPr>
              <w:spacing w:after="0"/>
              <w:rPr>
                <w:sz w:val="20"/>
                <w:szCs w:val="20"/>
                <w:color w:val="auto"/>
              </w:rPr>
            </w:pPr>
            <w:r>
              <w:rPr>
                <w:rFonts w:ascii="Arial" w:cs="Arial" w:eastAsia="Arial" w:hAnsi="Arial"/>
                <w:sz w:val="16"/>
                <w:szCs w:val="16"/>
                <w:color w:val="auto"/>
              </w:rPr>
              <w:t>Capital expenditures</w:t>
            </w:r>
          </w:p>
        </w:tc>
        <w:tc>
          <w:tcPr>
            <w:tcW w:w="7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8"/>
              </w:rPr>
              <w:t>(1,193)</w:t>
            </w:r>
          </w:p>
        </w:tc>
        <w:tc>
          <w:tcPr>
            <w:tcW w:w="7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(757)</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Free cash flow (non-GAAP)</w:t>
            </w:r>
          </w:p>
        </w:tc>
        <w:tc>
          <w:tcPr>
            <w:tcW w:w="78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5,991</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r>
      <w:tr>
        <w:trPr>
          <w:trHeight w:val="20"/>
        </w:trPr>
        <w:tc>
          <w:tcPr>
            <w:tcW w:w="7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70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7"/>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15,589</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15,348</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7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as a percent of revenue (GAAP)</w:t>
            </w: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46.1%</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6"/>
                <w:szCs w:val="16"/>
                <w:color w:val="auto"/>
              </w:rPr>
              <w:t>Free cash flow as a percent of revenue (non-GAAP)</w:t>
            </w:r>
          </w:p>
        </w:tc>
        <w:tc>
          <w:tcPr>
            <w:tcW w:w="7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38.4%</w:t>
            </w:r>
          </w:p>
        </w:tc>
        <w:tc>
          <w:tcPr>
            <w:tcW w:w="7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32.1%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Information regarding long-term debt obligations is described in the long-term contractual obligations table in Item 7 of our Form 10-K for the year ended December 31, 2018. Additionally, in the first three months of 2019, we issued $750 million principal amount of 3.875% notes maturing in 2039.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2018,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Period</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January 1, 2019 through January 31, 2019</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February 1, 2019 through February 28, 2019</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March 1, 2019 through March 31,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4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Approximate Dollar Value</w:t>
            </w:r>
          </w:p>
        </w:tc>
      </w:tr>
      <w:tr>
        <w:trPr>
          <w:trHeight w:val="203"/>
        </w:trPr>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4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of Shares that May Yet Be</w:t>
            </w:r>
          </w:p>
        </w:tc>
      </w:tr>
      <w:tr>
        <w:trPr>
          <w:trHeight w:val="203"/>
        </w:trPr>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4"/>
          </w:tcPr>
          <w:p>
            <w:pPr>
              <w:ind w:left="140"/>
              <w:spacing w:after="0"/>
              <w:rPr>
                <w:sz w:val="20"/>
                <w:szCs w:val="20"/>
                <w:color w:val="auto"/>
              </w:rPr>
            </w:pPr>
            <w:r>
              <w:rPr>
                <w:rFonts w:ascii="Arial" w:cs="Arial" w:eastAsia="Arial" w:hAnsi="Arial"/>
                <w:sz w:val="16"/>
                <w:szCs w:val="16"/>
                <w:b w:val="1"/>
                <w:bCs w:val="1"/>
                <w:color w:val="auto"/>
              </w:rPr>
              <w:t>Average Price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2"/>
              </w:rPr>
              <w:t>Publicly Announced</w:t>
            </w:r>
          </w:p>
        </w:tc>
        <w:tc>
          <w:tcPr>
            <w:tcW w:w="4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Purchased Under the Plans</w:t>
            </w:r>
          </w:p>
        </w:tc>
      </w:tr>
      <w:tr>
        <w:trPr>
          <w:trHeight w:val="216"/>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Shares Purchased</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Paid per Share</w:t>
            </w:r>
          </w:p>
        </w:tc>
        <w:tc>
          <w:tcPr>
            <w:tcW w:w="60" w:type="dxa"/>
            <w:vAlign w:val="bottom"/>
          </w:tcPr>
          <w:p>
            <w:pPr>
              <w:spacing w:after="0"/>
              <w:rPr>
                <w:sz w:val="18"/>
                <w:szCs w:val="18"/>
                <w:color w:val="auto"/>
              </w:rPr>
            </w:pPr>
          </w:p>
        </w:tc>
        <w:tc>
          <w:tcPr>
            <w:tcW w:w="17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5"/>
                <w:szCs w:val="15"/>
                <w:b w:val="1"/>
                <w:bCs w:val="1"/>
                <w:color w:val="auto"/>
                <w:w w:val="94"/>
              </w:rPr>
              <w:t xml:space="preserve">Plans or Programs </w:t>
            </w:r>
            <w:r>
              <w:rPr>
                <w:rFonts w:ascii="Arial" w:cs="Arial" w:eastAsia="Arial" w:hAnsi="Arial"/>
                <w:sz w:val="25"/>
                <w:szCs w:val="25"/>
                <w:color w:val="auto"/>
                <w:w w:val="94"/>
                <w:vertAlign w:val="superscript"/>
              </w:rPr>
              <w:t>(a)</w:t>
            </w: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40"/>
              <w:spacing w:after="0" w:line="216" w:lineRule="exact"/>
              <w:rPr>
                <w:sz w:val="20"/>
                <w:szCs w:val="20"/>
                <w:color w:val="auto"/>
              </w:rPr>
            </w:pPr>
            <w:r>
              <w:rPr>
                <w:rFonts w:ascii="Arial" w:cs="Arial" w:eastAsia="Arial" w:hAnsi="Arial"/>
                <w:sz w:val="15"/>
                <w:szCs w:val="15"/>
                <w:b w:val="1"/>
                <w:bCs w:val="1"/>
                <w:color w:val="auto"/>
                <w:w w:val="93"/>
              </w:rPr>
              <w:t xml:space="preserve">or Programs </w:t>
            </w:r>
            <w:r>
              <w:rPr>
                <w:rFonts w:ascii="Arial" w:cs="Arial" w:eastAsia="Arial" w:hAnsi="Arial"/>
                <w:sz w:val="25"/>
                <w:szCs w:val="25"/>
                <w:color w:val="auto"/>
                <w:w w:val="93"/>
                <w:vertAlign w:val="superscript"/>
              </w:rPr>
              <w:t>(a)</w:t>
            </w:r>
          </w:p>
        </w:tc>
      </w:tr>
      <w:tr>
        <w:trPr>
          <w:trHeight w:val="204"/>
        </w:trPr>
        <w:tc>
          <w:tcPr>
            <w:tcW w:w="1400" w:type="dxa"/>
            <w:vAlign w:val="bottom"/>
          </w:tcPr>
          <w:p>
            <w:pPr>
              <w:jc w:val="right"/>
              <w:spacing w:after="0"/>
              <w:rPr>
                <w:sz w:val="20"/>
                <w:szCs w:val="20"/>
                <w:color w:val="auto"/>
              </w:rPr>
            </w:pPr>
            <w:r>
              <w:rPr>
                <w:rFonts w:ascii="Arial" w:cs="Arial" w:eastAsia="Arial" w:hAnsi="Arial"/>
                <w:sz w:val="16"/>
                <w:szCs w:val="16"/>
                <w:color w:val="auto"/>
              </w:rPr>
              <w:t>9,559,485</w:t>
            </w:r>
          </w:p>
        </w:tc>
        <w:tc>
          <w:tcPr>
            <w:tcW w:w="200" w:type="dxa"/>
            <w:vAlign w:val="bottom"/>
          </w:tcPr>
          <w:p>
            <w:pPr>
              <w:spacing w:after="0"/>
              <w:rPr>
                <w:sz w:val="17"/>
                <w:szCs w:val="17"/>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96.57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9,156,469</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15.26</w:t>
            </w:r>
          </w:p>
        </w:tc>
        <w:tc>
          <w:tcPr>
            <w:tcW w:w="1020" w:type="dxa"/>
            <w:vAlign w:val="bottom"/>
          </w:tcPr>
          <w:p>
            <w:pPr>
              <w:ind w:left="20"/>
              <w:spacing w:after="0"/>
              <w:rPr>
                <w:sz w:val="20"/>
                <w:szCs w:val="20"/>
                <w:color w:val="auto"/>
              </w:rPr>
            </w:pPr>
            <w:r>
              <w:rPr>
                <w:rFonts w:ascii="Arial" w:cs="Arial" w:eastAsia="Arial" w:hAnsi="Arial"/>
                <w:sz w:val="16"/>
                <w:szCs w:val="16"/>
                <w:color w:val="auto"/>
              </w:rPr>
              <w:t>billion</w:t>
            </w:r>
          </w:p>
        </w:tc>
      </w:tr>
      <w:tr>
        <w:trPr>
          <w:trHeight w:val="216"/>
        </w:trPr>
        <w:tc>
          <w:tcPr>
            <w:tcW w:w="1400" w:type="dxa"/>
            <w:vAlign w:val="bottom"/>
          </w:tcPr>
          <w:p>
            <w:pPr>
              <w:jc w:val="right"/>
              <w:spacing w:after="0"/>
              <w:rPr>
                <w:sz w:val="20"/>
                <w:szCs w:val="20"/>
                <w:color w:val="auto"/>
              </w:rPr>
            </w:pPr>
            <w:r>
              <w:rPr>
                <w:rFonts w:ascii="Arial" w:cs="Arial" w:eastAsia="Arial" w:hAnsi="Arial"/>
                <w:sz w:val="16"/>
                <w:szCs w:val="16"/>
                <w:color w:val="auto"/>
              </w:rPr>
              <w:t>2,131,338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2,131,338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15.04</w:t>
            </w:r>
          </w:p>
        </w:tc>
        <w:tc>
          <w:tcPr>
            <w:tcW w:w="1020" w:type="dxa"/>
            <w:vAlign w:val="bottom"/>
          </w:tcPr>
          <w:p>
            <w:pPr>
              <w:ind w:left="20"/>
              <w:spacing w:after="0"/>
              <w:rPr>
                <w:sz w:val="20"/>
                <w:szCs w:val="20"/>
                <w:color w:val="auto"/>
              </w:rPr>
            </w:pPr>
            <w:r>
              <w:rPr>
                <w:rFonts w:ascii="Arial" w:cs="Arial" w:eastAsia="Arial" w:hAnsi="Arial"/>
                <w:sz w:val="16"/>
                <w:szCs w:val="16"/>
                <w:color w:val="auto"/>
              </w:rPr>
              <w:t>billion</w:t>
            </w:r>
          </w:p>
        </w:tc>
      </w:tr>
      <w:tr>
        <w:trPr>
          <w:trHeight w:val="216"/>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775,233</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775,233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14.96</w:t>
            </w:r>
          </w:p>
        </w:tc>
        <w:tc>
          <w:tcPr>
            <w:tcW w:w="1020" w:type="dxa"/>
            <w:vAlign w:val="bottom"/>
          </w:tcPr>
          <w:p>
            <w:pPr>
              <w:ind w:left="20"/>
              <w:spacing w:after="0"/>
              <w:rPr>
                <w:sz w:val="20"/>
                <w:szCs w:val="20"/>
                <w:color w:val="auto"/>
              </w:rPr>
            </w:pPr>
            <w:r>
              <w:rPr>
                <w:rFonts w:ascii="Arial" w:cs="Arial" w:eastAsia="Arial" w:hAnsi="Arial"/>
                <w:sz w:val="16"/>
                <w:szCs w:val="16"/>
                <w:color w:val="auto"/>
              </w:rPr>
              <w:t>billion</w:t>
            </w:r>
          </w:p>
        </w:tc>
      </w:tr>
      <w:tr>
        <w:trPr>
          <w:trHeight w:val="216"/>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12,466,056</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3"/>
              </w:rPr>
              <w:t>(b)</w:t>
            </w: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98.37</w:t>
            </w: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12,063,040</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14.96</w:t>
            </w:r>
          </w:p>
        </w:tc>
        <w:tc>
          <w:tcPr>
            <w:tcW w:w="1020" w:type="dxa"/>
            <w:vAlign w:val="bottom"/>
          </w:tcPr>
          <w:p>
            <w:pPr>
              <w:ind w:left="20"/>
              <w:spacing w:after="0" w:line="216" w:lineRule="exact"/>
              <w:rPr>
                <w:sz w:val="20"/>
                <w:szCs w:val="20"/>
                <w:color w:val="auto"/>
              </w:rPr>
            </w:pPr>
            <w:r>
              <w:rPr>
                <w:rFonts w:ascii="Arial" w:cs="Arial" w:eastAsia="Arial" w:hAnsi="Arial"/>
                <w:sz w:val="15"/>
                <w:szCs w:val="15"/>
                <w:color w:val="auto"/>
              </w:rPr>
              <w:t xml:space="preserve">billion </w:t>
            </w:r>
            <w:r>
              <w:rPr>
                <w:rFonts w:ascii="Arial" w:cs="Arial" w:eastAsia="Arial" w:hAnsi="Arial"/>
                <w:sz w:val="25"/>
                <w:szCs w:val="25"/>
                <w:color w:val="auto"/>
                <w:vertAlign w:val="superscript"/>
              </w:rPr>
              <w:t>(c)</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-307975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-591185</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553" w:right="239" w:bottom="1440" w:gutter="0" w:footer="0" w:header="0"/>
          <w:type w:val="continuous"/>
        </w:sectPr>
      </w:pPr>
    </w:p>
    <w:p>
      <w:pPr>
        <w:spacing w:after="0" w:line="2" w:lineRule="exact"/>
        <w:rPr>
          <w:sz w:val="20"/>
          <w:szCs w:val="20"/>
          <w:color w:val="auto"/>
        </w:rPr>
      </w:pPr>
    </w:p>
    <w:p>
      <w:pPr>
        <w:ind w:left="460" w:right="2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$6.0 billion of additional shares of TI common stock announced September 21, 2017. On September 20, 2018, our board of directors authorized the purchase of an additional $12.0 billion of our common stock.</w:t>
      </w:r>
    </w:p>
    <w:p>
      <w:pPr>
        <w:spacing w:after="0" w:line="73"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open-market purchases, 403,016 shares of common stock were surrendered by employees to satisfy tax withholding obligations in connection with the vesting of restricted stock units.</w:t>
      </w:r>
    </w:p>
    <w:p>
      <w:pPr>
        <w:spacing w:after="0" w:line="62"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March 31, 2019, this amount consisted of the remaining portion of the $6.0 billion authorized in September 2017 and the $12.0 billion authorized in September 2018. No expiration date has been specified for these authorizations.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20" w:name="page21"/>
    <w:bookmarkEnd w:id="20"/>
    <w:p>
      <w:pPr>
        <w:spacing w:after="0" w:line="196" w:lineRule="auto"/>
        <w:framePr w:w="1440" w:h="160" w:wrap="auto" w:vAnchor="page" w:hAnchor="page" w:x="200" w:y="358"/>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203"/>
        </w:trPr>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Designation of Exhibits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in This Report</w:t>
            </w:r>
          </w:p>
        </w:tc>
        <w:tc>
          <w:tcPr>
            <w:tcW w:w="9720" w:type="dxa"/>
            <w:vAlign w:val="bottom"/>
            <w:gridSpan w:val="17"/>
          </w:tcPr>
          <w:p>
            <w:pPr>
              <w:ind w:left="2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79"/>
        </w:trPr>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3(a)</w:t>
            </w:r>
          </w:p>
        </w:tc>
        <w:tc>
          <w:tcPr>
            <w:tcW w:w="20" w:type="dxa"/>
            <w:vAlign w:val="bottom"/>
            <w:shd w:val="clear" w:color="auto" w:fill="CCEEFF"/>
          </w:tcPr>
          <w:p>
            <w:pPr>
              <w:spacing w:after="0"/>
              <w:rPr>
                <w:sz w:val="15"/>
                <w:szCs w:val="15"/>
                <w:color w:val="auto"/>
              </w:rPr>
            </w:pPr>
          </w:p>
        </w:tc>
        <w:tc>
          <w:tcPr>
            <w:tcW w:w="9700" w:type="dxa"/>
            <w:vAlign w:val="bottom"/>
            <w:gridSpan w:val="16"/>
            <w:shd w:val="clear" w:color="auto" w:fill="CCEEFF"/>
          </w:tcPr>
          <w:p>
            <w:pPr>
              <w:spacing w:after="0" w:line="178" w:lineRule="exact"/>
              <w:rPr>
                <w:rFonts w:ascii="Arial" w:cs="Arial" w:eastAsia="Arial" w:hAnsi="Arial"/>
                <w:sz w:val="16"/>
                <w:szCs w:val="16"/>
                <w:color w:val="0000EE"/>
              </w:rPr>
            </w:pPr>
            <w:hyperlink r:id="rId37">
              <w:r>
                <w:rPr>
                  <w:rFonts w:ascii="Arial" w:cs="Arial" w:eastAsia="Arial" w:hAnsi="Arial"/>
                  <w:sz w:val="16"/>
                  <w:szCs w:val="16"/>
                  <w:color w:val="0000EE"/>
                </w:rPr>
                <w:t>Restated Certificate of Incorporation of the Registrant, dated April 18, 1985, as amended (incorporated by reference to Exhibit 3(a) of the</w:t>
              </w:r>
            </w:hyperlink>
          </w:p>
        </w:tc>
        <w:tc>
          <w:tcPr>
            <w:tcW w:w="0" w:type="dxa"/>
            <w:vAlign w:val="bottom"/>
          </w:tcPr>
          <w:p>
            <w:pPr>
              <w:spacing w:after="0"/>
              <w:rPr>
                <w:sz w:val="1"/>
                <w:szCs w:val="1"/>
                <w:color w:val="auto"/>
              </w:rPr>
            </w:pPr>
          </w:p>
        </w:tc>
      </w:tr>
      <w:tr>
        <w:trPr>
          <w:trHeight w:val="109"/>
        </w:trPr>
        <w:tc>
          <w:tcPr>
            <w:tcW w:w="1700" w:type="dxa"/>
            <w:vAlign w:val="bottom"/>
            <w:tcBorders>
              <w:top w:val="single" w:sz="8" w:color="CCEEFF"/>
            </w:tcBorders>
            <w:vMerge w:val="continue"/>
            <w:shd w:val="clear" w:color="auto" w:fill="CCEEFF"/>
          </w:tcPr>
          <w:p>
            <w:pPr>
              <w:spacing w:after="0"/>
              <w:rPr>
                <w:sz w:val="9"/>
                <w:szCs w:val="9"/>
                <w:color w:val="auto"/>
              </w:rPr>
            </w:pPr>
          </w:p>
        </w:tc>
        <w:tc>
          <w:tcPr>
            <w:tcW w:w="20" w:type="dxa"/>
            <w:vAlign w:val="bottom"/>
            <w:tcBorders>
              <w:top w:val="single" w:sz="8" w:color="CCEEFF"/>
            </w:tcBorders>
            <w:vMerge w:val="restart"/>
            <w:shd w:val="clear" w:color="auto" w:fill="CCEEFF"/>
          </w:tcPr>
          <w:p>
            <w:pPr>
              <w:spacing w:after="0"/>
              <w:rPr>
                <w:sz w:val="9"/>
                <w:szCs w:val="9"/>
                <w:color w:val="auto"/>
              </w:rPr>
            </w:pPr>
          </w:p>
        </w:tc>
        <w:tc>
          <w:tcPr>
            <w:tcW w:w="5360" w:type="dxa"/>
            <w:vAlign w:val="bottom"/>
            <w:tcBorders>
              <w:top w:val="single" w:sz="8" w:color="0000EE"/>
            </w:tcBorders>
            <w:gridSpan w:val="8"/>
            <w:vMerge w:val="restart"/>
            <w:shd w:val="clear" w:color="auto" w:fill="CCEEFF"/>
          </w:tcPr>
          <w:p>
            <w:pPr>
              <w:spacing w:after="0" w:line="183" w:lineRule="exact"/>
              <w:rPr>
                <w:rFonts w:ascii="Arial" w:cs="Arial" w:eastAsia="Arial" w:hAnsi="Arial"/>
                <w:sz w:val="16"/>
                <w:szCs w:val="16"/>
                <w:color w:val="0000EE"/>
                <w:w w:val="91"/>
              </w:rPr>
            </w:pPr>
            <w:hyperlink r:id="rId37">
              <w:r>
                <w:rPr>
                  <w:rFonts w:ascii="Arial" w:cs="Arial" w:eastAsia="Arial" w:hAnsi="Arial"/>
                  <w:sz w:val="16"/>
                  <w:szCs w:val="16"/>
                  <w:color w:val="0000EE"/>
                  <w:w w:val="91"/>
                </w:rPr>
                <w:t>Registrant's Annual Report on Form 10-K for the year ended December 31, 2014).</w:t>
              </w:r>
            </w:hyperlink>
          </w:p>
        </w:tc>
        <w:tc>
          <w:tcPr>
            <w:tcW w:w="3560" w:type="dxa"/>
            <w:vAlign w:val="bottom"/>
            <w:tcBorders>
              <w:top w:val="single" w:sz="8" w:color="0000EE"/>
            </w:tcBorders>
            <w:gridSpan w:val="5"/>
            <w:vMerge w:val="restart"/>
            <w:shd w:val="clear" w:color="auto" w:fill="CCEEFF"/>
          </w:tcPr>
          <w:p>
            <w:pPr>
              <w:spacing w:after="0"/>
              <w:rPr>
                <w:sz w:val="9"/>
                <w:szCs w:val="9"/>
                <w:color w:val="auto"/>
              </w:rPr>
            </w:pPr>
          </w:p>
        </w:tc>
        <w:tc>
          <w:tcPr>
            <w:tcW w:w="780" w:type="dxa"/>
            <w:vAlign w:val="bottom"/>
            <w:tcBorders>
              <w:top w:val="single" w:sz="8" w:color="CCEEFF"/>
            </w:tcBorders>
            <w:gridSpan w:val="3"/>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7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5360" w:type="dxa"/>
            <w:vAlign w:val="bottom"/>
            <w:tcBorders>
              <w:bottom w:val="single" w:sz="8" w:color="0000EE"/>
            </w:tcBorders>
            <w:gridSpan w:val="8"/>
            <w:vMerge w:val="continue"/>
            <w:shd w:val="clear" w:color="auto" w:fill="CCEEFF"/>
          </w:tcPr>
          <w:p>
            <w:pPr>
              <w:spacing w:after="0"/>
              <w:rPr>
                <w:sz w:val="8"/>
                <w:szCs w:val="8"/>
                <w:color w:val="auto"/>
              </w:rPr>
            </w:pPr>
          </w:p>
        </w:tc>
        <w:tc>
          <w:tcPr>
            <w:tcW w:w="3560" w:type="dxa"/>
            <w:vAlign w:val="bottom"/>
            <w:tcBorders>
              <w:bottom w:val="single" w:sz="8" w:color="CCEEFF"/>
            </w:tcBorders>
            <w:gridSpan w:val="5"/>
            <w:vMerge w:val="continue"/>
            <w:shd w:val="clear" w:color="auto" w:fill="CCEEFF"/>
          </w:tcPr>
          <w:p>
            <w:pPr>
              <w:spacing w:after="0"/>
              <w:rPr>
                <w:sz w:val="8"/>
                <w:szCs w:val="8"/>
                <w:color w:val="auto"/>
              </w:rPr>
            </w:pPr>
          </w:p>
        </w:tc>
        <w:tc>
          <w:tcPr>
            <w:tcW w:w="780" w:type="dxa"/>
            <w:vAlign w:val="bottom"/>
            <w:tcBorders>
              <w:bottom w:val="single" w:sz="8" w:color="CCEEFF"/>
            </w:tcBorders>
            <w:gridSpan w:val="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line="176" w:lineRule="exact"/>
              <w:rPr>
                <w:sz w:val="20"/>
                <w:szCs w:val="20"/>
                <w:color w:val="auto"/>
              </w:rPr>
            </w:pPr>
            <w:r>
              <w:rPr>
                <w:rFonts w:ascii="Arial" w:cs="Arial" w:eastAsia="Arial" w:hAnsi="Arial"/>
                <w:sz w:val="16"/>
                <w:szCs w:val="16"/>
                <w:color w:val="auto"/>
                <w:w w:val="98"/>
              </w:rPr>
              <w:t>3(b)</w:t>
            </w:r>
          </w:p>
        </w:tc>
        <w:tc>
          <w:tcPr>
            <w:tcW w:w="9720" w:type="dxa"/>
            <w:vAlign w:val="bottom"/>
            <w:gridSpan w:val="17"/>
          </w:tcPr>
          <w:p>
            <w:pPr>
              <w:ind w:left="20"/>
              <w:spacing w:after="0" w:line="176" w:lineRule="exact"/>
              <w:rPr>
                <w:rFonts w:ascii="Arial" w:cs="Arial" w:eastAsia="Arial" w:hAnsi="Arial"/>
                <w:sz w:val="16"/>
                <w:szCs w:val="16"/>
                <w:color w:val="0000EE"/>
                <w:w w:val="98"/>
              </w:rPr>
            </w:pPr>
            <w:hyperlink r:id="rId38">
              <w:r>
                <w:rPr>
                  <w:rFonts w:ascii="Arial" w:cs="Arial" w:eastAsia="Arial" w:hAnsi="Arial"/>
                  <w:sz w:val="16"/>
                  <w:szCs w:val="16"/>
                  <w:color w:val="0000EE"/>
                  <w:w w:val="98"/>
                </w:rPr>
                <w:t>By-Laws of the Registrant (incorporated by reference to Exhibit 3 of the Registrant's Current Report on Form 8-K filed December 12, 2016).</w:t>
              </w:r>
            </w:hyperlink>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4(a)</w:t>
            </w:r>
          </w:p>
        </w:tc>
        <w:tc>
          <w:tcPr>
            <w:tcW w:w="20" w:type="dxa"/>
            <w:vAlign w:val="bottom"/>
            <w:shd w:val="clear" w:color="auto" w:fill="CCEEFF"/>
          </w:tcPr>
          <w:p>
            <w:pPr>
              <w:spacing w:after="0"/>
              <w:rPr>
                <w:sz w:val="15"/>
                <w:szCs w:val="15"/>
                <w:color w:val="auto"/>
              </w:rPr>
            </w:pPr>
          </w:p>
        </w:tc>
        <w:tc>
          <w:tcPr>
            <w:tcW w:w="9700" w:type="dxa"/>
            <w:vAlign w:val="bottom"/>
            <w:gridSpan w:val="16"/>
            <w:shd w:val="clear" w:color="auto" w:fill="CCEEFF"/>
          </w:tcPr>
          <w:p>
            <w:pPr>
              <w:spacing w:after="0" w:line="176" w:lineRule="exact"/>
              <w:rPr>
                <w:rFonts w:ascii="Arial" w:cs="Arial" w:eastAsia="Arial" w:hAnsi="Arial"/>
                <w:sz w:val="16"/>
                <w:szCs w:val="16"/>
                <w:color w:val="0000EE"/>
                <w:w w:val="93"/>
              </w:rPr>
            </w:pPr>
            <w:hyperlink r:id="rId39">
              <w:r>
                <w:rPr>
                  <w:rFonts w:ascii="Arial" w:cs="Arial" w:eastAsia="Arial" w:hAnsi="Arial"/>
                  <w:sz w:val="16"/>
                  <w:szCs w:val="16"/>
                  <w:color w:val="0000EE"/>
                  <w:w w:val="93"/>
                </w:rPr>
                <w:t>Officer's Certificate, dated March 11, 2019 (incorporated by reference to Exhibit 4.1 of the Registrant's Current Report on Form 8-K filed March 11,</w:t>
              </w:r>
            </w:hyperlink>
          </w:p>
        </w:tc>
        <w:tc>
          <w:tcPr>
            <w:tcW w:w="0" w:type="dxa"/>
            <w:vAlign w:val="bottom"/>
          </w:tcPr>
          <w:p>
            <w:pPr>
              <w:spacing w:after="0"/>
              <w:rPr>
                <w:sz w:val="1"/>
                <w:szCs w:val="1"/>
                <w:color w:val="auto"/>
              </w:rPr>
            </w:pPr>
          </w:p>
        </w:tc>
      </w:tr>
      <w:tr>
        <w:trPr>
          <w:trHeight w:val="109"/>
        </w:trPr>
        <w:tc>
          <w:tcPr>
            <w:tcW w:w="1700" w:type="dxa"/>
            <w:vAlign w:val="bottom"/>
            <w:tcBorders>
              <w:top w:val="single" w:sz="8" w:color="CCEEFF"/>
            </w:tcBorders>
            <w:vMerge w:val="continue"/>
            <w:shd w:val="clear" w:color="auto" w:fill="CCEEFF"/>
          </w:tcPr>
          <w:p>
            <w:pPr>
              <w:spacing w:after="0"/>
              <w:rPr>
                <w:sz w:val="9"/>
                <w:szCs w:val="9"/>
                <w:color w:val="auto"/>
              </w:rPr>
            </w:pPr>
          </w:p>
        </w:tc>
        <w:tc>
          <w:tcPr>
            <w:tcW w:w="20" w:type="dxa"/>
            <w:vAlign w:val="bottom"/>
            <w:tcBorders>
              <w:top w:val="single" w:sz="8" w:color="CCEEFF"/>
            </w:tcBorders>
            <w:vMerge w:val="restart"/>
            <w:shd w:val="clear" w:color="auto" w:fill="CCEEFF"/>
          </w:tcPr>
          <w:p>
            <w:pPr>
              <w:spacing w:after="0"/>
              <w:rPr>
                <w:sz w:val="9"/>
                <w:szCs w:val="9"/>
                <w:color w:val="auto"/>
              </w:rPr>
            </w:pPr>
          </w:p>
        </w:tc>
        <w:tc>
          <w:tcPr>
            <w:tcW w:w="1820" w:type="dxa"/>
            <w:vAlign w:val="bottom"/>
            <w:tcBorders>
              <w:top w:val="single" w:sz="8" w:color="0000EE"/>
            </w:tcBorders>
            <w:gridSpan w:val="2"/>
            <w:vMerge w:val="restart"/>
            <w:shd w:val="clear" w:color="auto" w:fill="CCEEFF"/>
          </w:tcPr>
          <w:p>
            <w:pPr>
              <w:spacing w:after="0" w:line="183" w:lineRule="exact"/>
              <w:rPr>
                <w:rFonts w:ascii="Arial" w:cs="Arial" w:eastAsia="Arial" w:hAnsi="Arial"/>
                <w:sz w:val="16"/>
                <w:szCs w:val="16"/>
                <w:color w:val="0000EE"/>
              </w:rPr>
            </w:pPr>
            <w:hyperlink r:id="rId39">
              <w:r>
                <w:rPr>
                  <w:rFonts w:ascii="Arial" w:cs="Arial" w:eastAsia="Arial" w:hAnsi="Arial"/>
                  <w:sz w:val="16"/>
                  <w:szCs w:val="16"/>
                  <w:color w:val="0000EE"/>
                </w:rPr>
                <w:t>2019).</w:t>
              </w:r>
            </w:hyperlink>
          </w:p>
        </w:tc>
        <w:tc>
          <w:tcPr>
            <w:tcW w:w="1380" w:type="dxa"/>
            <w:vAlign w:val="bottom"/>
            <w:tcBorders>
              <w:top w:val="single" w:sz="8" w:color="0000EE"/>
            </w:tcBorders>
            <w:shd w:val="clear" w:color="auto" w:fill="CCEEFF"/>
          </w:tcPr>
          <w:p>
            <w:pPr>
              <w:spacing w:after="0"/>
              <w:rPr>
                <w:sz w:val="9"/>
                <w:szCs w:val="9"/>
                <w:color w:val="auto"/>
              </w:rPr>
            </w:pPr>
          </w:p>
        </w:tc>
        <w:tc>
          <w:tcPr>
            <w:tcW w:w="500" w:type="dxa"/>
            <w:vAlign w:val="bottom"/>
            <w:tcBorders>
              <w:top w:val="single" w:sz="8" w:color="0000EE"/>
            </w:tcBorders>
            <w:shd w:val="clear" w:color="auto" w:fill="CCEEFF"/>
          </w:tcPr>
          <w:p>
            <w:pPr>
              <w:spacing w:after="0"/>
              <w:rPr>
                <w:sz w:val="9"/>
                <w:szCs w:val="9"/>
                <w:color w:val="auto"/>
              </w:rPr>
            </w:pPr>
          </w:p>
        </w:tc>
        <w:tc>
          <w:tcPr>
            <w:tcW w:w="300" w:type="dxa"/>
            <w:vAlign w:val="bottom"/>
            <w:tcBorders>
              <w:top w:val="single" w:sz="8" w:color="0000EE"/>
            </w:tcBorders>
            <w:shd w:val="clear" w:color="auto" w:fill="CCEEFF"/>
          </w:tcPr>
          <w:p>
            <w:pPr>
              <w:spacing w:after="0"/>
              <w:rPr>
                <w:sz w:val="9"/>
                <w:szCs w:val="9"/>
                <w:color w:val="auto"/>
              </w:rPr>
            </w:pPr>
          </w:p>
        </w:tc>
        <w:tc>
          <w:tcPr>
            <w:tcW w:w="80" w:type="dxa"/>
            <w:vAlign w:val="bottom"/>
            <w:tcBorders>
              <w:top w:val="single" w:sz="8" w:color="0000EE"/>
            </w:tcBorders>
            <w:shd w:val="clear" w:color="auto" w:fill="CCEEFF"/>
          </w:tcPr>
          <w:p>
            <w:pPr>
              <w:spacing w:after="0"/>
              <w:rPr>
                <w:sz w:val="9"/>
                <w:szCs w:val="9"/>
                <w:color w:val="auto"/>
              </w:rPr>
            </w:pPr>
          </w:p>
        </w:tc>
        <w:tc>
          <w:tcPr>
            <w:tcW w:w="40" w:type="dxa"/>
            <w:vAlign w:val="bottom"/>
            <w:tcBorders>
              <w:top w:val="single" w:sz="8" w:color="0000EE"/>
            </w:tcBorders>
            <w:shd w:val="clear" w:color="auto" w:fill="CCEEFF"/>
          </w:tcPr>
          <w:p>
            <w:pPr>
              <w:spacing w:after="0"/>
              <w:rPr>
                <w:sz w:val="9"/>
                <w:szCs w:val="9"/>
                <w:color w:val="auto"/>
              </w:rPr>
            </w:pPr>
          </w:p>
        </w:tc>
        <w:tc>
          <w:tcPr>
            <w:tcW w:w="1240" w:type="dxa"/>
            <w:vAlign w:val="bottom"/>
            <w:tcBorders>
              <w:top w:val="single" w:sz="8" w:color="0000EE"/>
            </w:tcBorders>
            <w:shd w:val="clear" w:color="auto" w:fill="CCEEFF"/>
          </w:tcPr>
          <w:p>
            <w:pPr>
              <w:spacing w:after="0"/>
              <w:rPr>
                <w:sz w:val="9"/>
                <w:szCs w:val="9"/>
                <w:color w:val="auto"/>
              </w:rPr>
            </w:pPr>
          </w:p>
        </w:tc>
        <w:tc>
          <w:tcPr>
            <w:tcW w:w="920" w:type="dxa"/>
            <w:vAlign w:val="bottom"/>
            <w:tcBorders>
              <w:top w:val="single" w:sz="8" w:color="0000EE"/>
            </w:tcBorders>
            <w:shd w:val="clear" w:color="auto" w:fill="CCEEFF"/>
          </w:tcPr>
          <w:p>
            <w:pPr>
              <w:spacing w:after="0"/>
              <w:rPr>
                <w:sz w:val="9"/>
                <w:szCs w:val="9"/>
                <w:color w:val="auto"/>
              </w:rPr>
            </w:pPr>
          </w:p>
        </w:tc>
        <w:tc>
          <w:tcPr>
            <w:tcW w:w="40" w:type="dxa"/>
            <w:vAlign w:val="bottom"/>
            <w:tcBorders>
              <w:top w:val="single" w:sz="8" w:color="0000EE"/>
            </w:tcBorders>
            <w:shd w:val="clear" w:color="auto" w:fill="CCEEFF"/>
          </w:tcPr>
          <w:p>
            <w:pPr>
              <w:spacing w:after="0"/>
              <w:rPr>
                <w:sz w:val="9"/>
                <w:szCs w:val="9"/>
                <w:color w:val="auto"/>
              </w:rPr>
            </w:pPr>
          </w:p>
        </w:tc>
        <w:tc>
          <w:tcPr>
            <w:tcW w:w="580" w:type="dxa"/>
            <w:vAlign w:val="bottom"/>
            <w:tcBorders>
              <w:top w:val="single" w:sz="8" w:color="0000EE"/>
            </w:tcBorders>
            <w:shd w:val="clear" w:color="auto" w:fill="CCEEFF"/>
          </w:tcPr>
          <w:p>
            <w:pPr>
              <w:spacing w:after="0"/>
              <w:rPr>
                <w:sz w:val="9"/>
                <w:szCs w:val="9"/>
                <w:color w:val="auto"/>
              </w:rPr>
            </w:pPr>
          </w:p>
        </w:tc>
        <w:tc>
          <w:tcPr>
            <w:tcW w:w="40" w:type="dxa"/>
            <w:vAlign w:val="bottom"/>
            <w:tcBorders>
              <w:top w:val="single" w:sz="8" w:color="0000EE"/>
            </w:tcBorders>
            <w:shd w:val="clear" w:color="auto" w:fill="CCEEFF"/>
          </w:tcPr>
          <w:p>
            <w:pPr>
              <w:spacing w:after="0"/>
              <w:rPr>
                <w:sz w:val="9"/>
                <w:szCs w:val="9"/>
                <w:color w:val="auto"/>
              </w:rPr>
            </w:pPr>
          </w:p>
        </w:tc>
        <w:tc>
          <w:tcPr>
            <w:tcW w:w="1980" w:type="dxa"/>
            <w:vAlign w:val="bottom"/>
            <w:tcBorders>
              <w:top w:val="single" w:sz="8" w:color="0000EE"/>
            </w:tcBorders>
            <w:shd w:val="clear" w:color="auto" w:fill="CCEEFF"/>
          </w:tcPr>
          <w:p>
            <w:pPr>
              <w:spacing w:after="0"/>
              <w:rPr>
                <w:sz w:val="9"/>
                <w:szCs w:val="9"/>
                <w:color w:val="auto"/>
              </w:rPr>
            </w:pPr>
          </w:p>
        </w:tc>
        <w:tc>
          <w:tcPr>
            <w:tcW w:w="220" w:type="dxa"/>
            <w:vAlign w:val="bottom"/>
            <w:tcBorders>
              <w:top w:val="single" w:sz="8" w:color="0000EE"/>
            </w:tcBorders>
            <w:shd w:val="clear" w:color="auto" w:fill="CCEEFF"/>
          </w:tcPr>
          <w:p>
            <w:pPr>
              <w:spacing w:after="0"/>
              <w:rPr>
                <w:sz w:val="9"/>
                <w:szCs w:val="9"/>
                <w:color w:val="auto"/>
              </w:rPr>
            </w:pPr>
          </w:p>
        </w:tc>
        <w:tc>
          <w:tcPr>
            <w:tcW w:w="480" w:type="dxa"/>
            <w:vAlign w:val="bottom"/>
            <w:tcBorders>
              <w:top w:val="single" w:sz="8" w:color="0000EE"/>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700" w:type="dxa"/>
            <w:vAlign w:val="bottom"/>
            <w:shd w:val="clear" w:color="auto" w:fill="CCEEFF"/>
          </w:tcPr>
          <w:p>
            <w:pPr>
              <w:spacing w:after="0"/>
              <w:rPr>
                <w:sz w:val="6"/>
                <w:szCs w:val="6"/>
                <w:color w:val="auto"/>
              </w:rPr>
            </w:pPr>
          </w:p>
        </w:tc>
        <w:tc>
          <w:tcPr>
            <w:tcW w:w="20" w:type="dxa"/>
            <w:vAlign w:val="bottom"/>
            <w:vMerge w:val="continue"/>
            <w:shd w:val="clear" w:color="auto" w:fill="CCEEFF"/>
          </w:tcPr>
          <w:p>
            <w:pPr>
              <w:spacing w:after="0"/>
              <w:rPr>
                <w:sz w:val="6"/>
                <w:szCs w:val="6"/>
                <w:color w:val="auto"/>
              </w:rPr>
            </w:pPr>
          </w:p>
        </w:tc>
        <w:tc>
          <w:tcPr>
            <w:tcW w:w="1820" w:type="dxa"/>
            <w:vAlign w:val="bottom"/>
            <w:gridSpan w:val="2"/>
            <w:vMerge w:val="continue"/>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tcPr>
          <w:p>
            <w:pPr>
              <w:jc w:val="center"/>
              <w:spacing w:after="0" w:line="176" w:lineRule="exact"/>
              <w:rPr>
                <w:sz w:val="20"/>
                <w:szCs w:val="20"/>
                <w:color w:val="auto"/>
              </w:rPr>
            </w:pPr>
            <w:r>
              <w:rPr>
                <w:rFonts w:ascii="Arial" w:cs="Arial" w:eastAsia="Arial" w:hAnsi="Arial"/>
                <w:sz w:val="16"/>
                <w:szCs w:val="16"/>
                <w:color w:val="auto"/>
                <w:w w:val="90"/>
              </w:rPr>
              <w:t>31(a)</w:t>
            </w:r>
          </w:p>
        </w:tc>
        <w:tc>
          <w:tcPr>
            <w:tcW w:w="20" w:type="dxa"/>
            <w:vAlign w:val="bottom"/>
          </w:tcPr>
          <w:p>
            <w:pPr>
              <w:spacing w:after="0"/>
              <w:rPr>
                <w:sz w:val="15"/>
                <w:szCs w:val="15"/>
                <w:color w:val="auto"/>
              </w:rPr>
            </w:pPr>
          </w:p>
        </w:tc>
        <w:tc>
          <w:tcPr>
            <w:tcW w:w="9700" w:type="dxa"/>
            <w:vAlign w:val="bottom"/>
            <w:gridSpan w:val="16"/>
          </w:tcPr>
          <w:p>
            <w:pPr>
              <w:spacing w:after="0" w:line="176" w:lineRule="exact"/>
              <w:rPr>
                <w:rFonts w:ascii="Arial" w:cs="Arial" w:eastAsia="Arial" w:hAnsi="Arial"/>
                <w:sz w:val="16"/>
                <w:szCs w:val="16"/>
                <w:color w:val="0000EE"/>
              </w:rPr>
            </w:pPr>
            <w:hyperlink w:anchor="page25">
              <w:r>
                <w:rPr>
                  <w:rFonts w:ascii="Arial" w:cs="Arial" w:eastAsia="Arial" w:hAnsi="Arial"/>
                  <w:sz w:val="16"/>
                  <w:szCs w:val="16"/>
                  <w:color w:val="0000EE"/>
                </w:rPr>
                <w:t>Certification of Chief Executive Officer of Periodic Report Pursuant to Rule 13a-14(a) or Rule 15d-14(a).†</w:t>
              </w:r>
            </w:hyperlink>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w w:val="96"/>
              </w:rPr>
              <w:t>31(b)</w:t>
            </w:r>
          </w:p>
        </w:tc>
        <w:tc>
          <w:tcPr>
            <w:tcW w:w="20" w:type="dxa"/>
            <w:vAlign w:val="bottom"/>
            <w:tcBorders>
              <w:bottom w:val="single" w:sz="8" w:color="CCEEFF"/>
            </w:tcBorders>
            <w:shd w:val="clear" w:color="auto" w:fill="CCEEFF"/>
          </w:tcPr>
          <w:p>
            <w:pPr>
              <w:spacing w:after="0"/>
              <w:rPr>
                <w:sz w:val="17"/>
                <w:szCs w:val="17"/>
                <w:color w:val="auto"/>
              </w:rPr>
            </w:pPr>
          </w:p>
        </w:tc>
        <w:tc>
          <w:tcPr>
            <w:tcW w:w="6900" w:type="dxa"/>
            <w:vAlign w:val="bottom"/>
            <w:tcBorders>
              <w:bottom w:val="single" w:sz="8" w:color="0000EE"/>
            </w:tcBorders>
            <w:gridSpan w:val="11"/>
            <w:shd w:val="clear" w:color="auto" w:fill="CCEEFF"/>
          </w:tcPr>
          <w:p>
            <w:pPr>
              <w:spacing w:after="0" w:line="176" w:lineRule="exact"/>
              <w:rPr>
                <w:rFonts w:ascii="Arial" w:cs="Arial" w:eastAsia="Arial" w:hAnsi="Arial"/>
                <w:sz w:val="16"/>
                <w:szCs w:val="16"/>
                <w:color w:val="0000EE"/>
                <w:w w:val="93"/>
              </w:rPr>
            </w:pPr>
            <w:hyperlink w:anchor="page26">
              <w:r>
                <w:rPr>
                  <w:rFonts w:ascii="Arial" w:cs="Arial" w:eastAsia="Arial" w:hAnsi="Arial"/>
                  <w:sz w:val="16"/>
                  <w:szCs w:val="16"/>
                  <w:color w:val="0000EE"/>
                  <w:w w:val="93"/>
                </w:rPr>
                <w:t>Certification of Chief Financial Officer of Periodic Report Pursuant to Rule 13a-14(a) or Rule 15d-14(a).†</w:t>
              </w:r>
            </w:hyperlink>
          </w:p>
        </w:tc>
        <w:tc>
          <w:tcPr>
            <w:tcW w:w="280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line="176" w:lineRule="exact"/>
              <w:rPr>
                <w:sz w:val="20"/>
                <w:szCs w:val="20"/>
                <w:color w:val="auto"/>
              </w:rPr>
            </w:pPr>
            <w:r>
              <w:rPr>
                <w:rFonts w:ascii="Arial" w:cs="Arial" w:eastAsia="Arial" w:hAnsi="Arial"/>
                <w:sz w:val="16"/>
                <w:szCs w:val="16"/>
                <w:color w:val="auto"/>
                <w:w w:val="90"/>
              </w:rPr>
              <w:t>32(a)</w:t>
            </w:r>
          </w:p>
        </w:tc>
        <w:tc>
          <w:tcPr>
            <w:tcW w:w="9720" w:type="dxa"/>
            <w:vAlign w:val="bottom"/>
            <w:gridSpan w:val="17"/>
          </w:tcPr>
          <w:p>
            <w:pPr>
              <w:ind w:left="20"/>
              <w:spacing w:after="0" w:line="176" w:lineRule="exact"/>
              <w:rPr>
                <w:rFonts w:ascii="Arial" w:cs="Arial" w:eastAsia="Arial" w:hAnsi="Arial"/>
                <w:sz w:val="16"/>
                <w:szCs w:val="16"/>
                <w:color w:val="0000EE"/>
              </w:rPr>
            </w:pPr>
            <w:hyperlink w:anchor="page27">
              <w:r>
                <w:rPr>
                  <w:rFonts w:ascii="Arial" w:cs="Arial" w:eastAsia="Arial" w:hAnsi="Arial"/>
                  <w:sz w:val="16"/>
                  <w:szCs w:val="16"/>
                  <w:color w:val="0000EE"/>
                </w:rPr>
                <w:t>Certification by Chief Executive Officer of Periodic Report Pursuant to 18 U.S.C. Section 1350.†</w:t>
              </w:r>
            </w:hyperlink>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w w:val="96"/>
              </w:rPr>
              <w:t>32(b)</w:t>
            </w:r>
          </w:p>
        </w:tc>
        <w:tc>
          <w:tcPr>
            <w:tcW w:w="2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0000EE"/>
            </w:tcBorders>
            <w:gridSpan w:val="9"/>
            <w:shd w:val="clear" w:color="auto" w:fill="CCEEFF"/>
          </w:tcPr>
          <w:p>
            <w:pPr>
              <w:spacing w:after="0" w:line="176" w:lineRule="exact"/>
              <w:rPr>
                <w:rFonts w:ascii="Arial" w:cs="Arial" w:eastAsia="Arial" w:hAnsi="Arial"/>
                <w:sz w:val="16"/>
                <w:szCs w:val="16"/>
                <w:color w:val="0000EE"/>
                <w:w w:val="93"/>
              </w:rPr>
            </w:pPr>
            <w:hyperlink w:anchor="page28">
              <w:r>
                <w:rPr>
                  <w:rFonts w:ascii="Arial" w:cs="Arial" w:eastAsia="Arial" w:hAnsi="Arial"/>
                  <w:sz w:val="16"/>
                  <w:szCs w:val="16"/>
                  <w:color w:val="0000EE"/>
                  <w:w w:val="93"/>
                </w:rPr>
                <w:t>Certification by Chief Financial Officer of Periodic Report Pursuant to 18 U.S.C. Section 1350.†</w:t>
              </w:r>
            </w:hyperlink>
          </w:p>
        </w:tc>
        <w:tc>
          <w:tcPr>
            <w:tcW w:w="3420" w:type="dxa"/>
            <w:vAlign w:val="bottom"/>
            <w:tcBorders>
              <w:bottom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line="176" w:lineRule="exact"/>
              <w:rPr>
                <w:sz w:val="20"/>
                <w:szCs w:val="20"/>
                <w:color w:val="auto"/>
              </w:rPr>
            </w:pPr>
            <w:r>
              <w:rPr>
                <w:rFonts w:ascii="Arial" w:cs="Arial" w:eastAsia="Arial" w:hAnsi="Arial"/>
                <w:sz w:val="16"/>
                <w:szCs w:val="16"/>
                <w:color w:val="auto"/>
                <w:w w:val="92"/>
              </w:rPr>
              <w:t>101.ins</w:t>
            </w:r>
          </w:p>
        </w:tc>
        <w:tc>
          <w:tcPr>
            <w:tcW w:w="9720" w:type="dxa"/>
            <w:vAlign w:val="bottom"/>
            <w:gridSpan w:val="17"/>
          </w:tcPr>
          <w:p>
            <w:pPr>
              <w:ind w:left="20"/>
              <w:spacing w:after="0" w:line="176" w:lineRule="exact"/>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101.def</w:t>
            </w:r>
          </w:p>
        </w:tc>
        <w:tc>
          <w:tcPr>
            <w:tcW w:w="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6"/>
                <w:szCs w:val="16"/>
                <w:color w:val="auto"/>
                <w:w w:val="94"/>
              </w:rPr>
              <w:t>XBRL Taxonomy Extension Definition Linkbase Document†</w:t>
            </w:r>
          </w:p>
        </w:tc>
        <w:tc>
          <w:tcPr>
            <w:tcW w:w="5700" w:type="dxa"/>
            <w:vAlign w:val="bottom"/>
            <w:tcBorders>
              <w:bottom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line="176" w:lineRule="exact"/>
              <w:rPr>
                <w:sz w:val="20"/>
                <w:szCs w:val="20"/>
                <w:color w:val="auto"/>
              </w:rPr>
            </w:pPr>
            <w:r>
              <w:rPr>
                <w:rFonts w:ascii="Arial" w:cs="Arial" w:eastAsia="Arial" w:hAnsi="Arial"/>
                <w:sz w:val="16"/>
                <w:szCs w:val="16"/>
                <w:color w:val="auto"/>
                <w:w w:val="89"/>
              </w:rPr>
              <w:t>101.sch</w:t>
            </w:r>
          </w:p>
        </w:tc>
        <w:tc>
          <w:tcPr>
            <w:tcW w:w="9720" w:type="dxa"/>
            <w:vAlign w:val="bottom"/>
            <w:gridSpan w:val="17"/>
          </w:tcPr>
          <w:p>
            <w:pPr>
              <w:ind w:left="20"/>
              <w:spacing w:after="0" w:line="176" w:lineRule="exact"/>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w w:val="92"/>
              </w:rPr>
              <w:t>101.cal</w:t>
            </w:r>
          </w:p>
        </w:tc>
        <w:tc>
          <w:tcPr>
            <w:tcW w:w="20" w:type="dxa"/>
            <w:vAlign w:val="bottom"/>
            <w:tcBorders>
              <w:bottom w:val="single" w:sz="8" w:color="CCEEFF"/>
            </w:tcBorders>
            <w:shd w:val="clear" w:color="auto" w:fill="CCEEFF"/>
          </w:tcPr>
          <w:p>
            <w:pPr>
              <w:spacing w:after="0"/>
              <w:rPr>
                <w:sz w:val="17"/>
                <w:szCs w:val="17"/>
                <w:color w:val="auto"/>
              </w:rPr>
            </w:pPr>
          </w:p>
        </w:tc>
        <w:tc>
          <w:tcPr>
            <w:tcW w:w="408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6"/>
                <w:szCs w:val="16"/>
                <w:color w:val="auto"/>
                <w:w w:val="93"/>
              </w:rPr>
              <w:t>XBRL Taxonomy Extension Calculation Linkbase Document†</w:t>
            </w:r>
          </w:p>
        </w:tc>
        <w:tc>
          <w:tcPr>
            <w:tcW w:w="5620" w:type="dxa"/>
            <w:vAlign w:val="bottom"/>
            <w:tcBorders>
              <w:bottom w:val="single" w:sz="8" w:color="CCEEFF"/>
            </w:tcBorders>
            <w:gridSpan w:val="1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line="176" w:lineRule="exact"/>
              <w:rPr>
                <w:sz w:val="20"/>
                <w:szCs w:val="20"/>
                <w:color w:val="auto"/>
              </w:rPr>
            </w:pPr>
            <w:r>
              <w:rPr>
                <w:rFonts w:ascii="Arial" w:cs="Arial" w:eastAsia="Arial" w:hAnsi="Arial"/>
                <w:sz w:val="16"/>
                <w:szCs w:val="16"/>
                <w:color w:val="auto"/>
                <w:w w:val="91"/>
              </w:rPr>
              <w:t>101.lab</w:t>
            </w:r>
          </w:p>
        </w:tc>
        <w:tc>
          <w:tcPr>
            <w:tcW w:w="9720" w:type="dxa"/>
            <w:vAlign w:val="bottom"/>
            <w:gridSpan w:val="17"/>
          </w:tcPr>
          <w:p>
            <w:pPr>
              <w:ind w:left="20"/>
              <w:spacing w:after="0" w:line="176" w:lineRule="exact"/>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8"/>
              </w:rPr>
              <w:t>101.pre</w:t>
            </w:r>
          </w:p>
        </w:tc>
        <w:tc>
          <w:tcPr>
            <w:tcW w:w="9720" w:type="dxa"/>
            <w:vAlign w:val="bottom"/>
            <w:gridSpan w:val="17"/>
            <w:shd w:val="clear" w:color="auto" w:fill="CCEEFF"/>
          </w:tcPr>
          <w:p>
            <w:pPr>
              <w:ind w:left="20"/>
              <w:spacing w:after="0" w:line="176" w:lineRule="exact"/>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 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6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8"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1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63"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6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86" w:lineRule="exact"/>
        <w:rPr>
          <w:rFonts w:ascii="Arial" w:cs="Arial" w:eastAsia="Arial" w:hAnsi="Arial"/>
          <w:sz w:val="16"/>
          <w:szCs w:val="16"/>
          <w:color w:val="auto"/>
        </w:rPr>
      </w:pPr>
    </w:p>
    <w:p>
      <w:pPr>
        <w:ind w:left="1040" w:right="4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8" w:lineRule="exact"/>
        <w:rPr>
          <w:rFonts w:ascii="Arial" w:cs="Arial" w:eastAsia="Arial" w:hAnsi="Arial"/>
          <w:sz w:val="18"/>
          <w:szCs w:val="18"/>
          <w:color w:val="auto"/>
        </w:rPr>
      </w:pPr>
    </w:p>
    <w:p>
      <w:pPr>
        <w:ind w:left="1040" w:right="2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9" w:lineRule="exact"/>
        <w:rPr>
          <w:rFonts w:ascii="Arial" w:cs="Arial" w:eastAsia="Arial" w:hAnsi="Arial"/>
          <w:sz w:val="18"/>
          <w:szCs w:val="18"/>
          <w:color w:val="auto"/>
        </w:rPr>
      </w:pPr>
    </w:p>
    <w:p>
      <w:pPr>
        <w:ind w:left="1040" w:hanging="519"/>
        <w:spacing w:after="0" w:line="29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the loss of significant distributors;</w:t>
      </w:r>
    </w:p>
    <w:p>
      <w:pPr>
        <w:spacing w:after="0" w:line="74"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86" w:lineRule="exact"/>
        <w:rPr>
          <w:rFonts w:ascii="Arial" w:cs="Arial" w:eastAsia="Arial" w:hAnsi="Arial"/>
          <w:sz w:val="16"/>
          <w:szCs w:val="16"/>
          <w:color w:val="auto"/>
        </w:rPr>
      </w:pPr>
    </w:p>
    <w:p>
      <w:pPr>
        <w:ind w:left="1040" w:right="240" w:hanging="519"/>
        <w:spacing w:after="0" w:line="29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ind w:left="1040" w:right="3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8"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recruit and retain skilled engineering, management and technical personnel, and effectively manage key employee succession;</w:t>
      </w:r>
    </w:p>
    <w:p>
      <w:pPr>
        <w:spacing w:after="0" w:line="86" w:lineRule="exact"/>
        <w:rPr>
          <w:rFonts w:ascii="Arial" w:cs="Arial" w:eastAsia="Arial" w:hAnsi="Arial"/>
          <w:sz w:val="16"/>
          <w:szCs w:val="16"/>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3" w:name="page24"/>
    <w:bookmarkEnd w:id="23"/>
    <w:p>
      <w:pPr>
        <w:jc w:val="center"/>
        <w:ind w:right="-1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ind w:left="7440"/>
        <w:spacing w:after="0"/>
        <w:tabs>
          <w:tab w:leader="none" w:pos="7940" w:val="left"/>
        </w:tabs>
        <w:rPr>
          <w:sz w:val="20"/>
          <w:szCs w:val="20"/>
          <w:color w:val="auto"/>
        </w:rPr>
      </w:pPr>
      <w:r>
        <w:rPr>
          <w:rFonts w:ascii="Arial" w:cs="Arial" w:eastAsia="Arial" w:hAnsi="Arial"/>
          <w:sz w:val="18"/>
          <w:szCs w:val="18"/>
          <w:color w:val="auto"/>
        </w:rPr>
        <w:t>By:</w:t>
        <w:tab/>
        <w:t>/s/ Rafael R. Lizardi</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-130810</wp:posOffset>
            </wp:positionV>
            <wp:extent cx="21951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34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320"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33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120" w:hanging="5"/>
        <w:spacing w:after="0" w:line="342" w:lineRule="auto"/>
        <w:tabs>
          <w:tab w:leader="none" w:pos="7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2019,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2019</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220" w:firstLine="547"/>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38" w:lineRule="exact"/>
        <w:rPr>
          <w:sz w:val="20"/>
          <w:szCs w:val="20"/>
          <w:color w:val="auto"/>
        </w:rPr>
      </w:pPr>
    </w:p>
    <w:p>
      <w:pPr>
        <w:ind w:left="560" w:right="120" w:hanging="5"/>
        <w:spacing w:after="0" w:line="342" w:lineRule="auto"/>
        <w:tabs>
          <w:tab w:leader="none" w:pos="7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2019,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2019</w:t>
      </w:r>
    </w:p>
    <w:p>
      <w:pPr>
        <w:spacing w:after="0" w:line="2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5"/>
    </w:lvl>
  </w:abstractNum>
  <w:abstractNum w:abstractNumId="10">
    <w:nsid w:val="3F2DBA31"/>
    <w:multiLevelType w:val="hybridMultilevel"/>
    <w:lvl w:ilvl="0">
      <w:lvlJc w:val="left"/>
      <w:lvlText w:val="%1."/>
      <w:numFmt w:val="decimal"/>
      <w:start w:val="6"/>
    </w:lvl>
  </w:abstractNum>
  <w:abstractNum w:abstractNumId="11">
    <w:nsid w:val="7C83E458"/>
    <w:multiLevelType w:val="hybridMultilevel"/>
    <w:lvl w:ilvl="0">
      <w:lvlJc w:val="left"/>
      <w:lvlText w:val="%1."/>
      <w:numFmt w:val="decimal"/>
      <w:start w:val="7"/>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o"/>
      <w:numFmt w:val="bullet"/>
      <w:start w:val="1"/>
    </w:lvl>
  </w:abstractNum>
  <w:abstractNum w:abstractNumId="19">
    <w:nsid w:val="2D1D5AE9"/>
    <w:multiLevelType w:val="hybridMultilevel"/>
    <w:lvl w:ilvl="0">
      <w:lvlJc w:val="left"/>
      <w:lvlText w:val="•"/>
      <w:numFmt w:val="bullet"/>
      <w:start w:val="1"/>
    </w:lvl>
    <w:lvl w:ilvl="1">
      <w:lvlJc w:val="left"/>
      <w:lvlText w:val="o"/>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37" Type="http://schemas.openxmlformats.org/officeDocument/2006/relationships/hyperlink" Target="http://www.sec.gov/Archives/edgar/data/97476/000009747615000003/txn-12312014xexhibit3a.htm" TargetMode="External"/><Relationship Id="rId38" Type="http://schemas.openxmlformats.org/officeDocument/2006/relationships/hyperlink" Target="http://www.sec.gov/Archives/edgar/data/97476/000156459016030135/txn-ex3_6.htm" TargetMode="External"/><Relationship Id="rId39" Type="http://schemas.openxmlformats.org/officeDocument/2006/relationships/hyperlink" Target="http://www.sec.gov/Archives/edgar/data/97476/000119312519070297/d71310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2019-12-28T13:28:19Z</dcterms:created>
  <dcterms:modified xsi:type="dcterms:W3CDTF">2019-12-28T13:28:19Z</dcterms:modified>
</cp:coreProperties>
</file>