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Lizardi Rafael R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 &amp; CFO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151130</wp:posOffset>
            </wp:positionV>
            <wp:extent cx="6968490" cy="13017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301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02/01/2021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15,165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79.26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97,300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02/01/2021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15,165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170.021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82,135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8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79.26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15,165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01/26/2027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15,165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-1957070</wp:posOffset>
            </wp:positionV>
            <wp:extent cx="7033895" cy="20961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096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32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$170.00 to $170.035. The Issuer undertakes to provide upon request a detailed breakout of the sale prices and the number of shares sold at each price.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in four equal annual installments beginning on January 26, 2018.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02/03/2021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449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691660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2021-02-03T18:04:50Z</dcterms:created>
  <dcterms:modified xsi:type="dcterms:W3CDTF">2021-02-03T18:04:50Z</dcterms:modified>
</cp:coreProperties>
</file>