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DATE OF REPORT (DATE OF EARLIEST EVENT REPORTED): April 27,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460" w:type="dxa"/>
            <w:vAlign w:val="bottom"/>
          </w:tcPr>
          <w:p>
            <w:pPr>
              <w:spacing w:after="0"/>
              <w:rPr>
                <w:sz w:val="20"/>
                <w:szCs w:val="20"/>
                <w:color w:val="auto"/>
              </w:rPr>
            </w:pPr>
          </w:p>
        </w:tc>
      </w:tr>
      <w:tr>
        <w:trPr>
          <w:trHeight w:val="345"/>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7"/>
        </w:trPr>
        <w:tc>
          <w:tcPr>
            <w:tcW w:w="18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DELAWARE</w:t>
            </w:r>
          </w:p>
        </w:tc>
        <w:tc>
          <w:tcPr>
            <w:tcW w:w="3960" w:type="dxa"/>
            <w:vAlign w:val="bottom"/>
            <w:gridSpan w:val="2"/>
          </w:tcPr>
          <w:p>
            <w:pPr>
              <w:ind w:left="2520"/>
              <w:spacing w:after="0"/>
              <w:rPr>
                <w:sz w:val="20"/>
                <w:szCs w:val="20"/>
                <w:color w:val="auto"/>
              </w:rPr>
            </w:pPr>
            <w:r>
              <w:rPr>
                <w:rFonts w:ascii="Arial" w:cs="Arial" w:eastAsia="Arial" w:hAnsi="Arial"/>
                <w:sz w:val="18"/>
                <w:szCs w:val="18"/>
                <w:b w:val="1"/>
                <w:bCs w:val="1"/>
                <w:color w:val="auto"/>
              </w:rPr>
              <w:t>001-03761</w:t>
            </w:r>
          </w:p>
        </w:tc>
        <w:tc>
          <w:tcPr>
            <w:tcW w:w="1780" w:type="dxa"/>
            <w:vAlign w:val="bottom"/>
          </w:tcPr>
          <w:p>
            <w:pPr>
              <w:spacing w:after="0"/>
              <w:rPr>
                <w:sz w:val="24"/>
                <w:szCs w:val="24"/>
                <w:color w:val="auto"/>
              </w:rPr>
            </w:pPr>
          </w:p>
        </w:tc>
        <w:tc>
          <w:tcPr>
            <w:tcW w:w="1460" w:type="dxa"/>
            <w:vAlign w:val="bottom"/>
          </w:tcPr>
          <w:p>
            <w:pPr>
              <w:jc w:val="center"/>
              <w:ind w:left="30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580" w:type="dxa"/>
            <w:vAlign w:val="bottom"/>
          </w:tcPr>
          <w:p>
            <w:pPr>
              <w:spacing w:after="0"/>
              <w:rPr>
                <w:sz w:val="12"/>
                <w:szCs w:val="12"/>
                <w:color w:val="auto"/>
              </w:rPr>
            </w:pPr>
          </w:p>
        </w:tc>
        <w:tc>
          <w:tcPr>
            <w:tcW w:w="416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14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8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of incorporation)</w:t>
            </w:r>
          </w:p>
        </w:tc>
        <w:tc>
          <w:tcPr>
            <w:tcW w:w="1580" w:type="dxa"/>
            <w:vAlign w:val="bottom"/>
          </w:tcPr>
          <w:p>
            <w:pPr>
              <w:spacing w:after="0"/>
              <w:rPr>
                <w:sz w:val="16"/>
                <w:szCs w:val="16"/>
                <w:color w:val="auto"/>
              </w:rPr>
            </w:pPr>
          </w:p>
        </w:tc>
        <w:tc>
          <w:tcPr>
            <w:tcW w:w="4160" w:type="dxa"/>
            <w:vAlign w:val="bottom"/>
            <w:gridSpan w:val="2"/>
          </w:tcPr>
          <w:p>
            <w:pPr>
              <w:ind w:left="940"/>
              <w:spacing w:after="0"/>
              <w:rPr>
                <w:sz w:val="20"/>
                <w:szCs w:val="20"/>
                <w:color w:val="auto"/>
              </w:rPr>
            </w:pPr>
            <w:r>
              <w:rPr>
                <w:rFonts w:ascii="Arial" w:cs="Arial" w:eastAsia="Arial" w:hAnsi="Arial"/>
                <w:sz w:val="14"/>
                <w:szCs w:val="14"/>
                <w:b w:val="1"/>
                <w:bCs w:val="1"/>
                <w:color w:val="auto"/>
              </w:rPr>
              <w:t>file number)</w:t>
            </w:r>
          </w:p>
        </w:tc>
        <w:tc>
          <w:tcPr>
            <w:tcW w:w="146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7"/>
              </w:rPr>
              <w:t>12500 TI BOULEVARD</w:t>
            </w:r>
          </w:p>
        </w:tc>
        <w:tc>
          <w:tcPr>
            <w:tcW w:w="146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6"/>
              </w:rPr>
              <w:t>DALLAS, TEXAS 75243</w:t>
            </w:r>
          </w:p>
        </w:tc>
        <w:tc>
          <w:tcPr>
            <w:tcW w:w="1460" w:type="dxa"/>
            <w:vAlign w:val="bottom"/>
          </w:tcPr>
          <w:p>
            <w:pPr>
              <w:spacing w:after="0"/>
              <w:rPr>
                <w:sz w:val="18"/>
                <w:szCs w:val="18"/>
                <w:color w:val="auto"/>
              </w:rPr>
            </w:pPr>
          </w:p>
        </w:tc>
      </w:tr>
      <w:tr>
        <w:trPr>
          <w:trHeight w:val="186"/>
        </w:trPr>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6"/>
                <w:szCs w:val="16"/>
                <w:color w:val="auto"/>
              </w:rPr>
            </w:pPr>
          </w:p>
        </w:tc>
      </w:tr>
      <w:tr>
        <w:trPr>
          <w:trHeight w:val="417"/>
        </w:trPr>
        <w:tc>
          <w:tcPr>
            <w:tcW w:w="1820" w:type="dxa"/>
            <w:vAlign w:val="bottom"/>
          </w:tcPr>
          <w:p>
            <w:pPr>
              <w:spacing w:after="0"/>
              <w:rPr>
                <w:sz w:val="24"/>
                <w:szCs w:val="24"/>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$500 Million of Notes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May 6, 2015, Texas Instruments Incorporated (“Texas Instruments”) expects to consummate the issuance and sale of $500,000,000 aggregate principal amount of its 1.750% Notes due 2020 (the “Notes”), pursuant to an underwriting agreement filed herewith as Exhibit 1.1 dated April 27, 2015 among Texas Instruments and J.P. Morgan Securities LLC, Mitsubishi UFJ Securities (USA), Inc. and Morgan Stanley &amp; Co. LLC, as representatives of the several underwriters named therein. The Notes will be issued pursuant to an Indenture dated as of May 23, 2011 (the “Indenture”) between Texas Instruments and U.S. Bank National Association, as trustee, and an officers’ certificate issued pursuant thereto.</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Notes are being offered pursuant to Texas Instruments’ Registration Statement on Form S-3 filed on February 22, 2013 (Reg. No. 333-186803), including the prospectus contained therein (the “Registration Statement”), and a related preliminary prospectus supplement dated April 27, 2015 and a prospectus supplement dated April 27, 2015.</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ectPr>
          <w:pgSz w:w="11900" w:h="16838" w:orient="portrait"/>
          <w:cols w:equalWidth="0" w:num="1">
            <w:col w:w="11400"/>
          </w:cols>
          <w:pgMar w:left="240" w:top="27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00" w:type="dxa"/>
            <w:vAlign w:val="bottom"/>
            <w:gridSpan w:val="3"/>
          </w:tcPr>
          <w:p>
            <w:pPr>
              <w:ind w:left="4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w w:val="98"/>
              </w:rPr>
              <w:t>(d) Exhibits.</w:t>
            </w:r>
          </w:p>
        </w:tc>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73"/>
        </w:trPr>
        <w:tc>
          <w:tcPr>
            <w:tcW w:w="9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167"/>
        </w:trPr>
        <w:tc>
          <w:tcPr>
            <w:tcW w:w="440" w:type="dxa"/>
            <w:vAlign w:val="bottom"/>
          </w:tcPr>
          <w:p>
            <w:pPr>
              <w:jc w:val="right"/>
              <w:ind w:right="34"/>
              <w:spacing w:after="0"/>
              <w:rPr>
                <w:sz w:val="20"/>
                <w:szCs w:val="20"/>
                <w:color w:val="auto"/>
              </w:rPr>
            </w:pPr>
            <w:r>
              <w:rPr>
                <w:rFonts w:ascii="Arial" w:cs="Arial" w:eastAsia="Arial" w:hAnsi="Arial"/>
                <w:sz w:val="14"/>
                <w:szCs w:val="14"/>
                <w:color w:val="auto"/>
              </w:rPr>
              <w:t>No.</w:t>
            </w:r>
          </w:p>
        </w:tc>
        <w:tc>
          <w:tcPr>
            <w:tcW w:w="5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03"/>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10200" w:type="dxa"/>
            <w:vAlign w:val="bottom"/>
            <w:gridSpan w:val="3"/>
          </w:tcPr>
          <w:p>
            <w:pPr>
              <w:ind w:left="40"/>
              <w:spacing w:after="0"/>
              <w:rPr>
                <w:sz w:val="20"/>
                <w:szCs w:val="20"/>
                <w:color w:val="auto"/>
              </w:rPr>
            </w:pPr>
            <w:r>
              <w:rPr>
                <w:rFonts w:ascii="Arial" w:cs="Arial" w:eastAsia="Arial" w:hAnsi="Arial"/>
                <w:sz w:val="18"/>
                <w:szCs w:val="18"/>
                <w:color w:val="auto"/>
                <w:w w:val="91"/>
              </w:rPr>
              <w:t>Underwriting Agreement, dated April 27, 2015, among the Company and J.P. Morgan Securities LLC, Mitsubishi UFJ Securities (USA), Inc.</w:t>
            </w: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0" w:type="dxa"/>
            <w:vAlign w:val="bottom"/>
            <w:gridSpan w:val="3"/>
          </w:tcPr>
          <w:p>
            <w:pPr>
              <w:ind w:left="40"/>
              <w:spacing w:after="0"/>
              <w:rPr>
                <w:sz w:val="20"/>
                <w:szCs w:val="20"/>
                <w:color w:val="auto"/>
              </w:rPr>
            </w:pPr>
            <w:r>
              <w:rPr>
                <w:rFonts w:ascii="Arial" w:cs="Arial" w:eastAsia="Arial" w:hAnsi="Arial"/>
                <w:sz w:val="18"/>
                <w:szCs w:val="18"/>
                <w:color w:val="auto"/>
              </w:rPr>
              <w:t>and Morgan Stanley &amp; Co. LLC, as representatives of the several underwriters named in Schedule II therein</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0200" w:type="dxa"/>
            <w:vAlign w:val="bottom"/>
            <w:gridSpan w:val="3"/>
          </w:tcPr>
          <w:p>
            <w:pPr>
              <w:ind w:left="40"/>
              <w:spacing w:after="0"/>
              <w:rPr>
                <w:sz w:val="20"/>
                <w:szCs w:val="20"/>
                <w:color w:val="auto"/>
              </w:rPr>
            </w:pPr>
            <w:r>
              <w:rPr>
                <w:rFonts w:ascii="Arial" w:cs="Arial" w:eastAsia="Arial" w:hAnsi="Arial"/>
                <w:sz w:val="18"/>
                <w:szCs w:val="18"/>
                <w:color w:val="auto"/>
              </w:rPr>
              <w:t>Officers’ Certificate setting forth the terms of the Notes</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10200" w:type="dxa"/>
            <w:vAlign w:val="bottom"/>
            <w:gridSpan w:val="3"/>
          </w:tcPr>
          <w:p>
            <w:pPr>
              <w:ind w:left="40"/>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w w:val="85"/>
              </w:rPr>
              <w:t>23.1</w:t>
            </w:r>
          </w:p>
        </w:tc>
        <w:tc>
          <w:tcPr>
            <w:tcW w:w="520" w:type="dxa"/>
            <w:vAlign w:val="bottom"/>
          </w:tcPr>
          <w:p>
            <w:pPr>
              <w:spacing w:after="0"/>
              <w:rPr>
                <w:sz w:val="24"/>
                <w:szCs w:val="24"/>
                <w:color w:val="auto"/>
              </w:rPr>
            </w:pPr>
          </w:p>
        </w:tc>
        <w:tc>
          <w:tcPr>
            <w:tcW w:w="10200" w:type="dxa"/>
            <w:vAlign w:val="bottom"/>
            <w:gridSpan w:val="3"/>
          </w:tcPr>
          <w:p>
            <w:pPr>
              <w:ind w:left="40"/>
              <w:spacing w:after="0"/>
              <w:rPr>
                <w:sz w:val="20"/>
                <w:szCs w:val="20"/>
                <w:color w:val="auto"/>
              </w:rPr>
            </w:pPr>
            <w:r>
              <w:rPr>
                <w:rFonts w:ascii="Arial" w:cs="Arial" w:eastAsia="Arial" w:hAnsi="Arial"/>
                <w:sz w:val="18"/>
                <w:szCs w:val="18"/>
                <w:color w:val="auto"/>
              </w:rPr>
              <w:t>Consent of Davis Polk &amp; Wardwell LLP (contained in Exhibit 5.1)</w:t>
            </w:r>
          </w:p>
        </w:tc>
      </w:tr>
    </w:tbl>
    <w:p>
      <w:pPr>
        <w:ind w:left="40"/>
        <w:spacing w:after="0"/>
        <w:rPr>
          <w:sz w:val="20"/>
          <w:szCs w:val="20"/>
          <w:color w:val="auto"/>
        </w:rPr>
        <w:sectPr>
          <w:pgSz w:w="11900" w:h="16838" w:orient="portrait"/>
          <w:cols w:equalWidth="0" w:num="1">
            <w:col w:w="11160"/>
          </w:cols>
          <w:pgMar w:left="2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6, 2015</w:t>
      </w:r>
      <w:r>
        <w:rPr>
          <w:sz w:val="20"/>
          <w:szCs w:val="20"/>
          <w:color w:val="auto"/>
        </w:rPr>
        <w:tab/>
      </w:r>
      <w:r>
        <w:rPr>
          <w:rFonts w:ascii="Arial" w:cs="Arial" w:eastAsia="Arial" w:hAnsi="Arial"/>
          <w:sz w:val="16"/>
          <w:szCs w:val="16"/>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80"/>
          </w:cols>
          <w:pgMar w:left="240" w:top="27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April 27,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(the “</w:t>
      </w:r>
      <w:r>
        <w:rPr>
          <w:rFonts w:ascii="Arial" w:cs="Arial" w:eastAsia="Arial" w:hAnsi="Arial"/>
          <w:sz w:val="17"/>
          <w:szCs w:val="17"/>
          <w:b w:val="1"/>
          <w:bCs w:val="1"/>
          <w:color w:val="auto"/>
        </w:rPr>
        <w:t>Underwriters</w:t>
      </w:r>
      <w:r>
        <w:rPr>
          <w:rFonts w:ascii="Arial" w:cs="Arial" w:eastAsia="Arial" w:hAnsi="Arial"/>
          <w:sz w:val="17"/>
          <w:szCs w:val="17"/>
          <w:color w:val="auto"/>
        </w:rPr>
        <w:t>”) understand that Texas Instruments Incorporated,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$500,000,000 principal amount of the 1.750% Notes due 2020 (the “</w:t>
      </w:r>
      <w:r>
        <w:rPr>
          <w:rFonts w:ascii="Arial" w:cs="Arial" w:eastAsia="Arial" w:hAnsi="Arial"/>
          <w:sz w:val="16"/>
          <w:szCs w:val="16"/>
          <w:b w:val="1"/>
          <w:bCs w:val="1"/>
          <w:color w:val="auto"/>
        </w:rPr>
        <w:t>Offered Securities</w:t>
      </w:r>
      <w:r>
        <w:rPr>
          <w:rFonts w:ascii="Arial" w:cs="Arial" w:eastAsia="Arial" w:hAnsi="Arial"/>
          <w:sz w:val="16"/>
          <w:szCs w:val="16"/>
          <w:color w:val="auto"/>
        </w:rPr>
        <w:t>”) identified in Schedule I hereto, as more fully described in the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Sale Prospectus. The Offered Securities will be issued pursuant to the Indenture, dated as of May 23, 2011, between the Company and U.S. Bank National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 as trustee.</w:t>
      </w:r>
    </w:p>
    <w:p>
      <w:pPr>
        <w:spacing w:after="0" w:line="21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Subject to the terms and conditions set forth herein or incorporated by reference herein, the Company agrees to sell and the Underwriters agree to purchase, severally and not jointly, at the purchase price set forth in Schedule I hereto, the principal amount of the Offered Securities set forth opposite their respective names in Schedule II hereto.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3:36 p.m. (New York time) on the date hereof.</w:t>
      </w:r>
    </w:p>
    <w:p>
      <w:pPr>
        <w:spacing w:after="0" w:line="14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May 6, 2015, or at such other time, not later than May 13, 2015, as shall be designated by the Manager.</w:t>
      </w:r>
    </w:p>
    <w:p>
      <w:pPr>
        <w:spacing w:after="0" w:line="15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April 27, 2015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J.P. Morgan Securities LLC, Mitsubishi UFJ Securities (USA), Inc.</w:t>
      </w:r>
    </w:p>
    <w:p>
      <w:pPr>
        <w:sectPr>
          <w:pgSz w:w="11900" w:h="16838" w:orient="portrait"/>
          <w:cols w:equalWidth="0" w:num="1">
            <w:col w:w="11420"/>
          </w:cols>
          <w:pgMar w:left="240" w:top="121" w:right="23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Morgan Stanley &amp; Co. LLC whose authority hereunder may be exercised by them jointly, (v) clause (c) of the second paragraph of the Standard Provisions shall be deleted and replaced in its entirety with the following text: “certain of its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issuable under an indenture (the “</w:t>
      </w:r>
      <w:r>
        <w:rPr>
          <w:rFonts w:ascii="Arial" w:cs="Arial" w:eastAsia="Arial" w:hAnsi="Arial"/>
          <w:sz w:val="16"/>
          <w:szCs w:val="16"/>
          <w:b w:val="1"/>
          <w:bCs w:val="1"/>
          <w:color w:val="auto"/>
        </w:rPr>
        <w:t>Indenture</w:t>
      </w:r>
      <w:r>
        <w:rPr>
          <w:rFonts w:ascii="Arial" w:cs="Arial" w:eastAsia="Arial" w:hAnsi="Arial"/>
          <w:sz w:val="16"/>
          <w:szCs w:val="16"/>
          <w:color w:val="auto"/>
        </w:rPr>
        <w:t>”) entered into by the Company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(vi) section III(c)(vii) of the Standard Provisions shall be deleted and replaced in its entirety with the following text: “the statements in the Time of Sale Prospectus under “Material U.S. Federal Income Tax Consequences” and “Underwriting” relating to legal matters fairly summarize in all material respects such legal matters” and</w:t>
      </w:r>
    </w:p>
    <w:p>
      <w:pPr>
        <w:spacing w:after="0" w:line="2" w:lineRule="exact"/>
        <w:rPr>
          <w:sz w:val="20"/>
          <w:szCs w:val="20"/>
          <w:color w:val="auto"/>
        </w:rPr>
      </w:pPr>
    </w:p>
    <w:p>
      <w:pPr>
        <w:ind w:right="260" w:firstLine="8"/>
        <w:spacing w:after="0" w:line="255" w:lineRule="auto"/>
        <w:tabs>
          <w:tab w:leader="none" w:pos="3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immediately before the period ending the last sentence of the second paragraph of Section VI of the Standard Provisions, the following text shall be inserted: “, it being understood and agreed that the only such information furnished by any Underwriter consists of the information described as such in Schedule IV to the Underwriting Agreement.”</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6" w:name="page7"/>
    <w:bookmarkEnd w:id="6"/>
    <w:p>
      <w:pPr>
        <w:ind w:right="36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several Underwriters listed in</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Schedule II hereto</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Bottamedi</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Mitsubishi UFJ Securities (USA),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Testa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Testa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Alexandra Thomson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Alexandra Thomson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C. Boyd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Alan C. Boyd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134"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60" w:type="dxa"/>
            <w:vAlign w:val="bottom"/>
            <w:gridSpan w:val="2"/>
          </w:tcPr>
          <w:p>
            <w:pPr>
              <w:jc w:val="center"/>
              <w:ind w:right="4720"/>
              <w:spacing w:after="0"/>
              <w:rPr>
                <w:sz w:val="20"/>
                <w:szCs w:val="20"/>
                <w:color w:val="auto"/>
              </w:rPr>
            </w:pPr>
            <w:r>
              <w:rPr>
                <w:rFonts w:ascii="Arial" w:cs="Arial" w:eastAsia="Arial" w:hAnsi="Arial"/>
                <w:sz w:val="18"/>
                <w:szCs w:val="18"/>
                <w:b w:val="1"/>
                <w:bCs w:val="1"/>
                <w:color w:val="auto"/>
              </w:rPr>
              <w:t>SCHEDULE I</w:t>
            </w:r>
          </w:p>
        </w:tc>
      </w:tr>
      <w:tr>
        <w:trPr>
          <w:trHeight w:val="234"/>
        </w:trPr>
        <w:tc>
          <w:tcPr>
            <w:tcW w:w="3240" w:type="dxa"/>
            <w:vAlign w:val="bottom"/>
          </w:tcPr>
          <w:p>
            <w:pPr>
              <w:spacing w:after="0"/>
              <w:rPr>
                <w:sz w:val="20"/>
                <w:szCs w:val="20"/>
                <w:color w:val="auto"/>
              </w:rPr>
            </w:pPr>
          </w:p>
        </w:tc>
        <w:tc>
          <w:tcPr>
            <w:tcW w:w="8060" w:type="dxa"/>
            <w:vAlign w:val="bottom"/>
            <w:gridSpan w:val="3"/>
          </w:tcPr>
          <w:p>
            <w:pPr>
              <w:jc w:val="center"/>
              <w:ind w:right="3100"/>
              <w:spacing w:after="0"/>
              <w:rPr>
                <w:sz w:val="20"/>
                <w:szCs w:val="20"/>
                <w:color w:val="auto"/>
              </w:rPr>
            </w:pPr>
            <w:r>
              <w:rPr>
                <w:rFonts w:ascii="Arial" w:cs="Arial" w:eastAsia="Arial" w:hAnsi="Arial"/>
                <w:sz w:val="18"/>
                <w:szCs w:val="18"/>
                <w:b w:val="1"/>
                <w:bCs w:val="1"/>
                <w:color w:val="auto"/>
              </w:rPr>
              <w:t>TO UNDERWRITING AGREEMENT</w:t>
            </w:r>
          </w:p>
        </w:tc>
      </w:tr>
      <w:tr>
        <w:trPr>
          <w:trHeight w:val="432"/>
        </w:trPr>
        <w:tc>
          <w:tcPr>
            <w:tcW w:w="3240" w:type="dxa"/>
            <w:vAlign w:val="bottom"/>
          </w:tcPr>
          <w:p>
            <w:pPr>
              <w:spacing w:after="0"/>
              <w:rPr>
                <w:sz w:val="24"/>
                <w:szCs w:val="24"/>
                <w:color w:val="auto"/>
              </w:rPr>
            </w:pPr>
          </w:p>
        </w:tc>
        <w:tc>
          <w:tcPr>
            <w:tcW w:w="8060" w:type="dxa"/>
            <w:vAlign w:val="bottom"/>
            <w:gridSpan w:val="3"/>
          </w:tcPr>
          <w:p>
            <w:pPr>
              <w:jc w:val="center"/>
              <w:ind w:right="310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60" w:type="dxa"/>
            <w:vAlign w:val="bottom"/>
            <w:gridSpan w:val="2"/>
          </w:tcPr>
          <w:p>
            <w:pPr>
              <w:jc w:val="center"/>
              <w:ind w:right="470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r>
              <w:rPr>
                <w:rFonts w:ascii="Arial" w:cs="Arial" w:eastAsia="Arial" w:hAnsi="Arial"/>
                <w:sz w:val="18"/>
                <w:szCs w:val="18"/>
                <w:u w:val="single" w:color="auto"/>
                <w:color w:val="auto"/>
                <w:w w:val="90"/>
              </w:rPr>
              <w:t>750%</w:t>
            </w:r>
            <w:r>
              <w:rPr>
                <w:rFonts w:ascii="Arial" w:cs="Arial" w:eastAsia="Arial" w:hAnsi="Arial"/>
                <w:sz w:val="18"/>
                <w:szCs w:val="18"/>
                <w:color w:val="auto"/>
                <w:w w:val="90"/>
              </w:rPr>
              <w:t xml:space="preserve"> Notes due 2020</w:t>
            </w:r>
          </w:p>
        </w:tc>
        <w:tc>
          <w:tcPr>
            <w:tcW w:w="4720" w:type="dxa"/>
            <w:vAlign w:val="bottom"/>
          </w:tcPr>
          <w:p>
            <w:pPr>
              <w:spacing w:after="0"/>
              <w:rPr>
                <w:sz w:val="24"/>
                <w:szCs w:val="24"/>
                <w:color w:val="auto"/>
              </w:rPr>
            </w:pPr>
          </w:p>
        </w:tc>
      </w:tr>
      <w:tr>
        <w:trPr>
          <w:trHeight w:val="480"/>
        </w:trPr>
        <w:tc>
          <w:tcPr>
            <w:tcW w:w="3240" w:type="dxa"/>
            <w:vAlign w:val="bottom"/>
          </w:tcPr>
          <w:p>
            <w:pPr>
              <w:spacing w:after="0"/>
              <w:rPr>
                <w:sz w:val="20"/>
                <w:szCs w:val="20"/>
                <w:color w:val="auto"/>
              </w:rPr>
            </w:pPr>
            <w:r>
              <w:rPr>
                <w:rFonts w:ascii="Arial" w:cs="Arial" w:eastAsia="Arial" w:hAnsi="Arial"/>
                <w:sz w:val="18"/>
                <w:szCs w:val="18"/>
                <w:color w:val="auto"/>
              </w:rPr>
              <w:t>Issuer:</w:t>
            </w: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Principal Amount:</w:t>
            </w:r>
          </w:p>
        </w:tc>
        <w:tc>
          <w:tcPr>
            <w:tcW w:w="1600" w:type="dxa"/>
            <w:vAlign w:val="bottom"/>
          </w:tcPr>
          <w:p>
            <w:pPr>
              <w:ind w:left="540"/>
              <w:spacing w:after="0"/>
              <w:rPr>
                <w:sz w:val="20"/>
                <w:szCs w:val="20"/>
                <w:color w:val="auto"/>
              </w:rPr>
            </w:pPr>
            <w:r>
              <w:rPr>
                <w:rFonts w:ascii="Arial" w:cs="Arial" w:eastAsia="Arial" w:hAnsi="Arial"/>
                <w:sz w:val="18"/>
                <w:szCs w:val="18"/>
                <w:color w:val="auto"/>
                <w:w w:val="94"/>
              </w:rPr>
              <w:t>$500,000,000</w:t>
            </w:r>
          </w:p>
        </w:tc>
        <w:tc>
          <w:tcPr>
            <w:tcW w:w="17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Maturity:</w:t>
            </w: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rPr>
              <w:t>May 1, 2020</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Coupon:</w:t>
            </w:r>
          </w:p>
        </w:tc>
        <w:tc>
          <w:tcPr>
            <w:tcW w:w="1600" w:type="dxa"/>
            <w:vAlign w:val="bottom"/>
          </w:tcPr>
          <w:p>
            <w:pPr>
              <w:ind w:left="540"/>
              <w:spacing w:after="0"/>
              <w:rPr>
                <w:sz w:val="20"/>
                <w:szCs w:val="20"/>
                <w:color w:val="auto"/>
              </w:rPr>
            </w:pPr>
            <w:r>
              <w:rPr>
                <w:rFonts w:ascii="Arial" w:cs="Arial" w:eastAsia="Arial" w:hAnsi="Arial"/>
                <w:sz w:val="18"/>
                <w:szCs w:val="18"/>
                <w:color w:val="auto"/>
              </w:rPr>
              <w:t>1.750%</w:t>
            </w:r>
          </w:p>
        </w:tc>
        <w:tc>
          <w:tcPr>
            <w:tcW w:w="17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Price to Public:</w:t>
            </w: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rPr>
              <w:t>99.649% of principal amount</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rPr>
              <w:t>May 1 and November 1 beginning on November 1, 2015, and on the maturity date</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Day Count Convention:</w:t>
            </w:r>
          </w:p>
        </w:tc>
        <w:tc>
          <w:tcPr>
            <w:tcW w:w="1600" w:type="dxa"/>
            <w:vAlign w:val="bottom"/>
          </w:tcPr>
          <w:p>
            <w:pPr>
              <w:ind w:left="540"/>
              <w:spacing w:after="0"/>
              <w:rPr>
                <w:sz w:val="20"/>
                <w:szCs w:val="20"/>
                <w:color w:val="auto"/>
              </w:rPr>
            </w:pPr>
            <w:r>
              <w:rPr>
                <w:rFonts w:ascii="Arial" w:cs="Arial" w:eastAsia="Arial" w:hAnsi="Arial"/>
                <w:sz w:val="18"/>
                <w:szCs w:val="18"/>
                <w:color w:val="auto"/>
              </w:rPr>
              <w:t>30/360</w:t>
            </w:r>
          </w:p>
        </w:tc>
        <w:tc>
          <w:tcPr>
            <w:tcW w:w="17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1600" w:type="dxa"/>
            <w:vAlign w:val="bottom"/>
          </w:tcPr>
          <w:p>
            <w:pPr>
              <w:ind w:left="540"/>
              <w:spacing w:after="0"/>
              <w:rPr>
                <w:sz w:val="20"/>
                <w:szCs w:val="20"/>
                <w:color w:val="auto"/>
              </w:rPr>
            </w:pPr>
            <w:r>
              <w:rPr>
                <w:rFonts w:ascii="Arial" w:cs="Arial" w:eastAsia="Arial" w:hAnsi="Arial"/>
                <w:sz w:val="18"/>
                <w:szCs w:val="18"/>
                <w:color w:val="auto"/>
                <w:w w:val="94"/>
              </w:rPr>
              <w:t>$496,495,000</w:t>
            </w:r>
          </w:p>
        </w:tc>
        <w:tc>
          <w:tcPr>
            <w:tcW w:w="17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Benchmark Treasury:</w:t>
            </w: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rPr>
              <w:t>1.375% due March 31, 2020</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rPr>
              <w:t>50 basis points</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Yield to Maturity:</w:t>
            </w:r>
          </w:p>
        </w:tc>
        <w:tc>
          <w:tcPr>
            <w:tcW w:w="1600" w:type="dxa"/>
            <w:vAlign w:val="bottom"/>
          </w:tcPr>
          <w:p>
            <w:pPr>
              <w:ind w:left="540"/>
              <w:spacing w:after="0"/>
              <w:rPr>
                <w:sz w:val="20"/>
                <w:szCs w:val="20"/>
                <w:color w:val="auto"/>
              </w:rPr>
            </w:pPr>
            <w:r>
              <w:rPr>
                <w:rFonts w:ascii="Arial" w:cs="Arial" w:eastAsia="Arial" w:hAnsi="Arial"/>
                <w:sz w:val="18"/>
                <w:szCs w:val="18"/>
                <w:color w:val="auto"/>
              </w:rPr>
              <w:t>1.824%</w:t>
            </w:r>
          </w:p>
        </w:tc>
        <w:tc>
          <w:tcPr>
            <w:tcW w:w="17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43"/>
        </w:trPr>
        <w:tc>
          <w:tcPr>
            <w:tcW w:w="32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3340" w:type="dxa"/>
            <w:vAlign w:val="bottom"/>
            <w:gridSpan w:val="2"/>
          </w:tcPr>
          <w:p>
            <w:pPr>
              <w:ind w:left="540"/>
              <w:spacing w:after="0"/>
              <w:rPr>
                <w:sz w:val="20"/>
                <w:szCs w:val="20"/>
                <w:color w:val="auto"/>
              </w:rPr>
            </w:pPr>
            <w:r>
              <w:rPr>
                <w:rFonts w:ascii="Arial" w:cs="Arial" w:eastAsia="Arial" w:hAnsi="Arial"/>
                <w:sz w:val="18"/>
                <w:szCs w:val="18"/>
                <w:color w:val="auto"/>
              </w:rPr>
              <w:t>100-7</w:t>
            </w:r>
            <w:r>
              <w:rPr>
                <w:rFonts w:ascii="Arial" w:cs="Arial" w:eastAsia="Arial" w:hAnsi="Arial"/>
                <w:sz w:val="15"/>
                <w:szCs w:val="15"/>
                <w:color w:val="auto"/>
              </w:rPr>
              <w:t>3</w:t>
            </w:r>
            <w:r>
              <w:rPr>
                <w:rFonts w:ascii="Arial" w:cs="Arial" w:eastAsia="Arial" w:hAnsi="Arial"/>
                <w:sz w:val="18"/>
                <w:szCs w:val="18"/>
                <w:color w:val="auto"/>
              </w:rPr>
              <w:t>/</w:t>
            </w:r>
            <w:r>
              <w:rPr>
                <w:rFonts w:ascii="Arial" w:cs="Arial" w:eastAsia="Arial" w:hAnsi="Arial"/>
                <w:sz w:val="15"/>
                <w:szCs w:val="15"/>
                <w:color w:val="auto"/>
              </w:rPr>
              <w:t>4</w:t>
            </w:r>
            <w:r>
              <w:rPr>
                <w:rFonts w:ascii="Arial" w:cs="Arial" w:eastAsia="Arial" w:hAnsi="Arial"/>
                <w:sz w:val="18"/>
                <w:szCs w:val="18"/>
                <w:color w:val="auto"/>
              </w:rPr>
              <w:t>; 1.324%</w:t>
            </w:r>
          </w:p>
        </w:tc>
        <w:tc>
          <w:tcPr>
            <w:tcW w:w="4720" w:type="dxa"/>
            <w:vAlign w:val="bottom"/>
          </w:tcPr>
          <w:p>
            <w:pPr>
              <w:spacing w:after="0"/>
              <w:rPr>
                <w:sz w:val="24"/>
                <w:szCs w:val="24"/>
                <w:color w:val="auto"/>
              </w:rPr>
            </w:pPr>
          </w:p>
        </w:tc>
      </w:tr>
      <w:tr>
        <w:trPr>
          <w:trHeight w:val="291"/>
        </w:trPr>
        <w:tc>
          <w:tcPr>
            <w:tcW w:w="3240" w:type="dxa"/>
            <w:vAlign w:val="bottom"/>
          </w:tcPr>
          <w:p>
            <w:pPr>
              <w:spacing w:after="0"/>
              <w:rPr>
                <w:sz w:val="20"/>
                <w:szCs w:val="20"/>
                <w:color w:val="auto"/>
              </w:rPr>
            </w:pPr>
            <w:r>
              <w:rPr>
                <w:rFonts w:ascii="Arial" w:cs="Arial" w:eastAsia="Arial" w:hAnsi="Arial"/>
                <w:sz w:val="18"/>
                <w:szCs w:val="18"/>
                <w:color w:val="auto"/>
              </w:rPr>
              <w:t>Make-Whole Call:</w:t>
            </w: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w w:val="95"/>
              </w:rPr>
              <w:t>At any time before April 1, 2020 (one month before the maturity date) at the greater of 100% of the</w:t>
            </w:r>
          </w:p>
        </w:tc>
      </w:tr>
      <w:tr>
        <w:trPr>
          <w:trHeight w:val="216"/>
        </w:trPr>
        <w:tc>
          <w:tcPr>
            <w:tcW w:w="3240" w:type="dxa"/>
            <w:vAlign w:val="bottom"/>
          </w:tcPr>
          <w:p>
            <w:pPr>
              <w:spacing w:after="0"/>
              <w:rPr>
                <w:sz w:val="18"/>
                <w:szCs w:val="18"/>
                <w:color w:val="auto"/>
              </w:rPr>
            </w:pP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w w:val="89"/>
              </w:rPr>
              <w:t>principal amount of the notes being redeemed or discounted present value at the rate of Treasury plus 10</w:t>
            </w:r>
          </w:p>
        </w:tc>
      </w:tr>
      <w:tr>
        <w:trPr>
          <w:trHeight w:val="230"/>
        </w:trPr>
        <w:tc>
          <w:tcPr>
            <w:tcW w:w="3240" w:type="dxa"/>
            <w:vAlign w:val="bottom"/>
          </w:tcPr>
          <w:p>
            <w:pPr>
              <w:spacing w:after="0"/>
              <w:rPr>
                <w:sz w:val="20"/>
                <w:szCs w:val="20"/>
                <w:color w:val="auto"/>
              </w:rPr>
            </w:pP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rPr>
              <w:t>basis points</w:t>
            </w:r>
          </w:p>
        </w:tc>
      </w:tr>
      <w:tr>
        <w:trPr>
          <w:trHeight w:val="310"/>
        </w:trPr>
        <w:tc>
          <w:tcPr>
            <w:tcW w:w="3240" w:type="dxa"/>
            <w:vAlign w:val="bottom"/>
          </w:tcPr>
          <w:p>
            <w:pPr>
              <w:spacing w:after="0"/>
              <w:rPr>
                <w:sz w:val="20"/>
                <w:szCs w:val="20"/>
                <w:color w:val="auto"/>
              </w:rPr>
            </w:pPr>
            <w:r>
              <w:rPr>
                <w:rFonts w:ascii="Arial" w:cs="Arial" w:eastAsia="Arial" w:hAnsi="Arial"/>
                <w:sz w:val="18"/>
                <w:szCs w:val="18"/>
                <w:color w:val="auto"/>
              </w:rPr>
              <w:t>Par Call:</w:t>
            </w: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w w:val="96"/>
              </w:rPr>
              <w:t>At any time on or after April 1, 2020 (one month before the maturity date) at 100% of the principal</w:t>
            </w:r>
          </w:p>
        </w:tc>
      </w:tr>
      <w:tr>
        <w:trPr>
          <w:trHeight w:val="230"/>
        </w:trPr>
        <w:tc>
          <w:tcPr>
            <w:tcW w:w="3240" w:type="dxa"/>
            <w:vAlign w:val="bottom"/>
          </w:tcPr>
          <w:p>
            <w:pPr>
              <w:spacing w:after="0"/>
              <w:rPr>
                <w:sz w:val="20"/>
                <w:szCs w:val="20"/>
                <w:color w:val="auto"/>
              </w:rPr>
            </w:pPr>
          </w:p>
        </w:tc>
        <w:tc>
          <w:tcPr>
            <w:tcW w:w="8060" w:type="dxa"/>
            <w:vAlign w:val="bottom"/>
            <w:gridSpan w:val="3"/>
          </w:tcPr>
          <w:p>
            <w:pPr>
              <w:ind w:left="540"/>
              <w:spacing w:after="0"/>
              <w:rPr>
                <w:sz w:val="20"/>
                <w:szCs w:val="20"/>
                <w:color w:val="auto"/>
              </w:rPr>
            </w:pPr>
            <w:r>
              <w:rPr>
                <w:rFonts w:ascii="Arial" w:cs="Arial" w:eastAsia="Arial" w:hAnsi="Arial"/>
                <w:sz w:val="18"/>
                <w:szCs w:val="18"/>
                <w:color w:val="auto"/>
              </w:rPr>
              <w:t>amount of notes being redeemed</w:t>
            </w:r>
          </w:p>
        </w:tc>
      </w:tr>
      <w:tr>
        <w:trPr>
          <w:trHeight w:val="365"/>
        </w:trPr>
        <w:tc>
          <w:tcPr>
            <w:tcW w:w="3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60" w:type="dxa"/>
            <w:vAlign w:val="bottom"/>
            <w:gridSpan w:val="2"/>
          </w:tcPr>
          <w:p>
            <w:pPr>
              <w:jc w:val="center"/>
              <w:ind w:right="4720"/>
              <w:spacing w:after="0"/>
              <w:rPr>
                <w:sz w:val="20"/>
                <w:szCs w:val="20"/>
                <w:color w:val="auto"/>
              </w:rPr>
            </w:pPr>
            <w:r>
              <w:rPr>
                <w:rFonts w:ascii="Arial" w:cs="Arial" w:eastAsia="Arial" w:hAnsi="Arial"/>
                <w:sz w:val="18"/>
                <w:szCs w:val="18"/>
                <w:color w:val="auto"/>
              </w:rPr>
              <w:t>I-1</w:t>
            </w:r>
          </w:p>
        </w:tc>
      </w:tr>
    </w:tbl>
    <w:p>
      <w:pPr>
        <w:jc w:val="center"/>
        <w:ind w:right="4720"/>
        <w:spacing w:after="0"/>
        <w:rPr>
          <w:sz w:val="20"/>
          <w:szCs w:val="20"/>
          <w:color w:val="auto"/>
        </w:rPr>
        <w:sectPr>
          <w:pgSz w:w="11900" w:h="16838" w:orient="portrait"/>
          <w:cols w:equalWidth="0" w:num="1">
            <w:col w:w="11300"/>
          </w:cols>
          <w:pgMar w:left="240" w:top="270" w:right="3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-208915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3060" w:space="720"/>
            <w:col w:w="6439"/>
          </w:cols>
          <w:pgMar w:left="240" w:top="274" w:right="1440" w:bottom="1440" w:gutter="0" w:footer="0" w:header="0"/>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6, 2015 (T+7)</w:t>
      </w:r>
    </w:p>
    <w:p>
      <w:pPr>
        <w:spacing w:after="0" w:line="140" w:lineRule="exact"/>
        <w:rPr>
          <w:sz w:val="20"/>
          <w:szCs w:val="20"/>
          <w:color w:val="auto"/>
        </w:rPr>
      </w:pPr>
    </w:p>
    <w:p>
      <w:pPr>
        <w:sectPr>
          <w:pgSz w:w="11900" w:h="16838" w:orient="portrait"/>
          <w:cols w:equalWidth="0" w:num="2">
            <w:col w:w="3060" w:space="720"/>
            <w:col w:w="64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3060" w:space="720"/>
            <w:col w:w="6439"/>
          </w:cols>
          <w:pgMar w:left="240" w:top="27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882508 AZ7 / US882508AZ72</w:t>
      </w:r>
    </w:p>
    <w:p>
      <w:pPr>
        <w:spacing w:after="0" w:line="140" w:lineRule="exact"/>
        <w:rPr>
          <w:sz w:val="20"/>
          <w:szCs w:val="20"/>
          <w:color w:val="auto"/>
        </w:rPr>
      </w:pPr>
    </w:p>
    <w:p>
      <w:pPr>
        <w:sectPr>
          <w:pgSz w:w="11900" w:h="16838" w:orient="portrait"/>
          <w:cols w:equalWidth="0" w:num="2">
            <w:col w:w="3060" w:space="720"/>
            <w:col w:w="64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A1 (stable outlook)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A+ (stable outlook)</w:t>
      </w:r>
    </w:p>
    <w:p>
      <w:pPr>
        <w:spacing w:after="0" w:line="116" w:lineRule="exact"/>
        <w:rPr>
          <w:sz w:val="20"/>
          <w:szCs w:val="20"/>
          <w:color w:val="auto"/>
        </w:rPr>
      </w:pPr>
    </w:p>
    <w:p>
      <w:pPr>
        <w:sectPr>
          <w:pgSz w:w="11900" w:h="16838" w:orient="portrait"/>
          <w:cols w:equalWidth="0" w:num="2">
            <w:col w:w="3060" w:space="720"/>
            <w:col w:w="64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16" w:lineRule="exact"/>
        <w:rPr>
          <w:sz w:val="20"/>
          <w:szCs w:val="20"/>
          <w:color w:val="auto"/>
        </w:rPr>
      </w:pPr>
    </w:p>
    <w:p>
      <w:pPr>
        <w:sectPr>
          <w:pgSz w:w="11900" w:h="16838" w:orient="portrait"/>
          <w:cols w:equalWidth="0" w:num="2">
            <w:col w:w="3060" w:space="720"/>
            <w:col w:w="6439"/>
          </w:cols>
          <w:pgMar w:left="240" w:top="274" w:right="1440" w:bottom="1440" w:gutter="0" w:footer="0" w:header="0"/>
          <w:type w:val="continuous"/>
        </w:sectPr>
      </w:pPr>
    </w:p>
    <w:p>
      <w:pPr>
        <w:ind w:left="378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Mizuho Securities USA Inc.</w:t>
      </w:r>
    </w:p>
    <w:p>
      <w:pPr>
        <w:spacing w:after="0" w:line="1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0219"/>
          </w:cols>
          <w:pgMar w:left="240" w:top="274"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May 6, 2015, which is the seventh business day following the date hereof (such settlement cycle being referred to as “T+7”). Under Rule 15c6-1 under the Securities Exchange Act of 1934, as amended, trades in the secondary market generally are required to settle in three business days unless the parties to any such trade expressly agree otherwise.</w:t>
      </w:r>
    </w:p>
    <w:p>
      <w:pPr>
        <w:spacing w:after="0" w:line="2"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b w:val="1"/>
          <w:bCs w:val="1"/>
          <w:color w:val="auto"/>
        </w:rPr>
        <w:t>Accordingly, purchasers who wish to trade the notes on the date of pricing or the next three succeeding business days will be required, by virtue of the fact that the notes initially will settle in T+7,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J.P. Morgan Securities LLC at (212) 834-4533, Mitsubishi UFJ Securities (USA), Inc. at (877) 649-6848 or Morgan Stanley &amp; Co. LLC at (866) 718-1649.</w:t>
      </w:r>
    </w:p>
    <w:p>
      <w:pPr>
        <w:spacing w:after="0" w:line="156"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400"/>
          </w:cols>
          <w:pgMar w:left="240" w:top="270"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700" w:type="dxa"/>
            <w:vAlign w:val="bottom"/>
            <w:gridSpan w:val="3"/>
          </w:tcPr>
          <w:p>
            <w:pPr>
              <w:ind w:left="1620"/>
              <w:spacing w:after="0"/>
              <w:rPr>
                <w:sz w:val="20"/>
                <w:szCs w:val="20"/>
                <w:color w:val="auto"/>
              </w:rPr>
            </w:pPr>
            <w:r>
              <w:rPr>
                <w:rFonts w:ascii="Arial" w:cs="Arial" w:eastAsia="Arial" w:hAnsi="Arial"/>
                <w:sz w:val="18"/>
                <w:szCs w:val="18"/>
                <w:b w:val="1"/>
                <w:bCs w:val="1"/>
                <w:color w:val="auto"/>
              </w:rPr>
              <w:t>SCHEDULE II</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700" w:type="dxa"/>
            <w:vAlign w:val="bottom"/>
            <w:gridSpan w:val="3"/>
          </w:tcPr>
          <w:p>
            <w:pPr>
              <w:ind w:left="720"/>
              <w:spacing w:after="0"/>
              <w:rPr>
                <w:sz w:val="20"/>
                <w:szCs w:val="20"/>
                <w:color w:val="auto"/>
              </w:rPr>
            </w:pPr>
            <w:r>
              <w:rPr>
                <w:rFonts w:ascii="Arial" w:cs="Arial" w:eastAsia="Arial" w:hAnsi="Arial"/>
                <w:sz w:val="18"/>
                <w:szCs w:val="18"/>
                <w:b w:val="1"/>
                <w:bCs w:val="1"/>
                <w:color w:val="auto"/>
              </w:rPr>
              <w:t>TO UNDERWRITING AGREEMENT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96"/>
              </w:rPr>
              <w:t>1.</w:t>
            </w:r>
            <w:r>
              <w:rPr>
                <w:rFonts w:ascii="Arial" w:cs="Arial" w:eastAsia="Arial" w:hAnsi="Arial"/>
                <w:sz w:val="14"/>
                <w:szCs w:val="14"/>
                <w:b w:val="1"/>
                <w:bCs w:val="1"/>
                <w:u w:val="single" w:color="auto"/>
                <w:color w:val="auto"/>
                <w:w w:val="96"/>
              </w:rPr>
              <w:t>750%</w:t>
            </w:r>
            <w:r>
              <w:rPr>
                <w:rFonts w:ascii="Arial" w:cs="Arial" w:eastAsia="Arial" w:hAnsi="Arial"/>
                <w:sz w:val="14"/>
                <w:szCs w:val="14"/>
                <w:b w:val="1"/>
                <w:bCs w:val="1"/>
                <w:color w:val="auto"/>
                <w:w w:val="96"/>
              </w:rPr>
              <w:t xml:space="preserve"> Notes due 2020</w:t>
            </w: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3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64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105,000,000</w:t>
            </w:r>
          </w:p>
        </w:tc>
        <w:tc>
          <w:tcPr>
            <w:tcW w:w="100" w:type="dxa"/>
            <w:vAlign w:val="bottom"/>
            <w:shd w:val="clear" w:color="auto" w:fill="CCEEFF"/>
          </w:tcPr>
          <w:p>
            <w:pPr>
              <w:spacing w:after="0"/>
              <w:rPr>
                <w:sz w:val="17"/>
                <w:szCs w:val="17"/>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6700" w:type="dxa"/>
            <w:vAlign w:val="bottom"/>
            <w:gridSpan w:val="3"/>
          </w:tcPr>
          <w:p>
            <w:pPr>
              <w:ind w:left="64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105,000,000</w:t>
            </w: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700" w:type="dxa"/>
            <w:vAlign w:val="bottom"/>
            <w:gridSpan w:val="3"/>
            <w:shd w:val="clear" w:color="auto" w:fill="CCEEFF"/>
          </w:tcPr>
          <w:p>
            <w:pPr>
              <w:ind w:left="6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105,000,000</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6700" w:type="dxa"/>
            <w:vAlign w:val="bottom"/>
            <w:gridSpan w:val="3"/>
          </w:tcPr>
          <w:p>
            <w:pPr>
              <w:ind w:left="6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w:t>
            </w: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6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780" w:type="dxa"/>
            <w:vAlign w:val="bottom"/>
            <w:shd w:val="clear" w:color="auto" w:fill="CCEEFF"/>
          </w:tcPr>
          <w:p>
            <w:pPr>
              <w:spacing w:after="0"/>
              <w:rPr>
                <w:sz w:val="21"/>
                <w:szCs w:val="21"/>
                <w:color w:val="auto"/>
              </w:rPr>
            </w:pPr>
          </w:p>
        </w:tc>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Incorporated</w:t>
            </w:r>
          </w:p>
        </w:tc>
        <w:tc>
          <w:tcPr>
            <w:tcW w:w="6700" w:type="dxa"/>
            <w:vAlign w:val="bottom"/>
            <w:gridSpan w:val="3"/>
            <w:shd w:val="clear" w:color="auto" w:fill="CCEEFF"/>
          </w:tcPr>
          <w:p>
            <w:pPr>
              <w:ind w:left="6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6700" w:type="dxa"/>
            <w:vAlign w:val="bottom"/>
            <w:gridSpan w:val="3"/>
          </w:tcPr>
          <w:p>
            <w:pPr>
              <w:ind w:left="6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6700" w:type="dxa"/>
            <w:vAlign w:val="bottom"/>
            <w:gridSpan w:val="3"/>
            <w:shd w:val="clear" w:color="auto" w:fill="CCEEFF"/>
          </w:tcPr>
          <w:p>
            <w:pPr>
              <w:ind w:left="6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22,400,000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6700" w:type="dxa"/>
            <w:vAlign w:val="bottom"/>
            <w:gridSpan w:val="3"/>
          </w:tcPr>
          <w:p>
            <w:pPr>
              <w:ind w:left="6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16,000,000</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6700" w:type="dxa"/>
            <w:vAlign w:val="bottom"/>
            <w:gridSpan w:val="3"/>
            <w:shd w:val="clear" w:color="auto" w:fill="CCEEFF"/>
          </w:tcPr>
          <w:p>
            <w:pPr>
              <w:ind w:left="6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6700" w:type="dxa"/>
            <w:vAlign w:val="bottom"/>
            <w:gridSpan w:val="3"/>
          </w:tcPr>
          <w:p>
            <w:pPr>
              <w:ind w:left="6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16,000,000</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6700" w:type="dxa"/>
            <w:vAlign w:val="bottom"/>
            <w:gridSpan w:val="3"/>
            <w:shd w:val="clear" w:color="auto" w:fill="CCEEFF"/>
          </w:tcPr>
          <w:p>
            <w:pPr>
              <w:ind w:left="6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w:t>
            </w:r>
          </w:p>
        </w:tc>
        <w:tc>
          <w:tcPr>
            <w:tcW w:w="10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700" w:type="dxa"/>
            <w:vAlign w:val="bottom"/>
            <w:gridSpan w:val="3"/>
          </w:tcPr>
          <w:p>
            <w:pPr>
              <w:ind w:left="64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10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12" w:name="page13"/>
    <w:bookmarkEnd w:id="12"/>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219"/>
          </w:cols>
          <w:pgMar w:left="240" w:top="270" w:right="1440" w:bottom="1440" w:gutter="0" w:footer="0" w:header="0"/>
        </w:sectPr>
      </w:pPr>
    </w:p>
    <w:bookmarkStart w:id="13" w:name="page14"/>
    <w:bookmarkEnd w:id="13"/>
    <w:p>
      <w:pPr>
        <w:jc w:val="center"/>
        <w:ind w:righ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only information that the Underwriters have furnished to the Company in writing expressly for use in the Prospectus Supplement is:</w:t>
      </w:r>
    </w:p>
    <w:p>
      <w:pPr>
        <w:spacing w:after="0" w:line="117" w:lineRule="exact"/>
        <w:rPr>
          <w:sz w:val="20"/>
          <w:szCs w:val="20"/>
          <w:color w:val="auto"/>
        </w:rPr>
      </w:pPr>
    </w:p>
    <w:p>
      <w:pPr>
        <w:ind w:left="620" w:hanging="17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third paragraph of text under the caption “Underwriting” in the Prospectus Supplement, concerning the terms offered by the Underwriters;</w:t>
      </w:r>
    </w:p>
    <w:p>
      <w:pPr>
        <w:spacing w:after="0" w:line="140" w:lineRule="exact"/>
        <w:rPr>
          <w:rFonts w:ascii="Arial" w:cs="Arial" w:eastAsia="Arial" w:hAnsi="Arial"/>
          <w:sz w:val="16"/>
          <w:szCs w:val="16"/>
          <w:color w:val="auto"/>
        </w:rPr>
      </w:pPr>
    </w:p>
    <w:p>
      <w:pPr>
        <w:ind w:right="40" w:firstLine="443"/>
        <w:spacing w:after="0" w:line="277" w:lineRule="auto"/>
        <w:tabs>
          <w:tab w:leader="none" w:pos="61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0900"/>
          </w:cols>
          <w:pgMar w:left="700" w:top="270"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April 27, 2015</w:t>
      </w:r>
    </w:p>
    <w:p>
      <w:pPr>
        <w:spacing w:after="0" w:line="23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in one or more offerings on terms determined at the time of sale, the Company proposes to issue and sell (a) its common stock, $1.00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(b) its preferred stock, $25.00 par value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(c) certain of its debt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(d) warrants to purchase Common Stock, Preferred Stock or Debt Securities (“</w:t>
      </w:r>
      <w:r>
        <w:rPr>
          <w:rFonts w:ascii="Arial" w:cs="Arial" w:eastAsia="Arial" w:hAnsi="Arial"/>
          <w:sz w:val="16"/>
          <w:szCs w:val="16"/>
          <w:b w:val="1"/>
          <w:bCs w:val="1"/>
          <w:color w:val="auto"/>
        </w:rPr>
        <w:t>Warrants</w:t>
      </w:r>
      <w:r>
        <w:rPr>
          <w:rFonts w:ascii="Arial" w:cs="Arial" w:eastAsia="Arial" w:hAnsi="Arial"/>
          <w:sz w:val="16"/>
          <w:szCs w:val="16"/>
          <w:color w:val="auto"/>
        </w:rPr>
        <w:t>”), and (e) units consisting of Common Stock,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Debt Securities or Warrants or any combination thereof (“</w:t>
      </w:r>
      <w:r>
        <w:rPr>
          <w:rFonts w:ascii="Arial" w:cs="Arial" w:eastAsia="Arial" w:hAnsi="Arial"/>
          <w:sz w:val="16"/>
          <w:szCs w:val="16"/>
          <w:b w:val="1"/>
          <w:bCs w:val="1"/>
          <w:color w:val="auto"/>
        </w:rPr>
        <w:t>Units</w:t>
      </w:r>
      <w:r>
        <w:rPr>
          <w:rFonts w:ascii="Arial" w:cs="Arial" w:eastAsia="Arial" w:hAnsi="Arial"/>
          <w:sz w:val="16"/>
          <w:szCs w:val="16"/>
          <w:color w:val="auto"/>
        </w:rPr>
        <w:t>”). The Common Stock, Preferred Stock, Debt Securities, Warrants and Units are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207"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specifically relating to the Securities listed on Schedule I hereto (the “</w:t>
      </w:r>
      <w:r>
        <w:rPr>
          <w:rFonts w:ascii="Arial" w:cs="Arial" w:eastAsia="Arial" w:hAnsi="Arial"/>
          <w:sz w:val="17"/>
          <w:szCs w:val="17"/>
          <w:b w:val="1"/>
          <w:bCs w:val="1"/>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has the meaning set forth in Rule 433 under the Securities Act. The term “</w:t>
      </w:r>
      <w:r>
        <w:rPr>
          <w:rFonts w:ascii="Arial" w:cs="Arial" w:eastAsia="Arial" w:hAnsi="Arial"/>
          <w:sz w:val="17"/>
          <w:szCs w:val="17"/>
          <w:b w:val="1"/>
          <w:bCs w:val="1"/>
          <w:color w:val="auto"/>
        </w:rPr>
        <w:t>Time of Sale</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and preliminary prospectus, if any, together with any additional documents or other information identified in</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III to the Underwriting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5" w:name="page16"/>
    <w:bookmarkEnd w:id="15"/>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460" w:right="60" w:firstLine="443"/>
        <w:spacing w:after="0" w:line="254" w:lineRule="auto"/>
        <w:tabs>
          <w:tab w:leader="none" w:pos="114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16" w:name="page17"/>
    <w:bookmarkEnd w:id="16"/>
    <w:p>
      <w:pPr>
        <w:ind w:right="140" w:firstLine="443"/>
        <w:spacing w:after="0" w:line="277" w:lineRule="auto"/>
        <w:tabs>
          <w:tab w:leader="none" w:pos="693"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460" w:right="180" w:firstLine="421"/>
        <w:spacing w:after="0" w:line="277" w:lineRule="auto"/>
        <w:tabs>
          <w:tab w:leader="none" w:pos="109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conduct its business as presently conducted;</w:t>
      </w:r>
    </w:p>
    <w:p>
      <w:pPr>
        <w:spacing w:after="0" w:line="62" w:lineRule="exact"/>
        <w:rPr>
          <w:rFonts w:ascii="Arial" w:cs="Arial" w:eastAsia="Arial" w:hAnsi="Arial"/>
          <w:sz w:val="18"/>
          <w:szCs w:val="18"/>
          <w:color w:val="auto"/>
        </w:rPr>
      </w:pPr>
    </w:p>
    <w:p>
      <w:pPr>
        <w:ind w:left="460" w:right="20" w:firstLine="421"/>
        <w:spacing w:after="0" w:line="286" w:lineRule="auto"/>
        <w:tabs>
          <w:tab w:leader="none" w:pos="1145"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Company is duly qualified to transact business and is in good standing in each other state of the United States, wherein it owns or leases material property or conducts material business, which requires such qualification, except to the extent that the failure to be so qualified or be in good standing would not have a material adverse effect on the Company and its subsidiaries, taken as a whole;</w:t>
      </w:r>
    </w:p>
    <w:p>
      <w:pPr>
        <w:spacing w:after="0" w:line="57" w:lineRule="exact"/>
        <w:rPr>
          <w:rFonts w:ascii="Arial" w:cs="Arial" w:eastAsia="Arial" w:hAnsi="Arial"/>
          <w:sz w:val="17"/>
          <w:szCs w:val="17"/>
          <w:color w:val="auto"/>
        </w:rPr>
      </w:pPr>
    </w:p>
    <w:p>
      <w:pPr>
        <w:ind w:left="1200" w:hanging="319"/>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w:t>
      </w:r>
    </w:p>
    <w:p>
      <w:pPr>
        <w:spacing w:after="0" w:line="117" w:lineRule="exact"/>
        <w:rPr>
          <w:rFonts w:ascii="Arial" w:cs="Arial" w:eastAsia="Arial" w:hAnsi="Arial"/>
          <w:sz w:val="18"/>
          <w:szCs w:val="18"/>
          <w:color w:val="auto"/>
        </w:rPr>
      </w:pPr>
    </w:p>
    <w:p>
      <w:pPr>
        <w:ind w:left="460" w:firstLine="421"/>
        <w:spacing w:after="0" w:line="277" w:lineRule="auto"/>
        <w:tabs>
          <w:tab w:leader="none" w:pos="118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Registration Statement is effective under the Securities Act, and, to the best of such counsel’s knowledge, no proceedings for a stop order are pending or threatened by the Commission;</w:t>
      </w:r>
    </w:p>
    <w:p>
      <w:pPr>
        <w:spacing w:after="0" w:line="62" w:lineRule="exact"/>
        <w:rPr>
          <w:rFonts w:ascii="Arial" w:cs="Arial" w:eastAsia="Arial" w:hAnsi="Arial"/>
          <w:sz w:val="18"/>
          <w:szCs w:val="18"/>
          <w:color w:val="auto"/>
        </w:rPr>
      </w:pPr>
    </w:p>
    <w:p>
      <w:pPr>
        <w:ind w:left="460" w:right="80" w:firstLine="421"/>
        <w:spacing w:after="0" w:line="254" w:lineRule="auto"/>
        <w:tabs>
          <w:tab w:leader="none" w:pos="113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will not contravene any provision of applicable law or the certificate of incorporation or by-laws of the Company or, to the knowledge of such counsel, any agreement or other instrument binding upon the Company that is filed as an exhibit to the Registration Statement or to any document incorporated by reference in the Time of Sale Prospectus, and no consent, approval or authorization of any governmental body or agency is required for the performance by the Company of its obligations under this Agreement or the applicable Transaction Documents, if any, except such as are specified and have been obtained and such as may be required by the securities or Blue Sky laws of the various states in connection with the offer and sale of the Offered Securities by the Underwriters;</w:t>
      </w:r>
    </w:p>
    <w:p>
      <w:pPr>
        <w:spacing w:after="0" w:line="84" w:lineRule="exact"/>
        <w:rPr>
          <w:rFonts w:ascii="Arial" w:cs="Arial" w:eastAsia="Arial" w:hAnsi="Arial"/>
          <w:sz w:val="18"/>
          <w:szCs w:val="18"/>
          <w:color w:val="auto"/>
        </w:rPr>
      </w:pPr>
    </w:p>
    <w:p>
      <w:pPr>
        <w:ind w:left="460" w:right="100" w:firstLine="421"/>
        <w:spacing w:after="0" w:line="312" w:lineRule="auto"/>
        <w:tabs>
          <w:tab w:leader="none" w:pos="1185" w:val="left"/>
        </w:tabs>
        <w:numPr>
          <w:ilvl w:val="1"/>
          <w:numId w:val="5"/>
        </w:numPr>
        <w:rPr>
          <w:rFonts w:ascii="Arial" w:cs="Arial" w:eastAsia="Arial" w:hAnsi="Arial"/>
          <w:sz w:val="16"/>
          <w:szCs w:val="16"/>
          <w:color w:val="auto"/>
        </w:rPr>
      </w:pPr>
      <w:r>
        <w:rPr>
          <w:rFonts w:ascii="Arial" w:cs="Arial" w:eastAsia="Arial" w:hAnsi="Arial"/>
          <w:sz w:val="16"/>
          <w:szCs w:val="16"/>
          <w:color w:val="auto"/>
        </w:rPr>
        <w:t>after due inquiry, such counsel does not know of any legal or governmental proceedings pending or threatened to which the Company or any of its subsidiaries is a party or to which any of the properties of the Company or any of its subsidiaries is subject that are required to be described in the Registration Statement or the Time of Sale Prospectus and are not so described or of any contract or other document</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17" w:name="page18"/>
    <w:bookmarkEnd w:id="17"/>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is required to be described in the Registration Statement or the Time of Sale Prospectus or to be filed as an exhibit to the Registration Statement that is not described or filed as required;</w:t>
      </w:r>
    </w:p>
    <w:p>
      <w:pPr>
        <w:spacing w:after="0" w:line="62" w:lineRule="exact"/>
        <w:rPr>
          <w:sz w:val="20"/>
          <w:szCs w:val="20"/>
          <w:color w:val="auto"/>
        </w:rPr>
      </w:pPr>
    </w:p>
    <w:p>
      <w:pPr>
        <w:ind w:firstLine="421"/>
        <w:spacing w:after="0" w:line="267" w:lineRule="auto"/>
        <w:tabs>
          <w:tab w:leader="none" w:pos="775" w:val="left"/>
        </w:tabs>
        <w:numPr>
          <w:ilvl w:val="0"/>
          <w:numId w:val="6"/>
        </w:numPr>
        <w:rPr>
          <w:rFonts w:ascii="Arial" w:cs="Arial" w:eastAsia="Arial" w:hAnsi="Arial"/>
          <w:sz w:val="17"/>
          <w:szCs w:val="17"/>
          <w:color w:val="auto"/>
        </w:rPr>
      </w:pPr>
      <w:r>
        <w:rPr>
          <w:rFonts w:ascii="Arial" w:cs="Arial" w:eastAsia="Arial" w:hAnsi="Arial"/>
          <w:sz w:val="17"/>
          <w:szCs w:val="17"/>
          <w:color w:val="auto"/>
        </w:rPr>
        <w:t>(A) 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12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74" w:right="259" w:bottom="1440" w:gutter="0" w:footer="0" w:header="0"/>
        </w:sectPr>
      </w:pPr>
    </w:p>
    <w:bookmarkStart w:id="18" w:name="page19"/>
    <w:bookmarkEnd w:id="18"/>
    <w:p>
      <w:pPr>
        <w:ind w:right="240" w:firstLine="443"/>
        <w:spacing w:after="0" w:line="277"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460" w:right="120" w:firstLine="421"/>
        <w:spacing w:after="0" w:line="264" w:lineRule="auto"/>
        <w:tabs>
          <w:tab w:leader="none" w:pos="1095" w:val="left"/>
        </w:tabs>
        <w:numPr>
          <w:ilvl w:val="2"/>
          <w:numId w:val="7"/>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left="460" w:right="80" w:firstLine="421"/>
        <w:spacing w:after="0" w:line="255" w:lineRule="auto"/>
        <w:tabs>
          <w:tab w:leader="none" w:pos="1145" w:val="left"/>
        </w:tabs>
        <w:numPr>
          <w:ilvl w:val="2"/>
          <w:numId w:val="7"/>
        </w:numPr>
        <w:rPr>
          <w:rFonts w:ascii="Arial" w:cs="Arial" w:eastAsia="Arial" w:hAnsi="Arial"/>
          <w:sz w:val="18"/>
          <w:szCs w:val="18"/>
          <w:color w:val="auto"/>
        </w:rPr>
      </w:pPr>
      <w:r>
        <w:rPr>
          <w:rFonts w:ascii="Arial" w:cs="Arial" w:eastAsia="Arial" w:hAnsi="Arial"/>
          <w:sz w:val="18"/>
          <w:szCs w:val="18"/>
          <w:color w:val="auto"/>
        </w:rPr>
        <w:t>if Debt Securities are Offered Securities, (A) such Debt Securities have been duly authorized and, when executed and authenticated in accordance with the Indenture and delivered to and paid for by the Underwriters,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(B) the Indenture has been duly authorized, executed and delivered by the Company and is a valid and binding agreement of the Company enforceable in accordance with its terms, subject to the Enforceability Exceptions, and (C) the Indenture has been duly qualified under the Trust Indenture Act of 1939;</w:t>
      </w:r>
    </w:p>
    <w:p>
      <w:pPr>
        <w:spacing w:after="0" w:line="81" w:lineRule="exact"/>
        <w:rPr>
          <w:rFonts w:ascii="Arial" w:cs="Arial" w:eastAsia="Arial" w:hAnsi="Arial"/>
          <w:sz w:val="18"/>
          <w:szCs w:val="18"/>
          <w:color w:val="auto"/>
        </w:rPr>
      </w:pPr>
    </w:p>
    <w:p>
      <w:pPr>
        <w:ind w:left="460" w:firstLine="421"/>
        <w:spacing w:after="0" w:line="276" w:lineRule="auto"/>
        <w:tabs>
          <w:tab w:leader="none" w:pos="1195" w:val="left"/>
        </w:tabs>
        <w:numPr>
          <w:ilvl w:val="2"/>
          <w:numId w:val="7"/>
        </w:numPr>
        <w:rPr>
          <w:rFonts w:ascii="Arial" w:cs="Arial" w:eastAsia="Arial" w:hAnsi="Arial"/>
          <w:sz w:val="17"/>
          <w:szCs w:val="17"/>
          <w:color w:val="auto"/>
        </w:rPr>
      </w:pPr>
      <w:r>
        <w:rPr>
          <w:rFonts w:ascii="Arial" w:cs="Arial" w:eastAsia="Arial" w:hAnsi="Arial"/>
          <w:sz w:val="17"/>
          <w:szCs w:val="17"/>
          <w:color w:val="auto"/>
        </w:rPr>
        <w:t>if Warrants are Offered Securities, (A)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(B) the Warrant Agreement has been duly authorized, executed and delivered by, and is a valid and binding agreement of, the Company, enforceable in accordance with its terms, subject to the Enforceability Exceptions;</w:t>
      </w:r>
    </w:p>
    <w:p>
      <w:pPr>
        <w:spacing w:after="0" w:line="64" w:lineRule="exact"/>
        <w:rPr>
          <w:rFonts w:ascii="Arial" w:cs="Arial" w:eastAsia="Arial" w:hAnsi="Arial"/>
          <w:sz w:val="17"/>
          <w:szCs w:val="17"/>
          <w:color w:val="auto"/>
        </w:rPr>
      </w:pPr>
    </w:p>
    <w:p>
      <w:pPr>
        <w:ind w:left="460" w:right="80" w:firstLine="421"/>
        <w:spacing w:after="0" w:line="288" w:lineRule="auto"/>
        <w:tabs>
          <w:tab w:leader="none" w:pos="1185" w:val="left"/>
        </w:tabs>
        <w:numPr>
          <w:ilvl w:val="2"/>
          <w:numId w:val="7"/>
        </w:numPr>
        <w:rPr>
          <w:rFonts w:ascii="Arial" w:cs="Arial" w:eastAsia="Arial" w:hAnsi="Arial"/>
          <w:sz w:val="16"/>
          <w:szCs w:val="16"/>
          <w:color w:val="auto"/>
        </w:rPr>
      </w:pPr>
      <w:r>
        <w:rPr>
          <w:rFonts w:ascii="Arial" w:cs="Arial" w:eastAsia="Arial" w:hAnsi="Arial"/>
          <w:sz w:val="16"/>
          <w:szCs w:val="16"/>
          <w:color w:val="auto"/>
        </w:rPr>
        <w:t>if Units are Offered Securities, (A)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ind w:left="460" w:firstLine="1"/>
        <w:spacing w:after="0" w:line="261" w:lineRule="auto"/>
        <w:tabs>
          <w:tab w:leader="none" w:pos="74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75" w:lineRule="exact"/>
        <w:rPr>
          <w:rFonts w:ascii="Arial" w:cs="Arial" w:eastAsia="Arial" w:hAnsi="Arial"/>
          <w:sz w:val="18"/>
          <w:szCs w:val="18"/>
          <w:color w:val="auto"/>
        </w:rPr>
      </w:pPr>
    </w:p>
    <w:p>
      <w:pPr>
        <w:ind w:left="1140" w:hanging="259"/>
        <w:spacing w:after="0"/>
        <w:tabs>
          <w:tab w:leader="none" w:pos="114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700" w:top="274" w:right="319" w:bottom="1440" w:gutter="0" w:footer="0" w:header="0"/>
        </w:sectPr>
      </w:pPr>
    </w:p>
    <w:bookmarkStart w:id="19" w:name="page20"/>
    <w:bookmarkEnd w:id="19"/>
    <w:p>
      <w:pPr>
        <w:ind w:left="-280" w:right="220" w:firstLine="421"/>
        <w:spacing w:after="0" w:line="264" w:lineRule="auto"/>
        <w:tabs>
          <w:tab w:leader="none" w:pos="445"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Offered Securities conform in all material respects to the description thereof contained in the Time of Sale Prospectus, as then amended or supplemented, if applicable, under the captions “Description of Capital Stock,” “Description of Debt Securities,” “Description of Warrants,” and “Description of Units,” as applicable;</w:t>
      </w:r>
    </w:p>
    <w:p>
      <w:pPr>
        <w:spacing w:after="0" w:line="73" w:lineRule="exact"/>
        <w:rPr>
          <w:rFonts w:ascii="Arial" w:cs="Arial" w:eastAsia="Arial" w:hAnsi="Arial"/>
          <w:sz w:val="18"/>
          <w:szCs w:val="18"/>
          <w:color w:val="auto"/>
        </w:rPr>
      </w:pPr>
    </w:p>
    <w:p>
      <w:pPr>
        <w:ind w:left="-280" w:right="40" w:firstLine="421"/>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statements in the Time of Sale Prospectus under “Material U.S. Federal Income Tax Considerations” and “Underwriting” relating to legal matters fairly summarize in all material respects such legal matters;</w:t>
      </w:r>
    </w:p>
    <w:p>
      <w:pPr>
        <w:spacing w:after="0" w:line="58" w:lineRule="exact"/>
        <w:rPr>
          <w:rFonts w:ascii="Arial" w:cs="Arial" w:eastAsia="Arial" w:hAnsi="Arial"/>
          <w:sz w:val="18"/>
          <w:szCs w:val="18"/>
          <w:color w:val="auto"/>
        </w:rPr>
      </w:pPr>
    </w:p>
    <w:p>
      <w:pPr>
        <w:ind w:left="-280" w:right="500" w:firstLine="421"/>
        <w:spacing w:after="0" w:line="282" w:lineRule="auto"/>
        <w:tabs>
          <w:tab w:leader="none" w:pos="54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Offered Securities that are convertible into or exercisable or exchangeable for other Securities (the “</w:t>
      </w:r>
      <w:r>
        <w:rPr>
          <w:rFonts w:ascii="Arial" w:cs="Arial" w:eastAsia="Arial" w:hAnsi="Arial"/>
          <w:sz w:val="18"/>
          <w:szCs w:val="18"/>
          <w:b w:val="1"/>
          <w:bCs w:val="1"/>
          <w:color w:val="auto"/>
        </w:rPr>
        <w:t>Underlying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57" w:lineRule="exact"/>
        <w:rPr>
          <w:rFonts w:ascii="Arial" w:cs="Arial" w:eastAsia="Arial" w:hAnsi="Arial"/>
          <w:sz w:val="18"/>
          <w:szCs w:val="18"/>
          <w:color w:val="auto"/>
        </w:rPr>
      </w:pPr>
    </w:p>
    <w:p>
      <w:pPr>
        <w:ind w:left="-280" w:right="140" w:firstLine="421"/>
        <w:spacing w:after="0" w:line="286" w:lineRule="auto"/>
        <w:tabs>
          <w:tab w:leader="none" w:pos="445"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57" w:lineRule="exact"/>
        <w:rPr>
          <w:rFonts w:ascii="Arial" w:cs="Arial" w:eastAsia="Arial" w:hAnsi="Arial"/>
          <w:sz w:val="17"/>
          <w:szCs w:val="17"/>
          <w:color w:val="auto"/>
        </w:rPr>
      </w:pPr>
    </w:p>
    <w:p>
      <w:pPr>
        <w:ind w:left="-280" w:right="60" w:firstLine="421"/>
        <w:spacing w:after="0" w:line="264" w:lineRule="auto"/>
        <w:tabs>
          <w:tab w:leader="none" w:pos="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distribution of the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left="-280" w:firstLine="421"/>
        <w:spacing w:after="0" w:line="270" w:lineRule="auto"/>
        <w:tabs>
          <w:tab w:leader="none" w:pos="44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20"/>
          </w:cols>
          <w:pgMar w:left="1440" w:top="274" w:right="339" w:bottom="1440" w:gutter="0" w:footer="0" w:header="0"/>
        </w:sectPr>
      </w:pPr>
    </w:p>
    <w:bookmarkStart w:id="20" w:name="page21"/>
    <w:bookmarkEnd w:id="20"/>
    <w:p>
      <w:pPr>
        <w:ind w:left="920"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1" w:lineRule="exact"/>
        <w:rPr>
          <w:sz w:val="20"/>
          <w:szCs w:val="20"/>
          <w:color w:val="auto"/>
        </w:rPr>
      </w:pPr>
    </w:p>
    <w:p>
      <w:pPr>
        <w:ind w:left="920" w:firstLine="1"/>
        <w:spacing w:after="0" w:line="273" w:lineRule="auto"/>
        <w:tabs>
          <w:tab w:leader="none" w:pos="1175"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contained or contains any untrue statement of a material fact or omits to state a material fact necessary in order to make the statements therein, in the light of the circumstances under which they were made, not misleading; and</w:t>
      </w:r>
    </w:p>
    <w:p>
      <w:pPr>
        <w:spacing w:after="0" w:line="68" w:lineRule="exact"/>
        <w:rPr>
          <w:rFonts w:ascii="Arial" w:cs="Arial" w:eastAsia="Arial" w:hAnsi="Arial"/>
          <w:sz w:val="17"/>
          <w:szCs w:val="17"/>
          <w:color w:val="auto"/>
        </w:rPr>
      </w:pPr>
    </w:p>
    <w:p>
      <w:pPr>
        <w:ind w:left="920" w:right="640" w:firstLine="421"/>
        <w:spacing w:after="0" w:line="277" w:lineRule="auto"/>
        <w:tabs>
          <w:tab w:leader="none" w:pos="169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Manager shall have received on the Closing Date an opinion of its own counsel, in a form acceptable to the Manager, dated the Closing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6"/>
          <w:szCs w:val="16"/>
          <w:color w:val="auto"/>
        </w:rPr>
        <w:t>With respect to the matters set forth in (b)(vii) and (c)(xi)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46" w:lineRule="exact"/>
        <w:rPr>
          <w:sz w:val="20"/>
          <w:szCs w:val="20"/>
          <w:color w:val="auto"/>
        </w:rPr>
      </w:pPr>
    </w:p>
    <w:p>
      <w:pPr>
        <w:ind w:left="5660" w:right="40" w:hanging="4757"/>
        <w:spacing w:after="0" w:line="449" w:lineRule="auto"/>
        <w:tabs>
          <w:tab w:leader="none" w:pos="11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7</w:t>
      </w:r>
    </w:p>
    <w:p>
      <w:pPr>
        <w:sectPr>
          <w:pgSz w:w="11900" w:h="16838" w:orient="portrait"/>
          <w:cols w:equalWidth="0" w:num="1">
            <w:col w:w="11400"/>
          </w:cols>
          <w:pgMar w:left="240" w:top="274" w:right="259" w:bottom="1440" w:gutter="0" w:footer="0" w:header="0"/>
        </w:sectPr>
      </w:pPr>
    </w:p>
    <w:bookmarkStart w:id="21" w:name="page22"/>
    <w:bookmarkEnd w:id="21"/>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73" w:lineRule="exact"/>
        <w:rPr>
          <w:sz w:val="20"/>
          <w:szCs w:val="20"/>
          <w:color w:val="auto"/>
        </w:rPr>
      </w:pPr>
    </w:p>
    <w:p>
      <w:pPr>
        <w:jc w:val="both"/>
        <w:ind w:right="200" w:firstLine="443"/>
        <w:spacing w:after="0" w:line="302" w:lineRule="auto"/>
        <w:tabs>
          <w:tab w:leader="none" w:pos="6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used in Rule 15c3-1(c)(2)(vi)(F) under the Exchange Act, that, in the Manager’s judgment, is material and adverse.</w:t>
      </w:r>
    </w:p>
    <w:p>
      <w:pPr>
        <w:spacing w:after="0" w:line="46" w:lineRule="exact"/>
        <w:rPr>
          <w:rFonts w:ascii="Arial" w:cs="Arial" w:eastAsia="Arial" w:hAnsi="Arial"/>
          <w:sz w:val="16"/>
          <w:szCs w:val="16"/>
          <w:color w:val="auto"/>
        </w:rPr>
      </w:pPr>
    </w:p>
    <w:p>
      <w:pPr>
        <w:ind w:firstLine="443"/>
        <w:spacing w:after="0" w:line="259"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9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right="400" w:firstLine="443"/>
        <w:spacing w:after="0" w:line="312" w:lineRule="auto"/>
        <w:tabs>
          <w:tab w:leader="none" w:pos="6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38" w:lineRule="exact"/>
        <w:rPr>
          <w:rFonts w:ascii="Arial" w:cs="Arial" w:eastAsia="Arial" w:hAnsi="Arial"/>
          <w:sz w:val="16"/>
          <w:szCs w:val="16"/>
          <w:color w:val="auto"/>
        </w:rPr>
      </w:pPr>
    </w:p>
    <w:p>
      <w:pPr>
        <w:ind w:right="200" w:firstLine="443"/>
        <w:spacing w:after="0" w:line="259"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8" w:lineRule="exact"/>
        <w:rPr>
          <w:rFonts w:ascii="Arial" w:cs="Arial" w:eastAsia="Arial" w:hAnsi="Arial"/>
          <w:sz w:val="18"/>
          <w:szCs w:val="18"/>
          <w:color w:val="auto"/>
        </w:rPr>
      </w:pPr>
    </w:p>
    <w:p>
      <w:pPr>
        <w:ind w:right="180" w:firstLine="443"/>
        <w:spacing w:after="0" w:line="277" w:lineRule="auto"/>
        <w:tabs>
          <w:tab w:leader="none" w:pos="6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22" w:name="page23"/>
    <w:bookmarkEnd w:id="22"/>
    <w:p>
      <w:pPr>
        <w:ind w:firstLine="443"/>
        <w:spacing w:after="0" w:line="264" w:lineRule="auto"/>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firstLine="443"/>
        <w:spacing w:after="0" w:line="289" w:lineRule="auto"/>
        <w:tabs>
          <w:tab w:leader="none" w:pos="6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58" w:lineRule="exact"/>
        <w:rPr>
          <w:rFonts w:ascii="Arial" w:cs="Arial" w:eastAsia="Arial" w:hAnsi="Arial"/>
          <w:sz w:val="16"/>
          <w:szCs w:val="16"/>
          <w:color w:val="auto"/>
        </w:rPr>
      </w:pPr>
    </w:p>
    <w:p>
      <w:pPr>
        <w:ind w:right="60" w:firstLine="443"/>
        <w:spacing w:after="0" w:line="287" w:lineRule="auto"/>
        <w:tabs>
          <w:tab w:leader="none" w:pos="663"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4" w:lineRule="exact"/>
        <w:rPr>
          <w:rFonts w:ascii="Arial" w:cs="Arial" w:eastAsia="Arial" w:hAnsi="Arial"/>
          <w:sz w:val="16"/>
          <w:szCs w:val="16"/>
          <w:color w:val="auto"/>
        </w:rPr>
      </w:pPr>
    </w:p>
    <w:p>
      <w:pPr>
        <w:ind w:right="360" w:firstLine="443"/>
        <w:spacing w:after="0" w:line="342" w:lineRule="auto"/>
        <w:tabs>
          <w:tab w:leader="none" w:pos="69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5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3" w:name="page24"/>
    <w:bookmarkEnd w:id="23"/>
    <w:p>
      <w:pPr>
        <w:ind w:right="220" w:firstLine="443"/>
        <w:spacing w:after="0" w:line="279" w:lineRule="auto"/>
        <w:tabs>
          <w:tab w:leader="none" w:pos="693"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63" w:lineRule="exact"/>
        <w:rPr>
          <w:rFonts w:ascii="Arial" w:cs="Arial" w:eastAsia="Arial" w:hAnsi="Arial"/>
          <w:sz w:val="17"/>
          <w:szCs w:val="17"/>
          <w:color w:val="auto"/>
        </w:rPr>
      </w:pPr>
    </w:p>
    <w:p>
      <w:pPr>
        <w:ind w:firstLine="443"/>
        <w:spacing w:after="0" w:line="259" w:lineRule="auto"/>
        <w:tabs>
          <w:tab w:leader="none" w:pos="6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right="20" w:firstLine="443"/>
        <w:spacing w:after="0" w:line="259" w:lineRule="auto"/>
        <w:tabs>
          <w:tab w:leader="none" w:pos="6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380" w:firstLine="443"/>
        <w:spacing w:after="0" w:line="277" w:lineRule="auto"/>
        <w:tabs>
          <w:tab w:leader="none" w:pos="6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43"/>
        <w:spacing w:after="0" w:line="270" w:lineRule="auto"/>
        <w:tabs>
          <w:tab w:leader="none" w:pos="6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24" w:name="page25"/>
    <w:bookmarkEnd w:id="24"/>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73" w:lineRule="exact"/>
        <w:rPr>
          <w:sz w:val="20"/>
          <w:szCs w:val="20"/>
          <w:color w:val="auto"/>
        </w:rPr>
      </w:pPr>
    </w:p>
    <w:p>
      <w:pPr>
        <w:ind w:right="120" w:firstLine="443"/>
        <w:spacing w:after="0" w:line="276" w:lineRule="auto"/>
        <w:tabs>
          <w:tab w:leader="none" w:pos="7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64" w:lineRule="exact"/>
        <w:rPr>
          <w:rFonts w:ascii="Arial" w:cs="Arial" w:eastAsia="Arial" w:hAnsi="Arial"/>
          <w:sz w:val="17"/>
          <w:szCs w:val="17"/>
          <w:color w:val="auto"/>
        </w:rPr>
      </w:pPr>
    </w:p>
    <w:p>
      <w:pPr>
        <w:ind w:firstLine="443"/>
        <w:spacing w:after="0" w:line="268" w:lineRule="auto"/>
        <w:tabs>
          <w:tab w:leader="none" w:pos="6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4" w:right="239" w:bottom="1440" w:gutter="0" w:footer="0" w:header="0"/>
        </w:sectPr>
      </w:pPr>
    </w:p>
    <w:bookmarkStart w:id="25" w:name="page26"/>
    <w:bookmarkEnd w:id="25"/>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right="60" w:firstLine="443"/>
        <w:spacing w:after="0" w:line="302" w:lineRule="auto"/>
        <w:tabs>
          <w:tab w:leader="none" w:pos="6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46" w:lineRule="exact"/>
        <w:rPr>
          <w:rFonts w:ascii="Arial" w:cs="Arial" w:eastAsia="Arial" w:hAnsi="Arial"/>
          <w:sz w:val="16"/>
          <w:szCs w:val="16"/>
          <w:color w:val="auto"/>
        </w:rPr>
      </w:pPr>
    </w:p>
    <w:p>
      <w:pPr>
        <w:ind w:firstLine="443"/>
        <w:spacing w:after="0" w:line="285" w:lineRule="auto"/>
        <w:tabs>
          <w:tab w:leader="none" w:pos="693"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0" w:right="259" w:bottom="1440" w:gutter="0" w:footer="0" w:header="0"/>
        </w:sectPr>
      </w:pPr>
    </w:p>
    <w:bookmarkStart w:id="26" w:name="page27"/>
    <w:bookmarkEnd w:id="26"/>
    <w:p>
      <w:pPr>
        <w:ind w:right="60" w:firstLine="443"/>
        <w:spacing w:after="0" w:line="290" w:lineRule="auto"/>
        <w:tabs>
          <w:tab w:leader="none" w:pos="683"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58" w:lineRule="exact"/>
        <w:rPr>
          <w:rFonts w:ascii="Arial" w:cs="Arial" w:eastAsia="Arial" w:hAnsi="Arial"/>
          <w:sz w:val="16"/>
          <w:szCs w:val="16"/>
          <w:color w:val="auto"/>
        </w:rPr>
      </w:pPr>
    </w:p>
    <w:p>
      <w:pPr>
        <w:ind w:right="60" w:firstLine="443"/>
        <w:spacing w:after="0" w:line="257" w:lineRule="auto"/>
        <w:tabs>
          <w:tab w:leader="none" w:pos="6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80" w:lineRule="exact"/>
        <w:rPr>
          <w:rFonts w:ascii="Arial" w:cs="Arial" w:eastAsia="Arial" w:hAnsi="Arial"/>
          <w:sz w:val="18"/>
          <w:szCs w:val="18"/>
          <w:color w:val="auto"/>
        </w:rPr>
      </w:pPr>
    </w:p>
    <w:p>
      <w:pPr>
        <w:ind w:firstLine="443"/>
        <w:spacing w:after="0" w:line="264" w:lineRule="auto"/>
        <w:tabs>
          <w:tab w:leader="none" w:pos="6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right="100" w:firstLine="443"/>
        <w:spacing w:after="0" w:line="255" w:lineRule="auto"/>
        <w:tabs>
          <w:tab w:leader="none" w:pos="6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85" w:lineRule="exact"/>
        <w:rPr>
          <w:rFonts w:ascii="Arial" w:cs="Arial" w:eastAsia="Arial" w:hAnsi="Arial"/>
          <w:sz w:val="18"/>
          <w:szCs w:val="18"/>
          <w:color w:val="auto"/>
        </w:rPr>
      </w:pPr>
    </w:p>
    <w:p>
      <w:pPr>
        <w:ind w:left="700" w:hanging="257"/>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Warrants are Offered Securities, (i) such Warrants have been duly authorized and, when executed and delivered in accordance with the</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27" w:name="page28"/>
    <w:bookmarkEnd w:id="2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79" w:lineRule="exact"/>
        <w:rPr>
          <w:sz w:val="20"/>
          <w:szCs w:val="20"/>
          <w:color w:val="auto"/>
        </w:rPr>
      </w:pPr>
    </w:p>
    <w:p>
      <w:pPr>
        <w:jc w:val="both"/>
        <w:ind w:right="100" w:firstLine="443"/>
        <w:spacing w:after="0" w:line="257" w:lineRule="auto"/>
        <w:tabs>
          <w:tab w:leader="none" w:pos="6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80" w:lineRule="exact"/>
        <w:rPr>
          <w:rFonts w:ascii="Arial" w:cs="Arial" w:eastAsia="Arial" w:hAnsi="Arial"/>
          <w:sz w:val="18"/>
          <w:szCs w:val="18"/>
          <w:color w:val="auto"/>
        </w:rPr>
      </w:pPr>
    </w:p>
    <w:p>
      <w:pPr>
        <w:ind w:left="660" w:hanging="217"/>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43"/>
        <w:spacing w:after="0" w:line="255" w:lineRule="auto"/>
        <w:tabs>
          <w:tab w:leader="none" w:pos="65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1" w:lineRule="exact"/>
        <w:rPr>
          <w:rFonts w:ascii="Arial" w:cs="Arial" w:eastAsia="Arial" w:hAnsi="Arial"/>
          <w:sz w:val="18"/>
          <w:szCs w:val="18"/>
          <w:color w:val="auto"/>
        </w:rPr>
      </w:pPr>
    </w:p>
    <w:p>
      <w:pPr>
        <w:ind w:right="20" w:firstLine="443"/>
        <w:spacing w:after="0" w:line="286" w:lineRule="auto"/>
        <w:tabs>
          <w:tab w:leader="none" w:pos="693"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w:t>
      </w:r>
    </w:p>
    <w:p>
      <w:pPr>
        <w:spacing w:after="0" w:line="1" w:lineRule="exact"/>
        <w:rPr>
          <w:rFonts w:ascii="Arial" w:cs="Arial" w:eastAsia="Arial" w:hAnsi="Arial"/>
          <w:sz w:val="16"/>
          <w:szCs w:val="16"/>
          <w:color w:val="auto"/>
        </w:rPr>
      </w:pPr>
    </w:p>
    <w:p>
      <w:pPr>
        <w:ind w:firstLine="4"/>
        <w:spacing w:after="0" w:line="261" w:lineRule="auto"/>
        <w:tabs>
          <w:tab w:leader="none" w:pos="3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above, as would not, individually or in the aggregate, reasonably be expected to have a material adverse effect on the Company and its subsidiaries, taken as a whole.</w:t>
      </w:r>
    </w:p>
    <w:p>
      <w:pPr>
        <w:spacing w:after="0" w:line="75" w:lineRule="exact"/>
        <w:rPr>
          <w:rFonts w:ascii="Arial" w:cs="Arial" w:eastAsia="Arial" w:hAnsi="Arial"/>
          <w:sz w:val="18"/>
          <w:szCs w:val="18"/>
          <w:color w:val="auto"/>
        </w:rPr>
      </w:pPr>
    </w:p>
    <w:p>
      <w:pPr>
        <w:ind w:left="5160" w:right="20" w:hanging="4717"/>
        <w:spacing w:after="0" w:line="449"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14</w:t>
      </w:r>
    </w:p>
    <w:p>
      <w:pPr>
        <w:sectPr>
          <w:pgSz w:w="11900" w:h="16838" w:orient="portrait"/>
          <w:cols w:equalWidth="0" w:num="1">
            <w:col w:w="10940"/>
          </w:cols>
          <w:pgMar w:left="700" w:top="274" w:right="259" w:bottom="1440" w:gutter="0" w:footer="0" w:header="0"/>
        </w:sectPr>
      </w:pPr>
    </w:p>
    <w:bookmarkStart w:id="28" w:name="page29"/>
    <w:bookmarkEnd w:id="28"/>
    <w:p>
      <w:pPr>
        <w:ind w:left="46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of its obligations under this Agreement or the applicable Transaction Documents, except such as may be required by the securities or Blue Sky laws of the various states in connection with the offer and sale of the Offered Securities.</w:t>
      </w:r>
    </w:p>
    <w:p>
      <w:pPr>
        <w:spacing w:after="0" w:line="62" w:lineRule="exact"/>
        <w:rPr>
          <w:sz w:val="20"/>
          <w:szCs w:val="20"/>
          <w:color w:val="auto"/>
        </w:rPr>
      </w:pPr>
    </w:p>
    <w:p>
      <w:pPr>
        <w:jc w:val="both"/>
        <w:ind w:left="460" w:right="140" w:firstLine="443"/>
        <w:spacing w:after="0" w:line="264" w:lineRule="auto"/>
        <w:tabs>
          <w:tab w:leader="none" w:pos="12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3" w:lineRule="exact"/>
        <w:rPr>
          <w:rFonts w:ascii="Arial" w:cs="Arial" w:eastAsia="Arial" w:hAnsi="Arial"/>
          <w:sz w:val="18"/>
          <w:szCs w:val="18"/>
          <w:color w:val="auto"/>
        </w:rPr>
      </w:pPr>
    </w:p>
    <w:p>
      <w:pPr>
        <w:ind w:left="460" w:right="60" w:firstLine="443"/>
        <w:spacing w:after="0" w:line="276" w:lineRule="auto"/>
        <w:tabs>
          <w:tab w:leader="none" w:pos="11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64" w:lineRule="exact"/>
        <w:rPr>
          <w:rFonts w:ascii="Arial" w:cs="Arial" w:eastAsia="Arial" w:hAnsi="Arial"/>
          <w:sz w:val="17"/>
          <w:szCs w:val="17"/>
          <w:color w:val="auto"/>
        </w:rPr>
      </w:pPr>
    </w:p>
    <w:p>
      <w:pPr>
        <w:ind w:left="460" w:firstLine="443"/>
        <w:spacing w:after="0" w:line="264"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left="460" w:right="280" w:firstLine="443"/>
        <w:spacing w:after="0" w:line="264"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9" w:name="page30"/>
    <w:bookmarkEnd w:id="29"/>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or omission or alleged untrue statement or omission based upon information furnished to the Company in writing by such Underwriter through the Manager expressly for use therein.</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w:t>
      </w:r>
    </w:p>
    <w:p>
      <w:pPr>
        <w:spacing w:after="0" w:line="188"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the indemnification provided for in this Article VI under the first or second paragraphs hereof is unavailable in respect of any losses, claims, damages or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0" w:name="page31"/>
    <w:bookmarkEnd w:id="30"/>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w:t>
      </w:r>
    </w:p>
    <w:p>
      <w:pPr>
        <w:spacing w:after="0" w:line="2" w:lineRule="exact"/>
        <w:rPr>
          <w:sz w:val="20"/>
          <w:szCs w:val="20"/>
          <w:color w:val="auto"/>
        </w:rPr>
      </w:pPr>
    </w:p>
    <w:p>
      <w:pPr>
        <w:ind w:right="120" w:firstLine="8"/>
        <w:spacing w:after="0" w:line="251"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9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left="1140" w:hanging="237"/>
        <w:spacing w:after="0"/>
        <w:tabs>
          <w:tab w:leader="none" w:pos="11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Not to take any action that would result in the Company being required to file with the Commission under Rule 433(d) a free writing</w:t>
      </w:r>
    </w:p>
    <w:p>
      <w:pPr>
        <w:spacing w:after="0" w:line="34" w:lineRule="exact"/>
        <w:rPr>
          <w:rFonts w:ascii="Arial" w:cs="Arial" w:eastAsia="Arial" w:hAnsi="Arial"/>
          <w:sz w:val="17"/>
          <w:szCs w:val="17"/>
          <w:color w:val="auto"/>
        </w:rPr>
      </w:pPr>
    </w:p>
    <w:p>
      <w:pPr>
        <w:ind w:left="460" w:right="20"/>
        <w:spacing w:after="0" w:line="261" w:lineRule="auto"/>
        <w:rPr>
          <w:rFonts w:ascii="Arial" w:cs="Arial" w:eastAsia="Arial" w:hAnsi="Arial"/>
          <w:sz w:val="17"/>
          <w:szCs w:val="17"/>
          <w:color w:val="auto"/>
        </w:rPr>
      </w:pPr>
      <w:r>
        <w:rPr>
          <w:rFonts w:ascii="Arial" w:cs="Arial" w:eastAsia="Arial" w:hAnsi="Arial"/>
          <w:sz w:val="18"/>
          <w:szCs w:val="18"/>
          <w:color w:val="auto"/>
        </w:rPr>
        <w:t>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7"/>
          <w:szCs w:val="17"/>
          <w:color w:val="auto"/>
        </w:rPr>
      </w:pPr>
    </w:p>
    <w:p>
      <w:pPr>
        <w:ind w:left="460" w:right="20" w:firstLine="443"/>
        <w:spacing w:after="0" w:line="288" w:lineRule="auto"/>
        <w:tabs>
          <w:tab w:leader="none" w:pos="1153"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w:t>
      </w:r>
    </w:p>
    <w:p>
      <w:pPr>
        <w:ind w:left="460" w:right="40" w:firstLine="4"/>
        <w:spacing w:after="0" w:line="277" w:lineRule="auto"/>
        <w:tabs>
          <w:tab w:leader="none" w:pos="72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IX.</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0" w:right="279" w:bottom="1440" w:gutter="0" w:footer="0" w:header="0"/>
        </w:sectPr>
      </w:pPr>
    </w:p>
    <w:bookmarkStart w:id="33" w:name="page34"/>
    <w:bookmarkEnd w:id="33"/>
    <w:p>
      <w:pPr>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47"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20</w:t>
      </w:r>
    </w:p>
    <w:p>
      <w:pPr>
        <w:sectPr>
          <w:pgSz w:w="11900" w:h="16838" w:orient="portrait"/>
          <w:cols w:equalWidth="0" w:num="1">
            <w:col w:w="11360"/>
          </w:cols>
          <w:pgMar w:left="240" w:top="274"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6, 2015</w:t>
      </w:r>
    </w:p>
    <w:p>
      <w:pPr>
        <w:spacing w:after="0" w:line="225" w:lineRule="exact"/>
        <w:rPr>
          <w:sz w:val="20"/>
          <w:szCs w:val="20"/>
          <w:color w:val="auto"/>
        </w:rPr>
      </w:pPr>
    </w:p>
    <w:p>
      <w:pPr>
        <w:ind w:right="360" w:firstLine="456"/>
        <w:spacing w:after="0" w:line="281" w:lineRule="auto"/>
        <w:rPr>
          <w:sz w:val="20"/>
          <w:szCs w:val="20"/>
          <w:color w:val="auto"/>
        </w:rPr>
      </w:pPr>
      <w:r>
        <w:rPr>
          <w:rFonts w:ascii="Arial" w:cs="Arial" w:eastAsia="Arial" w:hAnsi="Arial"/>
          <w:sz w:val="17"/>
          <w:szCs w:val="17"/>
          <w:color w:val="auto"/>
        </w:rPr>
        <w:t>Reference is made to the Indenture dated as of May 23, 2011 (the “</w:t>
      </w:r>
      <w:r>
        <w:rPr>
          <w:rFonts w:ascii="Arial" w:cs="Arial" w:eastAsia="Arial" w:hAnsi="Arial"/>
          <w:sz w:val="17"/>
          <w:szCs w:val="17"/>
          <w:b w:val="1"/>
          <w:bCs w:val="1"/>
          <w:color w:val="auto"/>
        </w:rPr>
        <w:t>Indenture</w:t>
      </w:r>
      <w:r>
        <w:rPr>
          <w:rFonts w:ascii="Arial" w:cs="Arial" w:eastAsia="Arial" w:hAnsi="Arial"/>
          <w:sz w:val="17"/>
          <w:szCs w:val="17"/>
          <w:color w:val="auto"/>
        </w:rPr>
        <w:t>”) by and between Texas Instruments Incorporated (the “</w:t>
      </w:r>
      <w:r>
        <w:rPr>
          <w:rFonts w:ascii="Arial" w:cs="Arial" w:eastAsia="Arial" w:hAnsi="Arial"/>
          <w:sz w:val="17"/>
          <w:szCs w:val="17"/>
          <w:b w:val="1"/>
          <w:bCs w:val="1"/>
          <w:color w:val="auto"/>
        </w:rPr>
        <w:t>Issuer</w:t>
      </w:r>
      <w:r>
        <w:rPr>
          <w:rFonts w:ascii="Arial" w:cs="Arial" w:eastAsia="Arial" w:hAnsi="Arial"/>
          <w:sz w:val="17"/>
          <w:szCs w:val="17"/>
          <w:color w:val="auto"/>
        </w:rPr>
        <w:t>”)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Trustee is the trustee for any and all securities issued under the Indenture. Pursuant to Section 2.01 and Section 2.03 of the Indenture, the undersigned officers do hereby certify, in connection with the issuance of $500,000,000 aggregate principal amount of 1.750% Notes due 2020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1.750% Notes due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1.750%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6,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 and November 1, commencing on November 1, 2015.</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At any time prior to April 1, 2020 (one month prior to their maturity date) the Issuer may at its option redeem the Notes in whole or in part, at any time or from time to time prior to their maturity, on at least 30 days, but not more than 60 days, prior notice mailed to the registered address of each holder of the Notes, at a redemption price, calculated by the Issuer, equal to the greater 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100% of the principal amount of the Notes being redeemed; and</w:t>
      </w:r>
    </w:p>
    <w:p>
      <w:pPr>
        <w:sectPr>
          <w:pgSz w:w="11900" w:h="16838" w:orient="portrait"/>
          <w:cols w:equalWidth="0" w:num="2">
            <w:col w:w="3060" w:space="720"/>
            <w:col w:w="7640"/>
          </w:cols>
          <w:pgMar w:left="240" w:top="121" w:right="239" w:bottom="1440" w:gutter="0" w:footer="0" w:header="0"/>
          <w:type w:val="continuous"/>
        </w:sectPr>
      </w:pPr>
    </w:p>
    <w:bookmarkStart w:id="35" w:name="page36"/>
    <w:bookmarkEnd w:id="35"/>
    <w:p>
      <w:pPr>
        <w:ind w:left="3780"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the sum of the present values of the remaining scheduled payments of principal and interest thereon (exclusive of interest accrued as of the date of redemption) discounted to the redemption date on a semiannual basis (assuming a 360-day year consisting of twelve 30-day months) of the Notes being redeemed at the Treasury Rate (as defined in the Notes) plus 10 basis points;</w:t>
      </w:r>
    </w:p>
    <w:p>
      <w:pPr>
        <w:spacing w:after="0" w:line="7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left="3780" w:right="60"/>
        <w:spacing w:after="0" w:line="257" w:lineRule="auto"/>
        <w:rPr>
          <w:sz w:val="20"/>
          <w:szCs w:val="20"/>
          <w:color w:val="auto"/>
        </w:rPr>
      </w:pPr>
      <w:r>
        <w:rPr>
          <w:rFonts w:ascii="Arial" w:cs="Arial" w:eastAsia="Arial" w:hAnsi="Arial"/>
          <w:sz w:val="18"/>
          <w:szCs w:val="18"/>
          <w:color w:val="auto"/>
        </w:rPr>
        <w:t>At any time on or after April 1, 2020 (one month prior to their maturity date), the Issuer may at its option redeem the Notes in whole or in part, at any time or from time to time prior to their maturity, on at least 30 days, but not more than 60 days, prior notice mailed to the registered holder of the Notes, at a redemption price equal to 100% of the principal amount of the Notes being redeemed plus accrued interest thereon to the date of redemption.</w:t>
      </w:r>
    </w:p>
    <w:p>
      <w:pPr>
        <w:sectPr>
          <w:pgSz w:w="11900" w:h="16838" w:orient="portrait"/>
          <w:cols w:equalWidth="0" w:num="1">
            <w:col w:w="11400"/>
          </w:cols>
          <w:pgMar w:left="240" w:top="274" w:right="25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3060" w:space="720"/>
            <w:col w:w="7620"/>
          </w:cols>
          <w:pgMar w:left="240" w:top="274" w:right="25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3060" w:space="720"/>
            <w:col w:w="76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3060" w:space="720"/>
            <w:col w:w="76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 xml:space="preserve">The terms of the Notes shall include such other terms as are set forth in the form of Notes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in the Indenture.</w:t>
      </w:r>
    </w:p>
    <w:p>
      <w:pPr>
        <w:spacing w:after="0" w:line="170" w:lineRule="exact"/>
        <w:rPr>
          <w:sz w:val="20"/>
          <w:szCs w:val="20"/>
          <w:color w:val="auto"/>
        </w:rPr>
      </w:pPr>
    </w:p>
    <w:p>
      <w:pPr>
        <w:sectPr>
          <w:pgSz w:w="11900" w:h="16838" w:orient="portrait"/>
          <w:cols w:equalWidth="0" w:num="2">
            <w:col w:w="3060" w:space="720"/>
            <w:col w:w="7620"/>
          </w:cols>
          <w:pgMar w:left="240" w:top="274" w:right="259" w:bottom="1440" w:gutter="0" w:footer="0" w:header="0"/>
          <w:type w:val="continuous"/>
        </w:sectPr>
      </w:pPr>
    </w:p>
    <w:p>
      <w:pPr>
        <w:ind w:right="120" w:firstLine="456"/>
        <w:spacing w:after="0" w:line="302" w:lineRule="auto"/>
        <w:rPr>
          <w:sz w:val="20"/>
          <w:szCs w:val="20"/>
          <w:color w:val="auto"/>
        </w:rPr>
      </w:pPr>
      <w:r>
        <w:rPr>
          <w:rFonts w:ascii="Arial" w:cs="Arial" w:eastAsia="Arial" w:hAnsi="Arial"/>
          <w:sz w:val="16"/>
          <w:szCs w:val="16"/>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the series of notes issued hereby. Any such additional notes shall have identical terms as the Notes issued on the issue date, other than with respect to the date of issuance and the issue price (together, the “</w:t>
      </w:r>
      <w:r>
        <w:rPr>
          <w:rFonts w:ascii="Arial" w:cs="Arial" w:eastAsia="Arial" w:hAnsi="Arial"/>
          <w:sz w:val="16"/>
          <w:szCs w:val="16"/>
          <w:b w:val="1"/>
          <w:bCs w:val="1"/>
          <w:color w:val="auto"/>
        </w:rPr>
        <w:t>Additional Notes</w:t>
      </w:r>
      <w:r>
        <w:rPr>
          <w:rFonts w:ascii="Arial" w:cs="Arial" w:eastAsia="Arial" w:hAnsi="Arial"/>
          <w:sz w:val="16"/>
          <w:szCs w:val="16"/>
          <w:color w:val="auto"/>
        </w:rPr>
        <w:t>”). Any Additional Notes will be issued in accordance with Section 2.03 of the Indenture.</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type w:val="continuous"/>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not the covenants and conditions of such Indenture relating to the issuance and authentication of the Notes have been complied with. In such officer’s opinion, such covenants and conditions have been complied with.</w:t>
      </w:r>
    </w:p>
    <w:p>
      <w:pPr>
        <w:spacing w:after="0" w:line="17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274" w:right="67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March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Kevin P. March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C. Boyd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Alan C. Boyd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960"/>
          </w:cols>
          <w:pgMar w:left="70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2020]</w:t>
      </w:r>
    </w:p>
    <w:p>
      <w:pPr>
        <w:spacing w:after="0" w:line="225"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UNLESS THIS NOTE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1.750% Notes due 2020</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882508 AZ7</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US882508AZ72</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$500,000,000</w:t>
      </w:r>
    </w:p>
    <w:p>
      <w:pPr>
        <w:spacing w:after="0" w:line="200" w:lineRule="exact"/>
        <w:rPr>
          <w:sz w:val="20"/>
          <w:szCs w:val="20"/>
          <w:color w:val="auto"/>
        </w:rPr>
      </w:pPr>
    </w:p>
    <w:p>
      <w:pPr>
        <w:sectPr>
          <w:pgSz w:w="11900" w:h="16838" w:orient="portrait"/>
          <w:cols w:equalWidth="0" w:num="2">
            <w:col w:w="8760" w:space="720"/>
            <w:col w:w="1940"/>
          </w:cols>
          <w:pgMar w:left="240" w:top="270" w:right="239" w:bottom="1440" w:gutter="0" w:footer="0" w:header="0"/>
          <w:type w:val="continuous"/>
        </w:sectPr>
      </w:pPr>
    </w:p>
    <w:p>
      <w:pPr>
        <w:spacing w:after="0" w:line="21"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$500,000,000 on May 1, 2020.</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ind w:left="520" w:right="180"/>
        <w:spacing w:after="0" w:line="449" w:lineRule="auto"/>
        <w:rPr>
          <w:sz w:val="20"/>
          <w:szCs w:val="20"/>
          <w:color w:val="auto"/>
        </w:rPr>
      </w:pPr>
      <w:r>
        <w:rPr>
          <w:rFonts w:ascii="Arial" w:cs="Arial" w:eastAsia="Arial" w:hAnsi="Arial"/>
          <w:sz w:val="18"/>
          <w:szCs w:val="18"/>
          <w:color w:val="auto"/>
        </w:rPr>
        <w:t>Reference is made to the further provisions of this Note contained herein, which will for all purposes have the same effect as if set forth at this place. B-2</w:t>
      </w:r>
    </w:p>
    <w:p>
      <w:pPr>
        <w:sectPr>
          <w:pgSz w:w="11900" w:h="16838" w:orient="portrait"/>
          <w:cols w:equalWidth="0" w:num="1">
            <w:col w:w="11420"/>
          </w:cols>
          <w:pgMar w:left="240" w:top="270" w:right="239"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Kevin P. March</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Daniel M. Drory</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Assistant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74" w:right="25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6, 2015</w:t>
      </w:r>
    </w:p>
    <w:p>
      <w:pPr>
        <w:spacing w:after="0" w:line="248" w:lineRule="exact"/>
        <w:rPr>
          <w:sz w:val="20"/>
          <w:szCs w:val="20"/>
          <w:color w:val="auto"/>
        </w:rPr>
      </w:pPr>
    </w:p>
    <w:p>
      <w:pPr>
        <w:jc w:val="right"/>
        <w:ind w:right="139"/>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Mauri J. Cowen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219"/>
          </w:cols>
          <w:pgMar w:left="240" w:top="274"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1.750% Notes due 2020</w:t>
      </w:r>
    </w:p>
    <w:p>
      <w:pPr>
        <w:spacing w:after="0" w:line="25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May 6, 2015. Interest on this Note will be paid to but excluding the relevant Interest Payment Date. The Issuer will pay interest semi-annually in arrears on each Interest Payment Date, commencing November 1, 2015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3"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w:t>
      </w:r>
    </w:p>
    <w:p>
      <w:pPr>
        <w:spacing w:after="0" w:line="31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1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This Note is one of the 1.750% Notes due 2020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May 6, 2015,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those stated in the Indenture and those made part of the Indenture by reference to the Trust Indenture Act of 1939 (15 U.S.C. Sections 77aaa-77bbbb)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Notwithstanding anything to the contrary herein, the Notes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274" w:right="259" w:bottom="1440" w:gutter="0" w:footer="0" w:header="0"/>
        </w:sectPr>
      </w:pPr>
    </w:p>
    <w:bookmarkStart w:id="43" w:name="page44"/>
    <w:bookmarkEnd w:id="43"/>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and Holders of Notes are referred to the Indenture and the TIA for a statement of them. To the extent the terms of the Indenture and this Note are inconsistent, the terms of the Indenture shall govern.</w:t>
      </w:r>
    </w:p>
    <w:p>
      <w:pPr>
        <w:spacing w:after="0" w:line="319"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338"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rFonts w:ascii="Arial" w:cs="Arial" w:eastAsia="Arial" w:hAnsi="Arial"/>
          <w:sz w:val="18"/>
          <w:szCs w:val="18"/>
          <w:color w:val="auto"/>
        </w:rPr>
      </w:pPr>
    </w:p>
    <w:p>
      <w:pPr>
        <w:ind w:right="220" w:firstLine="464"/>
        <w:spacing w:after="0" w:line="277" w:lineRule="auto"/>
        <w:tabs>
          <w:tab w:leader="none" w:pos="70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At any time before April 1, 2020, the Issuer may at its option redeem any of the Notes in whole or in part at any time, each at a redemption price calculated by the Issuer equal to the greater of:</w:t>
      </w:r>
    </w:p>
    <w:p>
      <w:pPr>
        <w:spacing w:after="0" w:line="170" w:lineRule="exact"/>
        <w:rPr>
          <w:sz w:val="20"/>
          <w:szCs w:val="20"/>
          <w:color w:val="auto"/>
        </w:rPr>
      </w:pPr>
    </w:p>
    <w:p>
      <w:pPr>
        <w:ind w:left="680" w:hanging="216"/>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jc w:val="both"/>
        <w:ind w:firstLine="464"/>
        <w:spacing w:after="0" w:line="264" w:lineRule="auto"/>
        <w:tabs>
          <w:tab w:leader="none" w:pos="7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10 basis points,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40"/>
          </w:cols>
          <w:pgMar w:left="240" w:top="274" w:right="319" w:bottom="1440" w:gutter="0" w:footer="0" w:header="0"/>
        </w:sectPr>
      </w:pPr>
    </w:p>
    <w:bookmarkStart w:id="44" w:name="page45"/>
    <w:bookmarkEnd w:id="44"/>
    <w:p>
      <w:pPr>
        <w:ind w:right="400" w:firstLine="464"/>
        <w:spacing w:after="0" w:line="308" w:lineRule="auto"/>
        <w:tabs>
          <w:tab w:leader="none" w:pos="711"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on or after April 1, 2020, the Issuer may at its option redeem any of the Notes in whole or in part at any time, each at a redemption price equal to 100% of the principal amount of the Notes to be redeemed plus accrued interest thereon to the date of redemption.</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J.P. Morgan Securities LLC and Morgan Stanley &amp; Co. LLC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74" w:right="239" w:bottom="1440" w:gutter="0" w:footer="0" w:header="0"/>
        </w:sectPr>
      </w:pPr>
    </w:p>
    <w:bookmarkStart w:id="45" w:name="page46"/>
    <w:bookmarkEnd w:id="45"/>
    <w:p>
      <w:pPr>
        <w:ind w:right="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33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374"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274" w:right="259" w:bottom="1440" w:gutter="0" w:footer="0" w:header="0"/>
        </w:sectPr>
      </w:pPr>
    </w:p>
    <w:bookmarkStart w:id="46" w:name="page47"/>
    <w:bookmarkEnd w:id="46"/>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Numbers.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60"/>
          </w:cols>
          <w:pgMar w:left="240" w:top="274" w:right="29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and irrevocably appoint</w:t>
            </w:r>
          </w:p>
        </w:tc>
        <w:tc>
          <w:tcPr>
            <w:tcW w:w="9200" w:type="dxa"/>
            <w:vAlign w:val="bottom"/>
            <w:gridSpan w:val="3"/>
          </w:tcPr>
          <w:p>
            <w:pPr>
              <w:ind w:left="48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57"/>
        </w:trPr>
        <w:tc>
          <w:tcPr>
            <w:tcW w:w="2220" w:type="dxa"/>
            <w:vAlign w:val="bottom"/>
            <w:tcBorders>
              <w:bottom w:val="single" w:sz="8" w:color="auto"/>
            </w:tcBorders>
          </w:tcPr>
          <w:p>
            <w:pPr>
              <w:spacing w:after="0"/>
              <w:rPr>
                <w:sz w:val="22"/>
                <w:szCs w:val="22"/>
                <w:color w:val="auto"/>
              </w:rPr>
            </w:pPr>
          </w:p>
        </w:tc>
        <w:tc>
          <w:tcPr>
            <w:tcW w:w="4080" w:type="dxa"/>
            <w:vAlign w:val="bottom"/>
            <w:tcBorders>
              <w:bottom w:val="single" w:sz="8" w:color="auto"/>
            </w:tcBorders>
          </w:tcPr>
          <w:p>
            <w:pPr>
              <w:spacing w:after="0"/>
              <w:rPr>
                <w:sz w:val="22"/>
                <w:szCs w:val="22"/>
                <w:color w:val="auto"/>
              </w:rPr>
            </w:pPr>
          </w:p>
        </w:tc>
        <w:tc>
          <w:tcPr>
            <w:tcW w:w="44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493"/>
        </w:trPr>
        <w:tc>
          <w:tcPr>
            <w:tcW w:w="2220" w:type="dxa"/>
            <w:vAlign w:val="bottom"/>
          </w:tcPr>
          <w:p>
            <w:pPr>
              <w:spacing w:after="0"/>
              <w:rPr>
                <w:sz w:val="20"/>
                <w:szCs w:val="20"/>
                <w:color w:val="auto"/>
              </w:rPr>
            </w:pPr>
            <w:r>
              <w:rPr>
                <w:rFonts w:ascii="Arial" w:cs="Arial" w:eastAsia="Arial" w:hAnsi="Arial"/>
                <w:sz w:val="18"/>
                <w:szCs w:val="18"/>
                <w:color w:val="auto"/>
              </w:rPr>
              <w:t>Date:</w:t>
            </w:r>
          </w:p>
        </w:tc>
        <w:tc>
          <w:tcPr>
            <w:tcW w:w="4080" w:type="dxa"/>
            <w:vAlign w:val="bottom"/>
          </w:tcPr>
          <w:p>
            <w:pPr>
              <w:ind w:left="2700"/>
              <w:spacing w:after="0"/>
              <w:rPr>
                <w:sz w:val="20"/>
                <w:szCs w:val="20"/>
                <w:color w:val="auto"/>
              </w:rPr>
            </w:pPr>
            <w:r>
              <w:rPr>
                <w:rFonts w:ascii="Arial" w:cs="Arial" w:eastAsia="Arial" w:hAnsi="Arial"/>
                <w:sz w:val="18"/>
                <w:szCs w:val="18"/>
                <w:color w:val="auto"/>
              </w:rPr>
              <w:t>Your Signature:</w:t>
            </w:r>
          </w:p>
        </w:tc>
        <w:tc>
          <w:tcPr>
            <w:tcW w:w="44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306705</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51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Physical Notes or a part of another Global Note have been made: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Date of Exchange</w:t>
            </w:r>
          </w:p>
        </w:tc>
        <w:tc>
          <w:tcPr>
            <w:tcW w:w="140" w:type="dxa"/>
            <w:vAlign w:val="bottom"/>
            <w:vMerge w:val="restart"/>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85"/>
        </w:trPr>
        <w:tc>
          <w:tcPr>
            <w:tcW w:w="20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Principal amount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 increase</w:t>
            </w: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this Global Note</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380" w:type="dxa"/>
            <w:vAlign w:val="bottom"/>
            <w:gridSpan w:val="2"/>
            <w:vMerge w:val="continue"/>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following such</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decrease (or</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officer of</w:t>
            </w:r>
          </w:p>
        </w:tc>
        <w:tc>
          <w:tcPr>
            <w:tcW w:w="0" w:type="dxa"/>
            <w:vAlign w:val="bottom"/>
          </w:tcPr>
          <w:p>
            <w:pPr>
              <w:spacing w:after="0"/>
              <w:rPr>
                <w:sz w:val="1"/>
                <w:szCs w:val="1"/>
                <w:color w:val="auto"/>
              </w:rPr>
            </w:pPr>
          </w:p>
        </w:tc>
      </w:tr>
      <w:tr>
        <w:trPr>
          <w:trHeight w:val="185"/>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1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Trustee</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2">
            <w:col w:w="4380" w:space="100"/>
            <w:col w:w="694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B-11</w:t>
      </w:r>
    </w:p>
    <w:p>
      <w:pPr>
        <w:sectPr>
          <w:pgSz w:w="11900" w:h="16838" w:orient="portrait"/>
          <w:cols w:equalWidth="0" w:num="1">
            <w:col w:w="11420"/>
          </w:cols>
          <w:pgMar w:left="240" w:top="274" w:right="239" w:bottom="1440" w:gutter="0" w:footer="0" w:header="0"/>
          <w:type w:val="continuous"/>
        </w:sectPr>
      </w:pPr>
    </w:p>
    <w:bookmarkStart w:id="49" w:name="page50"/>
    <w:bookmarkEnd w:id="49"/>
    <w:p>
      <w:pPr>
        <w:ind w:left="105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97635" cy="283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97635"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220" w:space="720"/>
            <w:col w:w="1480"/>
          </w:cols>
          <w:pgMar w:left="240" w:top="121" w:right="239" w:bottom="1440" w:gutter="0" w:footer="0" w:header="0"/>
          <w:type w:val="continuous"/>
        </w:sect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b w:val="1"/>
                <w:bCs w:val="1"/>
                <w:color w:val="auto"/>
              </w:rPr>
              <w:t xml:space="preserve">Davis Polk &amp; Wardwell </w:t>
            </w:r>
            <w:r>
              <w:rPr>
                <w:rFonts w:ascii="Arial" w:cs="Arial" w:eastAsia="Arial" w:hAnsi="Arial"/>
                <w:sz w:val="15"/>
                <w:szCs w:val="15"/>
                <w:b w:val="1"/>
                <w:bCs w:val="1"/>
                <w:color w:val="auto"/>
              </w:rPr>
              <w:t>LLP</w:t>
            </w: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w w:val="91"/>
              </w:rPr>
              <w:t>650 752 2000 tel</w:t>
            </w:r>
          </w:p>
        </w:tc>
      </w:tr>
      <w:tr>
        <w:trPr>
          <w:trHeight w:val="216"/>
        </w:trPr>
        <w:tc>
          <w:tcPr>
            <w:tcW w:w="2500" w:type="dxa"/>
            <w:vAlign w:val="bottom"/>
          </w:tcPr>
          <w:p>
            <w:pPr>
              <w:spacing w:after="0"/>
              <w:rPr>
                <w:sz w:val="20"/>
                <w:szCs w:val="20"/>
                <w:color w:val="auto"/>
              </w:rPr>
            </w:pPr>
            <w:r>
              <w:rPr>
                <w:rFonts w:ascii="Arial" w:cs="Arial" w:eastAsia="Arial" w:hAnsi="Arial"/>
                <w:sz w:val="18"/>
                <w:szCs w:val="18"/>
                <w:b w:val="1"/>
                <w:bCs w:val="1"/>
                <w:color w:val="auto"/>
              </w:rPr>
              <w:t>1600 El Camino Real</w:t>
            </w: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w w:val="87"/>
              </w:rPr>
              <w:t>650 752 2111 fax</w:t>
            </w:r>
          </w:p>
        </w:tc>
      </w:t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Menlo Park, CA 94025</w:t>
            </w:r>
          </w:p>
        </w:tc>
        <w:tc>
          <w:tcPr>
            <w:tcW w:w="160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May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special counsel for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offering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of $500,000,000 aggregate principal amount of 1.750% Notes due 2020 (the “</w:t>
      </w:r>
      <w:r>
        <w:rPr>
          <w:rFonts w:ascii="Arial" w:cs="Arial" w:eastAsia="Arial" w:hAnsi="Arial"/>
          <w:sz w:val="17"/>
          <w:szCs w:val="17"/>
          <w:b w:val="1"/>
          <w:bCs w:val="1"/>
          <w:color w:val="auto"/>
        </w:rPr>
        <w:t>Notes</w:t>
      </w:r>
      <w:r>
        <w:rPr>
          <w:rFonts w:ascii="Arial" w:cs="Arial" w:eastAsia="Arial" w:hAnsi="Arial"/>
          <w:sz w:val="17"/>
          <w:szCs w:val="17"/>
          <w:color w:val="auto"/>
        </w:rPr>
        <w:t>”) in an underwritten public offering pursuant to an underwriting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April 27, 2015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and J.P. Morgan Securities LLC, Mitsubishi UFJ Securities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and Morgan Stanley &amp; Co. LLC (the “</w:t>
      </w:r>
      <w:r>
        <w:rPr>
          <w:rFonts w:ascii="Arial" w:cs="Arial" w:eastAsia="Arial" w:hAnsi="Arial"/>
          <w:sz w:val="18"/>
          <w:szCs w:val="18"/>
          <w:b w:val="1"/>
          <w:bCs w:val="1"/>
          <w:color w:val="auto"/>
        </w:rPr>
        <w:t>Representatives</w:t>
      </w:r>
      <w:r>
        <w:rPr>
          <w:rFonts w:ascii="Arial" w:cs="Arial" w:eastAsia="Arial" w:hAnsi="Arial"/>
          <w:sz w:val="18"/>
          <w:szCs w:val="18"/>
          <w:color w:val="auto"/>
        </w:rPr>
        <w:t>”), as representatives of the several underwriters listed in Schedule II thereto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The Notes are to be issued pursuant to an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 Company and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National Association, as Trustee, and an Officers’ Certificate to be issued pursuant thereto on or about May 6, 2015. The Company has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a Registration Statement on Form S-3 (File No. 333-186803,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registering under the Securities Act of 1933, as amended.</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ind w:right="120" w:firstLine="8"/>
        <w:spacing w:after="0" w:line="255"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w:t>
      </w:r>
    </w:p>
    <w:p>
      <w:pPr>
        <w:sectPr>
          <w:pgSz w:w="11900" w:h="16838" w:orient="portrait"/>
          <w:cols w:equalWidth="0" w:num="1">
            <w:col w:w="11420"/>
          </w:cols>
          <w:pgMar w:left="240" w:top="121"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Texas Instruments Incorporated</w:t>
            </w:r>
          </w:p>
        </w:tc>
        <w:tc>
          <w:tcPr>
            <w:tcW w:w="4160" w:type="dxa"/>
            <w:vAlign w:val="bottom"/>
          </w:tcPr>
          <w:p>
            <w:pPr>
              <w:jc w:val="right"/>
              <w:ind w:right="2170"/>
              <w:spacing w:after="0"/>
              <w:rPr>
                <w:sz w:val="20"/>
                <w:szCs w:val="20"/>
                <w:color w:val="auto"/>
              </w:rPr>
            </w:pPr>
            <w:r>
              <w:rPr>
                <w:rFonts w:ascii="Arial" w:cs="Arial" w:eastAsia="Arial" w:hAnsi="Arial"/>
                <w:sz w:val="18"/>
                <w:szCs w:val="18"/>
                <w:color w:val="auto"/>
              </w:rPr>
              <w:t>2</w:t>
            </w:r>
          </w:p>
        </w:tc>
        <w:tc>
          <w:tcPr>
            <w:tcW w:w="3160" w:type="dxa"/>
            <w:vAlign w:val="bottom"/>
          </w:tcPr>
          <w:p>
            <w:pPr>
              <w:ind w:left="2240"/>
              <w:spacing w:after="0"/>
              <w:rPr>
                <w:sz w:val="20"/>
                <w:szCs w:val="20"/>
                <w:color w:val="auto"/>
              </w:rPr>
            </w:pPr>
            <w:r>
              <w:rPr>
                <w:rFonts w:ascii="Arial" w:cs="Arial" w:eastAsia="Arial" w:hAnsi="Arial"/>
                <w:sz w:val="18"/>
                <w:szCs w:val="18"/>
                <w:color w:val="auto"/>
                <w:w w:val="90"/>
              </w:rPr>
              <w:t>May 6, 2015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validity, legally binding effect or enforceability of any provision that permits holders to collect any portion of stated principal amount upon acceleration of the Notes to the extent determined to constitute unearned interest.</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connection with the opinion expressed above, we have assumed that (i) the Registration Statement became effective upon filing with the Commission and such effectiveness shall not have been terminated or rescinded and (ii)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w:t>
      </w:r>
    </w:p>
    <w:p>
      <w:pPr>
        <w:spacing w:after="0" w:line="2" w:lineRule="exact"/>
        <w:rPr>
          <w:sz w:val="20"/>
          <w:szCs w:val="20"/>
          <w:color w:val="auto"/>
        </w:rPr>
      </w:pPr>
    </w:p>
    <w:p>
      <w:pPr>
        <w:ind w:right="80" w:firstLine="8"/>
        <w:spacing w:after="0" w:line="295" w:lineRule="auto"/>
        <w:tabs>
          <w:tab w:leader="none" w:pos="2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public policy,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hereby consent to the filing of this opinion as an exhibit to a report on Form 8-K to be filed by the Company on the date hereof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Roman"/>
      <w:start w:val="7"/>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2"/>
    </w:lvl>
    <w:lvl w:ilvl="1">
      <w:lvlJc w:val="left"/>
      <w:lvlText w:val="(%2)"/>
      <w:numFmt w:val="lowerRoman"/>
      <w:start w:val="1"/>
    </w:lvl>
  </w:abstractNum>
  <w:abstractNum w:abstractNumId="5">
    <w:nsid w:val="2D1D5AE9"/>
    <w:multiLevelType w:val="hybridMultilevel"/>
    <w:lvl w:ilvl="0">
      <w:lvlJc w:val="left"/>
      <w:lvlText w:val="(%1)"/>
      <w:numFmt w:val="lowerRoman"/>
      <w:start w:val="7"/>
    </w:lvl>
  </w:abstractNum>
  <w:abstractNum w:abstractNumId="6">
    <w:nsid w:val="6763845E"/>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7">
    <w:nsid w:val="75A2A8D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8">
    <w:nsid w:val="8EDBDAB"/>
    <w:multiLevelType w:val="hybridMultilevel"/>
    <w:lvl w:ilvl="0">
      <w:lvlJc w:val="left"/>
      <w:lvlText w:val="(%1)"/>
      <w:numFmt w:val="lowerRoman"/>
      <w:start w:val="6"/>
    </w:lvl>
  </w:abstractNum>
  <w:abstractNum w:abstractNumId="9">
    <w:nsid w:val="79838CB2"/>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2"/>
    </w:lvl>
  </w:abstractNum>
  <w:abstractNum w:abstractNumId="10">
    <w:nsid w:val="4353D0CD"/>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11">
    <w:nsid w:val="B03E0C6"/>
    <w:multiLevelType w:val="hybridMultilevel"/>
    <w:lvl w:ilvl="0">
      <w:lvlJc w:val="left"/>
      <w:lvlText w:val="(%1)"/>
      <w:numFmt w:val="lowerLetter"/>
      <w:start w:val="5"/>
    </w:lvl>
  </w:abstractNum>
  <w:abstractNum w:abstractNumId="12">
    <w:nsid w:val="189A769B"/>
    <w:multiLevelType w:val="hybridMultilevel"/>
    <w:lvl w:ilvl="0">
      <w:lvlJc w:val="left"/>
      <w:lvlText w:val="(%1)"/>
      <w:numFmt w:val="lowerLetter"/>
      <w:start w:val="6"/>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4"/>
    </w:lvl>
  </w:abstractNum>
  <w:abstractNum w:abstractNumId="15">
    <w:nsid w:val="2CA88611"/>
    <w:multiLevelType w:val="hybridMultilevel"/>
    <w:lvl w:ilvl="0">
      <w:lvlJc w:val="left"/>
      <w:lvlText w:val="(%1)"/>
      <w:numFmt w:val="lowerLetter"/>
      <w:start w:val="8"/>
    </w:lvl>
  </w:abstractNum>
  <w:abstractNum w:abstractNumId="16">
    <w:nsid w:val="836C40E"/>
    <w:multiLevelType w:val="hybridMultilevel"/>
    <w:lvl w:ilvl="0">
      <w:lvlJc w:val="left"/>
      <w:lvlText w:val="(%1)"/>
      <w:numFmt w:val="lowerLetter"/>
      <w:start w:val="13"/>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3"/>
    </w:lvl>
  </w:abstractNum>
  <w:abstractNum w:abstractNumId="19">
    <w:nsid w:val="8138641"/>
    <w:multiLevelType w:val="hybridMultilevel"/>
    <w:lvl w:ilvl="0">
      <w:lvlJc w:val="left"/>
      <w:lvlText w:val="%1"/>
      <w:numFmt w:val="lowerRoman"/>
      <w:start w:val="1"/>
    </w:lvl>
    <w:lvl w:ilvl="1">
      <w:lvlJc w:val="left"/>
      <w:lvlText w:val="(%2)"/>
      <w:numFmt w:val="lowerLetter"/>
      <w:start w:val="8"/>
    </w:lvl>
  </w:abstractNum>
  <w:abstractNum w:abstractNumId="20">
    <w:nsid w:val="1E7FF521"/>
    <w:multiLevelType w:val="hybridMultilevel"/>
    <w:lvl w:ilvl="0">
      <w:lvlJc w:val="left"/>
      <w:lvlText w:val="(%1)"/>
      <w:numFmt w:val="lowerRoman"/>
      <w:start w:val="4"/>
    </w:lvl>
    <w:lvl w:ilvl="1">
      <w:lvlJc w:val="left"/>
      <w:lvlText w:val="(%2)"/>
      <w:numFmt w:val="lowerLetter"/>
      <w:start w:val="12"/>
    </w:lvl>
  </w:abstractNum>
  <w:abstractNum w:abstractNumId="21">
    <w:nsid w:val="7C3DBD3D"/>
    <w:multiLevelType w:val="hybridMultilevel"/>
    <w:lvl w:ilvl="0">
      <w:lvlJc w:val="left"/>
      <w:lvlText w:val="(%1)"/>
      <w:numFmt w:val="lowerLetter"/>
      <w:start w:val="13"/>
    </w:lvl>
  </w:abstractNum>
  <w:abstractNum w:abstractNumId="22">
    <w:nsid w:val="737B8DDC"/>
    <w:multiLevelType w:val="hybridMultilevel"/>
    <w:lvl w:ilvl="0">
      <w:lvlJc w:val="left"/>
      <w:lvlText w:val="(%1)"/>
      <w:numFmt w:val="lowerRoman"/>
      <w:start w:val="1"/>
    </w:lvl>
  </w:abstractNum>
  <w:abstractNum w:abstractNumId="23">
    <w:nsid w:val="6CEAF087"/>
    <w:multiLevelType w:val="hybridMultilevel"/>
    <w:lvl w:ilvl="0">
      <w:lvlJc w:val="left"/>
      <w:lvlText w:val="%1"/>
      <w:numFmt w:val="lowerLetter"/>
      <w:start w:val="1"/>
    </w:lvl>
    <w:lvl w:ilvl="1">
      <w:lvlJc w:val="left"/>
      <w:lvlText w:val="(%2)"/>
      <w:numFmt w:val="lowerLetter"/>
      <w:start w:val="1"/>
    </w:lvl>
  </w:abstractNum>
  <w:abstractNum w:abstractNumId="24">
    <w:nsid w:val="22221A70"/>
    <w:multiLevelType w:val="hybridMultilevel"/>
    <w:lvl w:ilvl="0">
      <w:lvlJc w:val="left"/>
      <w:lvlText w:val="(%1)"/>
      <w:numFmt w:val="lowerLetter"/>
      <w:start w:val="35"/>
    </w:lvl>
    <w:lvl w:ilvl="1">
      <w:lvlJc w:val="left"/>
      <w:lvlText w:val="%2"/>
      <w:numFmt w:val="lowerLetter"/>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2"/>
    </w:lvl>
  </w:abstractNum>
  <w:abstractNum w:abstractNumId="27">
    <w:nsid w:val="614FD4A1"/>
    <w:multiLevelType w:val="hybridMultilevel"/>
    <w:lvl w:ilvl="0">
      <w:lvlJc w:val="left"/>
      <w:lvlText w:val="%1."/>
      <w:numFmt w:val="decimal"/>
      <w:start w:val="3"/>
    </w:lvl>
  </w:abstractNum>
  <w:abstractNum w:abstractNumId="28">
    <w:nsid w:val="419AC241"/>
    <w:multiLevelType w:val="hybridMultilevel"/>
    <w:lvl w:ilvl="0">
      <w:lvlJc w:val="left"/>
      <w:lvlText w:val="%1."/>
      <w:numFmt w:val="decimal"/>
      <w:start w:val="4"/>
    </w:lvl>
  </w:abstractNum>
  <w:abstractNum w:abstractNumId="29">
    <w:nsid w:val="5577F8E1"/>
    <w:multiLevelType w:val="hybridMultilevel"/>
    <w:lvl w:ilvl="0">
      <w:lvlJc w:val="left"/>
      <w:lvlText w:val="%1."/>
      <w:numFmt w:val="decimal"/>
      <w:start w:val="5"/>
    </w:lvl>
  </w:abstractNum>
  <w:abstractNum w:abstractNumId="30">
    <w:nsid w:val="440BADFC"/>
    <w:multiLevelType w:val="hybridMultilevel"/>
    <w:lvl w:ilvl="0">
      <w:lvlJc w:val="left"/>
      <w:lvlText w:val="%1."/>
      <w:numFmt w:val="decimal"/>
      <w:start w:val="6"/>
    </w:lvl>
    <w:lvl w:ilvl="1">
      <w:lvlJc w:val="left"/>
      <w:lvlText w:val="(%2)"/>
      <w:numFmt w:val="lowerLetter"/>
      <w:start w:val="1"/>
    </w:lvl>
  </w:abstractNum>
  <w:abstractNum w:abstractNumId="31">
    <w:nsid w:val="5072367"/>
    <w:multiLevelType w:val="hybridMultilevel"/>
    <w:lvl w:ilvl="0">
      <w:lvlJc w:val="left"/>
      <w:lvlText w:val="(%1)"/>
      <w:numFmt w:val="lowerRoman"/>
      <w:start w:val="1"/>
    </w:lvl>
  </w:abstractNum>
  <w:abstractNum w:abstractNumId="32">
    <w:nsid w:val="3804823E"/>
    <w:multiLevelType w:val="hybridMultilevel"/>
    <w:lvl w:ilvl="0">
      <w:lvlJc w:val="left"/>
      <w:lvlText w:val="(%1)"/>
      <w:numFmt w:val="lowerLetter"/>
      <w:start w:val="2"/>
    </w:lvl>
  </w:abstractNum>
  <w:abstractNum w:abstractNumId="33">
    <w:nsid w:val="77465F01"/>
    <w:multiLevelType w:val="hybridMultilevel"/>
    <w:lvl w:ilvl="0">
      <w:lvlJc w:val="left"/>
      <w:lvlText w:val="%1."/>
      <w:numFmt w:val="decimal"/>
      <w:start w:val="7"/>
    </w:lvl>
  </w:abstractNum>
  <w:abstractNum w:abstractNumId="34">
    <w:nsid w:val="7724C67E"/>
    <w:multiLevelType w:val="hybridMultilevel"/>
    <w:lvl w:ilvl="0">
      <w:lvlJc w:val="left"/>
      <w:lvlText w:val="%1."/>
      <w:numFmt w:val="decimal"/>
      <w:start w:val="8"/>
    </w:lvl>
  </w:abstractNum>
  <w:abstractNum w:abstractNumId="35">
    <w:nsid w:val="5C482A97"/>
    <w:multiLevelType w:val="hybridMultilevel"/>
    <w:lvl w:ilvl="0">
      <w:lvlJc w:val="left"/>
      <w:lvlText w:val="%1."/>
      <w:numFmt w:val="decimal"/>
      <w:start w:val="9"/>
    </w:lvl>
  </w:abstractNum>
  <w:abstractNum w:abstractNumId="36">
    <w:nsid w:val="2463B9EA"/>
    <w:multiLevelType w:val="hybridMultilevel"/>
    <w:lvl w:ilvl="0">
      <w:lvlJc w:val="left"/>
      <w:lvlText w:val="%1."/>
      <w:numFmt w:val="decimal"/>
      <w:start w:val="10"/>
    </w:lvl>
  </w:abstractNum>
  <w:abstractNum w:abstractNumId="37">
    <w:nsid w:val="5E884ADC"/>
    <w:multiLevelType w:val="hybridMultilevel"/>
    <w:lvl w:ilvl="0">
      <w:lvlJc w:val="left"/>
      <w:lvlText w:val="%1."/>
      <w:numFmt w:val="decimal"/>
      <w:start w:val="11"/>
    </w:lvl>
  </w:abstractNum>
  <w:abstractNum w:abstractNumId="38">
    <w:nsid w:val="51EAD36B"/>
    <w:multiLevelType w:val="hybridMultilevel"/>
    <w:lvl w:ilvl="0">
      <w:lvlJc w:val="left"/>
      <w:lvlText w:val="(%1)"/>
      <w:numFmt w:val="lowerRoman"/>
      <w:start w:val="5"/>
    </w:lvl>
  </w:abstractNum>
  <w:abstractNum w:abstractNumId="39">
    <w:nsid w:val="2D51779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2019-12-05T15:19:44Z</dcterms:created>
  <dcterms:modified xsi:type="dcterms:W3CDTF">2019-12-05T15:19:44Z</dcterms:modified>
</cp:coreProperties>
</file>