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420" w:type="dxa"/>
            <w:vAlign w:val="bottom"/>
          </w:tcPr>
          <w:p>
            <w:pPr>
              <w:jc w:val="center"/>
              <w:ind w:right="739"/>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right"/>
              <w:ind w:right="1259"/>
              <w:spacing w:after="0"/>
              <w:rPr>
                <w:sz w:val="20"/>
                <w:szCs w:val="20"/>
                <w:color w:val="auto"/>
              </w:rPr>
            </w:pPr>
            <w:r>
              <w:rPr>
                <w:rFonts w:ascii="Arial" w:cs="Arial" w:eastAsia="Arial" w:hAnsi="Arial"/>
                <w:sz w:val="18"/>
                <w:szCs w:val="18"/>
                <w:b w:val="1"/>
                <w:bCs w:val="1"/>
                <w:color w:val="auto"/>
              </w:rPr>
              <w:t>001-03761</w:t>
            </w:r>
          </w:p>
        </w:tc>
        <w:tc>
          <w:tcPr>
            <w:tcW w:w="308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3420" w:type="dxa"/>
            <w:vAlign w:val="bottom"/>
          </w:tcPr>
          <w:p>
            <w:pPr>
              <w:ind w:left="540"/>
              <w:spacing w:after="0"/>
              <w:rPr>
                <w:sz w:val="20"/>
                <w:szCs w:val="20"/>
                <w:color w:val="auto"/>
              </w:rPr>
            </w:pPr>
            <w:r>
              <w:rPr>
                <w:rFonts w:ascii="Arial" w:cs="Arial" w:eastAsia="Arial" w:hAnsi="Arial"/>
                <w:sz w:val="14"/>
                <w:szCs w:val="14"/>
                <w:b w:val="1"/>
                <w:bCs w:val="1"/>
                <w:color w:val="auto"/>
              </w:rPr>
              <w:t>(State of incorporation)</w:t>
            </w:r>
          </w:p>
        </w:tc>
        <w:tc>
          <w:tcPr>
            <w:tcW w:w="33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(Commission File Number)</w:t>
            </w:r>
          </w:p>
        </w:tc>
        <w:tc>
          <w:tcPr>
            <w:tcW w:w="3080" w:type="dxa"/>
            <w:vAlign w:val="bottom"/>
          </w:tcPr>
          <w:p>
            <w:pPr>
              <w:jc w:val="center"/>
              <w:ind w:left="79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1"/>
        </w:trPr>
        <w:tc>
          <w:tcPr>
            <w:tcW w:w="3420" w:type="dxa"/>
            <w:vAlign w:val="bottom"/>
          </w:tcPr>
          <w:p>
            <w:pPr>
              <w:jc w:val="center"/>
              <w:ind w:right="719"/>
              <w:spacing w:after="0"/>
              <w:rPr>
                <w:sz w:val="20"/>
                <w:szCs w:val="20"/>
                <w:color w:val="auto"/>
              </w:rPr>
            </w:pPr>
            <w:r>
              <w:rPr>
                <w:rFonts w:ascii="Arial" w:cs="Arial" w:eastAsia="Arial" w:hAnsi="Arial"/>
                <w:sz w:val="18"/>
                <w:szCs w:val="18"/>
                <w:b w:val="1"/>
                <w:bCs w:val="1"/>
                <w:color w:val="auto"/>
                <w:w w:val="90"/>
              </w:rPr>
              <w:t>12500 TI Boulevard, Dallas, Texas</w:t>
            </w:r>
          </w:p>
        </w:tc>
        <w:tc>
          <w:tcPr>
            <w:tcW w:w="3380" w:type="dxa"/>
            <w:vAlign w:val="bottom"/>
          </w:tcPr>
          <w:p>
            <w:pPr>
              <w:spacing w:after="0"/>
              <w:rPr>
                <w:sz w:val="24"/>
                <w:szCs w:val="24"/>
                <w:color w:val="auto"/>
              </w:rPr>
            </w:pPr>
          </w:p>
        </w:tc>
        <w:tc>
          <w:tcPr>
            <w:tcW w:w="3080" w:type="dxa"/>
            <w:vAlign w:val="bottom"/>
          </w:tcPr>
          <w:p>
            <w:pPr>
              <w:jc w:val="right"/>
              <w:ind w:right="779"/>
              <w:spacing w:after="0"/>
              <w:rPr>
                <w:sz w:val="20"/>
                <w:szCs w:val="20"/>
                <w:color w:val="auto"/>
              </w:rPr>
            </w:pPr>
            <w:r>
              <w:rPr>
                <w:rFonts w:ascii="Arial" w:cs="Arial" w:eastAsia="Arial" w:hAnsi="Arial"/>
                <w:sz w:val="18"/>
                <w:szCs w:val="18"/>
                <w:b w:val="1"/>
                <w:bCs w:val="1"/>
                <w:color w:val="auto"/>
              </w:rPr>
              <w:t>75243</w:t>
            </w:r>
          </w:p>
        </w:tc>
      </w:tr>
      <w:tr>
        <w:trPr>
          <w:trHeight w:val="186"/>
        </w:trPr>
        <w:tc>
          <w:tcPr>
            <w:tcW w:w="3420" w:type="dxa"/>
            <w:vAlign w:val="bottom"/>
          </w:tcPr>
          <w:p>
            <w:pPr>
              <w:jc w:val="center"/>
              <w:ind w:right="7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spacing w:after="0"/>
              <w:rPr>
                <w:sz w:val="16"/>
                <w:szCs w:val="16"/>
                <w:color w:val="auto"/>
              </w:rPr>
            </w:pPr>
          </w:p>
        </w:tc>
        <w:tc>
          <w:tcPr>
            <w:tcW w:w="3080" w:type="dxa"/>
            <w:vAlign w:val="bottom"/>
          </w:tcPr>
          <w:p>
            <w:pPr>
              <w:jc w:val="center"/>
              <w:ind w:left="819"/>
              <w:spacing w:after="0"/>
              <w:rPr>
                <w:sz w:val="20"/>
                <w:szCs w:val="20"/>
                <w:color w:val="auto"/>
              </w:rPr>
            </w:pPr>
            <w:r>
              <w:rPr>
                <w:rFonts w:ascii="Arial" w:cs="Arial" w:eastAsia="Arial" w:hAnsi="Arial"/>
                <w:sz w:val="14"/>
                <w:szCs w:val="14"/>
                <w:b w:val="1"/>
                <w:bCs w:val="1"/>
                <w:color w:val="auto"/>
                <w:w w:val="92"/>
              </w:rPr>
              <w:t>(Zip code)</w:t>
            </w:r>
          </w:p>
        </w:tc>
      </w:tr>
    </w:tbl>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Arun Sivasothy, 972-995-3773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868045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9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2017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Form SD is available on our web site at www.ti.com/conflictminerals. We are not incorporating by reference the contents of our web site into this Form SD.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2017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3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 1.01 –</w:t>
      </w:r>
      <w:r>
        <w:rPr>
          <w:sz w:val="20"/>
          <w:szCs w:val="20"/>
          <w:color w:val="auto"/>
        </w:rPr>
        <w:tab/>
      </w:r>
      <w:r>
        <w:rPr>
          <w:rFonts w:ascii="Arial" w:cs="Arial" w:eastAsia="Arial" w:hAnsi="Arial"/>
          <w:sz w:val="16"/>
          <w:szCs w:val="16"/>
          <w:u w:val="single" w:color="auto"/>
          <w:color w:val="0000EE"/>
        </w:rPr>
        <w:t>Conflict Minerals Report as required by Items 1.01 and 1.02 of this Form.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TEXAS INSTRUMENTS 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23"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Rafael R. Lizardi</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4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240" w:top="35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2017</w:t>
      </w:r>
    </w:p>
    <w:p>
      <w:pPr>
        <w:spacing w:after="0" w:line="21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www.ti.com/conflictminerals.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188"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of Due Diligence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2017 (collectively, “CMs”). We designed the CM Process with the intent to conform in all material respects with the OECD Due Diligence Guidance for Responsible Supply Chains of Minerals from Conflict-Affected and High-Risk Areas (Second Edition). The design of the CM Process included the following:</w:t>
      </w:r>
    </w:p>
    <w:p>
      <w:pPr>
        <w:spacing w:after="0" w:line="80" w:lineRule="exact"/>
        <w:rPr>
          <w:sz w:val="20"/>
          <w:szCs w:val="20"/>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conflict minerals policy;</w:t>
      </w:r>
    </w:p>
    <w:p>
      <w:pPr>
        <w:spacing w:after="0" w:line="117" w:lineRule="exact"/>
        <w:rPr>
          <w:rFonts w:ascii="Arial" w:cs="Arial" w:eastAsia="Arial" w:hAnsi="Arial"/>
          <w:sz w:val="18"/>
          <w:szCs w:val="18"/>
          <w:color w:val="auto"/>
        </w:rPr>
      </w:pPr>
    </w:p>
    <w:p>
      <w:pPr>
        <w:ind w:left="760" w:right="120" w:hanging="374"/>
        <w:spacing w:after="0" w:line="264"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organizational structure and processes intended to ensure that our direct suppliers of CMs and third-party manufacturers of our products that contain CMs (collectively, “Suppliers”) are made aware of TI’s policy on CMs and that information received by TI that is relevant to supply-chain due diligence reaches TI employees who have knowledge of the SEC disclosure requirements;</w:t>
      </w:r>
    </w:p>
    <w:p>
      <w:pPr>
        <w:spacing w:after="0" w:line="73" w:lineRule="exact"/>
        <w:rPr>
          <w:rFonts w:ascii="Arial" w:cs="Arial" w:eastAsia="Arial" w:hAnsi="Arial"/>
          <w:sz w:val="18"/>
          <w:szCs w:val="18"/>
          <w:color w:val="auto"/>
        </w:rPr>
      </w:pPr>
    </w:p>
    <w:p>
      <w:pPr>
        <w:ind w:left="760" w:right="80" w:hanging="374"/>
        <w:spacing w:after="0" w:line="259"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process, which uses a reporting tool developed by the Responsible Minerals Initiative (“RMI”) and data gathered through the Responsible Minerals Assurance Process (“RMAP”) (as further described below), to achieve control and transparency over our CM supply chain and identify the risk that our products may contain CMs directly or indirectly financing or benefiting armed groups in the Democratic Republic of the Congo or any adjoining country (each a “Covered Country”);</w:t>
      </w:r>
    </w:p>
    <w:p>
      <w:pPr>
        <w:spacing w:after="0" w:line="78"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assessment and management of risks identified through the process described above;</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mechanism for Suppliers and others to communicate to TI their concerns with respect to our CM Process;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reliance on the RMAP to validate supply chain due diligence;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reporting of the results of our due diligence.</w:t>
      </w:r>
    </w:p>
    <w:p>
      <w:pPr>
        <w:spacing w:after="0" w:line="3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    Reliance on Third-Party Data</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ability to determine the origin and chain of custody of CMs, and whether they directly or indirectly finance or benefit armed groups in any Covered Country (the “Conflict Status”), is limited. Our supply chain for CMs is complex. In many cases, we are multiple steps removed from the smelter or the mine, and we depend on information from Suppliers that themselves have incomplete information about the origin of the CMs incorporated in the products they supply to us.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gain insight into the country of origin, chain of custody and Conflict Status of the CMs in our supply chain, we relied primarily on the findings of the RMAP. The RMAP is a voluntary program in which an independent third party evaluates smelters’ and refiners’ procurement and inventory practices and determines whether the smelter or refiner (“Smelter”) has demonstrated that all the materials it processed originated from conflict-free sources. The RMAP is overseen by the RMI, which was established by members of the Responsible Business Alliance (“RBA”) and the Global e-Sustainability Initiative. TI is a member of the RBA and RMI.</w:t>
      </w:r>
    </w:p>
    <w:p>
      <w:pPr>
        <w:spacing w:after="0" w:line="188"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Diligence Measures Taken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took to exercise due diligence on the source and chain of custody of our CMs are as follows:</w:t>
      </w:r>
    </w:p>
    <w:p>
      <w:pPr>
        <w:spacing w:after="0" w:line="117"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communicating our CM policy to Suppliers;</w:t>
      </w:r>
    </w:p>
    <w:p>
      <w:pPr>
        <w:spacing w:after="0" w:line="117" w:lineRule="exact"/>
        <w:rPr>
          <w:rFonts w:ascii="Arial" w:cs="Arial" w:eastAsia="Arial" w:hAnsi="Arial"/>
          <w:sz w:val="18"/>
          <w:szCs w:val="18"/>
          <w:color w:val="auto"/>
        </w:rPr>
      </w:pPr>
    </w:p>
    <w:p>
      <w:pPr>
        <w:ind w:left="760" w:right="14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directing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73"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analyzing Suppliers’ Conflict Minerals Reporting Template responses for completeness and internal consistency, and following up with Suppliers in an effort to obtain more information and ensure accuracy of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ind w:left="76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comparing the information received from Suppliers with the data made available by the RMAP concerning the country of origin and Conflict Status of CMs processed or refined by Smelters; and</w:t>
      </w:r>
    </w:p>
    <w:p>
      <w:pPr>
        <w:spacing w:after="0" w:line="62" w:lineRule="exact"/>
        <w:rPr>
          <w:rFonts w:ascii="Arial" w:cs="Arial" w:eastAsia="Arial" w:hAnsi="Arial"/>
          <w:sz w:val="18"/>
          <w:szCs w:val="18"/>
          <w:color w:val="auto"/>
        </w:rPr>
      </w:pPr>
    </w:p>
    <w:p>
      <w:pPr>
        <w:ind w:left="760" w:right="80" w:hanging="374"/>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reviewing other source materials for Smelters that are not compliant with the RMI (these Smelters may supply CMs to us for products other than ICs)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IV.</w:t>
        <w:tab/>
        <w:t>Our Findings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We have determined that all of our integrated circuits (“ICs”) </w:t>
      </w:r>
      <w:r>
        <w:rPr>
          <w:rFonts w:ascii="Arial" w:cs="Arial" w:eastAsia="Arial" w:hAnsi="Arial"/>
          <w:sz w:val="15"/>
          <w:szCs w:val="15"/>
          <w:color w:val="auto"/>
        </w:rPr>
        <w:t>1</w:t>
      </w:r>
      <w:r>
        <w:rPr>
          <w:rFonts w:ascii="Arial" w:cs="Arial" w:eastAsia="Arial" w:hAnsi="Arial"/>
          <w:sz w:val="18"/>
          <w:szCs w:val="18"/>
          <w:color w:val="auto"/>
        </w:rPr>
        <w:t xml:space="preserve"> were conflict-free. Our determination is based on the finding that all the Smelters identified to us by our Suppliers as being potentially in the supply chain for these products in 2017 supplied CMs exclusively from conflict-free sources. ICs accounted for approximately 91 percent of TI revenue in 2017.</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2017, we continued to make progress in our due diligence efforts with regard to Smelters that are not compliant with the RMI (these Smelters may supply CMs to us for products other than ICs). While we primarily relied on information from our first-tier suppliers, in some cases we contacted second-tier suppliers for more complete information. That information, combined with the information available through the RMAP, provided us with greater insight into the Conflict Status of CMs identified as potentially in our supply chain.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number of Smelters identified to us by our Suppliers as potentially in our supply chain in 2017 increased by approximately 1 percent. Of the Smelters identified for 2017, we have determined that the CMs potentially supplied to us by 81 percent of the Smelters were conflict-free, as compared with 80 percent for 2016. Another 3 percent of the Smelters identified for 2017 have committed to participate in a third-party audit of their Conflict Status. In no instance did we find CMs in our supply chain to be from a source that, to our knowledge, was directly or indirectly financing or benefiting armed conflict in a Covered Country.</w:t>
      </w:r>
    </w:p>
    <w:p>
      <w:pPr>
        <w:spacing w:after="0" w:line="188"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We do not have complete information about the CMs in our entire supply chain. For 2017, approximately 74 percent of Suppliers identified Smelters in their supply chains on a company-wide, division or product-line basis, without specifying which Smelters were relevant to products they supplied to</w:t>
      </w:r>
    </w:p>
    <w:p>
      <w:pPr>
        <w:spacing w:after="0"/>
        <w:rPr>
          <w:sz w:val="20"/>
          <w:szCs w:val="20"/>
          <w:color w:val="auto"/>
        </w:rPr>
      </w:pPr>
      <w:r>
        <w:rPr>
          <w:rFonts w:ascii="Arial" w:cs="Arial" w:eastAsia="Arial" w:hAnsi="Arial"/>
          <w:sz w:val="17"/>
          <w:szCs w:val="17"/>
          <w:color w:val="auto"/>
        </w:rPr>
        <w:t>TI. (Accordingly, we refer in this Conflict Minerals Report to Smelters as being “potentially” in our supply chain and as CMs “potentially” supplied to</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TI.) Industry efforts to collect and verify CM origin information remain incomplete. For Smelters that have committed to participate in a third-party audit of their Conflict Status, that status is currently undeterminable because the audits are not complete. The results of our due diligence, which are summarized in the charts below, reflect these limitations.</w:t>
      </w:r>
    </w:p>
    <w:p>
      <w:pPr>
        <w:spacing w:after="0" w:line="136" w:lineRule="exact"/>
        <w:rPr>
          <w:sz w:val="20"/>
          <w:szCs w:val="20"/>
          <w:color w:val="auto"/>
        </w:rPr>
      </w:pPr>
    </w:p>
    <w:p>
      <w:pPr>
        <w:ind w:left="140" w:right="300" w:hanging="132"/>
        <w:spacing w:after="0" w:line="342" w:lineRule="auto"/>
        <w:tabs>
          <w:tab w:leader="none" w:pos="140" w:val="left"/>
        </w:tabs>
        <w:numPr>
          <w:ilvl w:val="0"/>
          <w:numId w:val="7"/>
        </w:numPr>
        <w:rPr>
          <w:rFonts w:ascii="Arial" w:cs="Arial" w:eastAsia="Arial" w:hAnsi="Arial"/>
          <w:sz w:val="14"/>
          <w:szCs w:val="14"/>
          <w:color w:val="auto"/>
        </w:rPr>
      </w:pPr>
      <w:r>
        <w:rPr>
          <w:rFonts w:ascii="Arial" w:cs="Arial" w:eastAsia="Arial" w:hAnsi="Arial"/>
          <w:sz w:val="16"/>
          <w:szCs w:val="16"/>
          <w:color w:val="auto"/>
        </w:rPr>
        <w:t>“Integrated circuits” refers to finished semiconductor products that contain chips manufactured by or for TI and packaging subcomponents such as mold compounds, bond wires and lead frames. It excludes DLP® products, semiconductor modules and all other products manufactured by or for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791845</wp:posOffset>
            </wp:positionH>
            <wp:positionV relativeFrom="page">
              <wp:posOffset>234950</wp:posOffset>
            </wp:positionV>
            <wp:extent cx="5977255" cy="7143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7255" cy="714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1177925</wp:posOffset>
            </wp:positionH>
            <wp:positionV relativeFrom="page">
              <wp:posOffset>372110</wp:posOffset>
            </wp:positionV>
            <wp:extent cx="5205730" cy="4219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05730"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Smelters identified by our Suppliers as potentially in our supply chain are listed in Appendix A hereto. Our efforts to determine the mine or location of origin of the CMs consisted of the due diligence measures described above.</w:t>
      </w:r>
    </w:p>
    <w:p>
      <w:pPr>
        <w:spacing w:after="0" w:line="170"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Scope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2017, our products were divided into two reportable segments as described in our annual report on Form 10-K for the year ended December 31, 2017: Analog (consisting of Power, Signal Chain, and High Volume product lines) and Embedded Processing (consisting of Connected Microcontrollers and Processors product lines). We report the results of our remaining business activities in Other. Other includes operating segments that do not meet the quantitative thresholds for individually reportable segments and cannot be aggregated with other operating segments (Other includes DLP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w:t>
        <w:tab/>
        <w:t>Risk-Mitigation Efforts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Since the period covered by this Conflict Minerals Report, we have taken, or will take, the following steps to mitigate the risk that our CMs directly or indirectly finance or benefit armed groups in the Covered Countries, including to improve our due diligence:</w:t>
      </w:r>
    </w:p>
    <w:p>
      <w:pPr>
        <w:spacing w:after="0" w:line="62" w:lineRule="exact"/>
        <w:rPr>
          <w:sz w:val="20"/>
          <w:szCs w:val="20"/>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emphasize to Suppliers our expectation that they respond fully and promptly to our information requests;</w:t>
      </w:r>
    </w:p>
    <w:p>
      <w:pPr>
        <w:spacing w:after="0" w:line="117" w:lineRule="exact"/>
        <w:rPr>
          <w:rFonts w:ascii="Arial" w:cs="Arial" w:eastAsia="Arial" w:hAnsi="Arial"/>
          <w:sz w:val="18"/>
          <w:szCs w:val="18"/>
          <w:color w:val="auto"/>
        </w:rPr>
      </w:pPr>
    </w:p>
    <w:p>
      <w:pPr>
        <w:ind w:left="760" w:right="360" w:hanging="374"/>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instruct Suppliers to advise us if they determine that any person or entity in their supply chain is directly or indirectly financing or benefiting armed groups in the Covered Countries;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7" w:name="page8"/>
    <w:bookmarkEnd w:id="7"/>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encourage Suppliers to direct all Smelters in their supply chains to participate in the RMAP or a similar third-party audit program; and</w:t>
      </w:r>
    </w:p>
    <w:p>
      <w:pPr>
        <w:spacing w:after="0" w:line="117"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contact various Smelters directly for information if their operating status changed, their RMI status changed, or they have refused to participate in a RMI audit.</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Independent Private Sector Audit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obtained an independent private sector audit of this Conflict Minerals Report. The report by Crowe Horwath LLP is set forth as Appendix B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[Intentionally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Included in this Appendix A are Smelters that were identified to us by our Suppliers as potentially in our supply chain for 2017. As explained in this Conflict Minerals Report, the presence of a Smelter on the lists in this Appendix A does not mean that TI products necessarily contained CMs processed by that Smelter.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Table 1</w:t>
            </w:r>
          </w:p>
        </w:tc>
        <w:tc>
          <w:tcPr>
            <w:tcW w:w="45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RMAP compliant Smelters: 252</w:t>
            </w:r>
          </w:p>
        </w:tc>
        <w:tc>
          <w:tcPr>
            <w:tcW w:w="28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Smelters</w:t>
            </w:r>
          </w:p>
        </w:tc>
        <w:tc>
          <w:tcPr>
            <w:tcW w:w="28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Smelters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69</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Smelters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Smelters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101</w:t>
            </w:r>
          </w:p>
        </w:tc>
      </w:tr>
      <w:tr>
        <w:trPr>
          <w:trHeight w:val="210"/>
        </w:trPr>
        <w:tc>
          <w:tcPr>
            <w:tcW w:w="1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Table 2</w:t>
            </w:r>
          </w:p>
        </w:tc>
        <w:tc>
          <w:tcPr>
            <w:tcW w:w="4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undeterminable Smelters: 59</w:t>
            </w: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Smelters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Smelters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11</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Smelters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Smelters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43</w:t>
            </w:r>
          </w:p>
        </w:tc>
      </w:tr>
    </w:tbl>
    <w:p>
      <w:pPr>
        <w:spacing w:after="0" w:line="20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Table 1</w:t>
      </w:r>
      <w:r>
        <w:rPr>
          <w:rFonts w:ascii="Arial" w:cs="Arial" w:eastAsia="Arial" w:hAnsi="Arial"/>
          <w:sz w:val="18"/>
          <w:szCs w:val="18"/>
          <w:color w:val="auto"/>
        </w:rPr>
        <w: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Listed below are the 252 Smelters identified to us by our Suppliers as potentially in our supply chain for 2017 that the RMAP has reported as compliant with its audit protocols. On that basis, we have determined that the CMs supplied by these Smelters were conflict-free. The location information is as reported by the RMAP as of January 17,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*Smelters that potentially supply the CMs for our ICs.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840" w:type="dxa"/>
            <w:vAlign w:val="bottom"/>
            <w:tcBorders>
              <w:top w:val="single" w:sz="8" w:color="auto"/>
              <w:left w:val="single" w:sz="8" w:color="auto"/>
              <w:bottom w:val="single" w:sz="8" w:color="C6D9F1"/>
              <w:right w:val="single" w:sz="8" w:color="auto"/>
            </w:tcBorders>
            <w:shd w:val="clear" w:color="auto" w:fill="C6D9F1"/>
          </w:tcPr>
          <w:p>
            <w:pPr>
              <w:spacing w:after="0"/>
              <w:rPr>
                <w:sz w:val="23"/>
                <w:szCs w:val="23"/>
                <w:color w:val="auto"/>
              </w:rPr>
            </w:pPr>
          </w:p>
        </w:tc>
        <w:tc>
          <w:tcPr>
            <w:tcW w:w="6600" w:type="dxa"/>
            <w:vAlign w:val="bottom"/>
            <w:tcBorders>
              <w:top w:val="single" w:sz="8" w:color="auto"/>
              <w:bottom w:val="single" w:sz="8" w:color="C6D9F1"/>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Smelter</w:t>
            </w:r>
          </w:p>
        </w:tc>
        <w:tc>
          <w:tcPr>
            <w:tcW w:w="1140" w:type="dxa"/>
            <w:vAlign w:val="bottom"/>
            <w:tcBorders>
              <w:top w:val="single" w:sz="8" w:color="auto"/>
              <w:bottom w:val="single" w:sz="8" w:color="C6D9F1"/>
              <w:right w:val="single" w:sz="8" w:color="auto"/>
            </w:tcBorders>
            <w:shd w:val="clear" w:color="auto" w:fill="C6D9F1"/>
          </w:tcPr>
          <w:p>
            <w:pPr>
              <w:ind w:left="40"/>
              <w:spacing w:after="0"/>
              <w:rPr>
                <w:sz w:val="20"/>
                <w:szCs w:val="20"/>
                <w:color w:val="auto"/>
              </w:rPr>
            </w:pPr>
            <w:r>
              <w:rPr>
                <w:rFonts w:ascii="Arial" w:cs="Arial" w:eastAsia="Arial" w:hAnsi="Arial"/>
                <w:sz w:val="18"/>
                <w:szCs w:val="18"/>
                <w:b w:val="1"/>
                <w:bCs w:val="1"/>
                <w:color w:val="auto"/>
              </w:rPr>
              <w:t>Metal</w:t>
            </w:r>
          </w:p>
        </w:tc>
        <w:tc>
          <w:tcPr>
            <w:tcW w:w="2840" w:type="dxa"/>
            <w:vAlign w:val="bottom"/>
            <w:tcBorders>
              <w:top w:val="single" w:sz="8" w:color="auto"/>
              <w:bottom w:val="single" w:sz="8" w:color="C6D9F1"/>
              <w:right w:val="single" w:sz="8" w:color="auto"/>
            </w:tcBorders>
            <w:shd w:val="clear" w:color="auto" w:fill="C6D9F1"/>
          </w:tcPr>
          <w:p>
            <w:pPr>
              <w:ind w:left="60"/>
              <w:spacing w:after="0"/>
              <w:rPr>
                <w:sz w:val="20"/>
                <w:szCs w:val="20"/>
                <w:color w:val="auto"/>
              </w:rPr>
            </w:pPr>
            <w:r>
              <w:rPr>
                <w:rFonts w:ascii="Arial" w:cs="Arial" w:eastAsia="Arial" w:hAnsi="Arial"/>
                <w:sz w:val="18"/>
                <w:szCs w:val="18"/>
                <w:b w:val="1"/>
                <w:bCs w:val="1"/>
                <w:color w:val="auto"/>
              </w:rPr>
              <w:t>Country Location</w:t>
            </w:r>
          </w:p>
        </w:tc>
        <w:tc>
          <w:tcPr>
            <w:tcW w:w="20" w:type="dxa"/>
            <w:vAlign w:val="bottom"/>
          </w:tcPr>
          <w:p>
            <w:pPr>
              <w:spacing w:after="0"/>
              <w:rPr>
                <w:sz w:val="23"/>
                <w:szCs w:val="23"/>
                <w:color w:val="auto"/>
              </w:rPr>
            </w:pPr>
          </w:p>
        </w:tc>
      </w:tr>
      <w:tr>
        <w:trPr>
          <w:trHeight w:val="224"/>
        </w:trPr>
        <w:tc>
          <w:tcPr>
            <w:tcW w:w="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A.L.M.T. TUNGSTEN Corp.*</w:t>
            </w:r>
          </w:p>
        </w:tc>
        <w:tc>
          <w:tcPr>
            <w:tcW w:w="1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ACL Metais Eireli</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Asia Tungsten Products Vietnam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Chenzhou Diamond Tungsten Products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Chongyi Zhangyuan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Fujian Jinxin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Ganzhou Huaxing Tungsten Products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Ganzhou Jiangwu Ferrotungsten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Ganzhou Seadragon W &amp; Mo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Global Tungsten &amp; Powders Corp.*</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Guangdong Xianglu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H.C. Starck Smelting GmbH &amp; Co. KG*</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0"/>
                <w:szCs w:val="20"/>
                <w:color w:val="auto"/>
              </w:rPr>
            </w:pPr>
          </w:p>
        </w:tc>
      </w:tr>
      <w:tr>
        <w:trPr>
          <w:trHeight w:val="230"/>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Tungsten GmbH*</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0"/>
                <w:szCs w:val="20"/>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Hunan Chenzhou Mining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Hunan Chuangda Vanadium Tungsten Co., Ltd. Wuji*</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Hunan Chunchang Nonferrous Metals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Hydrometallurg, JSC*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 New Metals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Jiangwu H.C. Starck Tungsten Products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Gan Bei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Tonggu Non-ferrous Metallurgical &amp; Chemical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Xinsheng Tungsten Industry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Xiushui Xianggan Nonferrous Metals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Yaosheng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840" w:type="dxa"/>
            <w:vAlign w:val="bottom"/>
          </w:tcPr>
          <w:p>
            <w:pPr>
              <w:spacing w:after="0"/>
              <w:rPr>
                <w:sz w:val="24"/>
                <w:szCs w:val="24"/>
                <w:color w:val="auto"/>
              </w:rPr>
            </w:pPr>
          </w:p>
        </w:tc>
        <w:tc>
          <w:tcPr>
            <w:tcW w:w="6600" w:type="dxa"/>
            <w:vAlign w:val="bottom"/>
          </w:tcPr>
          <w:p>
            <w:pPr>
              <w:ind w:left="482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44"/>
        </w:trPr>
        <w:tc>
          <w:tcPr>
            <w:tcW w:w="840" w:type="dxa"/>
            <w:vAlign w:val="bottom"/>
            <w:tcBorders>
              <w:top w:val="single" w:sz="8" w:color="auto"/>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Kennametal Fallon*</w:t>
            </w:r>
          </w:p>
        </w:tc>
        <w:tc>
          <w:tcPr>
            <w:tcW w:w="1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1"/>
                <w:szCs w:val="21"/>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Kennametal Huntsville*</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Malipo Haiyu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Moliren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Niagara Refining LLC*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Nui Phao H.C. Starck Tungsten Chemicals Manufacturing LLC*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Philippine Chuangxin Industrial Co., Inc.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South-East Nonferrous Metal Company Limited of Hengyang City</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Tejing (Vietnam)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Unecha Refractory metals plant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67"/>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 Youngsun Tungsten Industry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Wolfram Bergbau und Hütten AG*</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Woltech Korea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40"/>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Xiamen Tungsten (H.C.)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Xiamen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Xinfeng Huarui Tungsten &amp; Molybdenum New Material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Xinhai Rendan Shaoguan Tungsten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Alpha*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Chenzhou Yunxiang Mining and Metallurgy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 Tin Group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Ayi Jaya*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Dua Sekawan*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Gita Pesona*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Tiga Sekawan*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United Smelting*</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CV Venus Inti Perkasa*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67"/>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Dowa*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EM Vinto*</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BOLIVIA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Fenix Metals*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Fengming Metallurgy Chemical Plant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67"/>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Jinye Mineral Company*</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Kai Meng Industry and Trade LLC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Non-Ferrous Metal Processing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Yunxin Nonferrous Electrolysis Co.,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Guangdong Hanhe Non-Ferrous Metal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Guanyang Guida Nonferrous Metal Smelting Plant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Huichang Jinshunda Tin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1"/>
                <w:szCs w:val="21"/>
                <w:color w:val="auto"/>
              </w:rPr>
            </w:pPr>
          </w:p>
        </w:tc>
      </w:tr>
      <w:tr>
        <w:trPr>
          <w:trHeight w:val="41"/>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Ketai Advanced Material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67"/>
        </w:trPr>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Magnu's Minerais Metais e Ligas Ltda.*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Malaysia Smelting Corporation (MSC)*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Melt Metais e Ligas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Metallic Resources, Inc.*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840" w:type="dxa"/>
            <w:vAlign w:val="bottom"/>
          </w:tcPr>
          <w:p>
            <w:pPr>
              <w:spacing w:after="0"/>
              <w:rPr>
                <w:sz w:val="24"/>
                <w:szCs w:val="24"/>
                <w:color w:val="auto"/>
              </w:rPr>
            </w:pPr>
          </w:p>
        </w:tc>
        <w:tc>
          <w:tcPr>
            <w:tcW w:w="6600" w:type="dxa"/>
            <w:vAlign w:val="bottom"/>
          </w:tcPr>
          <w:p>
            <w:pPr>
              <w:ind w:left="482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4"/>
        </w:trPr>
        <w:tc>
          <w:tcPr>
            <w:tcW w:w="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67.</w:t>
            </w:r>
          </w:p>
        </w:tc>
        <w:tc>
          <w:tcPr>
            <w:tcW w:w="4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Metallo Belgium N.V. *</w:t>
            </w:r>
          </w:p>
        </w:tc>
        <w:tc>
          <w:tcPr>
            <w:tcW w:w="2300" w:type="dxa"/>
            <w:vAlign w:val="bottom"/>
            <w:tcBorders>
              <w:top w:val="single" w:sz="8" w:color="auto"/>
              <w:right w:val="single" w:sz="8" w:color="auto"/>
            </w:tcBorders>
          </w:tcPr>
          <w:p>
            <w:pPr>
              <w:spacing w:after="0"/>
              <w:rPr>
                <w:sz w:val="21"/>
                <w:szCs w:val="21"/>
                <w:color w:val="auto"/>
              </w:rPr>
            </w:pPr>
          </w:p>
        </w:tc>
        <w:tc>
          <w:tcPr>
            <w:tcW w:w="1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21"/>
                <w:szCs w:val="21"/>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68.</w:t>
            </w:r>
          </w:p>
        </w:tc>
        <w:tc>
          <w:tcPr>
            <w:tcW w:w="4300" w:type="dxa"/>
            <w:vAlign w:val="bottom"/>
          </w:tcPr>
          <w:p>
            <w:pPr>
              <w:ind w:left="100"/>
              <w:spacing w:after="0"/>
              <w:rPr>
                <w:sz w:val="20"/>
                <w:szCs w:val="20"/>
                <w:color w:val="auto"/>
              </w:rPr>
            </w:pPr>
            <w:r>
              <w:rPr>
                <w:rFonts w:ascii="Arial" w:cs="Arial" w:eastAsia="Arial" w:hAnsi="Arial"/>
                <w:sz w:val="18"/>
                <w:szCs w:val="18"/>
                <w:color w:val="auto"/>
              </w:rPr>
              <w:t>Metallo Spain S.L.U. *</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69.</w:t>
            </w:r>
          </w:p>
        </w:tc>
        <w:tc>
          <w:tcPr>
            <w:tcW w:w="4300" w:type="dxa"/>
            <w:vAlign w:val="bottom"/>
          </w:tcPr>
          <w:p>
            <w:pPr>
              <w:ind w:left="100"/>
              <w:spacing w:after="0"/>
              <w:rPr>
                <w:sz w:val="20"/>
                <w:szCs w:val="20"/>
                <w:color w:val="auto"/>
              </w:rPr>
            </w:pPr>
            <w:r>
              <w:rPr>
                <w:rFonts w:ascii="Arial" w:cs="Arial" w:eastAsia="Arial" w:hAnsi="Arial"/>
                <w:sz w:val="18"/>
                <w:szCs w:val="18"/>
                <w:color w:val="auto"/>
              </w:rPr>
              <w:t>Mineração Taboca S.A.*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70.</w:t>
            </w:r>
          </w:p>
        </w:tc>
        <w:tc>
          <w:tcPr>
            <w:tcW w:w="4300" w:type="dxa"/>
            <w:vAlign w:val="bottom"/>
          </w:tcPr>
          <w:p>
            <w:pPr>
              <w:ind w:left="100"/>
              <w:spacing w:after="0"/>
              <w:rPr>
                <w:sz w:val="20"/>
                <w:szCs w:val="20"/>
                <w:color w:val="auto"/>
              </w:rPr>
            </w:pPr>
            <w:r>
              <w:rPr>
                <w:rFonts w:ascii="Arial" w:cs="Arial" w:eastAsia="Arial" w:hAnsi="Arial"/>
                <w:sz w:val="18"/>
                <w:szCs w:val="18"/>
                <w:color w:val="auto"/>
              </w:rPr>
              <w:t>Minsur*</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71.</w:t>
            </w:r>
          </w:p>
        </w:tc>
        <w:tc>
          <w:tcPr>
            <w:tcW w:w="4300" w:type="dxa"/>
            <w:vAlign w:val="bottom"/>
          </w:tcPr>
          <w:p>
            <w:pPr>
              <w:ind w:left="100"/>
              <w:spacing w:after="0"/>
              <w:rPr>
                <w:sz w:val="20"/>
                <w:szCs w:val="20"/>
                <w:color w:val="auto"/>
              </w:rPr>
            </w:pPr>
            <w:r>
              <w:rPr>
                <w:rFonts w:ascii="Arial" w:cs="Arial" w:eastAsia="Arial" w:hAnsi="Arial"/>
                <w:sz w:val="18"/>
                <w:szCs w:val="18"/>
                <w:color w:val="auto"/>
              </w:rPr>
              <w:t>Mitsubishi Materials Corporation*</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72.</w:t>
            </w:r>
          </w:p>
        </w:tc>
        <w:tc>
          <w:tcPr>
            <w:tcW w:w="4300" w:type="dxa"/>
            <w:vAlign w:val="bottom"/>
          </w:tcPr>
          <w:p>
            <w:pPr>
              <w:ind w:left="100"/>
              <w:spacing w:after="0"/>
              <w:rPr>
                <w:sz w:val="20"/>
                <w:szCs w:val="20"/>
                <w:color w:val="auto"/>
              </w:rPr>
            </w:pPr>
            <w:r>
              <w:rPr>
                <w:rFonts w:ascii="Arial" w:cs="Arial" w:eastAsia="Arial" w:hAnsi="Arial"/>
                <w:sz w:val="18"/>
                <w:szCs w:val="18"/>
                <w:color w:val="auto"/>
              </w:rPr>
              <w:t>O.M. Manufacturing (Thailand) Co., Ltd.*</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73.</w:t>
            </w:r>
          </w:p>
        </w:tc>
        <w:tc>
          <w:tcPr>
            <w:tcW w:w="4300" w:type="dxa"/>
            <w:vAlign w:val="bottom"/>
          </w:tcPr>
          <w:p>
            <w:pPr>
              <w:ind w:left="100"/>
              <w:spacing w:after="0"/>
              <w:rPr>
                <w:sz w:val="20"/>
                <w:szCs w:val="20"/>
                <w:color w:val="auto"/>
              </w:rPr>
            </w:pPr>
            <w:r>
              <w:rPr>
                <w:rFonts w:ascii="Arial" w:cs="Arial" w:eastAsia="Arial" w:hAnsi="Arial"/>
                <w:sz w:val="18"/>
                <w:szCs w:val="18"/>
                <w:color w:val="auto"/>
              </w:rPr>
              <w:t>O.M. Manufacturing Philippines, Inc.*</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74.</w:t>
            </w:r>
          </w:p>
        </w:tc>
        <w:tc>
          <w:tcPr>
            <w:tcW w:w="4300" w:type="dxa"/>
            <w:vAlign w:val="bottom"/>
          </w:tcPr>
          <w:p>
            <w:pPr>
              <w:ind w:left="100"/>
              <w:spacing w:after="0"/>
              <w:rPr>
                <w:sz w:val="20"/>
                <w:szCs w:val="20"/>
                <w:color w:val="auto"/>
              </w:rPr>
            </w:pPr>
            <w:r>
              <w:rPr>
                <w:rFonts w:ascii="Arial" w:cs="Arial" w:eastAsia="Arial" w:hAnsi="Arial"/>
                <w:sz w:val="18"/>
                <w:szCs w:val="18"/>
                <w:color w:val="auto"/>
              </w:rPr>
              <w:t>Operaciones Metalurgical S.A.*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BOLIVIA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75.</w:t>
            </w:r>
          </w:p>
        </w:tc>
        <w:tc>
          <w:tcPr>
            <w:tcW w:w="4300" w:type="dxa"/>
            <w:vAlign w:val="bottom"/>
          </w:tcPr>
          <w:p>
            <w:pPr>
              <w:ind w:left="100"/>
              <w:spacing w:after="0"/>
              <w:rPr>
                <w:sz w:val="20"/>
                <w:szCs w:val="20"/>
                <w:color w:val="auto"/>
              </w:rPr>
            </w:pPr>
            <w:r>
              <w:rPr>
                <w:rFonts w:ascii="Arial" w:cs="Arial" w:eastAsia="Arial" w:hAnsi="Arial"/>
                <w:sz w:val="18"/>
                <w:szCs w:val="18"/>
                <w:color w:val="auto"/>
              </w:rPr>
              <w:t>PT Aries Kencana Sejahtera*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76.</w:t>
            </w:r>
          </w:p>
        </w:tc>
        <w:tc>
          <w:tcPr>
            <w:tcW w:w="4300" w:type="dxa"/>
            <w:vAlign w:val="bottom"/>
          </w:tcPr>
          <w:p>
            <w:pPr>
              <w:ind w:left="100"/>
              <w:spacing w:after="0"/>
              <w:rPr>
                <w:sz w:val="20"/>
                <w:szCs w:val="20"/>
                <w:color w:val="auto"/>
              </w:rPr>
            </w:pPr>
            <w:r>
              <w:rPr>
                <w:rFonts w:ascii="Arial" w:cs="Arial" w:eastAsia="Arial" w:hAnsi="Arial"/>
                <w:sz w:val="18"/>
                <w:szCs w:val="18"/>
                <w:color w:val="auto"/>
              </w:rPr>
              <w:t>PT Artha Cipta Langgeng*</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77.</w:t>
            </w:r>
          </w:p>
        </w:tc>
        <w:tc>
          <w:tcPr>
            <w:tcW w:w="4300" w:type="dxa"/>
            <w:vAlign w:val="bottom"/>
          </w:tcPr>
          <w:p>
            <w:pPr>
              <w:ind w:left="100"/>
              <w:spacing w:after="0"/>
              <w:rPr>
                <w:sz w:val="20"/>
                <w:szCs w:val="20"/>
                <w:color w:val="auto"/>
              </w:rPr>
            </w:pPr>
            <w:r>
              <w:rPr>
                <w:rFonts w:ascii="Arial" w:cs="Arial" w:eastAsia="Arial" w:hAnsi="Arial"/>
                <w:sz w:val="18"/>
                <w:szCs w:val="18"/>
                <w:color w:val="auto"/>
              </w:rPr>
              <w:t>PT ATD Makmur Mandiri Jaya*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78.</w:t>
            </w:r>
          </w:p>
        </w:tc>
        <w:tc>
          <w:tcPr>
            <w:tcW w:w="4300" w:type="dxa"/>
            <w:vAlign w:val="bottom"/>
          </w:tcPr>
          <w:p>
            <w:pPr>
              <w:ind w:left="100"/>
              <w:spacing w:after="0"/>
              <w:rPr>
                <w:sz w:val="20"/>
                <w:szCs w:val="20"/>
                <w:color w:val="auto"/>
              </w:rPr>
            </w:pPr>
            <w:r>
              <w:rPr>
                <w:rFonts w:ascii="Arial" w:cs="Arial" w:eastAsia="Arial" w:hAnsi="Arial"/>
                <w:sz w:val="18"/>
                <w:szCs w:val="18"/>
                <w:color w:val="auto"/>
              </w:rPr>
              <w:t>PT Babel Inti Perkasa*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79.</w:t>
            </w:r>
          </w:p>
        </w:tc>
        <w:tc>
          <w:tcPr>
            <w:tcW w:w="4300" w:type="dxa"/>
            <w:vAlign w:val="bottom"/>
          </w:tcPr>
          <w:p>
            <w:pPr>
              <w:ind w:left="100"/>
              <w:spacing w:after="0"/>
              <w:rPr>
                <w:sz w:val="20"/>
                <w:szCs w:val="20"/>
                <w:color w:val="auto"/>
              </w:rPr>
            </w:pPr>
            <w:r>
              <w:rPr>
                <w:rFonts w:ascii="Arial" w:cs="Arial" w:eastAsia="Arial" w:hAnsi="Arial"/>
                <w:sz w:val="18"/>
                <w:szCs w:val="18"/>
                <w:color w:val="auto"/>
              </w:rPr>
              <w:t>PT Bangka Prima Tin*</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80.</w:t>
            </w:r>
          </w:p>
        </w:tc>
        <w:tc>
          <w:tcPr>
            <w:tcW w:w="4300" w:type="dxa"/>
            <w:vAlign w:val="bottom"/>
          </w:tcPr>
          <w:p>
            <w:pPr>
              <w:ind w:left="100"/>
              <w:spacing w:after="0"/>
              <w:rPr>
                <w:sz w:val="20"/>
                <w:szCs w:val="20"/>
                <w:color w:val="auto"/>
              </w:rPr>
            </w:pPr>
            <w:r>
              <w:rPr>
                <w:rFonts w:ascii="Arial" w:cs="Arial" w:eastAsia="Arial" w:hAnsi="Arial"/>
                <w:sz w:val="18"/>
                <w:szCs w:val="18"/>
                <w:color w:val="auto"/>
              </w:rPr>
              <w:t>PT Bangka Tin Industry*</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81.</w:t>
            </w:r>
          </w:p>
        </w:tc>
        <w:tc>
          <w:tcPr>
            <w:tcW w:w="4300" w:type="dxa"/>
            <w:vAlign w:val="bottom"/>
          </w:tcPr>
          <w:p>
            <w:pPr>
              <w:ind w:left="100"/>
              <w:spacing w:after="0"/>
              <w:rPr>
                <w:sz w:val="20"/>
                <w:szCs w:val="20"/>
                <w:color w:val="auto"/>
              </w:rPr>
            </w:pPr>
            <w:r>
              <w:rPr>
                <w:rFonts w:ascii="Arial" w:cs="Arial" w:eastAsia="Arial" w:hAnsi="Arial"/>
                <w:sz w:val="18"/>
                <w:szCs w:val="18"/>
                <w:color w:val="auto"/>
              </w:rPr>
              <w:t>PT Belitung Industri Sejahtera*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82.</w:t>
            </w:r>
          </w:p>
        </w:tc>
        <w:tc>
          <w:tcPr>
            <w:tcW w:w="4300" w:type="dxa"/>
            <w:vAlign w:val="bottom"/>
          </w:tcPr>
          <w:p>
            <w:pPr>
              <w:ind w:left="100"/>
              <w:spacing w:after="0"/>
              <w:rPr>
                <w:sz w:val="20"/>
                <w:szCs w:val="20"/>
                <w:color w:val="auto"/>
              </w:rPr>
            </w:pPr>
            <w:r>
              <w:rPr>
                <w:rFonts w:ascii="Arial" w:cs="Arial" w:eastAsia="Arial" w:hAnsi="Arial"/>
                <w:sz w:val="18"/>
                <w:szCs w:val="18"/>
                <w:color w:val="auto"/>
              </w:rPr>
              <w:t>PT Bukit Timah*</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83.</w:t>
            </w:r>
          </w:p>
        </w:tc>
        <w:tc>
          <w:tcPr>
            <w:tcW w:w="4300" w:type="dxa"/>
            <w:vAlign w:val="bottom"/>
          </w:tcPr>
          <w:p>
            <w:pPr>
              <w:ind w:left="100"/>
              <w:spacing w:after="0"/>
              <w:rPr>
                <w:sz w:val="20"/>
                <w:szCs w:val="20"/>
                <w:color w:val="auto"/>
              </w:rPr>
            </w:pPr>
            <w:r>
              <w:rPr>
                <w:rFonts w:ascii="Arial" w:cs="Arial" w:eastAsia="Arial" w:hAnsi="Arial"/>
                <w:sz w:val="18"/>
                <w:szCs w:val="18"/>
                <w:color w:val="auto"/>
              </w:rPr>
              <w:t>PT DS Jaya Abadi*</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84.</w:t>
            </w:r>
          </w:p>
        </w:tc>
        <w:tc>
          <w:tcPr>
            <w:tcW w:w="4300" w:type="dxa"/>
            <w:vAlign w:val="bottom"/>
          </w:tcPr>
          <w:p>
            <w:pPr>
              <w:ind w:left="100"/>
              <w:spacing w:after="0"/>
              <w:rPr>
                <w:sz w:val="20"/>
                <w:szCs w:val="20"/>
                <w:color w:val="auto"/>
              </w:rPr>
            </w:pPr>
            <w:r>
              <w:rPr>
                <w:rFonts w:ascii="Arial" w:cs="Arial" w:eastAsia="Arial" w:hAnsi="Arial"/>
                <w:sz w:val="18"/>
                <w:szCs w:val="18"/>
                <w:color w:val="auto"/>
              </w:rPr>
              <w:t>PT Eunindo Usaha Mandiri*</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85.</w:t>
            </w:r>
          </w:p>
        </w:tc>
        <w:tc>
          <w:tcPr>
            <w:tcW w:w="4300" w:type="dxa"/>
            <w:vAlign w:val="bottom"/>
          </w:tcPr>
          <w:p>
            <w:pPr>
              <w:ind w:left="100"/>
              <w:spacing w:after="0"/>
              <w:rPr>
                <w:sz w:val="20"/>
                <w:szCs w:val="20"/>
                <w:color w:val="auto"/>
              </w:rPr>
            </w:pPr>
            <w:r>
              <w:rPr>
                <w:rFonts w:ascii="Arial" w:cs="Arial" w:eastAsia="Arial" w:hAnsi="Arial"/>
                <w:sz w:val="18"/>
                <w:szCs w:val="18"/>
                <w:color w:val="auto"/>
              </w:rPr>
              <w:t>PT Inti Stania Prima*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86.</w:t>
            </w:r>
          </w:p>
        </w:tc>
        <w:tc>
          <w:tcPr>
            <w:tcW w:w="4300" w:type="dxa"/>
            <w:vAlign w:val="bottom"/>
          </w:tcPr>
          <w:p>
            <w:pPr>
              <w:ind w:left="100"/>
              <w:spacing w:after="0"/>
              <w:rPr>
                <w:sz w:val="20"/>
                <w:szCs w:val="20"/>
                <w:color w:val="auto"/>
              </w:rPr>
            </w:pPr>
            <w:r>
              <w:rPr>
                <w:rFonts w:ascii="Arial" w:cs="Arial" w:eastAsia="Arial" w:hAnsi="Arial"/>
                <w:sz w:val="18"/>
                <w:szCs w:val="18"/>
                <w:color w:val="auto"/>
              </w:rPr>
              <w:t>PT Karimun Mining*</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87.</w:t>
            </w:r>
          </w:p>
        </w:tc>
        <w:tc>
          <w:tcPr>
            <w:tcW w:w="4300" w:type="dxa"/>
            <w:vAlign w:val="bottom"/>
          </w:tcPr>
          <w:p>
            <w:pPr>
              <w:ind w:left="100"/>
              <w:spacing w:after="0"/>
              <w:rPr>
                <w:sz w:val="20"/>
                <w:szCs w:val="20"/>
                <w:color w:val="auto"/>
              </w:rPr>
            </w:pPr>
            <w:r>
              <w:rPr>
                <w:rFonts w:ascii="Arial" w:cs="Arial" w:eastAsia="Arial" w:hAnsi="Arial"/>
                <w:sz w:val="18"/>
                <w:szCs w:val="18"/>
                <w:color w:val="auto"/>
              </w:rPr>
              <w:t>PT Kijang Jaya Mandiri</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88.</w:t>
            </w:r>
          </w:p>
        </w:tc>
        <w:tc>
          <w:tcPr>
            <w:tcW w:w="4300" w:type="dxa"/>
            <w:vAlign w:val="bottom"/>
          </w:tcPr>
          <w:p>
            <w:pPr>
              <w:ind w:left="100"/>
              <w:spacing w:after="0"/>
              <w:rPr>
                <w:sz w:val="20"/>
                <w:szCs w:val="20"/>
                <w:color w:val="auto"/>
              </w:rPr>
            </w:pPr>
            <w:r>
              <w:rPr>
                <w:rFonts w:ascii="Arial" w:cs="Arial" w:eastAsia="Arial" w:hAnsi="Arial"/>
                <w:sz w:val="18"/>
                <w:szCs w:val="18"/>
                <w:color w:val="auto"/>
              </w:rPr>
              <w:t>PT Lautan Harmonis Sejahtera *</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89.</w:t>
            </w:r>
          </w:p>
        </w:tc>
        <w:tc>
          <w:tcPr>
            <w:tcW w:w="4300" w:type="dxa"/>
            <w:vAlign w:val="bottom"/>
          </w:tcPr>
          <w:p>
            <w:pPr>
              <w:ind w:left="100"/>
              <w:spacing w:after="0"/>
              <w:rPr>
                <w:sz w:val="20"/>
                <w:szCs w:val="20"/>
                <w:color w:val="auto"/>
              </w:rPr>
            </w:pPr>
            <w:r>
              <w:rPr>
                <w:rFonts w:ascii="Arial" w:cs="Arial" w:eastAsia="Arial" w:hAnsi="Arial"/>
                <w:sz w:val="18"/>
                <w:szCs w:val="18"/>
                <w:color w:val="auto"/>
              </w:rPr>
              <w:t>PT Menara Cipta Mulia *</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90.</w:t>
            </w:r>
          </w:p>
        </w:tc>
        <w:tc>
          <w:tcPr>
            <w:tcW w:w="4300" w:type="dxa"/>
            <w:vAlign w:val="bottom"/>
          </w:tcPr>
          <w:p>
            <w:pPr>
              <w:ind w:left="100"/>
              <w:spacing w:after="0"/>
              <w:rPr>
                <w:sz w:val="20"/>
                <w:szCs w:val="20"/>
                <w:color w:val="auto"/>
              </w:rPr>
            </w:pPr>
            <w:r>
              <w:rPr>
                <w:rFonts w:ascii="Arial" w:cs="Arial" w:eastAsia="Arial" w:hAnsi="Arial"/>
                <w:sz w:val="18"/>
                <w:szCs w:val="18"/>
                <w:color w:val="auto"/>
              </w:rPr>
              <w:t>PT Mitra Stania Prima*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91.</w:t>
            </w:r>
          </w:p>
        </w:tc>
        <w:tc>
          <w:tcPr>
            <w:tcW w:w="4300" w:type="dxa"/>
            <w:vAlign w:val="bottom"/>
          </w:tcPr>
          <w:p>
            <w:pPr>
              <w:ind w:left="100"/>
              <w:spacing w:after="0"/>
              <w:rPr>
                <w:sz w:val="20"/>
                <w:szCs w:val="20"/>
                <w:color w:val="auto"/>
              </w:rPr>
            </w:pPr>
            <w:r>
              <w:rPr>
                <w:rFonts w:ascii="Arial" w:cs="Arial" w:eastAsia="Arial" w:hAnsi="Arial"/>
                <w:sz w:val="18"/>
                <w:szCs w:val="18"/>
                <w:color w:val="auto"/>
              </w:rPr>
              <w:t>PT O.M. Indonesia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92.</w:t>
            </w:r>
          </w:p>
        </w:tc>
        <w:tc>
          <w:tcPr>
            <w:tcW w:w="4300" w:type="dxa"/>
            <w:vAlign w:val="bottom"/>
          </w:tcPr>
          <w:p>
            <w:pPr>
              <w:ind w:left="100"/>
              <w:spacing w:after="0"/>
              <w:rPr>
                <w:sz w:val="20"/>
                <w:szCs w:val="20"/>
                <w:color w:val="auto"/>
              </w:rPr>
            </w:pPr>
            <w:r>
              <w:rPr>
                <w:rFonts w:ascii="Arial" w:cs="Arial" w:eastAsia="Arial" w:hAnsi="Arial"/>
                <w:sz w:val="18"/>
                <w:szCs w:val="18"/>
                <w:color w:val="auto"/>
              </w:rPr>
              <w:t>PT Panca Mega Persada*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93.</w:t>
            </w:r>
          </w:p>
        </w:tc>
        <w:tc>
          <w:tcPr>
            <w:tcW w:w="4300" w:type="dxa"/>
            <w:vAlign w:val="bottom"/>
          </w:tcPr>
          <w:p>
            <w:pPr>
              <w:ind w:left="100"/>
              <w:spacing w:after="0"/>
              <w:rPr>
                <w:sz w:val="20"/>
                <w:szCs w:val="20"/>
                <w:color w:val="auto"/>
              </w:rPr>
            </w:pPr>
            <w:r>
              <w:rPr>
                <w:rFonts w:ascii="Arial" w:cs="Arial" w:eastAsia="Arial" w:hAnsi="Arial"/>
                <w:sz w:val="18"/>
                <w:szCs w:val="18"/>
                <w:color w:val="auto"/>
              </w:rPr>
              <w:t>PT Premium Tin Indonesia*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94.</w:t>
            </w:r>
          </w:p>
        </w:tc>
        <w:tc>
          <w:tcPr>
            <w:tcW w:w="4300" w:type="dxa"/>
            <w:vAlign w:val="bottom"/>
          </w:tcPr>
          <w:p>
            <w:pPr>
              <w:ind w:left="100"/>
              <w:spacing w:after="0"/>
              <w:rPr>
                <w:sz w:val="20"/>
                <w:szCs w:val="20"/>
                <w:color w:val="auto"/>
              </w:rPr>
            </w:pPr>
            <w:r>
              <w:rPr>
                <w:rFonts w:ascii="Arial" w:cs="Arial" w:eastAsia="Arial" w:hAnsi="Arial"/>
                <w:sz w:val="18"/>
                <w:szCs w:val="18"/>
                <w:color w:val="auto"/>
              </w:rPr>
              <w:t>PT Prima Timah Utama*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95.</w:t>
            </w:r>
          </w:p>
        </w:tc>
        <w:tc>
          <w:tcPr>
            <w:tcW w:w="4300" w:type="dxa"/>
            <w:vAlign w:val="bottom"/>
          </w:tcPr>
          <w:p>
            <w:pPr>
              <w:ind w:left="100"/>
              <w:spacing w:after="0"/>
              <w:rPr>
                <w:sz w:val="20"/>
                <w:szCs w:val="20"/>
                <w:color w:val="auto"/>
              </w:rPr>
            </w:pPr>
            <w:r>
              <w:rPr>
                <w:rFonts w:ascii="Arial" w:cs="Arial" w:eastAsia="Arial" w:hAnsi="Arial"/>
                <w:sz w:val="18"/>
                <w:szCs w:val="18"/>
                <w:color w:val="auto"/>
              </w:rPr>
              <w:t>PT Refined Bangka Tin*</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96.</w:t>
            </w:r>
          </w:p>
        </w:tc>
        <w:tc>
          <w:tcPr>
            <w:tcW w:w="4300" w:type="dxa"/>
            <w:vAlign w:val="bottom"/>
          </w:tcPr>
          <w:p>
            <w:pPr>
              <w:ind w:left="100"/>
              <w:spacing w:after="0"/>
              <w:rPr>
                <w:sz w:val="20"/>
                <w:szCs w:val="20"/>
                <w:color w:val="auto"/>
              </w:rPr>
            </w:pPr>
            <w:r>
              <w:rPr>
                <w:rFonts w:ascii="Arial" w:cs="Arial" w:eastAsia="Arial" w:hAnsi="Arial"/>
                <w:sz w:val="18"/>
                <w:szCs w:val="18"/>
                <w:color w:val="auto"/>
              </w:rPr>
              <w:t>PT Sariwiguna Binasentosa*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97.</w:t>
            </w:r>
          </w:p>
        </w:tc>
        <w:tc>
          <w:tcPr>
            <w:tcW w:w="4300" w:type="dxa"/>
            <w:vAlign w:val="bottom"/>
          </w:tcPr>
          <w:p>
            <w:pPr>
              <w:ind w:left="100"/>
              <w:spacing w:after="0"/>
              <w:rPr>
                <w:sz w:val="20"/>
                <w:szCs w:val="20"/>
                <w:color w:val="auto"/>
              </w:rPr>
            </w:pPr>
            <w:r>
              <w:rPr>
                <w:rFonts w:ascii="Arial" w:cs="Arial" w:eastAsia="Arial" w:hAnsi="Arial"/>
                <w:sz w:val="18"/>
                <w:szCs w:val="18"/>
                <w:color w:val="auto"/>
              </w:rPr>
              <w:t>PT Stanindo Inti Perkasa*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98.</w:t>
            </w:r>
          </w:p>
        </w:tc>
        <w:tc>
          <w:tcPr>
            <w:tcW w:w="4300" w:type="dxa"/>
            <w:vAlign w:val="bottom"/>
          </w:tcPr>
          <w:p>
            <w:pPr>
              <w:ind w:left="100"/>
              <w:spacing w:after="0"/>
              <w:rPr>
                <w:sz w:val="20"/>
                <w:szCs w:val="20"/>
                <w:color w:val="auto"/>
              </w:rPr>
            </w:pPr>
            <w:r>
              <w:rPr>
                <w:rFonts w:ascii="Arial" w:cs="Arial" w:eastAsia="Arial" w:hAnsi="Arial"/>
                <w:sz w:val="18"/>
                <w:szCs w:val="18"/>
                <w:color w:val="auto"/>
              </w:rPr>
              <w:t>PT Sukses Inti Makmur*</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99.</w:t>
            </w:r>
          </w:p>
        </w:tc>
        <w:tc>
          <w:tcPr>
            <w:tcW w:w="4300" w:type="dxa"/>
            <w:vAlign w:val="bottom"/>
          </w:tcPr>
          <w:p>
            <w:pPr>
              <w:ind w:left="100"/>
              <w:spacing w:after="0"/>
              <w:rPr>
                <w:sz w:val="20"/>
                <w:szCs w:val="20"/>
                <w:color w:val="auto"/>
              </w:rPr>
            </w:pPr>
            <w:r>
              <w:rPr>
                <w:rFonts w:ascii="Arial" w:cs="Arial" w:eastAsia="Arial" w:hAnsi="Arial"/>
                <w:sz w:val="18"/>
                <w:szCs w:val="18"/>
                <w:color w:val="auto"/>
              </w:rPr>
              <w:t>PT Sumber Jaya Indah*</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w:t>
            </w:r>
          </w:p>
        </w:tc>
        <w:tc>
          <w:tcPr>
            <w:tcW w:w="4300" w:type="dxa"/>
            <w:vAlign w:val="bottom"/>
          </w:tcPr>
          <w:p>
            <w:pPr>
              <w:ind w:left="100"/>
              <w:spacing w:after="0"/>
              <w:rPr>
                <w:sz w:val="20"/>
                <w:szCs w:val="20"/>
                <w:color w:val="auto"/>
              </w:rPr>
            </w:pPr>
            <w:r>
              <w:rPr>
                <w:rFonts w:ascii="Arial" w:cs="Arial" w:eastAsia="Arial" w:hAnsi="Arial"/>
                <w:sz w:val="18"/>
                <w:szCs w:val="18"/>
                <w:color w:val="auto"/>
              </w:rPr>
              <w:t>PT Timah (Persero) Tbk Kundur*</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101.</w:t>
            </w:r>
          </w:p>
        </w:tc>
        <w:tc>
          <w:tcPr>
            <w:tcW w:w="4300" w:type="dxa"/>
            <w:vAlign w:val="bottom"/>
          </w:tcPr>
          <w:p>
            <w:pPr>
              <w:ind w:left="100"/>
              <w:spacing w:after="0"/>
              <w:rPr>
                <w:sz w:val="20"/>
                <w:szCs w:val="20"/>
                <w:color w:val="auto"/>
              </w:rPr>
            </w:pPr>
            <w:r>
              <w:rPr>
                <w:rFonts w:ascii="Arial" w:cs="Arial" w:eastAsia="Arial" w:hAnsi="Arial"/>
                <w:sz w:val="18"/>
                <w:szCs w:val="18"/>
                <w:color w:val="auto"/>
              </w:rPr>
              <w:t>PT Timah (Persero) Tbk Mentok*</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102.</w:t>
            </w:r>
          </w:p>
        </w:tc>
        <w:tc>
          <w:tcPr>
            <w:tcW w:w="4300" w:type="dxa"/>
            <w:vAlign w:val="bottom"/>
          </w:tcPr>
          <w:p>
            <w:pPr>
              <w:ind w:left="100"/>
              <w:spacing w:after="0"/>
              <w:rPr>
                <w:sz w:val="20"/>
                <w:szCs w:val="20"/>
                <w:color w:val="auto"/>
              </w:rPr>
            </w:pPr>
            <w:r>
              <w:rPr>
                <w:rFonts w:ascii="Arial" w:cs="Arial" w:eastAsia="Arial" w:hAnsi="Arial"/>
                <w:sz w:val="18"/>
                <w:szCs w:val="18"/>
                <w:color w:val="auto"/>
              </w:rPr>
              <w:t>PT Tinindo Inter Nusa*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103.</w:t>
            </w:r>
          </w:p>
        </w:tc>
        <w:tc>
          <w:tcPr>
            <w:tcW w:w="4300" w:type="dxa"/>
            <w:vAlign w:val="bottom"/>
          </w:tcPr>
          <w:p>
            <w:pPr>
              <w:ind w:left="100"/>
              <w:spacing w:after="0"/>
              <w:rPr>
                <w:sz w:val="20"/>
                <w:szCs w:val="20"/>
                <w:color w:val="auto"/>
              </w:rPr>
            </w:pPr>
            <w:r>
              <w:rPr>
                <w:rFonts w:ascii="Arial" w:cs="Arial" w:eastAsia="Arial" w:hAnsi="Arial"/>
                <w:sz w:val="18"/>
                <w:szCs w:val="18"/>
                <w:color w:val="auto"/>
              </w:rPr>
              <w:t>PT Tommy Utama*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104.</w:t>
            </w:r>
          </w:p>
        </w:tc>
        <w:tc>
          <w:tcPr>
            <w:tcW w:w="4300" w:type="dxa"/>
            <w:vAlign w:val="bottom"/>
          </w:tcPr>
          <w:p>
            <w:pPr>
              <w:ind w:left="100"/>
              <w:spacing w:after="0"/>
              <w:rPr>
                <w:sz w:val="20"/>
                <w:szCs w:val="20"/>
                <w:color w:val="auto"/>
              </w:rPr>
            </w:pPr>
            <w:r>
              <w:rPr>
                <w:rFonts w:ascii="Arial" w:cs="Arial" w:eastAsia="Arial" w:hAnsi="Arial"/>
                <w:sz w:val="18"/>
                <w:szCs w:val="18"/>
                <w:color w:val="auto"/>
              </w:rPr>
              <w:t>Resind Indústria e Comércio Ltda.*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105.</w:t>
            </w:r>
          </w:p>
        </w:tc>
        <w:tc>
          <w:tcPr>
            <w:tcW w:w="4300" w:type="dxa"/>
            <w:vAlign w:val="bottom"/>
          </w:tcPr>
          <w:p>
            <w:pPr>
              <w:ind w:left="100"/>
              <w:spacing w:after="0"/>
              <w:rPr>
                <w:sz w:val="20"/>
                <w:szCs w:val="20"/>
                <w:color w:val="auto"/>
              </w:rPr>
            </w:pPr>
            <w:r>
              <w:rPr>
                <w:rFonts w:ascii="Arial" w:cs="Arial" w:eastAsia="Arial" w:hAnsi="Arial"/>
                <w:sz w:val="18"/>
                <w:szCs w:val="18"/>
                <w:color w:val="auto"/>
              </w:rPr>
              <w:t>Rui Da Hung*</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106.</w:t>
            </w:r>
          </w:p>
        </w:tc>
        <w:tc>
          <w:tcPr>
            <w:tcW w:w="4300" w:type="dxa"/>
            <w:vAlign w:val="bottom"/>
          </w:tcPr>
          <w:p>
            <w:pPr>
              <w:ind w:left="100"/>
              <w:spacing w:after="0"/>
              <w:rPr>
                <w:sz w:val="20"/>
                <w:szCs w:val="20"/>
                <w:color w:val="auto"/>
              </w:rPr>
            </w:pPr>
            <w:r>
              <w:rPr>
                <w:rFonts w:ascii="Arial" w:cs="Arial" w:eastAsia="Arial" w:hAnsi="Arial"/>
                <w:sz w:val="18"/>
                <w:szCs w:val="18"/>
                <w:color w:val="auto"/>
              </w:rPr>
              <w:t>Soft Metais Ltda.*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107.</w:t>
            </w:r>
          </w:p>
        </w:tc>
        <w:tc>
          <w:tcPr>
            <w:tcW w:w="4300" w:type="dxa"/>
            <w:vAlign w:val="bottom"/>
          </w:tcPr>
          <w:p>
            <w:pPr>
              <w:ind w:left="100"/>
              <w:spacing w:after="0"/>
              <w:rPr>
                <w:sz w:val="20"/>
                <w:szCs w:val="20"/>
                <w:color w:val="auto"/>
              </w:rPr>
            </w:pPr>
            <w:r>
              <w:rPr>
                <w:rFonts w:ascii="Arial" w:cs="Arial" w:eastAsia="Arial" w:hAnsi="Arial"/>
                <w:sz w:val="18"/>
                <w:szCs w:val="18"/>
                <w:color w:val="auto"/>
              </w:rPr>
              <w:t>Thaisarco*</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108.</w:t>
            </w:r>
          </w:p>
        </w:tc>
        <w:tc>
          <w:tcPr>
            <w:tcW w:w="4300" w:type="dxa"/>
            <w:vAlign w:val="bottom"/>
          </w:tcPr>
          <w:p>
            <w:pPr>
              <w:ind w:left="100"/>
              <w:spacing w:after="0"/>
              <w:rPr>
                <w:sz w:val="20"/>
                <w:szCs w:val="20"/>
                <w:color w:val="auto"/>
              </w:rPr>
            </w:pPr>
            <w:r>
              <w:rPr>
                <w:rFonts w:ascii="Arial" w:cs="Arial" w:eastAsia="Arial" w:hAnsi="Arial"/>
                <w:sz w:val="18"/>
                <w:szCs w:val="18"/>
                <w:color w:val="auto"/>
              </w:rPr>
              <w:t>White Solder Metalurgia e Mineração Ltda.*</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109.</w:t>
            </w:r>
          </w:p>
        </w:tc>
        <w:tc>
          <w:tcPr>
            <w:tcW w:w="4300" w:type="dxa"/>
            <w:vAlign w:val="bottom"/>
          </w:tcPr>
          <w:p>
            <w:pPr>
              <w:ind w:left="100"/>
              <w:spacing w:after="0"/>
              <w:rPr>
                <w:sz w:val="20"/>
                <w:szCs w:val="20"/>
                <w:color w:val="auto"/>
              </w:rPr>
            </w:pPr>
            <w:r>
              <w:rPr>
                <w:rFonts w:ascii="Arial" w:cs="Arial" w:eastAsia="Arial" w:hAnsi="Arial"/>
                <w:sz w:val="18"/>
                <w:szCs w:val="18"/>
                <w:color w:val="auto"/>
              </w:rPr>
              <w:t>Yunnan Chengfeng Non-ferrous Metals Co., Ltd. *</w:t>
            </w:r>
          </w:p>
        </w:tc>
        <w:tc>
          <w:tcPr>
            <w:tcW w:w="23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8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00" w:type="dxa"/>
            <w:vAlign w:val="bottom"/>
          </w:tcPr>
          <w:p>
            <w:pPr>
              <w:jc w:val="right"/>
              <w:ind w:right="159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44"/>
        </w:trPr>
        <w:tc>
          <w:tcPr>
            <w:tcW w:w="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110.</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Yunnan Tin Company Limited*</w:t>
            </w:r>
          </w:p>
        </w:tc>
        <w:tc>
          <w:tcPr>
            <w:tcW w:w="1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1"/>
                <w:szCs w:val="21"/>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Asaka Riken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Changsha South Tantalum Niobium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 Block Metals, LLC*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Exotech Inc.*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F&amp;X Electro-Materials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FIR Metals &amp; Resource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Global Advanced Metals Aizu*</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Global Advanced Metals Boyertown*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Guandong Rising Rare Metals – EO Materials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Guangdong Zhiyuan New Material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40"/>
        </w:trPr>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Hermsdorf GmbH*</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Inc.*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Smelting GmbH &amp; Co. KG*</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H.C. Starck Tantalum and Niobium GmbH*</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Hengyang King Xing Lifeng New Materials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Dinghai Tantalum &amp; Niobium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Tuohong New Raw Material</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JiuJiang JinXin Nonferrous Metals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Jiujiang Tanbre Co.,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Jiujiang Zhongao Tantalum &amp; Niobium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KEMET Blue Metals*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134.</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KEMET Blue Powder*</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King-Tan Tantalum Industry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LSM Brasil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Metallurgical Products India Pvt.,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Mineração Taboca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Mitsui Mining and Smelting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Ningxia Orient Tantalum Industry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NPM Silmet AS*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ESTONIA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Power Resources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MACEDONIA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143.</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QuantumClean</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Resind Indústria e Comércio Ltda.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RFH Tantalum Smeltery Co., Ltd./Yanling Juncheng Tantalum &amp; Niobium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Solikamsk Magnesium Works OAO*</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Taki Chemical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148.</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Telex Metals*</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Ulba Metallurgical Plant JSC*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150.</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XinXing HaoRong Electronic Material Co., Ltd.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Yichun Jin Yang Rare Metal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Advanced Chemical Company</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426"/>
        </w:trPr>
        <w:tc>
          <w:tcPr>
            <w:tcW w:w="840" w:type="dxa"/>
            <w:vAlign w:val="bottom"/>
          </w:tcPr>
          <w:p>
            <w:pPr>
              <w:spacing w:after="0"/>
              <w:rPr>
                <w:sz w:val="24"/>
                <w:szCs w:val="24"/>
                <w:color w:val="auto"/>
              </w:rPr>
            </w:pPr>
          </w:p>
        </w:tc>
        <w:tc>
          <w:tcPr>
            <w:tcW w:w="6600" w:type="dxa"/>
            <w:vAlign w:val="bottom"/>
          </w:tcPr>
          <w:p>
            <w:pPr>
              <w:ind w:left="482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44"/>
        </w:trPr>
        <w:tc>
          <w:tcPr>
            <w:tcW w:w="84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153.</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Aida Chemical Industries Co., Ltd.*</w:t>
            </w:r>
          </w:p>
        </w:tc>
        <w:tc>
          <w:tcPr>
            <w:tcW w:w="1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21"/>
                <w:szCs w:val="21"/>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154.</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 Etihad Gold LLC</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20"/>
                <w:szCs w:val="20"/>
                <w:color w:val="auto"/>
              </w:rPr>
            </w:pPr>
          </w:p>
        </w:tc>
      </w:tr>
      <w:tr>
        <w:trPr>
          <w:trHeight w:val="230"/>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155.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Allgemeine Gold-und Silberscheideanstalt A.G.*</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0"/>
                <w:szCs w:val="20"/>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156.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Almalyk Mining and Metallurgical Complex (AMMC)*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157.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AngloGold Ashanti Córrego do Sítio Mineração*</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158.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Argor-Heraeus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159.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Asahi Pretec Corp.*</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Asahi Refining Canada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Asahi Refining USA Inc.*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Asaka Riken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 Traders and Refiners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Aurubis AG*</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Bangko Sentral ng Pilipinas (Central Bank of the Philippines)*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Boliden AB*</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SWEDEN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 Hafner GmbH + Co. KG*</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CCR Refinery - Glencore Canada Corporation*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169.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Cendres + Metaux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Chimet S.p.A.*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Daejin Indus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DODUCO Contacts and Refining GmbH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Dowa*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DSC (Do Sung Corporation)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Eco-System Recycling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Emirates Gold DMCC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Geib Refning Corporation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 Refinery of Zijin Mining Group Co.,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HeeSung Metal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Heimerle + Meule GmbH*</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Heraeus Metals Hong Kong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Heraeus Precious Metals GmbH &amp; Co. KG*</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183.</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Inner Mongolia Qiankun Gold and Silver Refinery Share Co., Ltd.*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Ishifuku Metal Industry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Istanbul Gold Refinery*</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Italpreziosi</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 Mint*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Copper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JSC Ekaterinburg Non-Ferrous Metal Processing Plant*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190.</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JSC Uralelectromed*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JX Nippon Mining &amp; Metals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Kazzinc*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Kennecott Utah Copper LLC*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194.</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Kojima Chemicals Co., Ltd.*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Zinc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840" w:type="dxa"/>
            <w:vAlign w:val="bottom"/>
          </w:tcPr>
          <w:p>
            <w:pPr>
              <w:spacing w:after="0"/>
              <w:rPr>
                <w:sz w:val="24"/>
                <w:szCs w:val="24"/>
                <w:color w:val="auto"/>
              </w:rPr>
            </w:pPr>
          </w:p>
        </w:tc>
        <w:tc>
          <w:tcPr>
            <w:tcW w:w="6600" w:type="dxa"/>
            <w:vAlign w:val="bottom"/>
          </w:tcPr>
          <w:p>
            <w:pPr>
              <w:ind w:left="478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4"/>
        </w:trPr>
        <w:tc>
          <w:tcPr>
            <w:tcW w:w="84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196.</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Kyrgyzaltyn JSC*</w:t>
            </w:r>
          </w:p>
        </w:tc>
        <w:tc>
          <w:tcPr>
            <w:tcW w:w="1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KYRGYZSTAN</w:t>
            </w:r>
          </w:p>
        </w:tc>
        <w:tc>
          <w:tcPr>
            <w:tcW w:w="20" w:type="dxa"/>
            <w:vAlign w:val="bottom"/>
          </w:tcPr>
          <w:p>
            <w:pPr>
              <w:spacing w:after="0"/>
              <w:rPr>
                <w:sz w:val="21"/>
                <w:szCs w:val="21"/>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LS-NIKKO Copper Inc.*</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Marsam Metals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199.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Materion*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Matsuda Sangyo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Technologies (Hong Kong)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Technologies (Singapore) Pte.,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Technologies (Suzhou) Ltd. *</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Technologies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Metalor USA Refining Corporation*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Metalúrgica Met-Mex Peñoles S.A. De C.V.*</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Mitsubishi Materials Corporation*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208.</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Mitsui Mining and Smelting Co., Ltd.*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209.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MMTC-PAMP India Pvt.,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210.</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Moscow Special Alloys Processing Plant*</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Nadir Metal Rafineri San. Ve Tic. 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Nihon Material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Ögussa Österreichische Gold- und Silber-Scheideanstalt GmbH*</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Ohura Precious Metal Industry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OJSC "The Gulidov Krasnoyarsk Non-Ferrous Metals Plant" (OJSC Krastsvetmet)*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OJSC Novosibirsk Refinery*</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PAMP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Planta Recuperadora de Metales SpA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219.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Prioksky Plant of Non-Ferrous Metals*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PT Aneka Tambang (Persero) Tbk*</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PX Précinox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Rand Refinery (Pty)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Republic Metals Corporation*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Royal Canadian Mint*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SAAMP</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Safimet S.p.A.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Samduck Precious Metals*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SAXONIA Edelmetalle GmbH</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229.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Schone Edelmetaal B.V.*</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SEMPSA Joyería Platería S.A.*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Shandong Zhaojin Gold &amp; Silver Refinery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Sichuan Tianze Precious Metals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Singway Technology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234.</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SOE Shyolkovsky Factory of Secondary Precious Metals*</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235.</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Solar Applied Materials Technology Corp.*</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236.</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Sumitomo Metal Mining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237.</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SungEel HiMetal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9"/>
                <w:szCs w:val="19"/>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6"/>
        </w:trPr>
        <w:tc>
          <w:tcPr>
            <w:tcW w:w="840" w:type="dxa"/>
            <w:vAlign w:val="bottom"/>
          </w:tcPr>
          <w:p>
            <w:pPr>
              <w:spacing w:after="0"/>
              <w:rPr>
                <w:sz w:val="24"/>
                <w:szCs w:val="24"/>
                <w:color w:val="auto"/>
              </w:rPr>
            </w:pPr>
          </w:p>
        </w:tc>
        <w:tc>
          <w:tcPr>
            <w:tcW w:w="6600" w:type="dxa"/>
            <w:vAlign w:val="bottom"/>
          </w:tcPr>
          <w:p>
            <w:pPr>
              <w:ind w:left="478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44"/>
        </w:trPr>
        <w:tc>
          <w:tcPr>
            <w:tcW w:w="840" w:type="dxa"/>
            <w:vAlign w:val="bottom"/>
            <w:tcBorders>
              <w:top w:val="single" w:sz="8" w:color="auto"/>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238.</w:t>
            </w:r>
          </w:p>
        </w:tc>
        <w:tc>
          <w:tcPr>
            <w:tcW w:w="66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T.C.A S.p.A*</w:t>
            </w:r>
          </w:p>
        </w:tc>
        <w:tc>
          <w:tcPr>
            <w:tcW w:w="1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239.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Tanaka Kikinzoku Kogyo K.K.*</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Refinery of Shandong Gold Mining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Tokuriki Honten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Torecom*</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243.</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Umicore Brasil Ltda.*</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1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244.</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Umicore Precious Metals Thailand*</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r>
      <w:tr>
        <w:trPr>
          <w:trHeight w:val="21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245.</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Umicore S.A. Business Unit Precious Metals Refining*</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r>
      <w:tr>
        <w:trPr>
          <w:trHeight w:val="21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246.</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Precious Metal Refining, Inc.*</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30"/>
        </w:trPr>
        <w:tc>
          <w:tcPr>
            <w:tcW w:w="840" w:type="dxa"/>
            <w:vAlign w:val="bottom"/>
            <w:tcBorders>
              <w:left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247.</w:t>
            </w:r>
          </w:p>
        </w:tc>
        <w:tc>
          <w:tcPr>
            <w:tcW w:w="6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Valcambi S.A.*</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230"/>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248.</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Western Australian Mint trading as The Perth Mint*</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249.</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WIELAND Edelmetalle GmbH</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250.</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Yamakin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251.</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Yokohama Metal Co., Ltd.*</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4"/>
        </w:trPr>
        <w:tc>
          <w:tcPr>
            <w:tcW w:w="84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252.</w:t>
            </w:r>
          </w:p>
        </w:tc>
        <w:tc>
          <w:tcPr>
            <w:tcW w:w="6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Zhongyuan Gold Smelter of Zhongjin Gold Corporation*</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Table 2</w:t>
      </w:r>
      <w:r>
        <w:rPr>
          <w:rFonts w:ascii="Arial" w:cs="Arial" w:eastAsia="Arial" w:hAnsi="Arial"/>
          <w:sz w:val="18"/>
          <w:szCs w:val="18"/>
          <w:color w:val="auto"/>
        </w:rPr>
        <w:t>:</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Listed below are the 59 Smelters identified to us by our Suppliers as potentially in our supply chain for 2017 that have processed CMs of undeterminable origin. “Active” means the Smelter has committed to participate in a third-party audit of its Conflict Status, as reported by the RMAP. The location information and “Active” status are as reported by the RMAP as of January 17, 2018.</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840" w:type="dxa"/>
            <w:vAlign w:val="bottom"/>
            <w:tcBorders>
              <w:top w:val="single" w:sz="8" w:color="auto"/>
              <w:left w:val="single" w:sz="8" w:color="auto"/>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b w:val="1"/>
                <w:bCs w:val="1"/>
                <w:color w:val="auto"/>
              </w:rPr>
              <w:t>No.</w:t>
            </w:r>
          </w:p>
        </w:tc>
        <w:tc>
          <w:tcPr>
            <w:tcW w:w="5460" w:type="dxa"/>
            <w:vAlign w:val="bottom"/>
            <w:tcBorders>
              <w:top w:val="single" w:sz="8" w:color="auto"/>
              <w:bottom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Smelter</w:t>
            </w:r>
          </w:p>
        </w:tc>
        <w:tc>
          <w:tcPr>
            <w:tcW w:w="1380" w:type="dxa"/>
            <w:vAlign w:val="bottom"/>
            <w:tcBorders>
              <w:top w:val="single" w:sz="8" w:color="auto"/>
              <w:bottom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Metal</w:t>
            </w:r>
          </w:p>
        </w:tc>
        <w:tc>
          <w:tcPr>
            <w:tcW w:w="2840" w:type="dxa"/>
            <w:vAlign w:val="bottom"/>
            <w:tcBorders>
              <w:top w:val="single" w:sz="8" w:color="auto"/>
              <w:bottom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Country</w:t>
            </w:r>
          </w:p>
        </w:tc>
        <w:tc>
          <w:tcPr>
            <w:tcW w:w="900" w:type="dxa"/>
            <w:vAlign w:val="bottom"/>
            <w:tcBorders>
              <w:top w:val="single" w:sz="8" w:color="auto"/>
              <w:bottom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Active</w:t>
            </w:r>
          </w:p>
        </w:tc>
        <w:tc>
          <w:tcPr>
            <w:tcW w:w="20" w:type="dxa"/>
            <w:vAlign w:val="bottom"/>
          </w:tcPr>
          <w:p>
            <w:pPr>
              <w:spacing w:after="0"/>
              <w:rPr>
                <w:sz w:val="21"/>
                <w:szCs w:val="21"/>
                <w:color w:val="auto"/>
              </w:rPr>
            </w:pPr>
          </w:p>
        </w:tc>
      </w:tr>
      <w:tr>
        <w:trPr>
          <w:trHeight w:val="235"/>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Haichuang Tungsten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Yatai Tungsten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Dayu Longxintai Tungsten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Minmetals Gao'an Non-ferrous Metals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 Vinh Joint Stock Mineral Processing Company</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CNMC (Guangxi) PGMA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Electro-Mechanical Facility of the Cao Bang Minerals &amp; Metallurgy JSC</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Estanho de Rondônia S.A.</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Gejiu Zili Mining And Metallurgy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HuiChang Hill Tin Industry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Modeltech Sdn Bhd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Nankang Nanshan Tin Manufactory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Nghe Tinh Non-Ferrous Metals Joint Stock Company</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Super Ligas</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Tuyen Quang Non-Ferrous Metals Joint Stock Company</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16.</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Duoluoshan</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17.</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Abington Reldan Metals, LLC</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18.</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Atasay Kuyumculuk Sanayi Ve Ticaret A.S.</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19.</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Bangalore Refinery</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Caridad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21.</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Chugai Mining</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22.</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Daye Non-Ferrous Metals Mining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23.</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Degussa Sonne/Mond Goldhandel gmbH</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24.</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Elemetal Refining, LLC</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25.</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GCC Gujrat Gold Centre Pvt.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5460" w:type="dxa"/>
            <w:vAlign w:val="bottom"/>
          </w:tcPr>
          <w:p>
            <w:pPr>
              <w:ind w:left="4780"/>
              <w:spacing w:after="0"/>
              <w:rPr>
                <w:sz w:val="20"/>
                <w:szCs w:val="20"/>
                <w:color w:val="auto"/>
              </w:rPr>
            </w:pPr>
            <w:r>
              <w:rPr>
                <w:rFonts w:ascii="Arial" w:cs="Arial" w:eastAsia="Arial" w:hAnsi="Arial"/>
                <w:sz w:val="18"/>
                <w:szCs w:val="18"/>
                <w:color w:val="auto"/>
              </w:rPr>
              <w:t>12</w:t>
            </w: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840" w:type="dxa"/>
            <w:vAlign w:val="bottom"/>
            <w:tcBorders>
              <w:top w:val="single" w:sz="8" w:color="auto"/>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26.</w:t>
            </w:r>
          </w:p>
        </w:tc>
        <w:tc>
          <w:tcPr>
            <w:tcW w:w="54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Great Wall Precious Metals Co., Ltd. of CBPM</w:t>
            </w:r>
          </w:p>
        </w:tc>
        <w:tc>
          <w:tcPr>
            <w:tcW w:w="13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top w:val="single" w:sz="8" w:color="auto"/>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27.</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Guangdong Jinding Gold Limited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28.</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Guoda Safina High-Tech Environmental Refinery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29.</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Hangzhou Fuchunjiang Smelting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30.</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Chenzhou Mining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31.</w:t>
            </w: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HwaSeong CJ CO., LTD.</w:t>
            </w: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9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32.</w:t>
            </w: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Kaloti Precious Metals</w:t>
            </w:r>
          </w:p>
        </w:tc>
        <w:tc>
          <w:tcPr>
            <w:tcW w:w="13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9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33.</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Kazakhmys Smelting LLC</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34.</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KGHM Polska Miedz Spólka Akcyjna</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POLAND</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35.</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Kyshtym Copper-Electrolytic Plant ZAO</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36.</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L’azurde Company for Jewelry</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SAUDI ARABIA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37.</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Lingbao Gold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38.</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Lingbao Jinyuan Tonghui Refinery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39.</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L’Orfebre S.A.</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ANDORRA</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40.</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Luoyang Zijin Yinhui Gold Refinery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41.</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Modeltech Sdn Bhd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42.</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Morris and Watson</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ZEALAND</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43.</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Morris and Watson Gold Coast</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NEW ZEALAND</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44.</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Navoi Mining and Metallurgical Combinat</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45.</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Pease &amp; Curren</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46.</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Penglai Penggang Gold Industry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47.</w:t>
            </w: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Refinery of Seemine Gold Co., Ltd</w:t>
            </w:r>
          </w:p>
        </w:tc>
        <w:tc>
          <w:tcPr>
            <w:tcW w:w="1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40" w:type="dxa"/>
            <w:vAlign w:val="bottom"/>
            <w:tcBorders>
              <w:left w:val="single" w:sz="8" w:color="auto"/>
              <w:right w:val="single" w:sz="8" w:color="auto"/>
            </w:tcBorders>
            <w:vMerge w:val="continue"/>
          </w:tcPr>
          <w:p>
            <w:pPr>
              <w:spacing w:after="0"/>
              <w:rPr>
                <w:sz w:val="8"/>
                <w:szCs w:val="8"/>
                <w:color w:val="auto"/>
              </w:rPr>
            </w:pPr>
          </w:p>
        </w:tc>
        <w:tc>
          <w:tcPr>
            <w:tcW w:w="546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28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40" w:type="dxa"/>
            <w:vAlign w:val="bottom"/>
            <w:tcBorders>
              <w:left w:val="single" w:sz="8" w:color="auto"/>
              <w:bottom w:val="single" w:sz="8" w:color="auto"/>
              <w:right w:val="single" w:sz="8" w:color="auto"/>
            </w:tcBorders>
          </w:tcPr>
          <w:p>
            <w:pPr>
              <w:spacing w:after="0"/>
              <w:rPr>
                <w:sz w:val="9"/>
                <w:szCs w:val="9"/>
                <w:color w:val="auto"/>
              </w:rPr>
            </w:pPr>
          </w:p>
        </w:tc>
        <w:tc>
          <w:tcPr>
            <w:tcW w:w="54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48.</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Remondis Argentia B.V.</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49.</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Sabin Metal Corp.</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50.</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SAFINA A.S.</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CZECH REPUBLIC</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51.</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Sai Refinery</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52.</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Samwon Metals Corp.</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90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53.</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Shandong Tiancheng Biological Gold Industrial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54.</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4"/>
              </w:rPr>
              <w:t>State Research Institute Center for Physical Sciences and Technology</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LITHUANIA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55.</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Tongling Nonferrous Metals Group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56.</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Tony Goetz NV</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57.</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TOO Tau-Ken-Altyn</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58.</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Universal Precious Metals Refining Zambia</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ZAMBIA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59.</w:t>
            </w:r>
          </w:p>
        </w:tc>
        <w:tc>
          <w:tcPr>
            <w:tcW w:w="5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Yunnan Copper Industry Co., Ltd.</w:t>
            </w:r>
          </w:p>
        </w:tc>
        <w:tc>
          <w:tcPr>
            <w:tcW w:w="13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9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40" w:type="dxa"/>
            <w:vAlign w:val="bottom"/>
          </w:tcPr>
          <w:p>
            <w:pPr>
              <w:spacing w:after="0"/>
              <w:rPr>
                <w:sz w:val="24"/>
                <w:szCs w:val="24"/>
                <w:color w:val="auto"/>
              </w:rPr>
            </w:pPr>
          </w:p>
        </w:tc>
        <w:tc>
          <w:tcPr>
            <w:tcW w:w="5460" w:type="dxa"/>
            <w:vAlign w:val="bottom"/>
          </w:tcPr>
          <w:p>
            <w:pPr>
              <w:ind w:left="4780"/>
              <w:spacing w:after="0"/>
              <w:rPr>
                <w:sz w:val="20"/>
                <w:szCs w:val="20"/>
                <w:color w:val="auto"/>
              </w:rPr>
            </w:pPr>
            <w:r>
              <w:rPr>
                <w:rFonts w:ascii="Arial" w:cs="Arial" w:eastAsia="Arial" w:hAnsi="Arial"/>
                <w:sz w:val="18"/>
                <w:szCs w:val="18"/>
                <w:color w:val="auto"/>
              </w:rPr>
              <w:t>13</w:t>
            </w: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9"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Appendix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Private Sector Auditor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INDEPENDENT AUDITOR’S REPORT ON CONFLICT MINERALS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w:t>
      </w:r>
    </w:p>
    <w:p>
      <w:pPr>
        <w:spacing w:after="0" w:line="117" w:lineRule="exact"/>
        <w:rPr>
          <w:sz w:val="20"/>
          <w:szCs w:val="20"/>
          <w:color w:val="auto"/>
        </w:rPr>
      </w:pPr>
    </w:p>
    <w:p>
      <w:pPr>
        <w:jc w:val="both"/>
        <w:ind w:left="760" w:hanging="374"/>
        <w:spacing w:after="0" w:line="25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design of Texas Instruments Incorporated’s (the “Company”) due diligence framework as set forth in the section titled “Design of Due Diligence” of the Conflict Minerals Report for the reporting period from January 1, 2017 through December 31, 2017, is in conformity, in all material respects, with the criteria set forth in the Organisation for Economic Co-Operation and Development Due Diligence Guidance for Responsible Supply Chains of Minerals from Conflict-Affected and High-Risk Areas, Second Edition 2013 (“OECD Due Diligence Guidance”), and</w:t>
      </w:r>
    </w:p>
    <w:p>
      <w:pPr>
        <w:spacing w:after="0" w:line="80"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Company’s description of the due diligence measures it performed, as set forth in the section titled “Due Diligence Measures Taken” of the Conflict Minerals Report for the reporting period from January 1, 2017 through December 31, 2017, is consistent, in all material respects, with the due diligence process that the Company undertook.</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was not conducted for the purpose of evaluating:</w:t>
      </w:r>
    </w:p>
    <w:p>
      <w:pPr>
        <w:spacing w:after="0" w:line="117" w:lineRule="exact"/>
        <w:rPr>
          <w:sz w:val="20"/>
          <w:szCs w:val="20"/>
          <w:color w:val="auto"/>
        </w:rPr>
      </w:pPr>
    </w:p>
    <w:p>
      <w:pPr>
        <w:ind w:left="76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consistency of the due diligence measures that the Company performed with either the design of the Company’s due diligence framework or the OECD Due Diligence Guidance;</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completeness of the Company’s description of the due diligence measures performed;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suitability of the design or operating effectiveness of the Company’s due diligence process;</w:t>
      </w:r>
    </w:p>
    <w:p>
      <w:pPr>
        <w:spacing w:after="0" w:line="117"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 third party can determine from the Conflict Minerals Report if the due diligence measures the Company performed are consistent with the OECD Due Diligence Guidance;</w:t>
      </w:r>
    </w:p>
    <w:p>
      <w:pPr>
        <w:spacing w:after="0" w:line="62"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reasonable country of origin inquiry (RCOI), including the suitability of the design of the RCOI, its operating effectiveness, or the results thereof; or</w:t>
      </w:r>
    </w:p>
    <w:p>
      <w:pPr>
        <w:spacing w:after="0" w:line="62"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conclusions about the source or chain of custody of its conflict minerals, those products subject to due diligence, or the DRC Conflict Free status of its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17" w:lineRule="exact"/>
        <w:rPr>
          <w:sz w:val="20"/>
          <w:szCs w:val="20"/>
          <w:color w:val="auto"/>
        </w:rPr>
      </w:pPr>
    </w:p>
    <w:p>
      <w:pPr>
        <w:jc w:val="both"/>
        <w:ind w:left="760" w:hanging="374"/>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Company’s due diligence framework for the reporting period from January 1, 2017 through December 31, 2017, as set forth in the section titled “Design of Due Diligence” of the Conflict Minerals Report is presented in conformity, with the OECD Due Diligence Guidance, in all material respects and</w:t>
      </w:r>
    </w:p>
    <w:p>
      <w:pPr>
        <w:spacing w:after="0" w:line="73"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description of the due diligence measures it performed as set forth in the section titled “Due Diligence Measures Taken” of the Conflict Minerals Report for the reporting period from January 1, 2017 through December 31, 2017, is presented in conformity with the due diligence process that the Company undertook, in all material respects.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upperLetter"/>
      <w:start w:val="9"/>
    </w:lvl>
  </w:abstractNum>
  <w:abstractNum w:abstractNumId="2">
    <w:nsid w:val="5BD062C2"/>
    <w:multiLevelType w:val="hybridMultilevel"/>
    <w:lvl w:ilvl="0">
      <w:lvlJc w:val="left"/>
      <w:lvlText w:val="%1"/>
      <w:numFmt w:val="upperLetter"/>
      <w:start w:val="1"/>
    </w:lvl>
    <w:lvl w:ilvl="1">
      <w:lvlJc w:val="left"/>
      <w:lvlText w:val="•"/>
      <w:numFmt w:val="bullet"/>
      <w:start w:val="1"/>
    </w:lvl>
  </w:abstractNum>
  <w:abstractNum w:abstractNumId="3">
    <w:nsid w:val="12200854"/>
    <w:multiLevelType w:val="hybridMultilevel"/>
    <w:lvl w:ilvl="0">
      <w:lvlJc w:val="left"/>
      <w:lvlText w:val="%1."/>
      <w:numFmt w:val="upperLetter"/>
      <w:start w:val="6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1."/>
      <w:numFmt w:val="upperLetter"/>
      <w:start w:val="2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2"/>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2019-12-05T09:53:54Z</dcterms:created>
  <dcterms:modified xsi:type="dcterms:W3CDTF">2019-12-05T09:53:54Z</dcterms:modified>
</cp:coreProperties>
</file>