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15240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42545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29210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7" w:lineRule="exact"/>
        <w:rPr>
          <w:sz w:val="24"/>
          <w:szCs w:val="24"/>
          <w:color w:val="auto"/>
        </w:rPr>
      </w:pPr>
    </w:p>
    <w:tbl>
      <w:tblPr>
        <w:tblLayout w:type="fixed"/>
        <w:tblInd w:w="860" w:type="dxa"/>
        <w:tblCellMar>
          <w:top w:w="0" w:type="dxa"/>
          <w:left w:w="0" w:type="dxa"/>
          <w:bottom w:w="0" w:type="dxa"/>
          <w:right w:w="0" w:type="dxa"/>
        </w:tblCellMar>
      </w:tblPr>
      <w:tr>
        <w:trPr>
          <w:trHeight w:val="239"/>
        </w:trPr>
        <w:tc>
          <w:tcPr>
            <w:tcW w:w="2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Delaware</w:t>
            </w:r>
          </w:p>
        </w:tc>
        <w:tc>
          <w:tcPr>
            <w:tcW w:w="5400" w:type="dxa"/>
            <w:vAlign w:val="bottom"/>
          </w:tcPr>
          <w:p>
            <w:pPr>
              <w:jc w:val="center"/>
              <w:ind w:right="60"/>
              <w:spacing w:after="0"/>
              <w:rPr>
                <w:sz w:val="20"/>
                <w:szCs w:val="20"/>
                <w:color w:val="auto"/>
              </w:rPr>
            </w:pPr>
            <w:r>
              <w:rPr>
                <w:rFonts w:ascii="Arial" w:cs="Arial" w:eastAsia="Arial" w:hAnsi="Arial"/>
                <w:sz w:val="18"/>
                <w:szCs w:val="18"/>
                <w:b w:val="1"/>
                <w:bCs w:val="1"/>
                <w:color w:val="auto"/>
                <w:w w:val="99"/>
              </w:rPr>
              <w:t>001-03761</w:t>
            </w:r>
          </w:p>
        </w:tc>
        <w:tc>
          <w:tcPr>
            <w:tcW w:w="1680" w:type="dxa"/>
            <w:vAlign w:val="bottom"/>
            <w:gridSpan w:val="2"/>
          </w:tcPr>
          <w:p>
            <w:pPr>
              <w:jc w:val="center"/>
              <w:ind w:left="399"/>
              <w:spacing w:after="0"/>
              <w:rPr>
                <w:sz w:val="20"/>
                <w:szCs w:val="20"/>
                <w:color w:val="auto"/>
              </w:rPr>
            </w:pPr>
            <w:r>
              <w:rPr>
                <w:rFonts w:ascii="Arial" w:cs="Arial" w:eastAsia="Arial" w:hAnsi="Arial"/>
                <w:sz w:val="18"/>
                <w:szCs w:val="18"/>
                <w:b w:val="1"/>
                <w:bCs w:val="1"/>
                <w:color w:val="auto"/>
                <w:w w:val="99"/>
              </w:rPr>
              <w:t>75-0289970</w:t>
            </w:r>
          </w:p>
        </w:tc>
      </w:tr>
      <w:tr>
        <w:trPr>
          <w:trHeight w:val="144"/>
        </w:trPr>
        <w:tc>
          <w:tcPr>
            <w:tcW w:w="21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rPr>
              <w:t>(State or other jurisdiction</w:t>
            </w:r>
          </w:p>
        </w:tc>
        <w:tc>
          <w:tcPr>
            <w:tcW w:w="540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rPr>
              <w:t>(Commission</w:t>
            </w:r>
          </w:p>
        </w:tc>
        <w:tc>
          <w:tcPr>
            <w:tcW w:w="50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2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of incorporation)</w:t>
            </w:r>
          </w:p>
        </w:tc>
        <w:tc>
          <w:tcPr>
            <w:tcW w:w="5400" w:type="dxa"/>
            <w:vAlign w:val="bottom"/>
          </w:tcPr>
          <w:p>
            <w:pPr>
              <w:jc w:val="center"/>
              <w:ind w:right="60"/>
              <w:spacing w:after="0"/>
              <w:rPr>
                <w:sz w:val="20"/>
                <w:szCs w:val="20"/>
                <w:color w:val="auto"/>
              </w:rPr>
            </w:pPr>
            <w:r>
              <w:rPr>
                <w:rFonts w:ascii="Arial" w:cs="Arial" w:eastAsia="Arial" w:hAnsi="Arial"/>
                <w:sz w:val="14"/>
                <w:szCs w:val="14"/>
                <w:b w:val="1"/>
                <w:bCs w:val="1"/>
                <w:color w:val="auto"/>
              </w:rPr>
              <w:t>file number)</w:t>
            </w:r>
          </w:p>
        </w:tc>
        <w:tc>
          <w:tcPr>
            <w:tcW w:w="168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rPr>
              <w:t>identification no.)</w:t>
            </w:r>
          </w:p>
        </w:tc>
      </w:tr>
      <w:tr>
        <w:trPr>
          <w:trHeight w:val="487"/>
        </w:trPr>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0" w:type="dxa"/>
            <w:vAlign w:val="bottom"/>
          </w:tcPr>
          <w:p>
            <w:pPr>
              <w:jc w:val="center"/>
              <w:ind w:right="80"/>
              <w:spacing w:after="0"/>
              <w:rPr>
                <w:sz w:val="20"/>
                <w:szCs w:val="20"/>
                <w:color w:val="auto"/>
              </w:rPr>
            </w:pPr>
            <w:r>
              <w:rPr>
                <w:rFonts w:ascii="Arial" w:cs="Arial" w:eastAsia="Arial" w:hAnsi="Arial"/>
                <w:sz w:val="18"/>
                <w:szCs w:val="18"/>
                <w:b w:val="1"/>
                <w:bCs w:val="1"/>
                <w:color w:val="auto"/>
                <w:w w:val="99"/>
              </w:rPr>
              <w:t>12500 TI Boulevard</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6"/>
        </w:trPr>
        <w:tc>
          <w:tcPr>
            <w:tcW w:w="1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0" w:type="dxa"/>
            <w:vAlign w:val="bottom"/>
          </w:tcPr>
          <w:p>
            <w:pPr>
              <w:jc w:val="center"/>
              <w:ind w:right="80"/>
              <w:spacing w:after="0"/>
              <w:rPr>
                <w:sz w:val="20"/>
                <w:szCs w:val="20"/>
                <w:color w:val="auto"/>
              </w:rPr>
            </w:pPr>
            <w:r>
              <w:rPr>
                <w:rFonts w:ascii="Arial" w:cs="Arial" w:eastAsia="Arial" w:hAnsi="Arial"/>
                <w:sz w:val="18"/>
                <w:szCs w:val="18"/>
                <w:b w:val="1"/>
                <w:bCs w:val="1"/>
                <w:color w:val="auto"/>
                <w:w w:val="99"/>
              </w:rPr>
              <w:t>Dallas, Texas 75243</w:t>
            </w: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96"/>
        </w:trPr>
        <w:tc>
          <w:tcPr>
            <w:tcW w:w="1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0" w:type="dxa"/>
            <w:vAlign w:val="bottom"/>
          </w:tcPr>
          <w:p>
            <w:pPr>
              <w:jc w:val="center"/>
              <w:ind w:right="80"/>
              <w:spacing w:after="0"/>
              <w:rPr>
                <w:sz w:val="20"/>
                <w:szCs w:val="20"/>
                <w:color w:val="auto"/>
              </w:rPr>
            </w:pPr>
            <w:r>
              <w:rPr>
                <w:rFonts w:ascii="Arial" w:cs="Arial" w:eastAsia="Arial" w:hAnsi="Arial"/>
                <w:sz w:val="14"/>
                <w:szCs w:val="14"/>
                <w:b w:val="1"/>
                <w:bCs w:val="1"/>
                <w:color w:val="auto"/>
              </w:rPr>
              <w:t>(Address of principal executive offices)</w:t>
            </w: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00"/>
        </w:trPr>
        <w:tc>
          <w:tcPr>
            <w:tcW w:w="14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Registrant’s telephone number, including area code: (214) 479-3773</w:t>
            </w:r>
          </w:p>
        </w:tc>
        <w:tc>
          <w:tcPr>
            <w:tcW w:w="500" w:type="dxa"/>
            <w:vAlign w:val="bottom"/>
            <w:tcBorders>
              <w:bottom w:val="single" w:sz="8" w:color="auto"/>
            </w:tcBorders>
          </w:tcPr>
          <w:p>
            <w:pPr>
              <w:spacing w:after="0"/>
              <w:rPr>
                <w:sz w:val="24"/>
                <w:szCs w:val="24"/>
                <w:color w:val="auto"/>
              </w:rPr>
            </w:pPr>
          </w:p>
        </w:tc>
        <w:tc>
          <w:tcPr>
            <w:tcW w:w="1180" w:type="dxa"/>
            <w:vAlign w:val="bottom"/>
          </w:tcPr>
          <w:p>
            <w:pPr>
              <w:spacing w:after="0"/>
              <w:rPr>
                <w:sz w:val="24"/>
                <w:szCs w:val="24"/>
                <w:color w:val="auto"/>
              </w:rPr>
            </w:pPr>
          </w:p>
        </w:tc>
      </w:tr>
    </w:tbl>
    <w:p>
      <w:pPr>
        <w:spacing w:after="0" w:line="346"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6"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09"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42"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55"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4700" w:type="dxa"/>
            <w:vAlign w:val="bottom"/>
            <w:gridSpan w:val="3"/>
            <w:vMerge w:val="restart"/>
          </w:tcPr>
          <w:p>
            <w:pPr>
              <w:jc w:val="center"/>
              <w:ind w:right="640"/>
              <w:spacing w:after="0"/>
              <w:rPr>
                <w:sz w:val="20"/>
                <w:szCs w:val="20"/>
                <w:color w:val="auto"/>
              </w:rPr>
            </w:pPr>
            <w:r>
              <w:rPr>
                <w:rFonts w:ascii="Arial" w:cs="Arial" w:eastAsia="Arial" w:hAnsi="Arial"/>
                <w:sz w:val="18"/>
                <w:szCs w:val="18"/>
                <w:b w:val="1"/>
                <w:bCs w:val="1"/>
                <w:color w:val="auto"/>
                <w:w w:val="99"/>
              </w:rPr>
              <w:t>Title of each class</w:t>
            </w: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6"/>
              </w:rPr>
              <w:t>Trading</w:t>
            </w:r>
          </w:p>
        </w:tc>
        <w:tc>
          <w:tcPr>
            <w:tcW w:w="4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5"/>
        </w:trPr>
        <w:tc>
          <w:tcPr>
            <w:tcW w:w="4700" w:type="dxa"/>
            <w:vAlign w:val="bottom"/>
            <w:gridSpan w:val="3"/>
            <w:vMerge w:val="continue"/>
          </w:tcPr>
          <w:p>
            <w:pPr>
              <w:spacing w:after="0"/>
              <w:rPr>
                <w:sz w:val="20"/>
                <w:szCs w:val="20"/>
                <w:color w:val="auto"/>
              </w:rPr>
            </w:pP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rPr>
              <w:t>Symbol(s)</w:t>
            </w: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par value $1.00</w:t>
            </w: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TXN</w:t>
            </w:r>
          </w:p>
        </w:tc>
        <w:tc>
          <w:tcPr>
            <w:tcW w:w="34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Global Select Market</w:t>
            </w:r>
          </w:p>
        </w:tc>
        <w:tc>
          <w:tcPr>
            <w:tcW w:w="0" w:type="dxa"/>
            <w:vAlign w:val="bottom"/>
          </w:tcPr>
          <w:p>
            <w:pPr>
              <w:spacing w:after="0"/>
              <w:rPr>
                <w:sz w:val="1"/>
                <w:szCs w:val="1"/>
                <w:color w:val="auto"/>
              </w:rPr>
            </w:pPr>
          </w:p>
        </w:tc>
      </w:tr>
    </w:tbl>
    <w:p>
      <w:pPr>
        <w:spacing w:after="0" w:line="274"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128905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68580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Registrant’s news release dated April 23, 2025, regarding its first-quarter results of operations and financial condition is attached hereto as Exhibit 99.</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 -GAAP measures are supplemental to the comparable GAAP measures. Reconciliation to the most directly comparable GAAP measures is included in the “Non-GAAP financial information” section of the news release.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Designation</w:t>
      </w:r>
    </w:p>
    <w:p>
      <w:pPr>
        <w:ind w:left="320"/>
        <w:spacing w:after="0" w:line="203" w:lineRule="auto"/>
        <w:rPr>
          <w:sz w:val="20"/>
          <w:szCs w:val="20"/>
          <w:color w:val="auto"/>
        </w:rPr>
      </w:pPr>
      <w:r>
        <w:rPr>
          <w:rFonts w:ascii="Arial" w:cs="Arial" w:eastAsia="Arial" w:hAnsi="Arial"/>
          <w:sz w:val="14"/>
          <w:szCs w:val="14"/>
          <w:color w:val="auto"/>
        </w:rPr>
        <w:t>of Exhibit</w:t>
      </w:r>
    </w:p>
    <w:p>
      <w:pPr>
        <w:ind w:left="440"/>
        <w:spacing w:after="0" w:line="221" w:lineRule="auto"/>
        <w:rPr>
          <w:sz w:val="20"/>
          <w:szCs w:val="20"/>
          <w:color w:val="auto"/>
        </w:rPr>
      </w:pPr>
      <w:r>
        <w:rPr>
          <w:rFonts w:ascii="Arial" w:cs="Arial" w:eastAsia="Arial" w:hAnsi="Arial"/>
          <w:sz w:val="14"/>
          <w:szCs w:val="14"/>
          <w:color w:val="auto"/>
        </w:rPr>
        <w:t>in this</w:t>
      </w:r>
    </w:p>
    <w:p>
      <w:pPr>
        <w:spacing w:after="0" w:line="1" w:lineRule="exact"/>
        <w:rPr>
          <w:sz w:val="20"/>
          <w:szCs w:val="20"/>
          <w:color w:val="auto"/>
        </w:rPr>
      </w:pPr>
    </w:p>
    <w:p>
      <w:pPr>
        <w:ind w:left="400"/>
        <w:spacing w:after="0"/>
        <w:tabs>
          <w:tab w:leader="none" w:pos="1580" w:val="left"/>
        </w:tabs>
        <w:rPr>
          <w:sz w:val="20"/>
          <w:szCs w:val="20"/>
          <w:color w:val="auto"/>
        </w:rPr>
      </w:pPr>
      <w:r>
        <w:rPr>
          <w:rFonts w:ascii="Arial" w:cs="Arial" w:eastAsia="Arial" w:hAnsi="Arial"/>
          <w:sz w:val="14"/>
          <w:szCs w:val="14"/>
          <w:color w:val="auto"/>
        </w:rPr>
        <w:t>Report</w:t>
      </w:r>
      <w:r>
        <w:rPr>
          <w:sz w:val="20"/>
          <w:szCs w:val="20"/>
          <w:color w:val="auto"/>
        </w:rPr>
        <w:tab/>
      </w:r>
      <w:r>
        <w:rPr>
          <w:rFonts w:ascii="Arial" w:cs="Arial" w:eastAsia="Arial" w:hAnsi="Arial"/>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14605</wp:posOffset>
            </wp:positionV>
            <wp:extent cx="6129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9020" cy="8890"/>
                    </a:xfrm>
                    <a:prstGeom prst="rect">
                      <a:avLst/>
                    </a:prstGeom>
                    <a:noFill/>
                  </pic:spPr>
                </pic:pic>
              </a:graphicData>
            </a:graphic>
          </wp:anchor>
        </w:drawing>
      </w:r>
    </w:p>
    <w:p>
      <w:pPr>
        <w:spacing w:after="0" w:line="268" w:lineRule="exact"/>
        <w:rPr>
          <w:sz w:val="20"/>
          <w:szCs w:val="20"/>
          <w:color w:val="auto"/>
        </w:rPr>
      </w:pPr>
    </w:p>
    <w:p>
      <w:pPr>
        <w:ind w:left="1600" w:hanging="1078"/>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FF"/>
        </w:rPr>
        <w:t>Registrant’s News Release</w:t>
      </w:r>
    </w:p>
    <w:p>
      <w:pPr>
        <w:spacing w:after="0" w:line="31"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Dated April 23, 2025 (furnished pursuant to Item 2.02)</w:t>
      </w:r>
    </w:p>
    <w:p>
      <w:pPr>
        <w:spacing w:after="0" w:line="23" w:lineRule="exact"/>
        <w:rPr>
          <w:sz w:val="20"/>
          <w:szCs w:val="20"/>
          <w:color w:val="auto"/>
        </w:rPr>
      </w:pPr>
    </w:p>
    <w:p>
      <w:pPr>
        <w:ind w:left="480"/>
        <w:spacing w:after="0"/>
        <w:tabs>
          <w:tab w:leader="none" w:pos="1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840" w:type="dxa"/>
            <w:vAlign w:val="bottom"/>
          </w:tcPr>
          <w:p>
            <w:pPr>
              <w:spacing w:after="0"/>
              <w:rPr>
                <w:sz w:val="20"/>
                <w:szCs w:val="20"/>
                <w:color w:val="auto"/>
              </w:rPr>
            </w:pPr>
          </w:p>
        </w:tc>
        <w:tc>
          <w:tcPr>
            <w:tcW w:w="7360" w:type="dxa"/>
            <w:vAlign w:val="bottom"/>
            <w:gridSpan w:val="2"/>
          </w:tcPr>
          <w:p>
            <w:pPr>
              <w:ind w:left="2240"/>
              <w:spacing w:after="0"/>
              <w:rPr>
                <w:sz w:val="20"/>
                <w:szCs w:val="20"/>
                <w:color w:val="auto"/>
              </w:rPr>
            </w:pPr>
            <w:r>
              <w:rPr>
                <w:rFonts w:ascii="Arial" w:cs="Arial" w:eastAsia="Arial" w:hAnsi="Arial"/>
                <w:sz w:val="18"/>
                <w:szCs w:val="18"/>
                <w:color w:val="auto"/>
              </w:rPr>
              <w:t>TEXAS INSTRUMENTS INCORPORATED</w:t>
            </w:r>
          </w:p>
        </w:tc>
      </w:tr>
      <w:tr>
        <w:trPr>
          <w:trHeight w:val="455"/>
        </w:trPr>
        <w:tc>
          <w:tcPr>
            <w:tcW w:w="3840" w:type="dxa"/>
            <w:vAlign w:val="bottom"/>
          </w:tcPr>
          <w:p>
            <w:pPr>
              <w:spacing w:after="0"/>
              <w:rPr>
                <w:sz w:val="20"/>
                <w:szCs w:val="20"/>
                <w:color w:val="auto"/>
              </w:rPr>
            </w:pPr>
            <w:r>
              <w:rPr>
                <w:rFonts w:ascii="Arial" w:cs="Arial" w:eastAsia="Arial" w:hAnsi="Arial"/>
                <w:sz w:val="18"/>
                <w:szCs w:val="18"/>
                <w:color w:val="auto"/>
              </w:rPr>
              <w:t>Date: April 23, 2025</w:t>
            </w:r>
          </w:p>
        </w:tc>
        <w:tc>
          <w:tcPr>
            <w:tcW w:w="3080" w:type="dxa"/>
            <w:vAlign w:val="bottom"/>
          </w:tcPr>
          <w:p>
            <w:pPr>
              <w:ind w:left="224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Rafael Lizardi</w:t>
            </w:r>
          </w:p>
        </w:tc>
      </w:tr>
      <w:tr>
        <w:trPr>
          <w:trHeight w:val="218"/>
        </w:trPr>
        <w:tc>
          <w:tcPr>
            <w:tcW w:w="38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Rafael Lizardi</w:t>
            </w:r>
          </w:p>
        </w:tc>
      </w:tr>
      <w:tr>
        <w:trPr>
          <w:trHeight w:val="229"/>
        </w:trPr>
        <w:tc>
          <w:tcPr>
            <w:tcW w:w="38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9"/>
        </w:trPr>
        <w:tc>
          <w:tcPr>
            <w:tcW w:w="38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0"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first quarter 2025 financial results and shareholder returns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3A3AFF"/>
        </w:rPr>
        <w:t>www.ti.com/ir</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DALLAS (April 23, 2025) – Texas Instruments Incorporated (TI) (Nasdaq: TXN) today reported first quarter revenue of $4.07 billion, net income of $1.18 billion and earnings per share of $1.28. Earnings per share included a 5-cent benefit that was not in the company's original guidance.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Regarding the company's performance and returns to shareholders, Haviv Ilan, TI's president and CEO, made the following comments:</w:t>
      </w:r>
    </w:p>
    <w:p>
      <w:pPr>
        <w:spacing w:after="0" w:line="225" w:lineRule="exact"/>
        <w:rPr>
          <w:sz w:val="20"/>
          <w:szCs w:val="20"/>
          <w:color w:val="auto"/>
        </w:rPr>
      </w:pPr>
    </w:p>
    <w:p>
      <w:pPr>
        <w:ind w:left="620" w:right="12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increased 11% from the same quarter a year ago and increased 2% sequentially. All of our markets grew sequentially with the exception of a seasonal decline in personal electronics.</w:t>
      </w:r>
    </w:p>
    <w:p>
      <w:pPr>
        <w:spacing w:after="0" w:line="152" w:lineRule="exact"/>
        <w:rPr>
          <w:rFonts w:ascii="Arial" w:cs="Arial" w:eastAsia="Arial" w:hAnsi="Arial"/>
          <w:sz w:val="18"/>
          <w:szCs w:val="18"/>
          <w:color w:val="auto"/>
        </w:rPr>
      </w:pPr>
    </w:p>
    <w:p>
      <w:pPr>
        <w:ind w:left="620" w:right="32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of $6.2 billion for the trailing 12 months again underscored the strength of our business model, the quality of our product portfolio and the benefit of 300mm production. Free cash flow for the same period was $1.7 billion.</w:t>
      </w:r>
    </w:p>
    <w:p>
      <w:pPr>
        <w:spacing w:after="0" w:line="152" w:lineRule="exact"/>
        <w:rPr>
          <w:rFonts w:ascii="Arial" w:cs="Arial" w:eastAsia="Arial" w:hAnsi="Arial"/>
          <w:sz w:val="18"/>
          <w:szCs w:val="18"/>
          <w:color w:val="auto"/>
        </w:rPr>
      </w:pPr>
    </w:p>
    <w:p>
      <w:pPr>
        <w:ind w:left="620" w:right="18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 the past 12 months we invested $3.8 billion in R&amp;D and SG&amp;A, invested $4.7 billion in capital expenditures and returned $6.4 billion to owners.</w:t>
      </w:r>
    </w:p>
    <w:p>
      <w:pPr>
        <w:spacing w:after="0" w:line="152" w:lineRule="exact"/>
        <w:rPr>
          <w:rFonts w:ascii="Arial" w:cs="Arial" w:eastAsia="Arial" w:hAnsi="Arial"/>
          <w:sz w:val="18"/>
          <w:szCs w:val="18"/>
          <w:color w:val="auto"/>
        </w:rPr>
      </w:pPr>
    </w:p>
    <w:p>
      <w:pPr>
        <w:ind w:left="620" w:right="36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second quarter outlook is for revenue in the range of $4.17 billion to $4.53 billion and earnings per share between $1.21 and $1.47. In addition, in second quarter, we now expect our effective tax rate to be about 12% to 13%."</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4" w:name="page5"/>
    <w:bookmarkEnd w:id="4"/>
    <w:p>
      <w:pPr>
        <w:spacing w:after="0" w:line="285" w:lineRule="auto"/>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 plus proceeds from U.S. CHIPS and Science Act (CHIPS Act) incentives.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Earnings summary</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Q1 2025</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6"/>
            <w:vMerge w:val="restart"/>
          </w:tcPr>
          <w:p>
            <w:pPr>
              <w:ind w:left="140"/>
              <w:spacing w:after="0"/>
              <w:rPr>
                <w:sz w:val="20"/>
                <w:szCs w:val="20"/>
                <w:color w:val="auto"/>
              </w:rPr>
            </w:pPr>
            <w:r>
              <w:rPr>
                <w:rFonts w:ascii="Arial" w:cs="Arial" w:eastAsia="Arial" w:hAnsi="Arial"/>
                <w:sz w:val="18"/>
                <w:szCs w:val="18"/>
                <w:color w:val="auto"/>
              </w:rPr>
              <w:t>Q1 2024</w:t>
            </w:r>
          </w:p>
        </w:tc>
        <w:tc>
          <w:tcPr>
            <w:tcW w:w="1540" w:type="dxa"/>
            <w:vAlign w:val="bottom"/>
            <w:vMerge w:val="restart"/>
          </w:tcPr>
          <w:p>
            <w:pPr>
              <w:ind w:lef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line="20" w:lineRule="exact"/>
              <w:rPr>
                <w:sz w:val="1"/>
                <w:szCs w:val="1"/>
                <w:color w:val="auto"/>
              </w:rPr>
            </w:pPr>
          </w:p>
        </w:tc>
      </w:tr>
      <w:tr>
        <w:trPr>
          <w:trHeight w:val="547"/>
        </w:trPr>
        <w:tc>
          <w:tcPr>
            <w:tcW w:w="49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 except per-share amounts)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6"/>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DBDBDB"/>
            </w:tcBorders>
            <w:shd w:val="clear" w:color="auto" w:fill="DBDBDB"/>
          </w:tcPr>
          <w:p>
            <w:pPr>
              <w:spacing w:after="0"/>
              <w:rPr>
                <w:sz w:val="19"/>
                <w:szCs w:val="19"/>
                <w:color w:val="auto"/>
              </w:rPr>
            </w:pPr>
          </w:p>
        </w:tc>
        <w:tc>
          <w:tcPr>
            <w:tcW w:w="104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4,069</w:t>
            </w:r>
          </w:p>
        </w:tc>
        <w:tc>
          <w:tcPr>
            <w:tcW w:w="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gridSpan w:val="2"/>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3,661</w:t>
            </w: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1,324</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1,286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1,179</w:t>
            </w:r>
          </w:p>
        </w:tc>
        <w:tc>
          <w:tcPr>
            <w:tcW w:w="340" w:type="dxa"/>
            <w:vAlign w:val="bottom"/>
            <w:gridSpan w:val="4"/>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1,105</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585"/>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9"/>
          </w:tcPr>
          <w:p>
            <w:pPr>
              <w:ind w:left="40"/>
              <w:spacing w:after="0"/>
              <w:rPr>
                <w:sz w:val="20"/>
                <w:szCs w:val="20"/>
                <w:color w:val="auto"/>
              </w:rPr>
            </w:pPr>
            <w:r>
              <w:rPr>
                <w:rFonts w:ascii="Arial" w:cs="Arial" w:eastAsia="Arial" w:hAnsi="Arial"/>
                <w:sz w:val="18"/>
                <w:szCs w:val="18"/>
                <w:color w:val="auto"/>
              </w:rPr>
              <w:t>Trailing 12 Months</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Q1 2025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Q1 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6"/>
          </w:tcPr>
          <w:p>
            <w:pPr>
              <w:ind w:left="120"/>
              <w:spacing w:after="0"/>
              <w:rPr>
                <w:sz w:val="20"/>
                <w:szCs w:val="20"/>
                <w:color w:val="auto"/>
              </w:rPr>
            </w:pPr>
            <w:r>
              <w:rPr>
                <w:rFonts w:ascii="Arial" w:cs="Arial" w:eastAsia="Arial" w:hAnsi="Arial"/>
                <w:sz w:val="18"/>
                <w:szCs w:val="18"/>
                <w:color w:val="auto"/>
              </w:rPr>
              <w:t>Q1 2024</w:t>
            </w:r>
          </w:p>
        </w:tc>
        <w:tc>
          <w:tcPr>
            <w:tcW w:w="1540" w:type="dxa"/>
            <w:vAlign w:val="bottom"/>
          </w:tcPr>
          <w:p>
            <w:pPr>
              <w:ind w:lef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49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Cash flow from operations</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1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6,150</w:t>
            </w:r>
          </w:p>
        </w:tc>
        <w:tc>
          <w:tcPr>
            <w:tcW w:w="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auto"/>
            </w:tcBorders>
            <w:gridSpan w:val="3"/>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6,277</w:t>
            </w: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1,715</w:t>
            </w:r>
          </w:p>
        </w:tc>
        <w:tc>
          <w:tcPr>
            <w:tcW w:w="80" w:type="dxa"/>
            <w:vAlign w:val="bottom"/>
          </w:tcPr>
          <w:p>
            <w:pPr>
              <w:spacing w:after="0"/>
              <w:rPr>
                <w:sz w:val="19"/>
                <w:szCs w:val="19"/>
                <w:color w:val="auto"/>
              </w:rPr>
            </w:pPr>
          </w:p>
        </w:tc>
        <w:tc>
          <w:tcPr>
            <w:tcW w:w="34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940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30"/>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Free cash flow % of revenue</w:t>
            </w: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10.7 %</w:t>
            </w: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240" w:type="dxa"/>
            <w:vAlign w:val="bottom"/>
            <w:gridSpan w:val="3"/>
            <w:shd w:val="clear" w:color="auto" w:fill="DBDBDB"/>
          </w:tcPr>
          <w:p>
            <w:pPr>
              <w:jc w:val="right"/>
              <w:ind w:right="20"/>
              <w:spacing w:after="0"/>
              <w:rPr>
                <w:sz w:val="20"/>
                <w:szCs w:val="20"/>
                <w:color w:val="auto"/>
              </w:rPr>
            </w:pPr>
            <w:r>
              <w:rPr>
                <w:rFonts w:ascii="Arial" w:cs="Arial" w:eastAsia="Arial" w:hAnsi="Arial"/>
                <w:sz w:val="18"/>
                <w:szCs w:val="18"/>
                <w:color w:val="auto"/>
              </w:rPr>
              <w:t>5.6 %</w:t>
            </w: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580"/>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Cash return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color w:val="auto"/>
                <w:w w:val="99"/>
              </w:rPr>
              <w:t>Trailing 12 Months</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color w:val="auto"/>
              </w:rPr>
              <w:t>Q1 2025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Q1 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6"/>
          </w:tcPr>
          <w:p>
            <w:pPr>
              <w:ind w:left="160"/>
              <w:spacing w:after="0"/>
              <w:rPr>
                <w:sz w:val="20"/>
                <w:szCs w:val="20"/>
                <w:color w:val="auto"/>
              </w:rPr>
            </w:pPr>
            <w:r>
              <w:rPr>
                <w:rFonts w:ascii="Arial" w:cs="Arial" w:eastAsia="Arial" w:hAnsi="Arial"/>
                <w:sz w:val="18"/>
                <w:szCs w:val="18"/>
                <w:color w:val="auto"/>
              </w:rPr>
              <w:t>Q1 2024</w:t>
            </w:r>
          </w:p>
        </w:tc>
        <w:tc>
          <w:tcPr>
            <w:tcW w:w="1540" w:type="dxa"/>
            <w:vAlign w:val="bottom"/>
          </w:tcPr>
          <w:p>
            <w:pPr>
              <w:ind w:lef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49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Dividends paid</w:t>
            </w:r>
          </w:p>
        </w:tc>
        <w:tc>
          <w:tcPr>
            <w:tcW w:w="2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1,238</w:t>
            </w:r>
          </w:p>
        </w:tc>
        <w:tc>
          <w:tcPr>
            <w:tcW w:w="6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4,850</w:t>
            </w:r>
          </w:p>
        </w:tc>
        <w:tc>
          <w:tcPr>
            <w:tcW w:w="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gridSpan w:val="2"/>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4,615</w:t>
            </w: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Stock repurchases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653</w:t>
            </w: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1,579</w:t>
            </w:r>
          </w:p>
        </w:tc>
        <w:tc>
          <w:tcPr>
            <w:tcW w:w="34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718 %</w:t>
            </w:r>
          </w:p>
        </w:tc>
        <w:tc>
          <w:tcPr>
            <w:tcW w:w="0" w:type="dxa"/>
            <w:vAlign w:val="bottom"/>
          </w:tcPr>
          <w:p>
            <w:pPr>
              <w:spacing w:after="0"/>
              <w:rPr>
                <w:sz w:val="1"/>
                <w:szCs w:val="1"/>
                <w:color w:val="auto"/>
              </w:rPr>
            </w:pPr>
          </w:p>
        </w:tc>
      </w:tr>
      <w:tr>
        <w:trPr>
          <w:trHeight w:val="230"/>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Total cash returned</w:t>
            </w:r>
          </w:p>
        </w:tc>
        <w:tc>
          <w:tcPr>
            <w:tcW w:w="3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1,891</w:t>
            </w: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6,429</w:t>
            </w:r>
          </w:p>
        </w:tc>
        <w:tc>
          <w:tcPr>
            <w:tcW w:w="340" w:type="dxa"/>
            <w:vAlign w:val="bottom"/>
            <w:gridSpan w:val="4"/>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4,808</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1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826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Income</w:t>
            </w:r>
          </w:p>
        </w:tc>
        <w:tc>
          <w:tcPr>
            <w:tcW w:w="540" w:type="dxa"/>
            <w:vAlign w:val="bottom"/>
          </w:tcPr>
          <w:p>
            <w:pPr>
              <w:spacing w:after="0"/>
              <w:rPr>
                <w:sz w:val="21"/>
                <w:szCs w:val="21"/>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43"/>
        </w:trPr>
        <w:tc>
          <w:tcPr>
            <w:tcW w:w="772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per-share amounts)</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DBDBDB"/>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4,069</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1,756</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2,313</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472</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Restructuring charges/other</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772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540" w:type="dxa"/>
            <w:vAlign w:val="bottom"/>
            <w:tcBorders>
              <w:top w:val="single" w:sz="8" w:color="auto"/>
            </w:tcBorders>
            <w:shd w:val="clear" w:color="auto" w:fill="DBDBDB"/>
          </w:tcPr>
          <w:p>
            <w:pPr>
              <w:spacing w:after="0"/>
              <w:rPr>
                <w:sz w:val="19"/>
                <w:szCs w:val="19"/>
                <w:color w:val="auto"/>
              </w:rPr>
            </w:pPr>
          </w:p>
        </w:tc>
        <w:tc>
          <w:tcPr>
            <w:tcW w:w="11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1,324</w:t>
            </w:r>
          </w:p>
        </w:tc>
        <w:tc>
          <w:tcPr>
            <w:tcW w:w="100" w:type="dxa"/>
            <w:vAlign w:val="bottom"/>
            <w:tcBorders>
              <w:top w:val="single" w:sz="8" w:color="DBDBDB"/>
            </w:tcBorders>
            <w:shd w:val="clear" w:color="auto" w:fill="DBDBDB"/>
          </w:tcPr>
          <w:p>
            <w:pPr>
              <w:spacing w:after="0"/>
              <w:rPr>
                <w:sz w:val="19"/>
                <w:szCs w:val="19"/>
                <w:color w:val="auto"/>
              </w:rPr>
            </w:pPr>
          </w:p>
        </w:tc>
        <w:tc>
          <w:tcPr>
            <w:tcW w:w="480" w:type="dxa"/>
            <w:vAlign w:val="bottom"/>
            <w:tcBorders>
              <w:top w:val="single" w:sz="8" w:color="auto"/>
            </w:tcBorders>
            <w:shd w:val="clear" w:color="auto" w:fill="DBDBDB"/>
          </w:tcPr>
          <w:p>
            <w:pPr>
              <w:spacing w:after="0"/>
              <w:rPr>
                <w:sz w:val="19"/>
                <w:szCs w:val="19"/>
                <w:color w:val="auto"/>
              </w:rPr>
            </w:pP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 (OI&amp;E)</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Interest and debt expense</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128</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1,276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97</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1,179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Diluted earnings per common share</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Average shares outstanding:</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72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8"/>
                <w:szCs w:val="18"/>
                <w:color w:val="auto"/>
              </w:rPr>
              <w:t>Basic</w:t>
            </w:r>
          </w:p>
        </w:tc>
        <w:tc>
          <w:tcPr>
            <w:tcW w:w="54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910</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spacing w:after="0"/>
              <w:rPr>
                <w:sz w:val="21"/>
                <w:szCs w:val="21"/>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
        </w:trPr>
        <w:tc>
          <w:tcPr>
            <w:tcW w:w="7720" w:type="dxa"/>
            <w:vAlign w:val="bottom"/>
            <w:tcBorders>
              <w:top w:val="single" w:sz="8" w:color="DBDBDB"/>
              <w:bottom w:val="single" w:sz="8" w:color="DBDBDB"/>
            </w:tcBorders>
            <w:gridSpan w:val="2"/>
            <w:vMerge w:val="restart"/>
          </w:tcPr>
          <w:p>
            <w:pPr>
              <w:ind w:left="220"/>
              <w:spacing w:after="0"/>
              <w:rPr>
                <w:sz w:val="20"/>
                <w:szCs w:val="20"/>
                <w:color w:val="auto"/>
              </w:rPr>
            </w:pPr>
            <w:r>
              <w:rPr>
                <w:rFonts w:ascii="Arial" w:cs="Arial" w:eastAsia="Arial" w:hAnsi="Arial"/>
                <w:sz w:val="18"/>
                <w:szCs w:val="18"/>
                <w:color w:val="auto"/>
              </w:rPr>
              <w:t>Diluted</w:t>
            </w: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20" w:type="dxa"/>
            <w:vAlign w:val="bottom"/>
            <w:gridSpan w:val="2"/>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b w:val="1"/>
                <w:bCs w:val="1"/>
                <w:color w:val="auto"/>
              </w:rPr>
              <w:t>916</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jc w:val="center"/>
              <w:ind w:left="3330"/>
              <w:spacing w:after="0"/>
              <w:rPr>
                <w:sz w:val="20"/>
                <w:szCs w:val="20"/>
                <w:color w:val="auto"/>
              </w:rPr>
            </w:pPr>
            <w:r>
              <w:rPr>
                <w:rFonts w:ascii="Arial" w:cs="Arial" w:eastAsia="Arial" w:hAnsi="Arial"/>
                <w:sz w:val="18"/>
                <w:szCs w:val="18"/>
                <w:b w:val="1"/>
                <w:bCs w:val="1"/>
                <w:color w:val="auto"/>
                <w:w w:val="99"/>
              </w:rPr>
              <w:t>Supplemental Information</w:t>
            </w: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77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720" w:type="dxa"/>
            <w:vAlign w:val="bottom"/>
            <w:gridSpan w:val="2"/>
          </w:tcPr>
          <w:p>
            <w:pPr>
              <w:jc w:val="center"/>
              <w:ind w:left="3310"/>
              <w:spacing w:after="0"/>
              <w:rPr>
                <w:sz w:val="20"/>
                <w:szCs w:val="20"/>
                <w:color w:val="auto"/>
              </w:rPr>
            </w:pPr>
            <w:r>
              <w:rPr>
                <w:rFonts w:ascii="Arial" w:cs="Arial" w:eastAsia="Arial" w:hAnsi="Arial"/>
                <w:sz w:val="18"/>
                <w:szCs w:val="18"/>
                <w:b w:val="1"/>
                <w:bCs w:val="1"/>
                <w:color w:val="auto"/>
                <w:w w:val="99"/>
              </w:rPr>
              <w:t>(Quarterly, except as noted)</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2"/>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 is based on the following:</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Operating taxes (calculated using the estimated annual effective tax rate)</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166</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Discrete tax items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 (effective taxes)</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97</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right="70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1,179</w:t>
            </w:r>
          </w:p>
        </w:tc>
        <w:tc>
          <w:tcPr>
            <w:tcW w:w="100" w:type="dxa"/>
            <w:vAlign w:val="bottom"/>
            <w:shd w:val="clear" w:color="auto" w:fill="DBDBDB"/>
          </w:tcPr>
          <w:p>
            <w:pPr>
              <w:spacing w:after="0"/>
              <w:rPr>
                <w:sz w:val="19"/>
                <w:szCs w:val="19"/>
                <w:color w:val="auto"/>
              </w:rPr>
            </w:pPr>
          </w:p>
        </w:tc>
        <w:tc>
          <w:tcPr>
            <w:tcW w:w="62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1,105</w:t>
            </w:r>
          </w:p>
        </w:tc>
      </w:tr>
      <w:tr>
        <w:trPr>
          <w:trHeight w:val="230"/>
        </w:trPr>
        <w:tc>
          <w:tcPr>
            <w:tcW w:w="77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DBDBDB"/>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7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60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1,173</w:t>
            </w:r>
          </w:p>
        </w:tc>
        <w:tc>
          <w:tcPr>
            <w:tcW w:w="100" w:type="dxa"/>
            <w:vAlign w:val="bottom"/>
            <w:tcBorders>
              <w:bottom w:val="single" w:sz="8" w:color="DBDBDB"/>
            </w:tcBorders>
            <w:shd w:val="clear" w:color="auto" w:fill="DBDBDB"/>
          </w:tcPr>
          <w:p>
            <w:pPr>
              <w:spacing w:after="0"/>
              <w:rPr>
                <w:sz w:val="21"/>
                <w:szCs w:val="21"/>
                <w:color w:val="auto"/>
              </w:rPr>
            </w:pPr>
          </w:p>
        </w:tc>
        <w:tc>
          <w:tcPr>
            <w:tcW w:w="62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1,100</w:t>
            </w:r>
          </w:p>
        </w:tc>
      </w:tr>
      <w:tr>
        <w:trPr>
          <w:trHeight w:val="20"/>
        </w:trPr>
        <w:tc>
          <w:tcPr>
            <w:tcW w:w="772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8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80" w:top="890"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7"/>
        </w:trPr>
        <w:tc>
          <w:tcPr>
            <w:tcW w:w="826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99"/>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540" w:type="dxa"/>
            <w:vAlign w:val="bottom"/>
          </w:tcPr>
          <w:p>
            <w:pPr>
              <w:spacing w:after="0"/>
              <w:rPr>
                <w:sz w:val="24"/>
                <w:szCs w:val="24"/>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80" w:type="dxa"/>
            <w:vAlign w:val="bottom"/>
          </w:tcPr>
          <w:p>
            <w:pPr>
              <w:spacing w:after="0"/>
              <w:rPr>
                <w:sz w:val="24"/>
                <w:szCs w:val="24"/>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par value)</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DBDBDB"/>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2,763</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2,483</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2,242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7,910</w:t>
            </w: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receivable, net of allowances of ($16) and ($20)</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1,860</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1,671</w:t>
            </w: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Raw materials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Work in process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2,370</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2,129</w:t>
            </w:r>
          </w:p>
        </w:tc>
      </w:tr>
      <w:tr>
        <w:trPr>
          <w:trHeight w:val="229"/>
        </w:trPr>
        <w:tc>
          <w:tcPr>
            <w:tcW w:w="7720" w:type="dxa"/>
            <w:vAlign w:val="bottom"/>
            <w:tcBorders>
              <w:bottom w:val="single" w:sz="8" w:color="DBDBDB"/>
            </w:tcBorders>
            <w:gridSpan w:val="2"/>
          </w:tcPr>
          <w:p>
            <w:pPr>
              <w:ind w:left="460"/>
              <w:spacing w:after="0"/>
              <w:rPr>
                <w:sz w:val="20"/>
                <w:szCs w:val="20"/>
                <w:color w:val="auto"/>
              </w:rPr>
            </w:pPr>
            <w:r>
              <w:rPr>
                <w:rFonts w:ascii="Arial" w:cs="Arial" w:eastAsia="Arial" w:hAnsi="Arial"/>
                <w:sz w:val="18"/>
                <w:szCs w:val="18"/>
                <w:color w:val="auto"/>
              </w:rPr>
              <w:t>Finished goods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1,924</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4,687</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4,083</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1,534</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13,086</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17,448</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16,036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13,739</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Accumulated depreciation</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(4,225)</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(3,297)</w:t>
            </w:r>
          </w:p>
        </w:tc>
      </w:tr>
      <w:tr>
        <w:trPr>
          <w:trHeight w:val="223"/>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11,811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10,442</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1,030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821</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263</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2,965</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1,412</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33,757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34,885</w:t>
            </w: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1,349</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866</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551</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284</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378</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921</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2,489</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3,553</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12,848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12,840</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1,843</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1,343</w:t>
            </w: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17,351</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17,902</w:t>
            </w:r>
          </w:p>
        </w:tc>
      </w:tr>
      <w:tr>
        <w:trPr>
          <w:trHeight w:val="21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54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Preferred stock, $25 par value. Shares authorized – 10; none issued</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Paid-in capital</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4,058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3,439</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Retained earnings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52,196</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52,199</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Treasury common stock at cost</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Shares: March 31, 2025 – 832; March 31, 2024 – 831</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(41,442)</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(40,193)</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Accumulated other comprehensive income (loss), net of taxes (AOCI)</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16,406</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16,983</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33,757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34,885</w:t>
            </w:r>
          </w:p>
        </w:tc>
      </w:tr>
      <w:tr>
        <w:trPr>
          <w:trHeight w:val="21"/>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8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80" w:top="890" w:right="3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7"/>
        </w:trPr>
        <w:tc>
          <w:tcPr>
            <w:tcW w:w="826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540" w:type="dxa"/>
            <w:vAlign w:val="bottom"/>
          </w:tcPr>
          <w:p>
            <w:pPr>
              <w:spacing w:after="0"/>
              <w:rPr>
                <w:sz w:val="21"/>
                <w:szCs w:val="21"/>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43"/>
        </w:trPr>
        <w:tc>
          <w:tcPr>
            <w:tcW w:w="772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DBDBDB"/>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1,179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Adjustments to net income: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Amortization of capitalized software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Stock compensation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Gains on sales of assets</w:t>
            </w:r>
          </w:p>
        </w:tc>
        <w:tc>
          <w:tcPr>
            <w:tcW w:w="54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Deferred taxes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Increase (decrease) from changes in:</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Accrued compensation</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Income taxes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132</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Changes in funded status of retirement plans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849</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37"/>
        </w:trPr>
        <w:tc>
          <w:tcPr>
            <w:tcW w:w="76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(1,123)</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Proceeds from CHIPS Act incentives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asset sales</w:t>
            </w:r>
          </w:p>
        </w:tc>
        <w:tc>
          <w:tcPr>
            <w:tcW w:w="54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Purchases of short-term investments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short-term investments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2,807</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1,253</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Repayment of debt</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Dividends paid</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Stock repurchases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(653)</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Proceeds from common stock transactions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(2,539)</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37"/>
        </w:trPr>
        <w:tc>
          <w:tcPr>
            <w:tcW w:w="76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3,200</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2,763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Investment tax credit (ITC) used to reduce income taxes payable</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Proceeds from CHIPS Act incentives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260</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cash benefit related to the CHIPS Act</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260</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80" w:top="89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8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140"/>
          </w:cols>
          <w:pgMar w:left="380" w:top="890" w:right="37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Segment results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85"/>
        </w:trPr>
        <w:tc>
          <w:tcPr>
            <w:tcW w:w="140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Q1 2025</w:t>
            </w:r>
          </w:p>
        </w:tc>
        <w:tc>
          <w:tcPr>
            <w:tcW w:w="24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Q1 2024</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Change</w:t>
            </w:r>
          </w:p>
        </w:tc>
      </w:tr>
      <w:tr>
        <w:trPr>
          <w:trHeight w:val="223"/>
        </w:trPr>
        <w:tc>
          <w:tcPr>
            <w:tcW w:w="660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240" w:type="dxa"/>
            <w:vAlign w:val="bottom"/>
            <w:tcBorders>
              <w:top w:val="single" w:sz="8" w:color="auto"/>
            </w:tcBorders>
            <w:shd w:val="clear" w:color="auto" w:fill="DBDBDB"/>
          </w:tcPr>
          <w:p>
            <w:pPr>
              <w:spacing w:after="0"/>
              <w:rPr>
                <w:sz w:val="19"/>
                <w:szCs w:val="19"/>
                <w:color w:val="auto"/>
              </w:rPr>
            </w:pPr>
          </w:p>
        </w:tc>
        <w:tc>
          <w:tcPr>
            <w:tcW w:w="11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19"/>
                <w:szCs w:val="19"/>
                <w:color w:val="auto"/>
              </w:rPr>
            </w:pPr>
          </w:p>
        </w:tc>
        <w:tc>
          <w:tcPr>
            <w:tcW w:w="12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580" w:type="dxa"/>
            <w:vAlign w:val="bottom"/>
            <w:tcBorders>
              <w:top w:val="single" w:sz="8" w:color="auto"/>
            </w:tcBorders>
            <w:shd w:val="clear" w:color="auto" w:fill="DBDBDB"/>
          </w:tcPr>
          <w:p>
            <w:pPr>
              <w:spacing w:after="0"/>
              <w:rPr>
                <w:sz w:val="19"/>
                <w:szCs w:val="19"/>
                <w:color w:val="auto"/>
              </w:rPr>
            </w:pP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1,206</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Embedded Processing:</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spacing w:after="0"/>
              <w:rPr>
                <w:sz w:val="19"/>
                <w:szCs w:val="19"/>
                <w:color w:val="auto"/>
              </w:rPr>
            </w:pP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29"/>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is calculated as cash flows from operating activities (also referred to as cash flow from operations) less capital expenditures, plus proceeds from CHIPS Act incentives.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8"/>
              </w:rPr>
              <w:t>For Three</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80" w:type="dxa"/>
            <w:vAlign w:val="bottom"/>
            <w:gridSpan w:val="4"/>
            <w:vMerge w:val="restart"/>
          </w:tcPr>
          <w:p>
            <w:pPr>
              <w:jc w:val="right"/>
              <w:ind w:right="610"/>
              <w:spacing w:after="0"/>
              <w:rPr>
                <w:sz w:val="20"/>
                <w:szCs w:val="20"/>
                <w:color w:val="auto"/>
              </w:rPr>
            </w:pPr>
            <w:r>
              <w:rPr>
                <w:rFonts w:ascii="Arial" w:cs="Arial" w:eastAsia="Arial" w:hAnsi="Arial"/>
                <w:sz w:val="18"/>
                <w:szCs w:val="18"/>
                <w:b w:val="1"/>
                <w:bCs w:val="1"/>
                <w:color w:val="auto"/>
              </w:rPr>
              <w:t>For 12 Months Ended</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680" w:type="dxa"/>
            <w:vAlign w:val="bottom"/>
          </w:tcPr>
          <w:p>
            <w:pPr>
              <w:spacing w:after="0"/>
              <w:rPr>
                <w:sz w:val="15"/>
                <w:szCs w:val="15"/>
                <w:color w:val="auto"/>
              </w:rPr>
            </w:pPr>
          </w:p>
        </w:tc>
        <w:tc>
          <w:tcPr>
            <w:tcW w:w="1560" w:type="dxa"/>
            <w:vAlign w:val="bottom"/>
            <w:tcBorders>
              <w:right w:val="single" w:sz="8" w:color="auto"/>
            </w:tcBorders>
            <w:gridSpan w:val="3"/>
          </w:tcPr>
          <w:p>
            <w:pPr>
              <w:jc w:val="center"/>
              <w:ind w:right="200"/>
              <w:spacing w:after="0" w:line="176" w:lineRule="exact"/>
              <w:rPr>
                <w:sz w:val="20"/>
                <w:szCs w:val="20"/>
                <w:color w:val="auto"/>
              </w:rPr>
            </w:pPr>
            <w:r>
              <w:rPr>
                <w:rFonts w:ascii="Arial" w:cs="Arial" w:eastAsia="Arial" w:hAnsi="Arial"/>
                <w:sz w:val="18"/>
                <w:szCs w:val="18"/>
                <w:b w:val="1"/>
                <w:bCs w:val="1"/>
                <w:color w:val="auto"/>
                <w:w w:val="99"/>
              </w:rPr>
              <w:t>Months Ended</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1"/>
                <w:szCs w:val="21"/>
                <w:color w:val="auto"/>
              </w:rPr>
            </w:pPr>
          </w:p>
        </w:tc>
        <w:tc>
          <w:tcPr>
            <w:tcW w:w="136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8"/>
              </w:rPr>
              <w:t>March 31,</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DBDBDB"/>
            </w:tcBorders>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2025</w:t>
            </w:r>
          </w:p>
        </w:tc>
        <w:tc>
          <w:tcPr>
            <w:tcW w:w="180" w:type="dxa"/>
            <w:vAlign w:val="bottom"/>
            <w:tcBorders>
              <w:bottom w:val="single" w:sz="8" w:color="DBDBDB"/>
              <w:right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DBDBDB"/>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DBDBDB"/>
            </w:tcBorders>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849</w:t>
            </w:r>
          </w:p>
        </w:tc>
        <w:tc>
          <w:tcPr>
            <w:tcW w:w="180" w:type="dxa"/>
            <w:vAlign w:val="bottom"/>
            <w:tcBorders>
              <w:right w:val="single" w:sz="8" w:color="auto"/>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6,150</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6,277</w:t>
            </w:r>
          </w:p>
        </w:tc>
        <w:tc>
          <w:tcPr>
            <w:tcW w:w="10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(1,123)</w:t>
            </w:r>
          </w:p>
        </w:tc>
        <w:tc>
          <w:tcPr>
            <w:tcW w:w="1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(4,695)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(5,337)</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CHIPS Act incentives</w:t>
            </w:r>
          </w:p>
        </w:tc>
        <w:tc>
          <w:tcPr>
            <w:tcW w:w="20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260</w:t>
            </w:r>
          </w:p>
        </w:tc>
        <w:tc>
          <w:tcPr>
            <w:tcW w:w="180" w:type="dxa"/>
            <w:vAlign w:val="bottom"/>
            <w:tcBorders>
              <w:right w:val="single" w:sz="8" w:color="auto"/>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260</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80" w:type="dxa"/>
            <w:vAlign w:val="bottom"/>
          </w:tcPr>
          <w:p>
            <w:pPr>
              <w:ind w:left="20"/>
              <w:spacing w:after="0"/>
              <w:rPr>
                <w:sz w:val="20"/>
                <w:szCs w:val="20"/>
                <w:color w:val="auto"/>
              </w:rPr>
            </w:pPr>
            <w:r>
              <w:rPr>
                <w:rFonts w:ascii="Arial" w:cs="Arial" w:eastAsia="Arial" w:hAnsi="Arial"/>
                <w:sz w:val="18"/>
                <w:szCs w:val="18"/>
                <w:color w:val="auto"/>
              </w:rPr>
              <w:t>Free cash flow (non-GAAP)</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8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1,715</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940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23"/>
        </w:trPr>
        <w:tc>
          <w:tcPr>
            <w:tcW w:w="468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1180" w:type="dxa"/>
            <w:vAlign w:val="bottom"/>
            <w:tcBorders>
              <w:top w:val="single" w:sz="8" w:color="auto"/>
            </w:tcBorders>
            <w:shd w:val="clear" w:color="auto" w:fill="DBDBDB"/>
          </w:tcPr>
          <w:p>
            <w:pPr>
              <w:spacing w:after="0"/>
              <w:rPr>
                <w:sz w:val="19"/>
                <w:szCs w:val="19"/>
                <w:color w:val="auto"/>
              </w:rPr>
            </w:pPr>
          </w:p>
        </w:tc>
        <w:tc>
          <w:tcPr>
            <w:tcW w:w="180" w:type="dxa"/>
            <w:vAlign w:val="bottom"/>
            <w:tcBorders>
              <w:top w:val="single" w:sz="8" w:color="DBDBDB"/>
              <w:right w:val="single" w:sz="8" w:color="DBDBDB"/>
            </w:tcBorders>
            <w:shd w:val="clear" w:color="auto" w:fill="DBDBDB"/>
          </w:tcPr>
          <w:p>
            <w:pPr>
              <w:spacing w:after="0"/>
              <w:rPr>
                <w:sz w:val="19"/>
                <w:szCs w:val="19"/>
                <w:color w:val="auto"/>
              </w:rPr>
            </w:pPr>
          </w:p>
        </w:tc>
        <w:tc>
          <w:tcPr>
            <w:tcW w:w="140" w:type="dxa"/>
            <w:vAlign w:val="bottom"/>
            <w:tcBorders>
              <w:top w:val="single" w:sz="8" w:color="DBDBDB"/>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spacing w:after="0"/>
              <w:rPr>
                <w:sz w:val="19"/>
                <w:szCs w:val="19"/>
                <w:color w:val="auto"/>
              </w:rPr>
            </w:pPr>
          </w:p>
        </w:tc>
        <w:tc>
          <w:tcPr>
            <w:tcW w:w="12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460" w:type="dxa"/>
            <w:vAlign w:val="bottom"/>
            <w:tcBorders>
              <w:top w:val="single" w:sz="8" w:color="auto"/>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540" w:type="dxa"/>
            <w:vAlign w:val="bottom"/>
            <w:tcBorders>
              <w:top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16,049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16,801</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18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54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80" w:type="dxa"/>
            <w:vAlign w:val="bottom"/>
            <w:tcBorders>
              <w:right w:val="single" w:sz="8" w:color="DBDBDB"/>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0"/>
              <w:spacing w:after="0" w:line="176" w:lineRule="exact"/>
              <w:rPr>
                <w:sz w:val="20"/>
                <w:szCs w:val="20"/>
                <w:color w:val="auto"/>
              </w:rPr>
            </w:pPr>
            <w:r>
              <w:rPr>
                <w:rFonts w:ascii="Arial" w:cs="Arial" w:eastAsia="Arial" w:hAnsi="Arial"/>
                <w:sz w:val="18"/>
                <w:szCs w:val="18"/>
                <w:color w:val="auto"/>
              </w:rPr>
              <w:t>Cash flow from operations as a percentage of revenue</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38.3 %</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37.4 %</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(GAAP)</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20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80" w:type="dxa"/>
            <w:vAlign w:val="bottom"/>
            <w:tcBorders>
              <w:right w:val="single" w:sz="8" w:color="DBDBDB"/>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10.7 %</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220" w:firstLine="8"/>
        <w:spacing w:after="0" w:line="285" w:lineRule="auto"/>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Includes a cash benefit of $588 million from the CHIPS Act ITC used to reduce income taxes payable for the twelve months ended March 31, 2025</w:t>
      </w:r>
      <w:r>
        <w:rPr>
          <w:rFonts w:ascii="Arial" w:cs="Arial" w:eastAsia="Arial" w:hAnsi="Arial"/>
          <w:sz w:val="18"/>
          <w:szCs w:val="18"/>
          <w:color w:val="auto"/>
        </w:rPr>
        <w:t>.</w:t>
      </w:r>
    </w:p>
    <w:p>
      <w:pPr>
        <w:spacing w:after="0" w:line="15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This release also includes references to operating taxes, a non-GAAP term we use to describe taxes calculated using the estimated annual effective tax rate, a GAAP measure that by definition does not include discrete tax items. We believe the term operating taxes helps to differentiate from effective taxes, which include discrete tax items.</w:t>
      </w:r>
    </w:p>
    <w:p>
      <w:pPr>
        <w:spacing w:after="0" w:line="200" w:lineRule="exact"/>
        <w:rPr>
          <w:sz w:val="20"/>
          <w:szCs w:val="20"/>
          <w:color w:val="auto"/>
        </w:rPr>
      </w:pPr>
    </w:p>
    <w:p>
      <w:pPr>
        <w:spacing w:after="0" w:line="295"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20" w:right="340" w:hanging="329"/>
        <w:spacing w:after="0" w:line="26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1" w:lineRule="exact"/>
        <w:rPr>
          <w:rFonts w:ascii="Arial" w:cs="Arial" w:eastAsia="Arial" w:hAnsi="Arial"/>
          <w:sz w:val="18"/>
          <w:szCs w:val="18"/>
          <w:color w:val="auto"/>
        </w:rPr>
      </w:pPr>
    </w:p>
    <w:p>
      <w:pPr>
        <w:ind w:left="620" w:right="4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right="44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ind w:left="620" w:right="2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ind w:left="620" w:right="2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1" w:lineRule="exact"/>
        <w:rPr>
          <w:rFonts w:ascii="Arial" w:cs="Arial" w:eastAsia="Arial" w:hAnsi="Arial"/>
          <w:sz w:val="18"/>
          <w:szCs w:val="18"/>
          <w:color w:val="auto"/>
        </w:rPr>
      </w:pPr>
    </w:p>
    <w:p>
      <w:pPr>
        <w:ind w:left="620" w:right="6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9" w:lineRule="exact"/>
        <w:rPr>
          <w:rFonts w:ascii="Arial" w:cs="Arial" w:eastAsia="Arial" w:hAnsi="Arial"/>
          <w:sz w:val="18"/>
          <w:szCs w:val="18"/>
          <w:color w:val="auto"/>
        </w:rPr>
      </w:pPr>
    </w:p>
    <w:p>
      <w:pPr>
        <w:ind w:left="620" w:right="120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jc w:val="both"/>
        <w:ind w:left="620" w:right="68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3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1" w:lineRule="exact"/>
        <w:rPr>
          <w:rFonts w:ascii="Arial" w:cs="Arial" w:eastAsia="Arial" w:hAnsi="Arial"/>
          <w:sz w:val="18"/>
          <w:szCs w:val="18"/>
          <w:color w:val="auto"/>
        </w:rPr>
      </w:pPr>
    </w:p>
    <w:p>
      <w:pPr>
        <w:ind w:left="620" w:right="6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9" w:lineRule="exact"/>
        <w:rPr>
          <w:rFonts w:ascii="Arial" w:cs="Arial" w:eastAsia="Arial" w:hAnsi="Arial"/>
          <w:sz w:val="18"/>
          <w:szCs w:val="18"/>
          <w:color w:val="auto"/>
        </w:rPr>
      </w:pPr>
    </w:p>
    <w:p>
      <w:pPr>
        <w:ind w:left="620" w:right="1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14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0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00"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0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Texas Instruments Incorporated (Nasdaq: TXN) is a global semiconductor company that designs, manufactures and sells analog and embedded processing chips for markets such as industrial, automotive, personal electronics, enterprise systems and communications equipment. At our core, we have a passion to create a better world by making electronics more affordable through semiconductors. This passion is alive today as each generation of innovation builds upon the last to make our technology more reliable, more affordable and lower power, making it possible for semiconductors to go into electronics everywhere. Learn more at </w:t>
      </w:r>
      <w:r>
        <w:rPr>
          <w:rFonts w:ascii="Arial" w:cs="Arial" w:eastAsia="Arial" w:hAnsi="Arial"/>
          <w:sz w:val="18"/>
          <w:szCs w:val="18"/>
          <w:u w:val="single" w:color="auto"/>
          <w:color w:val="3A3AFF"/>
        </w:rPr>
        <w:t>TI.com</w:t>
      </w:r>
      <w:r>
        <w:rPr>
          <w:rFonts w:ascii="Arial" w:cs="Arial" w:eastAsia="Arial" w:hAnsi="Arial"/>
          <w:sz w:val="18"/>
          <w:szCs w:val="18"/>
          <w:color w:val="auto"/>
        </w:rPr>
        <w:t>.</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9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2025-04-23T15:13:30Z</dcterms:created>
  <dcterms:modified xsi:type="dcterms:W3CDTF">2025-04-23T15:13:30Z</dcterms:modified>
</cp:coreProperties>
</file>