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Supplement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Prospectus Dated January 4, 2001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Pursuant to Rule 424(b)(4)</w:t>
      </w:r>
    </w:p>
    <w:p>
      <w:pPr>
        <w:spacing w:after="0" w:line="9"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Registration No. 333-44572-01</w:t>
      </w:r>
    </w:p>
    <w:p>
      <w:pPr>
        <w:spacing w:after="0" w:line="9" w:lineRule="exact"/>
        <w:rPr>
          <w:sz w:val="24"/>
          <w:szCs w:val="24"/>
          <w:color w:val="auto"/>
        </w:rPr>
      </w:pPr>
    </w:p>
    <w:p>
      <w:pPr>
        <w:ind w:left="1900"/>
        <w:spacing w:after="0"/>
        <w:rPr>
          <w:sz w:val="20"/>
          <w:szCs w:val="20"/>
          <w:color w:val="auto"/>
        </w:rPr>
      </w:pPr>
      <w:r>
        <w:rPr>
          <w:rFonts w:ascii="Courier New" w:cs="Courier New" w:eastAsia="Courier New" w:hAnsi="Courier New"/>
          <w:sz w:val="17"/>
          <w:szCs w:val="17"/>
          <w:color w:val="auto"/>
        </w:rPr>
        <w:t>333-44572</w:t>
      </w:r>
    </w:p>
    <w:p>
      <w:pPr>
        <w:spacing w:after="0" w:line="200" w:lineRule="exact"/>
        <w:rPr>
          <w:sz w:val="24"/>
          <w:szCs w:val="24"/>
          <w:color w:val="auto"/>
        </w:rPr>
      </w:pPr>
    </w:p>
    <w:p>
      <w:pPr>
        <w:sectPr>
          <w:pgSz w:w="11900" w:h="16838" w:orient="portrait"/>
          <w:cols w:equalWidth="0" w:num="2">
            <w:col w:w="4200" w:space="720"/>
            <w:col w:w="6600"/>
          </w:cols>
          <w:pgMar w:left="240" w:top="249" w:right="139" w:bottom="1129" w:gutter="0" w:footer="0" w:header="0"/>
        </w:sectPr>
      </w:pPr>
    </w:p>
    <w:p>
      <w:pPr>
        <w:spacing w:after="0" w:line="200" w:lineRule="exact"/>
        <w:rPr>
          <w:sz w:val="24"/>
          <w:szCs w:val="24"/>
          <w:color w:val="auto"/>
        </w:rPr>
      </w:pPr>
    </w:p>
    <w:p>
      <w:pPr>
        <w:spacing w:after="0" w:line="213"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2,257,113 SHARES OF COMMON STOCK</w:t>
      </w:r>
    </w:p>
    <w:p>
      <w:pPr>
        <w:spacing w:after="0" w:line="210"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ISSUABLE UPON CONVERSION OF TEXAS INSTRUMENTS TUCSON CORPORATION'S</w:t>
      </w:r>
    </w:p>
    <w:p>
      <w:pPr>
        <w:spacing w:after="0" w:line="9" w:lineRule="exact"/>
        <w:rPr>
          <w:sz w:val="24"/>
          <w:szCs w:val="24"/>
          <w:color w:val="auto"/>
        </w:rPr>
      </w:pPr>
    </w:p>
    <w:p>
      <w:pPr>
        <w:jc w:val="center"/>
        <w:ind w:right="3120"/>
        <w:spacing w:after="0"/>
        <w:rPr>
          <w:sz w:val="20"/>
          <w:szCs w:val="20"/>
          <w:color w:val="auto"/>
        </w:rPr>
      </w:pPr>
      <w:r>
        <w:rPr>
          <w:rFonts w:ascii="Courier New" w:cs="Courier New" w:eastAsia="Courier New" w:hAnsi="Courier New"/>
          <w:sz w:val="17"/>
          <w:szCs w:val="17"/>
          <w:color w:val="auto"/>
        </w:rPr>
        <w:t>4 1/4% CONVERTIBLE SUBORDINATED NOTES DUE 2007</w:t>
      </w:r>
    </w:p>
    <w:p>
      <w:pPr>
        <w:spacing w:after="0" w:line="21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ind w:right="3140" w:firstLine="943"/>
        <w:spacing w:after="0" w:line="252" w:lineRule="auto"/>
        <w:rPr>
          <w:sz w:val="20"/>
          <w:szCs w:val="20"/>
          <w:color w:val="auto"/>
        </w:rPr>
      </w:pPr>
      <w:r>
        <w:rPr>
          <w:rFonts w:ascii="Courier New" w:cs="Courier New" w:eastAsia="Courier New" w:hAnsi="Courier New"/>
          <w:sz w:val="17"/>
          <w:szCs w:val="17"/>
          <w:color w:val="auto"/>
        </w:rPr>
        <w:t>This prospectus supplement amends and supplements, and should be read in conjunction with, the prospectus, dated January 4, 2001 of Texas Instruments Incorporated relating to the offering from time to time by certain selling securityholders of up to 2,257,113 shares of Texas Instruments common stock, par value $1.00 per share, issuable upon conversion of Texas Instruments Tucson Corporation's 4 1/4% Convertible Subordinated Notes due 2007.</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CHANGE IN SELLING SECURITYHOLDER INFORMATION</w:t>
      </w:r>
    </w:p>
    <w:p>
      <w:pPr>
        <w:spacing w:after="0" w:line="210" w:lineRule="exact"/>
        <w:rPr>
          <w:sz w:val="24"/>
          <w:szCs w:val="24"/>
          <w:color w:val="auto"/>
        </w:rPr>
      </w:pPr>
    </w:p>
    <w:p>
      <w:pPr>
        <w:ind w:right="3140" w:firstLine="943"/>
        <w:spacing w:after="0" w:line="253" w:lineRule="auto"/>
        <w:rPr>
          <w:sz w:val="20"/>
          <w:szCs w:val="20"/>
          <w:color w:val="auto"/>
        </w:rPr>
      </w:pPr>
      <w:r>
        <w:rPr>
          <w:rFonts w:ascii="Courier New" w:cs="Courier New" w:eastAsia="Courier New" w:hAnsi="Courier New"/>
          <w:sz w:val="17"/>
          <w:szCs w:val="17"/>
          <w:color w:val="auto"/>
        </w:rPr>
        <w:t>The table below sets forth information as of the date hereof concerning beneficial ownership of the notes and underlying common stock of the selling securityholders listed below. All information concerning beneficial ownership has been furnished by the selling securityholders.</w:t>
      </w:r>
    </w:p>
    <w:p>
      <w:pPr>
        <w:spacing w:after="0" w:line="200" w:lineRule="exact"/>
        <w:rPr>
          <w:sz w:val="24"/>
          <w:szCs w:val="24"/>
          <w:color w:val="auto"/>
        </w:rPr>
      </w:pPr>
    </w:p>
    <w:p>
      <w:pPr>
        <w:spacing w:after="0" w:line="398"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5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PRINCIPAL</w:t>
            </w: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1"/>
        </w:trPr>
        <w:tc>
          <w:tcPr>
            <w:tcW w:w="5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8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AMOUNT AT</w:t>
            </w: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1"/>
        </w:trPr>
        <w:tc>
          <w:tcPr>
            <w:tcW w:w="5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8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MATURITY OF</w:t>
            </w: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1"/>
        </w:trPr>
        <w:tc>
          <w:tcPr>
            <w:tcW w:w="5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8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NOTES</w:t>
            </w:r>
          </w:p>
        </w:tc>
        <w:tc>
          <w:tcPr>
            <w:tcW w:w="1720" w:type="dxa"/>
            <w:vAlign w:val="bottom"/>
          </w:tcPr>
          <w:p>
            <w:pPr>
              <w:spacing w:after="0"/>
              <w:rPr>
                <w:sz w:val="17"/>
                <w:szCs w:val="17"/>
                <w:color w:val="auto"/>
              </w:rPr>
            </w:pP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SHARES OF</w:t>
            </w:r>
          </w:p>
        </w:tc>
        <w:tc>
          <w:tcPr>
            <w:tcW w:w="1880" w:type="dxa"/>
            <w:vAlign w:val="bottom"/>
          </w:tcPr>
          <w:p>
            <w:pPr>
              <w:spacing w:after="0"/>
              <w:rPr>
                <w:sz w:val="17"/>
                <w:szCs w:val="17"/>
                <w:color w:val="auto"/>
              </w:rPr>
            </w:pPr>
          </w:p>
        </w:tc>
      </w:tr>
      <w:tr>
        <w:trPr>
          <w:trHeight w:val="201"/>
        </w:trPr>
        <w:tc>
          <w:tcPr>
            <w:tcW w:w="5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BENEFICIALLY</w:t>
            </w:r>
          </w:p>
        </w:tc>
        <w:tc>
          <w:tcPr>
            <w:tcW w:w="1720" w:type="dxa"/>
            <w:vAlign w:val="bottom"/>
          </w:tcPr>
          <w:p>
            <w:pPr>
              <w:jc w:val="center"/>
              <w:ind w:right="153"/>
              <w:spacing w:after="0"/>
              <w:rPr>
                <w:sz w:val="20"/>
                <w:szCs w:val="20"/>
                <w:color w:val="auto"/>
              </w:rPr>
            </w:pPr>
            <w:r>
              <w:rPr>
                <w:rFonts w:ascii="Courier New" w:cs="Courier New" w:eastAsia="Courier New" w:hAnsi="Courier New"/>
                <w:sz w:val="17"/>
                <w:szCs w:val="17"/>
                <w:color w:val="auto"/>
              </w:rPr>
              <w:t>PERCENTAGE OF</w:t>
            </w:r>
          </w:p>
        </w:tc>
        <w:tc>
          <w:tcPr>
            <w:tcW w:w="16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COMMON STOCK</w:t>
            </w:r>
          </w:p>
        </w:tc>
        <w:tc>
          <w:tcPr>
            <w:tcW w:w="1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PERCENTAGE OF</w:t>
            </w:r>
          </w:p>
        </w:tc>
      </w:tr>
      <w:tr>
        <w:trPr>
          <w:trHeight w:val="201"/>
        </w:trPr>
        <w:tc>
          <w:tcPr>
            <w:tcW w:w="5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OWNED THAT</w:t>
            </w:r>
          </w:p>
        </w:tc>
        <w:tc>
          <w:tcPr>
            <w:tcW w:w="1720" w:type="dxa"/>
            <w:vAlign w:val="bottom"/>
          </w:tcPr>
          <w:p>
            <w:pPr>
              <w:jc w:val="center"/>
              <w:ind w:right="153"/>
              <w:spacing w:after="0"/>
              <w:rPr>
                <w:sz w:val="20"/>
                <w:szCs w:val="20"/>
                <w:color w:val="auto"/>
              </w:rPr>
            </w:pPr>
            <w:r>
              <w:rPr>
                <w:rFonts w:ascii="Courier New" w:cs="Courier New" w:eastAsia="Courier New" w:hAnsi="Courier New"/>
                <w:sz w:val="17"/>
                <w:szCs w:val="17"/>
                <w:color w:val="auto"/>
              </w:rPr>
              <w:t>NOTES</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THAT MAY</w:t>
            </w:r>
          </w:p>
        </w:tc>
        <w:tc>
          <w:tcPr>
            <w:tcW w:w="1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COMMON STOCK</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NAME OF SELLING SECURITYHOLDER</w:t>
            </w:r>
          </w:p>
        </w:tc>
        <w:tc>
          <w:tcPr>
            <w:tcW w:w="1780" w:type="dxa"/>
            <w:vAlign w:val="bottom"/>
          </w:tcPr>
          <w:p>
            <w:pPr>
              <w:jc w:val="center"/>
              <w:ind w:right="13"/>
              <w:spacing w:after="0"/>
              <w:rPr>
                <w:sz w:val="20"/>
                <w:szCs w:val="20"/>
                <w:color w:val="auto"/>
              </w:rPr>
            </w:pPr>
            <w:r>
              <w:rPr>
                <w:rFonts w:ascii="Courier New" w:cs="Courier New" w:eastAsia="Courier New" w:hAnsi="Courier New"/>
                <w:sz w:val="17"/>
                <w:szCs w:val="17"/>
                <w:color w:val="auto"/>
              </w:rPr>
              <w:t>MAY BE SOLD</w:t>
            </w:r>
          </w:p>
        </w:tc>
        <w:tc>
          <w:tcPr>
            <w:tcW w:w="1720" w:type="dxa"/>
            <w:vAlign w:val="bottom"/>
          </w:tcPr>
          <w:p>
            <w:pPr>
              <w:jc w:val="center"/>
              <w:ind w:right="173"/>
              <w:spacing w:after="0"/>
              <w:rPr>
                <w:sz w:val="20"/>
                <w:szCs w:val="20"/>
                <w:color w:val="auto"/>
              </w:rPr>
            </w:pPr>
            <w:r>
              <w:rPr>
                <w:rFonts w:ascii="Courier New" w:cs="Courier New" w:eastAsia="Courier New" w:hAnsi="Courier New"/>
                <w:sz w:val="17"/>
                <w:szCs w:val="17"/>
                <w:color w:val="auto"/>
              </w:rPr>
              <w:t>OUTSTANDING</w:t>
            </w:r>
          </w:p>
        </w:tc>
        <w:tc>
          <w:tcPr>
            <w:tcW w:w="16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BE SOLD(1)</w:t>
            </w:r>
          </w:p>
        </w:tc>
        <w:tc>
          <w:tcPr>
            <w:tcW w:w="18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OUTSTANDING (2)</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Credit Suisse First Boston Corporation</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$378,000</w:t>
            </w:r>
          </w:p>
        </w:tc>
        <w:tc>
          <w:tcPr>
            <w:tcW w:w="1720" w:type="dxa"/>
            <w:vAlign w:val="bottom"/>
          </w:tcPr>
          <w:p>
            <w:pPr>
              <w:jc w:val="center"/>
              <w:ind w:right="173"/>
              <w:spacing w:after="0"/>
              <w:rPr>
                <w:sz w:val="20"/>
                <w:szCs w:val="20"/>
                <w:color w:val="auto"/>
              </w:rPr>
            </w:pPr>
            <w:r>
              <w:rPr>
                <w:rFonts w:ascii="Courier New" w:cs="Courier New" w:eastAsia="Courier New" w:hAnsi="Courier New"/>
                <w:sz w:val="17"/>
                <w:szCs w:val="17"/>
                <w:color w:val="auto"/>
                <w:w w:val="97"/>
              </w:rPr>
              <w:t>*</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8,504</w:t>
            </w:r>
          </w:p>
        </w:tc>
        <w:tc>
          <w:tcPr>
            <w:tcW w:w="188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The Northwestern Mutual Life</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4,000,000</w:t>
            </w:r>
          </w:p>
        </w:tc>
        <w:tc>
          <w:tcPr>
            <w:tcW w:w="172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1.6%</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89,989</w:t>
            </w:r>
          </w:p>
        </w:tc>
        <w:tc>
          <w:tcPr>
            <w:tcW w:w="188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Insurance Company</w:t>
            </w:r>
          </w:p>
        </w:tc>
        <w:tc>
          <w:tcPr>
            <w:tcW w:w="1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01"/>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Toronto Dominion (New York), Inc.</w:t>
            </w:r>
          </w:p>
        </w:tc>
        <w:tc>
          <w:tcPr>
            <w:tcW w:w="17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4,000,000</w:t>
            </w:r>
          </w:p>
        </w:tc>
        <w:tc>
          <w:tcPr>
            <w:tcW w:w="172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1.6%</w:t>
            </w:r>
          </w:p>
        </w:tc>
        <w:tc>
          <w:tcPr>
            <w:tcW w:w="168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89,989</w:t>
            </w:r>
          </w:p>
        </w:tc>
        <w:tc>
          <w:tcPr>
            <w:tcW w:w="1880" w:type="dxa"/>
            <w:vAlign w:val="bottom"/>
          </w:tcPr>
          <w:p>
            <w:pPr>
              <w:jc w:val="right"/>
              <w:ind w:right="1053"/>
              <w:spacing w:after="0"/>
              <w:rPr>
                <w:sz w:val="20"/>
                <w:szCs w:val="20"/>
                <w:color w:val="auto"/>
              </w:rPr>
            </w:pPr>
            <w:r>
              <w:rPr>
                <w:rFonts w:ascii="Courier New" w:cs="Courier New" w:eastAsia="Courier New" w:hAnsi="Courier New"/>
                <w:sz w:val="17"/>
                <w:szCs w:val="17"/>
                <w:color w:val="auto"/>
              </w:rPr>
              <w:t>*</w:t>
            </w:r>
          </w:p>
        </w:tc>
      </w:tr>
      <w:tr>
        <w:trPr>
          <w:trHeight w:val="604"/>
        </w:trPr>
        <w:tc>
          <w:tcPr>
            <w:tcW w:w="44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03"/>
        </w:trPr>
        <w:tc>
          <w:tcPr>
            <w:tcW w:w="5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3920" w:type="dxa"/>
            <w:vAlign w:val="bottom"/>
          </w:tcPr>
          <w:p>
            <w:pPr>
              <w:ind w:left="420"/>
              <w:spacing w:after="0"/>
              <w:rPr>
                <w:sz w:val="20"/>
                <w:szCs w:val="20"/>
                <w:color w:val="auto"/>
              </w:rPr>
            </w:pPr>
            <w:r>
              <w:rPr>
                <w:rFonts w:ascii="Courier New" w:cs="Courier New" w:eastAsia="Courier New" w:hAnsi="Courier New"/>
                <w:sz w:val="17"/>
                <w:szCs w:val="17"/>
                <w:color w:val="auto"/>
              </w:rPr>
              <w:t>Less than 1%</w:t>
            </w: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205" w:lineRule="exact"/>
        <w:rPr>
          <w:sz w:val="24"/>
          <w:szCs w:val="24"/>
          <w:color w:val="auto"/>
        </w:rPr>
      </w:pPr>
    </w:p>
    <w:p>
      <w:pPr>
        <w:ind w:left="960" w:right="3340" w:hanging="953"/>
        <w:spacing w:after="0" w:line="252" w:lineRule="auto"/>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conversion of all of the holder's notes at a conversion price of approximately $44.45 per share of Texas Instruments common stock. However, this conversion price will be subject to adjustment as described under "Description of Notes - Conversion of Notes" in the prospectus. As a result, the amount of Texas Instruments common stock issuable upon conversion of the notes may decrease in the future.</w:t>
      </w:r>
    </w:p>
    <w:p>
      <w:pPr>
        <w:spacing w:after="0" w:line="196" w:lineRule="exact"/>
        <w:rPr>
          <w:rFonts w:ascii="Courier New" w:cs="Courier New" w:eastAsia="Courier New" w:hAnsi="Courier New"/>
          <w:sz w:val="17"/>
          <w:szCs w:val="17"/>
          <w:color w:val="auto"/>
        </w:rPr>
      </w:pPr>
    </w:p>
    <w:p>
      <w:pPr>
        <w:ind w:left="960" w:right="3140" w:hanging="953"/>
        <w:spacing w:after="0" w:line="252" w:lineRule="auto"/>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based on Rule 13d-3(d)(i) of the Securities and Exchange Act using 1,733,731,089 shares of Texas Instruments common stock issued and outstanding as of January 17, 2001. Assumes the number of shares of Texas Instruments common stock issuable upon conversion of all of that particular holder's notes are outstanding. However, this does not include the conversion of any other holder's notes.</w:t>
      </w:r>
    </w:p>
    <w:p>
      <w:pPr>
        <w:spacing w:after="0" w:line="197" w:lineRule="exact"/>
        <w:rPr>
          <w:sz w:val="24"/>
          <w:szCs w:val="24"/>
          <w:color w:val="auto"/>
        </w:rPr>
      </w:pPr>
    </w:p>
    <w:p>
      <w:pPr>
        <w:ind w:right="3240" w:firstLine="943"/>
        <w:spacing w:after="0" w:line="257" w:lineRule="auto"/>
        <w:rPr>
          <w:sz w:val="20"/>
          <w:szCs w:val="20"/>
          <w:color w:val="auto"/>
        </w:rPr>
      </w:pPr>
      <w:r>
        <w:rPr>
          <w:rFonts w:ascii="Courier New" w:cs="Courier New" w:eastAsia="Courier New" w:hAnsi="Courier New"/>
          <w:sz w:val="17"/>
          <w:szCs w:val="17"/>
          <w:color w:val="auto"/>
        </w:rPr>
        <w:t>THE SECURITIES OFFERED HEREBY INVOLVE A HIGH DEGREE OF RISK. SEE "RISK FACTORS" BEGINNING ON PAGE 3 OF THE PROSPECTUS.</w:t>
      </w:r>
    </w:p>
    <w:p>
      <w:pPr>
        <w:spacing w:after="0" w:line="192" w:lineRule="exact"/>
        <w:rPr>
          <w:sz w:val="24"/>
          <w:szCs w:val="24"/>
          <w:color w:val="auto"/>
        </w:rPr>
      </w:pPr>
    </w:p>
    <w:p>
      <w:pPr>
        <w:jc w:val="right"/>
        <w:ind w:right="3140"/>
        <w:spacing w:after="0"/>
        <w:rPr>
          <w:sz w:val="20"/>
          <w:szCs w:val="20"/>
          <w:color w:val="auto"/>
        </w:rPr>
      </w:pPr>
      <w:r>
        <w:rPr>
          <w:rFonts w:ascii="Courier New" w:cs="Courier New" w:eastAsia="Courier New" w:hAnsi="Courier New"/>
          <w:sz w:val="17"/>
          <w:szCs w:val="17"/>
          <w:color w:val="auto"/>
        </w:rPr>
        <w:t>NEITHER THE SECURITIES AND EXCHANGE COMMISSION NOR ANY STATE SECURITIES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HAS APPROVED OR DISAPPROVED OF THESE SECURITIES OR DETERMINED IF THIS</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PROSPECTUS IS TRUTHFUL OR COMPLETE. ANY REPRESENTATION TO THE CONTRARY IS A</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CRIMINAL OFFENSE.</w:t>
      </w:r>
    </w:p>
    <w:p>
      <w:pPr>
        <w:spacing w:after="0" w:line="210" w:lineRule="exact"/>
        <w:rPr>
          <w:sz w:val="24"/>
          <w:szCs w:val="24"/>
          <w:color w:val="auto"/>
        </w:rPr>
      </w:pPr>
    </w:p>
    <w:p>
      <w:pPr>
        <w:ind w:left="1160"/>
        <w:spacing w:after="0"/>
        <w:rPr>
          <w:sz w:val="20"/>
          <w:szCs w:val="20"/>
          <w:color w:val="auto"/>
        </w:rPr>
      </w:pPr>
      <w:r>
        <w:rPr>
          <w:rFonts w:ascii="Courier New" w:cs="Courier New" w:eastAsia="Courier New" w:hAnsi="Courier New"/>
          <w:sz w:val="17"/>
          <w:szCs w:val="17"/>
          <w:color w:val="auto"/>
        </w:rPr>
        <w:t>The date of this Prospectus Supplement is January 25, 2001.</w:t>
      </w:r>
    </w:p>
    <w:sectPr>
      <w:pgSz w:w="11900" w:h="16838" w:orient="portrait"/>
      <w:cols w:equalWidth="0" w:num="1">
        <w:col w:w="11520"/>
      </w:cols>
      <w:pgMar w:left="240" w:top="249" w:right="139" w:bottom="11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2019-12-13T07:35:39Z</dcterms:created>
  <dcterms:modified xsi:type="dcterms:W3CDTF">2019-12-13T07:35:39Z</dcterms:modified>
</cp:coreProperties>
</file>