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7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right="20" w:hanging="549"/>
        <w:spacing w:after="0" w:line="260"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hanging="576"/>
        <w:spacing w:after="0" w:line="260"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-3384550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-2930525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-2355850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-1901190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-1506855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-134620</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319405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840"/>
          </w:cols>
          <w:pgMar w:left="440" w:top="522" w:right="619" w:bottom="552"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343" w:lineRule="exact"/>
        <w:rPr>
          <w:rFonts w:ascii="Arial" w:cs="Arial" w:eastAsia="Arial" w:hAnsi="Arial"/>
          <w:sz w:val="15"/>
          <w:szCs w:val="15"/>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-134620</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319405</wp:posOffset>
            </wp:positionV>
            <wp:extent cx="6294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499745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542290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55" w:right="1440" w:bottom="1440" w:gutter="0" w:footer="0" w:header="0"/>
        </w:sectPr>
      </w:pPr>
    </w:p>
    <w:bookmarkStart w:id="2" w:name="page3"/>
    <w:bookmarkEnd w:id="2"/>
    <w:p>
      <w:pPr>
        <w:jc w:val="center"/>
        <w:ind w:left="2340" w:right="27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Stockholder Meeting to Be Held on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174625</wp:posOffset>
            </wp:positionV>
            <wp:extent cx="3481705" cy="1629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1629410"/>
                    </a:xfrm>
                    <a:prstGeom prst="rect">
                      <a:avLst/>
                    </a:prstGeom>
                    <a:noFill/>
                  </pic:spPr>
                </pic:pic>
              </a:graphicData>
            </a:graphic>
          </wp:anchor>
        </w:drawing>
      </w:r>
    </w:p>
    <w:p>
      <w:pPr>
        <w:sectPr>
          <w:pgSz w:w="11900" w:h="16838" w:orient="portrait"/>
          <w:cols w:equalWidth="0" w:num="1">
            <w:col w:w="10480"/>
          </w:cols>
          <w:pgMar w:left="900" w:top="270" w:right="5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1158240</wp:posOffset>
            </wp:positionV>
            <wp:extent cx="135509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0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320"/>
        <w:spacing w:after="0" w:line="256" w:lineRule="auto"/>
        <w:rPr>
          <w:sz w:val="20"/>
          <w:szCs w:val="20"/>
          <w:color w:val="auto"/>
        </w:rPr>
      </w:pPr>
      <w:r>
        <w:rPr>
          <w:rFonts w:ascii="Arial" w:cs="Arial" w:eastAsia="Arial" w:hAnsi="Arial"/>
          <w:sz w:val="18"/>
          <w:szCs w:val="18"/>
          <w:i w:val="1"/>
          <w:iCs w:val="1"/>
          <w:color w:val="auto"/>
        </w:rPr>
        <w:t>TEXAS INSTRUMENTS INCORPORATED ATTN: JANE NAHRA P.O. BOX 655474</w:t>
      </w:r>
    </w:p>
    <w:p>
      <w:pPr>
        <w:spacing w:after="0"/>
        <w:rPr>
          <w:sz w:val="20"/>
          <w:szCs w:val="20"/>
          <w:color w:val="auto"/>
        </w:rPr>
      </w:pPr>
      <w:r>
        <w:rPr>
          <w:rFonts w:ascii="Arial" w:cs="Arial" w:eastAsia="Arial" w:hAnsi="Arial"/>
          <w:sz w:val="18"/>
          <w:szCs w:val="18"/>
          <w:i w:val="1"/>
          <w:iCs w:val="1"/>
          <w:color w:val="auto"/>
        </w:rPr>
        <w:t>MS 3999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Meeting Information</w:t>
            </w:r>
          </w:p>
        </w:tc>
      </w:tr>
      <w:tr>
        <w:trPr>
          <w:trHeight w:val="367"/>
        </w:trPr>
        <w:tc>
          <w:tcPr>
            <w:tcW w:w="132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00" w:type="dxa"/>
            <w:vAlign w:val="bottom"/>
            <w:gridSpan w:val="2"/>
          </w:tcPr>
          <w:p>
            <w:pPr>
              <w:ind w:left="180"/>
              <w:spacing w:after="0"/>
              <w:rPr>
                <w:sz w:val="20"/>
                <w:szCs w:val="20"/>
                <w:color w:val="auto"/>
              </w:rPr>
            </w:pPr>
            <w:r>
              <w:rPr>
                <w:rFonts w:ascii="Arial" w:cs="Arial" w:eastAsia="Arial" w:hAnsi="Arial"/>
                <w:sz w:val="18"/>
                <w:szCs w:val="18"/>
                <w:color w:val="auto"/>
              </w:rPr>
              <w:t>Annual Meeting</w:t>
            </w: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25, 2019</w:t>
            </w: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25, 2019</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Time:  </w:t>
            </w:r>
            <w:r>
              <w:rPr>
                <w:rFonts w:ascii="Arial" w:cs="Arial" w:eastAsia="Arial" w:hAnsi="Arial"/>
                <w:sz w:val="18"/>
                <w:szCs w:val="18"/>
                <w:color w:val="auto"/>
                <w:w w:val="99"/>
              </w:rPr>
              <w:t>8:30 a.m.</w:t>
            </w:r>
          </w:p>
        </w:tc>
      </w:tr>
    </w:tbl>
    <w:p>
      <w:pPr>
        <w:ind w:left="160"/>
        <w:spacing w:after="0"/>
        <w:tabs>
          <w:tab w:leader="none" w:pos="11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Dallas, Texas 75243</w:t>
      </w:r>
    </w:p>
    <w:p>
      <w:pPr>
        <w:spacing w:after="0" w:line="9" w:lineRule="exact"/>
        <w:rPr>
          <w:sz w:val="20"/>
          <w:szCs w:val="20"/>
          <w:color w:val="auto"/>
        </w:rPr>
      </w:pPr>
    </w:p>
    <w:p>
      <w:pPr>
        <w:jc w:val="both"/>
        <w:ind w:left="160"/>
        <w:spacing w:after="0" w:line="311" w:lineRule="auto"/>
        <w:rPr>
          <w:sz w:val="20"/>
          <w:szCs w:val="20"/>
          <w:color w:val="auto"/>
        </w:rPr>
      </w:pPr>
      <w:r>
        <w:rPr>
          <w:rFonts w:ascii="Arial" w:cs="Arial" w:eastAsia="Arial" w:hAnsi="Arial"/>
          <w:sz w:val="16"/>
          <w:szCs w:val="16"/>
          <w:color w:val="auto"/>
        </w:rPr>
        <w:t>See page 53 of the Proxy Statement (available at www.proxyvote.com) for directions to the meeting location. To attend the annual meeting you must request an advance registration form at www.proxyvote.com</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This is not a ballot. </w:t>
      </w:r>
      <w:r>
        <w:rPr>
          <w:rFonts w:ascii="Arial" w:cs="Arial" w:eastAsia="Arial" w:hAnsi="Arial"/>
          <w:sz w:val="16"/>
          <w:szCs w:val="16"/>
          <w:b w:val="1"/>
          <w:bCs w:val="1"/>
          <w:color w:val="auto"/>
        </w:rPr>
        <w:t>You cannot use this notice to vote these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or easily request a paper copy (see reverse side).</w:t>
      </w:r>
    </w:p>
    <w:p>
      <w:pPr>
        <w:spacing w:after="0" w:line="73" w:lineRule="exact"/>
        <w:rPr>
          <w:sz w:val="20"/>
          <w:szCs w:val="20"/>
          <w:color w:val="auto"/>
        </w:rPr>
      </w:pPr>
    </w:p>
    <w:p>
      <w:pPr>
        <w:jc w:val="both"/>
        <w:ind w:right="760"/>
        <w:spacing w:after="0" w:line="347" w:lineRule="auto"/>
        <w:rPr>
          <w:sz w:val="20"/>
          <w:szCs w:val="20"/>
          <w:color w:val="auto"/>
        </w:rPr>
      </w:pPr>
      <w:r>
        <w:rPr>
          <w:rFonts w:ascii="Arial" w:cs="Arial" w:eastAsia="Arial" w:hAnsi="Arial"/>
          <w:sz w:val="16"/>
          <w:szCs w:val="16"/>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340487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334645"/>
                    </a:xfrm>
                    <a:prstGeom prst="rect">
                      <a:avLst/>
                    </a:prstGeom>
                    <a:noFill/>
                  </pic:spPr>
                </pic:pic>
              </a:graphicData>
            </a:graphic>
          </wp:anchor>
        </w:drawing>
      </w:r>
    </w:p>
    <w:p>
      <w:pPr>
        <w:spacing w:after="0" w:line="15" w:lineRule="exact"/>
        <w:rPr>
          <w:sz w:val="20"/>
          <w:szCs w:val="20"/>
          <w:color w:val="auto"/>
        </w:rPr>
      </w:pPr>
    </w:p>
    <w:p>
      <w:pPr>
        <w:ind w:left="100" w:right="148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440" w:space="720"/>
            <w:col w:w="5320"/>
          </w:cols>
          <w:pgMar w:left="900" w:top="270" w:right="519" w:bottom="1440" w:gutter="0" w:footer="0" w:header="0"/>
          <w:type w:val="continuous"/>
        </w:sectPr>
      </w:pPr>
    </w:p>
    <w:bookmarkStart w:id="3" w:name="page4"/>
    <w:bookmarkEnd w:id="3"/>
    <w:p>
      <w:pPr>
        <w:jc w:val="center"/>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How to Access the Proxy Materials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-127635</wp:posOffset>
            </wp:positionV>
            <wp:extent cx="6946265" cy="2787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265" cy="2787015"/>
                    </a:xfrm>
                    <a:prstGeom prst="rect">
                      <a:avLst/>
                    </a:prstGeom>
                    <a:noFill/>
                  </pic:spPr>
                </pic:pic>
              </a:graphicData>
            </a:graphic>
          </wp:anchor>
        </w:drawing>
      </w:r>
    </w:p>
    <w:p>
      <w:pPr>
        <w:spacing w:after="0" w:line="11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1. 2019 Notice and Proxy Statement</w:t>
      </w:r>
      <w:r>
        <w:rPr>
          <w:sz w:val="20"/>
          <w:szCs w:val="20"/>
          <w:color w:val="auto"/>
        </w:rPr>
        <w:tab/>
      </w:r>
      <w:r>
        <w:rPr>
          <w:rFonts w:ascii="Arial" w:cs="Arial" w:eastAsia="Arial" w:hAnsi="Arial"/>
          <w:sz w:val="16"/>
          <w:szCs w:val="16"/>
          <w:color w:val="auto"/>
        </w:rPr>
        <w:t>2. 2018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480"/>
          </w:cols>
          <w:pgMar w:left="840" w:top="594" w:right="579" w:bottom="1440" w:gutter="0" w:footer="0" w:header="0"/>
        </w:sectPr>
      </w:pPr>
    </w:p>
    <w:p>
      <w:pPr>
        <w:spacing w:after="0" w:line="148" w:lineRule="exact"/>
        <w:rPr>
          <w:sz w:val="20"/>
          <w:szCs w:val="20"/>
          <w:color w:val="auto"/>
        </w:rPr>
      </w:pPr>
    </w:p>
    <w:p>
      <w:pPr>
        <w:ind w:right="154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Arial" w:cs="Arial" w:eastAsia="Arial" w:hAnsi="Arial"/>
          <w:sz w:val="18"/>
          <w:szCs w:val="18"/>
          <w:i w:val="1"/>
          <w:iCs w:val="1"/>
          <w:color w:val="auto"/>
        </w:rPr>
        <w:t>www.proxyvote.com.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 visit:</w:t>
      </w:r>
    </w:p>
    <w:p>
      <w:pPr>
        <w:spacing w:after="0" w:line="734" w:lineRule="exact"/>
        <w:rPr>
          <w:sz w:val="20"/>
          <w:szCs w:val="20"/>
          <w:color w:val="auto"/>
        </w:rPr>
      </w:pPr>
    </w:p>
    <w:p>
      <w:pPr>
        <w:sectPr>
          <w:pgSz w:w="11900" w:h="16838" w:orient="portrait"/>
          <w:cols w:equalWidth="0" w:num="2">
            <w:col w:w="6420" w:space="720"/>
            <w:col w:w="3340"/>
          </w:cols>
          <w:pgMar w:left="840" w:top="594" w:right="57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89" w:lineRule="exact"/>
        <w:rPr>
          <w:sz w:val="20"/>
          <w:szCs w:val="20"/>
          <w:color w:val="auto"/>
        </w:rPr>
      </w:pPr>
    </w:p>
    <w:p>
      <w:pPr>
        <w:ind w:left="1480"/>
        <w:spacing w:after="0"/>
        <w:tabs>
          <w:tab w:leader="none" w:pos="32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640" w:hanging="1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2" w:lineRule="exact"/>
        <w:rPr>
          <w:rFonts w:ascii="Arial" w:cs="Arial" w:eastAsia="Arial" w:hAnsi="Arial"/>
          <w:sz w:val="18"/>
          <w:szCs w:val="18"/>
          <w:color w:val="auto"/>
        </w:rPr>
      </w:pPr>
    </w:p>
    <w:p>
      <w:pPr>
        <w:ind w:left="1640" w:hanging="1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69365" cy="1028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Requests, instructions and other inquiries sent to this email address will NOT be forwarded to your investment advisor. </w:t>
      </w:r>
      <w:r>
        <w:rPr>
          <w:rFonts w:ascii="Arial" w:cs="Arial" w:eastAsia="Arial" w:hAnsi="Arial"/>
          <w:sz w:val="18"/>
          <w:szCs w:val="18"/>
          <w:b w:val="1"/>
          <w:bCs w:val="1"/>
          <w:color w:val="auto"/>
        </w:rPr>
        <w:t>Please make the request</w:t>
      </w:r>
      <w:r>
        <w:rPr>
          <w:rFonts w:ascii="Arial" w:cs="Arial" w:eastAsia="Arial" w:hAnsi="Arial"/>
          <w:sz w:val="18"/>
          <w:szCs w:val="18"/>
          <w:color w:val="auto"/>
        </w:rPr>
        <w:t xml:space="preserve"> </w:t>
      </w:r>
      <w:r>
        <w:rPr>
          <w:rFonts w:ascii="Arial" w:cs="Arial" w:eastAsia="Arial" w:hAnsi="Arial"/>
          <w:sz w:val="18"/>
          <w:szCs w:val="18"/>
          <w:b w:val="1"/>
          <w:bCs w:val="1"/>
          <w:color w:val="auto"/>
        </w:rPr>
        <w:t>as instructed above on or before April 11, 2019 to facilitate timely delivery.</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91440</wp:posOffset>
            </wp:positionV>
            <wp:extent cx="6946265" cy="1483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265" cy="1483360"/>
                    </a:xfrm>
                    <a:prstGeom prst="rect">
                      <a:avLst/>
                    </a:prstGeom>
                    <a:noFill/>
                  </pic:spPr>
                </pic:pic>
              </a:graphicData>
            </a:graphic>
          </wp:anchor>
        </w:drawing>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plan to attend the annual meeting you must print your advance registration form by 11:59 p.m. Eastern time on April 24,</w:t>
      </w:r>
      <w:r>
        <w:rPr>
          <w:rFonts w:ascii="Arial" w:cs="Arial" w:eastAsia="Arial" w:hAnsi="Arial"/>
          <w:sz w:val="18"/>
          <w:szCs w:val="18"/>
          <w:b w:val="1"/>
          <w:bCs w:val="1"/>
          <w:color w:val="auto"/>
        </w:rPr>
        <w:t xml:space="preserve"> </w:t>
      </w:r>
      <w:r>
        <w:rPr>
          <w:rFonts w:ascii="Arial" w:cs="Arial" w:eastAsia="Arial" w:hAnsi="Arial"/>
          <w:sz w:val="18"/>
          <w:szCs w:val="18"/>
          <w:color w:val="auto"/>
        </w:rPr>
        <w:t>2019 at the Stockholder Meeting Registration site: www.proxyvote.com. If you are unable to print your advance registration form call (Toll Free) 1-844-318-0137 or (InternationalToll Call) 1-925-331-6070. At the meeting you will also be required to show a government-issued photo ID and you will need to request a ballot to vote these shares.</w:t>
      </w:r>
    </w:p>
    <w:p>
      <w:pPr>
        <w:spacing w:after="0" w:line="9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color w:val="auto"/>
        </w:rPr>
        <w:t>. Have the information that is printed in the box marked by the arrow</w:t>
      </w:r>
      <w:r>
        <w:rPr>
          <w:rFonts w:ascii="Arial" w:cs="Arial" w:eastAsia="Arial" w:hAnsi="Arial"/>
          <w:sz w:val="16"/>
          <w:szCs w:val="16"/>
          <w:b w:val="1"/>
          <w:bCs w:val="1"/>
          <w:color w:val="auto"/>
        </w:rPr>
        <w:t xml:space="preserve"> </w:t>
      </w:r>
      <w:r>
        <w:rPr>
          <w:sz w:val="1"/>
          <w:szCs w:val="1"/>
          <w:color w:val="auto"/>
        </w:rPr>
        <w:drawing>
          <wp:inline distT="0" distB="0" distL="0" distR="0">
            <wp:extent cx="1269365" cy="1028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follow the instructions. For registered shares, you may vote by Internet up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-239395</wp:posOffset>
            </wp:positionV>
            <wp:extent cx="6858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11:59 p.m. Eastern time on April 24, 2019. For shares allocable to a benefit plan account, voting instructions must be received no later than 11:59 p.m. Eastern time on April 22, 2019.</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(as indicated above), which will include a proxy card.</w:t>
      </w:r>
    </w:p>
    <w:p>
      <w:pPr>
        <w:sectPr>
          <w:pgSz w:w="11900" w:h="16838" w:orient="portrait"/>
          <w:cols w:equalWidth="0" w:num="1">
            <w:col w:w="10480"/>
          </w:cols>
          <w:pgMar w:left="840" w:top="594" w:right="579" w:bottom="1440" w:gutter="0" w:footer="0" w:header="0"/>
          <w:type w:val="continuous"/>
        </w:sectPr>
      </w:pPr>
    </w:p>
    <w:bookmarkStart w:id="4" w:name="page5"/>
    <w:bookmarkEnd w:id="4"/>
    <w:p>
      <w:pP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24009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935" cy="171450"/>
                    </a:xfrm>
                    <a:prstGeom prst="rect">
                      <a:avLst/>
                    </a:prstGeom>
                    <a:noFill/>
                  </pic:spPr>
                </pic:pic>
              </a:graphicData>
            </a:graphic>
          </wp:anchor>
        </w:drawing>
        <w:t>Voting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auto"/>
        </w:rPr>
        <w:t>FOR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of the nominees for Director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Proposals 2 and 3.</w:t>
      </w:r>
    </w:p>
    <w:p>
      <w:pPr>
        <w:spacing w:after="0" w:line="15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1a.  M. A. Blinn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1b.  T. M. Bluedorn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1c.  J.F. Clark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1d.  C. S. Cox</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1e.  M.S. Craighead</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1f.  J.M. Hobby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1g.  R. Kirk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1h.  P. H. Patsley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1i.  R.E. Sanchez</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1j.  R.K.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580" cy="608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0" w:right="70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proposal regarding advisory approval of the Company’s executive compensation.</w:t>
      </w:r>
    </w:p>
    <w:p>
      <w:pPr>
        <w:spacing w:after="0" w:line="75" w:lineRule="exact"/>
        <w:rPr>
          <w:rFonts w:ascii="Arial" w:cs="Arial" w:eastAsia="Arial" w:hAnsi="Arial"/>
          <w:sz w:val="18"/>
          <w:szCs w:val="18"/>
          <w:color w:val="auto"/>
        </w:rPr>
      </w:pPr>
    </w:p>
    <w:p>
      <w:pPr>
        <w:ind w:left="380" w:right="120" w:hanging="372"/>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Board proposal to ratify the appointment of Ernst &amp; Young LLP as the Company’s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-1798320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Such other business as may properly come before the meeting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thereof.</w:t>
      </w:r>
    </w:p>
    <w:p>
      <w:pPr>
        <w:sectPr>
          <w:pgSz w:w="11900" w:h="16838" w:orient="portrait"/>
          <w:cols w:equalWidth="0" w:num="2">
            <w:col w:w="5100" w:space="720"/>
            <w:col w:w="5580"/>
          </w:cols>
          <w:pgMar w:left="240" w:top="297" w:right="259" w:bottom="1440" w:gutter="0" w:footer="0" w:header="0"/>
        </w:sectPr>
      </w:pPr>
    </w:p>
    <w:bookmarkStart w:id="5" w:name="page6"/>
    <w:bookmarkEnd w:id="5"/>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2421255</wp:posOffset>
            </wp:positionV>
            <wp:extent cx="71005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2481580</wp:posOffset>
            </wp:positionV>
            <wp:extent cx="71005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3141980</wp:posOffset>
            </wp:positionV>
            <wp:extent cx="68580" cy="608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lvl w:ilvl="1">
      <w:lvlJc w:val="left"/>
      <w:lvlText w:val="%2)"/>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2019-12-04T23:34:16Z</dcterms:created>
  <dcterms:modified xsi:type="dcterms:W3CDTF">2019-12-04T23:34:16Z</dcterms:modified>
</cp:coreProperties>
</file>