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Prospectus Supplement</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To Prospectus Dated January 4, 2001</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Pursuant to Rule 424(b)(4)</w:t>
      </w:r>
    </w:p>
    <w:p>
      <w:pPr>
        <w:spacing w:after="0" w:line="1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Registration No. 333-44572-01</w:t>
      </w:r>
    </w:p>
    <w:p>
      <w:pPr>
        <w:spacing w:after="0" w:line="13" w:lineRule="exact"/>
        <w:rPr>
          <w:sz w:val="24"/>
          <w:szCs w:val="24"/>
          <w:color w:val="auto"/>
        </w:rPr>
      </w:pPr>
    </w:p>
    <w:p>
      <w:pPr>
        <w:ind w:left="1920"/>
        <w:spacing w:after="0"/>
        <w:rPr>
          <w:sz w:val="20"/>
          <w:szCs w:val="20"/>
          <w:color w:val="auto"/>
        </w:rPr>
      </w:pPr>
      <w:r>
        <w:rPr>
          <w:rFonts w:ascii="Courier New" w:cs="Courier New" w:eastAsia="Courier New" w:hAnsi="Courier New"/>
          <w:sz w:val="16"/>
          <w:szCs w:val="16"/>
          <w:color w:val="auto"/>
        </w:rPr>
        <w:t>333-44572</w:t>
      </w:r>
    </w:p>
    <w:p>
      <w:pPr>
        <w:spacing w:after="0" w:line="188" w:lineRule="exact"/>
        <w:rPr>
          <w:sz w:val="24"/>
          <w:szCs w:val="24"/>
          <w:color w:val="auto"/>
        </w:rPr>
      </w:pPr>
    </w:p>
    <w:p>
      <w:pPr>
        <w:sectPr>
          <w:pgSz w:w="11900" w:h="16838" w:orient="portrait"/>
          <w:cols w:equalWidth="0" w:num="2">
            <w:col w:w="3901" w:space="720"/>
            <w:col w:w="6900"/>
          </w:cols>
          <w:pgMar w:left="239" w:top="238" w:right="139" w:bottom="1440" w:gutter="0" w:footer="0" w:header="0"/>
        </w:sectPr>
      </w:pPr>
    </w:p>
    <w:p>
      <w:pPr>
        <w:jc w:val="center"/>
        <w:ind w:right="3839"/>
        <w:spacing w:after="0"/>
        <w:rPr>
          <w:sz w:val="20"/>
          <w:szCs w:val="20"/>
          <w:color w:val="auto"/>
        </w:rPr>
      </w:pPr>
      <w:r>
        <w:rPr>
          <w:rFonts w:ascii="Courier New" w:cs="Courier New" w:eastAsia="Courier New" w:hAnsi="Courier New"/>
          <w:sz w:val="16"/>
          <w:szCs w:val="16"/>
          <w:color w:val="auto"/>
        </w:rPr>
        <w:t>TEXAS INSTRUMENTS INCORPORATED</w:t>
      </w:r>
    </w:p>
    <w:p>
      <w:pPr>
        <w:spacing w:after="0" w:line="188"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2,257,113 SHARES OF COMMON STOCK</w:t>
      </w:r>
    </w:p>
    <w:p>
      <w:pPr>
        <w:spacing w:after="0" w:line="188"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ISSUABLE UPON CONVERSION OF TEXAS INSTRUMENTS TUCSON CORPORATION'S</w:t>
      </w:r>
    </w:p>
    <w:p>
      <w:pPr>
        <w:spacing w:after="0" w:line="4"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4 1/4% CONVERTIBLE SUBORDINATED NOTES DUE 2007</w:t>
      </w:r>
    </w:p>
    <w:p>
      <w:pPr>
        <w:spacing w:after="0" w:line="188"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ind w:left="1" w:right="3940" w:firstLine="1729"/>
        <w:spacing w:after="0" w:line="263" w:lineRule="auto"/>
        <w:rPr>
          <w:sz w:val="20"/>
          <w:szCs w:val="20"/>
          <w:color w:val="auto"/>
        </w:rPr>
      </w:pPr>
      <w:r>
        <w:rPr>
          <w:rFonts w:ascii="Courier New" w:cs="Courier New" w:eastAsia="Courier New" w:hAnsi="Courier New"/>
          <w:sz w:val="15"/>
          <w:szCs w:val="15"/>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7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CHANGE IN SELLING SECURITYHOLDER INFORMATION</w:t>
      </w:r>
    </w:p>
    <w:p>
      <w:pPr>
        <w:spacing w:after="0" w:line="190" w:lineRule="exact"/>
        <w:rPr>
          <w:sz w:val="24"/>
          <w:szCs w:val="24"/>
          <w:color w:val="auto"/>
        </w:rPr>
      </w:pPr>
    </w:p>
    <w:p>
      <w:pPr>
        <w:ind w:left="1" w:right="3940" w:firstLine="1729"/>
        <w:spacing w:after="0" w:line="243" w:lineRule="auto"/>
        <w:rPr>
          <w:sz w:val="20"/>
          <w:szCs w:val="20"/>
          <w:color w:val="auto"/>
        </w:rPr>
      </w:pPr>
      <w:r>
        <w:rPr>
          <w:rFonts w:ascii="Courier New" w:cs="Courier New" w:eastAsia="Courier New" w:hAnsi="Courier New"/>
          <w:sz w:val="16"/>
          <w:szCs w:val="16"/>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ectPr>
          <w:pgSz w:w="11900" w:h="16838" w:orient="portrait"/>
          <w:cols w:equalWidth="0" w:num="1">
            <w:col w:w="11521"/>
          </w:cols>
          <w:pgMar w:left="239" w:top="238" w:right="1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1" w:right="1300"/>
        <w:spacing w:after="0" w:line="242" w:lineRule="auto"/>
        <w:rPr>
          <w:sz w:val="20"/>
          <w:szCs w:val="20"/>
          <w:color w:val="auto"/>
        </w:rPr>
      </w:pPr>
      <w:r>
        <w:rPr>
          <w:rFonts w:ascii="Courier New" w:cs="Courier New" w:eastAsia="Courier New" w:hAnsi="Courier New"/>
          <w:sz w:val="16"/>
          <w:szCs w:val="16"/>
          <w:color w:val="auto"/>
        </w:rPr>
        <w:t>NAME OF SELLING SECURITYHOLDER -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7"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PRINCIPAL</w:t>
      </w:r>
    </w:p>
    <w:p>
      <w:pPr>
        <w:spacing w:after="0" w:line="4"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AMOUNT AT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MATURITY OF</w:t>
      </w:r>
    </w:p>
    <w:p>
      <w:pPr>
        <w:spacing w:after="0" w:line="4"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NOTES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4"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OWNED THAT</w:t>
      </w:r>
    </w:p>
    <w:p>
      <w:pPr>
        <w:spacing w:after="0" w:line="4"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MAY BE SOLD</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PERCENTAGE OF</w:t>
      </w:r>
    </w:p>
    <w:p>
      <w:pPr>
        <w:spacing w:after="0" w:line="4"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NOTES</w:t>
      </w:r>
    </w:p>
    <w:p>
      <w:pPr>
        <w:spacing w:after="0" w:line="4"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OUTSTANDING</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SHARES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THAT MAY</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BE SOLD(1)</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PERCENTAGE OF</w:t>
      </w:r>
    </w:p>
    <w:p>
      <w:pPr>
        <w:spacing w:after="0" w:line="4"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OUTSTANDING(2)</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4"/>
          <w:szCs w:val="24"/>
          <w:color w:val="auto"/>
        </w:rPr>
      </w:pPr>
    </w:p>
    <w:p>
      <w:pPr>
        <w:sectPr>
          <w:pgSz w:w="11900" w:h="16838" w:orient="portrait"/>
          <w:cols w:equalWidth="0" w:num="5">
            <w:col w:w="4381" w:space="720"/>
            <w:col w:w="1340" w:space="100"/>
            <w:col w:w="1440" w:space="280"/>
            <w:col w:w="1340" w:space="400"/>
            <w:col w:w="1520"/>
          </w:cols>
          <w:pgMar w:left="239" w:top="238" w:right="139" w:bottom="1440" w:gutter="0" w:footer="0" w:header="0"/>
          <w:type w:val="continuous"/>
        </w:sectPr>
      </w:pPr>
    </w:p>
    <w:p>
      <w:pPr>
        <w:spacing w:after="0" w:line="2"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Credit Suisse First Boston 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$1,000,000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Courier New" w:cs="Courier New" w:eastAsia="Courier New" w:hAnsi="Courier New"/>
          <w:sz w:val="16"/>
          <w:szCs w:val="16"/>
          <w:color w:val="auto"/>
        </w:rPr>
        <w:t>22,497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2" w:lineRule="exact"/>
        <w:rPr>
          <w:sz w:val="24"/>
          <w:szCs w:val="24"/>
          <w:color w:val="auto"/>
        </w:rPr>
      </w:pPr>
    </w:p>
    <w:p>
      <w:pPr>
        <w:sectPr>
          <w:pgSz w:w="11900" w:h="16838" w:orient="portrait"/>
          <w:cols w:equalWidth="0" w:num="5">
            <w:col w:w="4661" w:space="720"/>
            <w:col w:w="1100" w:space="720"/>
            <w:col w:w="620" w:space="720"/>
            <w:col w:w="1220" w:space="720"/>
            <w:col w:w="1040"/>
          </w:cols>
          <w:pgMar w:left="239" w:top="238" w:right="139" w:bottom="1440" w:gutter="0" w:footer="0" w:header="0"/>
          <w:type w:val="continuous"/>
        </w:sectPr>
      </w:pPr>
    </w:p>
    <w:p>
      <w:pPr>
        <w:spacing w:after="0" w:line="173"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190" w:lineRule="exact"/>
        <w:rPr>
          <w:sz w:val="24"/>
          <w:szCs w:val="24"/>
          <w:color w:val="auto"/>
        </w:rPr>
      </w:pPr>
    </w:p>
    <w:p>
      <w:pPr>
        <w:ind w:left="861" w:right="4020" w:hanging="861"/>
        <w:spacing w:after="0" w:line="244" w:lineRule="auto"/>
        <w:tabs>
          <w:tab w:leader="none" w:pos="86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87" w:lineRule="exact"/>
        <w:rPr>
          <w:rFonts w:ascii="Courier New" w:cs="Courier New" w:eastAsia="Courier New" w:hAnsi="Courier New"/>
          <w:sz w:val="16"/>
          <w:szCs w:val="16"/>
          <w:color w:val="auto"/>
        </w:rPr>
      </w:pPr>
    </w:p>
    <w:p>
      <w:pPr>
        <w:ind w:left="861" w:right="3840" w:hanging="861"/>
        <w:spacing w:after="0" w:line="244" w:lineRule="auto"/>
        <w:tabs>
          <w:tab w:leader="none" w:pos="86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Securities and Exchange Act using 1,735,441,559 shares of Texas Instruments common stock issued and outstanding as of March 12, 2001. Assumes the number of shares of Texas Instruments common stock issuable upon conversion of all of that particular holder's notes are outstanding. However, this does not include the conversion of any other holder's notes.</w:t>
      </w:r>
    </w:p>
    <w:p>
      <w:pPr>
        <w:spacing w:after="0" w:line="188" w:lineRule="exact"/>
        <w:rPr>
          <w:sz w:val="24"/>
          <w:szCs w:val="24"/>
          <w:color w:val="auto"/>
        </w:rPr>
      </w:pPr>
    </w:p>
    <w:p>
      <w:pPr>
        <w:ind w:left="1" w:right="3940" w:firstLine="865"/>
        <w:spacing w:after="0" w:line="242" w:lineRule="auto"/>
        <w:rPr>
          <w:sz w:val="20"/>
          <w:szCs w:val="20"/>
          <w:color w:val="auto"/>
        </w:rPr>
      </w:pPr>
      <w:r>
        <w:rPr>
          <w:rFonts w:ascii="Courier New" w:cs="Courier New" w:eastAsia="Courier New" w:hAnsi="Courier New"/>
          <w:sz w:val="16"/>
          <w:szCs w:val="16"/>
          <w:color w:val="auto"/>
        </w:rPr>
        <w:t>THE SECURITIES OFFERED HEREBY INVOLVE A HIGH DEGREE OF RISK. SEE "RISK FACTORS" BEGINNING ON PAGE 3 OF THE PROSPECTUS.</w:t>
      </w:r>
    </w:p>
    <w:p>
      <w:pPr>
        <w:spacing w:after="0" w:line="187" w:lineRule="exact"/>
        <w:rPr>
          <w:sz w:val="24"/>
          <w:szCs w:val="24"/>
          <w:color w:val="auto"/>
        </w:rPr>
      </w:pPr>
    </w:p>
    <w:p>
      <w:pPr>
        <w:jc w:val="right"/>
        <w:ind w:right="3840"/>
        <w:spacing w:after="0"/>
        <w:rPr>
          <w:sz w:val="20"/>
          <w:szCs w:val="20"/>
          <w:color w:val="auto"/>
        </w:rPr>
      </w:pPr>
      <w:r>
        <w:rPr>
          <w:rFonts w:ascii="Courier New" w:cs="Courier New" w:eastAsia="Courier New" w:hAnsi="Courier New"/>
          <w:sz w:val="16"/>
          <w:szCs w:val="16"/>
          <w:color w:val="auto"/>
        </w:rPr>
        <w:t>NEITHER THE SECURITIES AND EXCHANGE COMMISSION NOR ANY STATE SECURITIES</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COMMISSION HAS APPROVED OR DISAPPROVED OF THESE SECURITIES OR DETERMINED IF THIS</w:t>
      </w:r>
    </w:p>
    <w:p>
      <w:pPr>
        <w:spacing w:after="0" w:line="1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PROSPECTUS IS TRUTHFUL OR COMPLETE. ANY REPRESENTATION TO THE</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CONTRARY IS A CRIMINAL OFFENSE.</w:t>
      </w:r>
    </w:p>
    <w:p>
      <w:pPr>
        <w:spacing w:after="0" w:line="188"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The date of this Prospectus Supplement is March 15, 2001.</w:t>
      </w:r>
    </w:p>
    <w:sectPr>
      <w:pgSz w:w="11900" w:h="16838" w:orient="portrait"/>
      <w:cols w:equalWidth="0" w:num="1">
        <w:col w:w="11521"/>
      </w:cols>
      <w:pgMar w:left="239" w:top="23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2019-12-13T07:31:46Z</dcterms:created>
  <dcterms:modified xsi:type="dcterms:W3CDTF">2019-12-13T07:31:46Z</dcterms:modified>
</cp:coreProperties>
</file>