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DATE OF REPORT (DATE OF EARLIEST EVENT REPORTED): JUNE 18, 2001</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750289970</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280" w:space="300"/>
            <w:col w:w="2540" w:space="320"/>
            <w:col w:w="3779"/>
          </w:cols>
          <w:pgMar w:left="240" w:top="447"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 REGULATION FD DISCLOSURE.</w:t>
      </w:r>
    </w:p>
    <w:p>
      <w:pPr>
        <w:spacing w:after="0" w:line="207" w:lineRule="exact"/>
        <w:rPr>
          <w:sz w:val="24"/>
          <w:szCs w:val="24"/>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The Registrant ("TI") confirms its outlook for the second quarter of 2001 as set forth in the Outlook section included in Item 2 of its Form 10-Q for the quarter ended March 31, 2001, which was filed with the Commission on April 27, 2001.</w:t>
      </w:r>
    </w:p>
    <w:p>
      <w:pPr>
        <w:spacing w:after="0" w:line="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confirmation is being made for purposes of Regulation FD only and is not an indication or assessment of materiality, nor is it intended to constitute a representation that the information is not otherwise publicly available. The full text of that Outlook section is as follows: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OUTLOOK</w:t>
      </w:r>
    </w:p>
    <w:p>
      <w:pPr>
        <w:spacing w:after="0" w:line="207" w:lineRule="exact"/>
        <w:rPr>
          <w:sz w:val="24"/>
          <w:szCs w:val="24"/>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TI expects revenue to decline about 20 percent sequentially in the second quarter as semiconductor customers continue to work through excess inventories in an environment in which consumption of their electronic end-equipment products continues to be weak. Due to continuing uncertain economic conditions, it is unclear when demand for TI's semiconductor products will strengthen.</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Specifically, TI expects the following for the second quarter:</w:t>
      </w:r>
    </w:p>
    <w:p>
      <w:pPr>
        <w:spacing w:after="0" w:line="207" w:lineRule="exact"/>
        <w:rPr>
          <w:sz w:val="24"/>
          <w:szCs w:val="24"/>
          <w:color w:val="auto"/>
        </w:rPr>
      </w:pPr>
    </w:p>
    <w:p>
      <w:pPr>
        <w:ind w:left="1060" w:right="2319" w:hanging="525"/>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from semiconductor to decline sequentially, with weakness affecting almost all product areas;</w:t>
      </w:r>
    </w:p>
    <w:p>
      <w:pPr>
        <w:spacing w:after="0" w:line="208" w:lineRule="exact"/>
        <w:rPr>
          <w:rFonts w:ascii="Courier New" w:cs="Courier New" w:eastAsia="Courier New" w:hAnsi="Courier New"/>
          <w:sz w:val="18"/>
          <w:szCs w:val="18"/>
          <w:color w:val="auto"/>
        </w:rPr>
      </w:pPr>
    </w:p>
    <w:p>
      <w:pPr>
        <w:ind w:left="1060" w:right="2099" w:hanging="525"/>
        <w:spacing w:after="0" w:line="279" w:lineRule="auto"/>
        <w:tabs>
          <w:tab w:leader="none" w:pos="10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 from TI's non-semiconductor activities, including Sensors &amp; Controls and E&amp;PS, to increase sequentially, primarily reflecting seasonal retail stocking for back-to-school sales of calculators;</w:t>
      </w:r>
    </w:p>
    <w:p>
      <w:pPr>
        <w:spacing w:after="0" w:line="178" w:lineRule="exact"/>
        <w:rPr>
          <w:rFonts w:ascii="Courier New" w:cs="Courier New" w:eastAsia="Courier New" w:hAnsi="Courier New"/>
          <w:sz w:val="16"/>
          <w:szCs w:val="16"/>
          <w:color w:val="auto"/>
        </w:rPr>
      </w:pPr>
    </w:p>
    <w:p>
      <w:pPr>
        <w:ind w:left="1060" w:right="1999" w:hanging="525"/>
        <w:spacing w:after="0" w:line="236"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margin to decline to about breakeven in the second quarter before the effect of special charges and amortization of acquisition-related intangibles as a result of lower revenue; and</w:t>
      </w:r>
    </w:p>
    <w:p>
      <w:pPr>
        <w:spacing w:after="0" w:line="208"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Non-operating income to decline to about $40 million sequentially due to reduced investment gains and interest income.</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2001, TI expects the following:</w:t>
      </w:r>
    </w:p>
    <w:p>
      <w:pPr>
        <w:spacing w:after="0" w:line="207" w:lineRule="exact"/>
        <w:rPr>
          <w:sz w:val="24"/>
          <w:szCs w:val="24"/>
          <w:color w:val="auto"/>
        </w:rPr>
      </w:pPr>
    </w:p>
    <w:p>
      <w:pPr>
        <w:ind w:left="1060" w:right="2099" w:hanging="525"/>
        <w:spacing w:after="0" w:line="23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R&amp;D of $1.6 billion, excluding acquisition-related amortization and purchased in-process R&amp;D, down from the prior estimate of $1.7 billion;</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expenditures of $1.8 billion, down from the prior estimate of</w:t>
      </w:r>
    </w:p>
    <w:p>
      <w:pPr>
        <w:sectPr>
          <w:pgSz w:w="11900" w:h="16838" w:orient="portrait"/>
          <w:cols w:equalWidth="0" w:num="1">
            <w:col w:w="10219"/>
          </w:cols>
          <w:pgMar w:left="240" w:top="447" w:right="1440" w:bottom="0" w:gutter="0" w:footer="0" w:header="0"/>
          <w:type w:val="continuous"/>
        </w:sectPr>
      </w:pPr>
    </w:p>
    <w:bookmarkStart w:id="1" w:name="page2"/>
    <w:bookmarkEnd w:id="1"/>
    <w:p>
      <w:pPr>
        <w:ind w:left="525"/>
        <w:spacing w:after="0"/>
        <w:rPr>
          <w:sz w:val="20"/>
          <w:szCs w:val="20"/>
          <w:color w:val="auto"/>
        </w:rPr>
      </w:pPr>
      <w:r>
        <w:rPr>
          <w:rFonts w:ascii="Courier New" w:cs="Courier New" w:eastAsia="Courier New" w:hAnsi="Courier New"/>
          <w:sz w:val="18"/>
          <w:szCs w:val="18"/>
          <w:color w:val="auto"/>
        </w:rPr>
        <w:t>$2.0 billion;</w:t>
      </w:r>
    </w:p>
    <w:p>
      <w:pPr>
        <w:spacing w:after="0" w:line="207" w:lineRule="exact"/>
        <w:rPr>
          <w:sz w:val="20"/>
          <w:szCs w:val="20"/>
          <w:color w:val="auto"/>
        </w:rPr>
      </w:pPr>
    </w:p>
    <w:p>
      <w:pPr>
        <w:ind w:left="525" w:hanging="525"/>
        <w:spacing w:after="0"/>
        <w:tabs>
          <w:tab w:leader="none" w:pos="52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Depreciation of $1.5 billion, unchanged from the prior estimate; and</w:t>
      </w:r>
    </w:p>
    <w:p>
      <w:pPr>
        <w:spacing w:after="0" w:line="218" w:lineRule="exact"/>
        <w:rPr>
          <w:rFonts w:ascii="Courier New" w:cs="Courier New" w:eastAsia="Courier New" w:hAnsi="Courier New"/>
          <w:sz w:val="16"/>
          <w:szCs w:val="16"/>
          <w:color w:val="auto"/>
        </w:rPr>
      </w:pPr>
    </w:p>
    <w:p>
      <w:pPr>
        <w:ind w:left="525" w:hanging="525"/>
        <w:spacing w:after="0"/>
        <w:tabs>
          <w:tab w:leader="none" w:pos="52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Amortization of acquisition-related costs of $240 million.</w:t>
      </w:r>
    </w:p>
    <w:p>
      <w:pPr>
        <w:sectPr>
          <w:pgSz w:w="11900" w:h="16838" w:orient="portrait"/>
          <w:cols w:equalWidth="0" w:num="1">
            <w:col w:w="9684"/>
          </w:cols>
          <w:pgMar w:left="775" w:top="136" w:right="1440" w:bottom="1440" w:gutter="0" w:footer="0" w:header="0"/>
        </w:sectPr>
      </w:pPr>
    </w:p>
    <w:bookmarkStart w:id="2" w:name="page3"/>
    <w:bookmarkEnd w:id="2"/>
    <w:p>
      <w:pPr>
        <w:ind w:right="1879"/>
        <w:spacing w:after="0" w:line="27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186"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TI or its management:</w:t>
      </w:r>
    </w:p>
    <w:p>
      <w:pPr>
        <w:spacing w:after="0" w:line="209" w:lineRule="exact"/>
        <w:rPr>
          <w:sz w:val="20"/>
          <w:szCs w:val="20"/>
          <w:color w:val="auto"/>
        </w:rPr>
      </w:pPr>
    </w:p>
    <w:p>
      <w:pPr>
        <w:ind w:left="540" w:right="18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demand for semiconductors, particularly for digital signal processors and analog chips in key markets, such as telecommunications and computers;</w:t>
      </w:r>
    </w:p>
    <w:p>
      <w:pPr>
        <w:spacing w:after="0" w:line="6"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5"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5"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Timely completion and successful integration of announced acquisitions;</w:t>
      </w:r>
    </w:p>
    <w:p>
      <w:pPr>
        <w:spacing w:after="0" w:line="4" w:lineRule="exact"/>
        <w:rPr>
          <w:rFonts w:ascii="Courier New" w:cs="Courier New" w:eastAsia="Courier New" w:hAnsi="Courier New"/>
          <w:sz w:val="18"/>
          <w:szCs w:val="18"/>
          <w:color w:val="auto"/>
        </w:rPr>
      </w:pPr>
    </w:p>
    <w:p>
      <w:pPr>
        <w:ind w:left="540" w:right="16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-Global economic, social and political conditions in the countries in which TI and its customers and suppliers operate, including fluctuations in foreign currency exchange rates;</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Losses or curtailments of purchases from key customers;</w:t>
      </w: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Availability of raw materials and critical manufacturing equipment.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ectPr>
          <w:pgSz w:w="11900" w:h="16838" w:orient="portrait"/>
          <w:cols w:equalWidth="0" w:num="1">
            <w:col w:w="10219"/>
          </w:cols>
          <w:pgMar w:left="240" w:top="1128" w:right="1440" w:bottom="1440" w:gutter="0" w:footer="0" w:header="0"/>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325"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18, 2001</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A. AYLESWORTH</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William A. Aylesworth,</w:t>
      </w:r>
    </w:p>
    <w:p>
      <w:pPr>
        <w:ind w:left="42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20"/>
        <w:spacing w:after="0"/>
        <w:rPr>
          <w:sz w:val="20"/>
          <w:szCs w:val="20"/>
          <w:color w:val="auto"/>
        </w:rPr>
      </w:pPr>
      <w:r>
        <w:rPr>
          <w:rFonts w:ascii="Courier New" w:cs="Courier New" w:eastAsia="Courier New" w:hAnsi="Courier New"/>
          <w:sz w:val="18"/>
          <w:szCs w:val="18"/>
          <w:color w:val="auto"/>
        </w:rPr>
        <w:t>Treasurer and</w:t>
      </w:r>
    </w:p>
    <w:p>
      <w:pPr>
        <w:ind w:left="420"/>
        <w:spacing w:after="0" w:line="237"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3">
        <w:col w:w="540" w:space="200"/>
        <w:col w:w="2760" w:space="720"/>
        <w:col w:w="5999"/>
      </w:cols>
      <w:pgMar w:left="240" w:top="13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2019-12-13T07:37:01Z</dcterms:created>
  <dcterms:modified xsi:type="dcterms:W3CDTF">2019-12-13T07:37:01Z</dcterms:modified>
</cp:coreProperties>
</file>