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#882508104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2,803,602</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39,012,632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39,012,632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2.252%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39,012,632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39,012,632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2.252%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39,012,632</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39,012,632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2.252%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13500 North Central Expressway, P.O.</w:t>
      </w:r>
    </w:p>
    <w:p>
      <w:pPr>
        <w:spacing w:after="0" w:line="238" w:lineRule="auto"/>
        <w:rPr>
          <w:sz w:val="20"/>
          <w:szCs w:val="20"/>
          <w:color w:val="auto"/>
        </w:rPr>
      </w:pPr>
      <w:r>
        <w:rPr>
          <w:rFonts w:ascii="Courier New" w:cs="Courier New" w:eastAsia="Courier New" w:hAnsi="Courier New"/>
          <w:sz w:val="18"/>
          <w:szCs w:val="18"/>
          <w:color w:val="auto"/>
        </w:rPr>
        <w:t>Box 655474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882508104</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39,012,632</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2.252%</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2,803,602</w:t>
      </w:r>
    </w:p>
    <w:p>
      <w:pPr>
        <w:spacing w:after="0" w:line="200" w:lineRule="exact"/>
        <w:rPr>
          <w:sz w:val="20"/>
          <w:szCs w:val="20"/>
          <w:color w:val="auto"/>
        </w:rPr>
      </w:pPr>
    </w:p>
    <w:p>
      <w:pPr>
        <w:sectPr>
          <w:pgSz w:w="11900" w:h="16838" w:orient="portrait"/>
          <w:cols w:equalWidth="0" w:num="2">
            <w:col w:w="1160" w:space="540"/>
            <w:col w:w="8519"/>
          </w:cols>
          <w:pgMar w:left="240" w:top="142"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39,012,632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Texas Instruments Incorporated at December 31, 2001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35,747,030 shares or 2.064% of the Common Stock</w:t>
      </w:r>
    </w:p>
    <w:p>
      <w:pPr>
        <w:spacing w:after="0"/>
        <w:tabs>
          <w:tab w:leader="none" w:pos="4940" w:val="left"/>
        </w:tabs>
        <w:rPr>
          <w:sz w:val="20"/>
          <w:szCs w:val="20"/>
          <w:color w:val="auto"/>
        </w:rPr>
      </w:pPr>
      <w:r>
        <w:rPr>
          <w:rFonts w:ascii="Courier New" w:cs="Courier New" w:eastAsia="Courier New" w:hAnsi="Courier New"/>
          <w:sz w:val="18"/>
          <w:szCs w:val="18"/>
          <w:color w:val="auto"/>
        </w:rPr>
        <w:t>outstanding of Texas Instruments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35,747,030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2,753,687 shares or 0.159%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2,753,687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2,291,687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462,000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35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 As such, FMR Corp.'s beneficial ownership includes 2,445 shares, or 0.000%, of the Common Stock</w:t>
      </w:r>
    </w:p>
    <w:p>
      <w:pPr>
        <w:spacing w:after="0" w:line="9" w:lineRule="exact"/>
        <w:rPr>
          <w:sz w:val="20"/>
          <w:szCs w:val="20"/>
          <w:color w:val="auto"/>
        </w:rPr>
      </w:pPr>
    </w:p>
    <w:p>
      <w:pPr>
        <w:ind w:right="4739"/>
        <w:spacing w:after="0" w:line="290" w:lineRule="auto"/>
        <w:rPr>
          <w:sz w:val="20"/>
          <w:szCs w:val="20"/>
          <w:color w:val="auto"/>
        </w:rPr>
      </w:pPr>
      <w:r>
        <w:rPr>
          <w:rFonts w:ascii="Courier New" w:cs="Courier New" w:eastAsia="Courier New" w:hAnsi="Courier New"/>
          <w:sz w:val="16"/>
          <w:szCs w:val="16"/>
          <w:color w:val="auto"/>
        </w:rPr>
        <w:t>stock outstanding of Texas Instruments Incorporated, beneficially owned through Strategic Advisers, Inc.</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38" w:lineRule="auto"/>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rPr>
          <w:sz w:val="20"/>
          <w:szCs w:val="20"/>
          <w:color w:val="auto"/>
        </w:rPr>
      </w:pPr>
      <w:r>
        <w:rPr>
          <w:rFonts w:ascii="Courier New" w:cs="Courier New" w:eastAsia="Courier New" w:hAnsi="Courier New"/>
          <w:sz w:val="18"/>
          <w:szCs w:val="18"/>
          <w:color w:val="auto"/>
        </w:rPr>
        <w:t>company ("Geode LLC"), is the beneficial owner of 9,900</w:t>
      </w:r>
    </w:p>
    <w:p>
      <w:pPr>
        <w:spacing w:after="0" w:line="237" w:lineRule="auto"/>
        <w:rPr>
          <w:sz w:val="20"/>
          <w:szCs w:val="20"/>
          <w:color w:val="auto"/>
        </w:rPr>
      </w:pPr>
      <w:r>
        <w:rPr>
          <w:rFonts w:ascii="Courier New" w:cs="Courier New" w:eastAsia="Courier New" w:hAnsi="Courier New"/>
          <w:sz w:val="18"/>
          <w:szCs w:val="18"/>
          <w:color w:val="auto"/>
        </w:rPr>
        <w:t>shares or 0.001%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line="237" w:lineRule="auto"/>
        <w:rPr>
          <w:sz w:val="20"/>
          <w:szCs w:val="20"/>
          <w:color w:val="auto"/>
        </w:rPr>
      </w:pPr>
      <w:r>
        <w:rPr>
          <w:rFonts w:ascii="Courier New" w:cs="Courier New" w:eastAsia="Courier New" w:hAnsi="Courier New"/>
          <w:sz w:val="18"/>
          <w:szCs w:val="18"/>
          <w:color w:val="auto"/>
        </w:rPr>
        <w:t>limited partnership. Fidelity Investors Management, LLC</w:t>
      </w:r>
    </w:p>
    <w:p>
      <w:pPr>
        <w:spacing w:after="0"/>
        <w:rPr>
          <w:sz w:val="20"/>
          <w:szCs w:val="20"/>
          <w:color w:val="auto"/>
        </w:rPr>
      </w:pPr>
      <w:r>
        <w:rPr>
          <w:rFonts w:ascii="Courier New" w:cs="Courier New" w:eastAsia="Courier New" w:hAnsi="Courier New"/>
          <w:sz w:val="18"/>
          <w:szCs w:val="18"/>
          <w:color w:val="auto"/>
        </w:rPr>
        <w:t>("FIML"), a Delaware limited liability company, is the</w:t>
      </w:r>
    </w:p>
    <w:p>
      <w:pPr>
        <w:spacing w:after="0" w:line="237" w:lineRule="auto"/>
        <w:rPr>
          <w:sz w:val="20"/>
          <w:szCs w:val="20"/>
          <w:color w:val="auto"/>
        </w:rPr>
      </w:pPr>
      <w:r>
        <w:rPr>
          <w:rFonts w:ascii="Courier New" w:cs="Courier New" w:eastAsia="Courier New" w:hAnsi="Courier New"/>
          <w:sz w:val="18"/>
          <w:szCs w:val="18"/>
          <w:color w:val="auto"/>
        </w:rPr>
        <w:t>general partner and investment manager of FILP III, and is an</w:t>
      </w:r>
    </w:p>
    <w:p>
      <w:pPr>
        <w:spacing w:after="0"/>
        <w:rPr>
          <w:sz w:val="20"/>
          <w:szCs w:val="20"/>
          <w:color w:val="auto"/>
        </w:rPr>
      </w:pPr>
      <w:r>
        <w:rPr>
          <w:rFonts w:ascii="Courier New" w:cs="Courier New" w:eastAsia="Courier New" w:hAnsi="Courier New"/>
          <w:sz w:val="18"/>
          <w:szCs w:val="18"/>
          <w:color w:val="auto"/>
        </w:rPr>
        <w:t>investment manager registered under Section 203 of the</w:t>
      </w:r>
    </w:p>
    <w:p>
      <w:pPr>
        <w:spacing w:after="0" w:line="3" w:lineRule="exact"/>
        <w:rPr>
          <w:sz w:val="20"/>
          <w:szCs w:val="20"/>
          <w:color w:val="auto"/>
        </w:rPr>
      </w:pPr>
    </w:p>
    <w:p>
      <w:pPr>
        <w:ind w:right="4199"/>
        <w:spacing w:after="0" w:line="279" w:lineRule="auto"/>
        <w:rPr>
          <w:sz w:val="20"/>
          <w:szCs w:val="20"/>
          <w:color w:val="auto"/>
        </w:rPr>
      </w:pPr>
      <w:r>
        <w:rPr>
          <w:rFonts w:ascii="Courier New" w:cs="Courier New" w:eastAsia="Courier New" w:hAnsi="Courier New"/>
          <w:sz w:val="16"/>
          <w:szCs w:val="16"/>
          <w:color w:val="auto"/>
        </w:rPr>
        <w:t>Investment Advisers Act of 1940. The managers of Geode LLC, the members of FIML and the limited partners of FILP III are certain shareholders and employees of FMR Corp.</w:t>
      </w:r>
    </w:p>
    <w:p>
      <w:pPr>
        <w:spacing w:after="0" w:line="178"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w:t>
      </w:r>
    </w:p>
    <w:p>
      <w:pPr>
        <w:sectPr>
          <w:pgSz w:w="11900" w:h="16838" w:orient="portrait"/>
          <w:cols w:equalWidth="0" w:num="1">
            <w:col w:w="10219"/>
          </w:cols>
          <w:pgMar w:left="240" w:top="136" w:right="1440" w:bottom="0" w:gutter="0" w:footer="0" w:header="0"/>
        </w:sectPr>
      </w:pPr>
    </w:p>
    <w:bookmarkStart w:id="3" w:name="page4"/>
    <w:bookmarkEnd w:id="3"/>
    <w:p>
      <w:pPr>
        <w:ind w:right="4199"/>
        <w:spacing w:after="0" w:line="237" w:lineRule="auto"/>
        <w:rPr>
          <w:sz w:val="20"/>
          <w:szCs w:val="20"/>
          <w:color w:val="auto"/>
        </w:rPr>
      </w:pPr>
      <w:r>
        <w:rPr>
          <w:rFonts w:ascii="Courier New" w:cs="Courier New" w:eastAsia="Courier New" w:hAnsi="Courier New"/>
          <w:sz w:val="18"/>
          <w:szCs w:val="18"/>
          <w:color w:val="auto"/>
        </w:rPr>
        <w:t>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2"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499,570 shares or 0.029%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499,570 shares or 0.029% of the Common Stock outstanding of Texas Instruments Incorporated.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90"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w:t>
      </w:r>
    </w:p>
    <w:p>
      <w:pPr>
        <w:sectPr>
          <w:pgSz w:w="11900" w:h="16838" w:orient="portrait"/>
          <w:cols w:equalWidth="0" w:num="1">
            <w:col w:w="10219"/>
          </w:cols>
          <w:pgMar w:left="240" w:top="142" w:right="1440" w:bottom="0" w:gutter="0" w:footer="0" w:header="0"/>
        </w:sectPr>
      </w:pPr>
    </w:p>
    <w:bookmarkStart w:id="4" w:name="page5"/>
    <w:bookmarkEnd w:id="4"/>
    <w:p>
      <w:pPr>
        <w:ind w:right="3679"/>
        <w:spacing w:after="0" w:line="237" w:lineRule="auto"/>
        <w:rPr>
          <w:sz w:val="20"/>
          <w:szCs w:val="20"/>
          <w:color w:val="auto"/>
        </w:rPr>
      </w:pPr>
      <w:r>
        <w:rPr>
          <w:rFonts w:ascii="Courier New" w:cs="Courier New" w:eastAsia="Courier New" w:hAnsi="Courier New"/>
          <w:sz w:val="18"/>
          <w:szCs w:val="18"/>
          <w:color w:val="auto"/>
        </w:rPr>
        <w:t>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499,570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2002, agree and consent to the joint filing on their behalf of this Schedule 13G in connection with their beneficial ownership of the Common Stock of Texas Instruments Incorporated at December 31, 2001.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2019-12-12T10:40:06Z</dcterms:created>
  <dcterms:modified xsi:type="dcterms:W3CDTF">2019-12-12T10:40:06Z</dcterms:modified>
</cp:coreProperties>
</file>