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Chairman, President and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ind w:left="2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0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ind w:left="1440"/>
              <w:spacing w:after="0"/>
              <w:rPr>
                <w:sz w:val="20"/>
                <w:szCs w:val="20"/>
                <w:color w:val="auto"/>
              </w:rPr>
            </w:pPr>
            <w:r>
              <w:rPr>
                <w:rFonts w:ascii="Arial" w:cs="Arial" w:eastAsia="Arial" w:hAnsi="Arial"/>
                <w:sz w:val="18"/>
                <w:szCs w:val="18"/>
                <w:color w:val="0000FF"/>
              </w:rPr>
              <w:t>11/05/2012</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(2)</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59,759</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1,167,749</w:t>
            </w:r>
            <w:r>
              <w:rPr>
                <w:rFonts w:ascii="Arial" w:cs="Arial" w:eastAsia="Arial" w:hAnsi="Arial"/>
                <w:sz w:val="22"/>
                <w:szCs w:val="22"/>
                <w:color w:val="008000"/>
                <w:w w:val="85"/>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4"/>
              </w:rPr>
              <w:t>43,056</w:t>
            </w:r>
            <w:r>
              <w:rPr>
                <w:rFonts w:ascii="Arial" w:cs="Arial" w:eastAsia="Arial" w:hAnsi="Arial"/>
                <w:sz w:val="22"/>
                <w:szCs w:val="22"/>
                <w:color w:val="008000"/>
                <w:w w:val="84"/>
                <w:vertAlign w:val="superscript"/>
              </w:rPr>
              <w:t>(3)</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303.39</w:t>
            </w:r>
            <w:r>
              <w:rPr>
                <w:rFonts w:ascii="Arial" w:cs="Arial" w:eastAsia="Arial" w:hAnsi="Arial"/>
                <w:sz w:val="22"/>
                <w:szCs w:val="22"/>
                <w:color w:val="008000"/>
                <w:w w:val="84"/>
                <w:vertAlign w:val="superscript"/>
              </w:rPr>
              <w:t>(4)</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5"/>
              </w:rPr>
              <w:t>12,496.12</w:t>
            </w:r>
            <w:r>
              <w:rPr>
                <w:rFonts w:ascii="Arial" w:cs="Arial" w:eastAsia="Arial" w:hAnsi="Arial"/>
                <w:sz w:val="22"/>
                <w:szCs w:val="22"/>
                <w:color w:val="008000"/>
                <w:w w:val="85"/>
                <w:vertAlign w:val="superscript"/>
              </w:rPr>
              <w:t>(5)</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Profit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Sharing</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Balance is not as of the date of the transaction, but is a reconciliation to the most recent Form 4 filed by the reporting person on January 30,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previously reported, due to administrative error.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12-31-2014. (Interests in this account are denominated in units. Consequently, share amount shown is an estimate.) This statement does not include changes in beneficial ownership of shares held in this account occurring after 12-31-2014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12-31-2014. (Interests in this account are denominated in units. Consequently, share amount shown is an estimate.) This statement does not include changes in beneficial ownership of shares held in this account occurring after 12-31-2014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/s/Daniel M. Drory</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02/03/2015</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2019-12-23T23:11:33Z</dcterms:created>
  <dcterms:modified xsi:type="dcterms:W3CDTF">2019-12-23T23:11:33Z</dcterms:modified>
</cp:coreProperties>
</file>