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457835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17145</wp:posOffset>
            </wp:positionV>
            <wp:extent cx="41662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1496695</wp:posOffset>
            </wp:positionH>
            <wp:positionV relativeFrom="paragraph">
              <wp:posOffset>45085</wp:posOffset>
            </wp:positionV>
            <wp:extent cx="41662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15,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30480</wp:posOffset>
            </wp:positionV>
            <wp:extent cx="41662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TEXAS INSTRUMENTS INCORPORATED</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21590</wp:posOffset>
            </wp:positionV>
            <wp:extent cx="41662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81" w:lineRule="exact"/>
        <w:rPr>
          <w:sz w:val="24"/>
          <w:szCs w:val="24"/>
          <w:color w:val="auto"/>
        </w:rPr>
      </w:pPr>
    </w:p>
    <w:tbl>
      <w:tblPr>
        <w:tblLayout w:type="fixed"/>
        <w:tblInd w:w="940" w:type="dxa"/>
        <w:tblCellMar>
          <w:top w:w="0" w:type="dxa"/>
          <w:left w:w="0" w:type="dxa"/>
          <w:bottom w:w="0" w:type="dxa"/>
          <w:right w:w="0" w:type="dxa"/>
        </w:tblCellMar>
      </w:tblPr>
      <w:tr>
        <w:trPr>
          <w:trHeight w:val="227"/>
        </w:trPr>
        <w:tc>
          <w:tcPr>
            <w:tcW w:w="21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5820" w:type="dxa"/>
            <w:vAlign w:val="bottom"/>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001-03761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75-0289970</w:t>
            </w:r>
          </w:p>
        </w:tc>
      </w:tr>
      <w:tr>
        <w:trPr>
          <w:trHeight w:val="146"/>
        </w:trPr>
        <w:tc>
          <w:tcPr>
            <w:tcW w:w="2140" w:type="dxa"/>
            <w:vAlign w:val="bottom"/>
            <w:gridSpan w:val="2"/>
          </w:tcPr>
          <w:p>
            <w:pPr>
              <w:jc w:val="center"/>
              <w:ind w:right="500"/>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820" w:type="dxa"/>
            <w:vAlign w:val="bottom"/>
          </w:tcPr>
          <w:p>
            <w:pPr>
              <w:jc w:val="center"/>
              <w:ind w:right="640"/>
              <w:spacing w:after="0" w:line="146"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1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1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820" w:type="dxa"/>
            <w:vAlign w:val="bottom"/>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03"/>
        </w:trPr>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20" w:type="dxa"/>
            <w:vAlign w:val="bottom"/>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8"/>
              </w:rPr>
              <w:t>12500 TI BOULEVARD</w:t>
            </w:r>
          </w:p>
        </w:tc>
        <w:tc>
          <w:tcPr>
            <w:tcW w:w="1120" w:type="dxa"/>
            <w:vAlign w:val="bottom"/>
          </w:tcPr>
          <w:p>
            <w:pPr>
              <w:spacing w:after="0"/>
              <w:rPr>
                <w:sz w:val="24"/>
                <w:szCs w:val="24"/>
                <w:color w:val="auto"/>
              </w:rPr>
            </w:pPr>
          </w:p>
        </w:tc>
      </w:tr>
      <w:tr>
        <w:trPr>
          <w:trHeight w:val="214"/>
        </w:trPr>
        <w:tc>
          <w:tcPr>
            <w:tcW w:w="1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20" w:type="dxa"/>
            <w:vAlign w:val="bottom"/>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DALLAS, TEXAS 75243</w:t>
            </w:r>
          </w:p>
        </w:tc>
        <w:tc>
          <w:tcPr>
            <w:tcW w:w="1120" w:type="dxa"/>
            <w:vAlign w:val="bottom"/>
          </w:tcPr>
          <w:p>
            <w:pPr>
              <w:spacing w:after="0"/>
              <w:rPr>
                <w:sz w:val="18"/>
                <w:szCs w:val="18"/>
                <w:color w:val="auto"/>
              </w:rPr>
            </w:pPr>
          </w:p>
        </w:tc>
      </w:tr>
      <w:tr>
        <w:trPr>
          <w:trHeight w:val="176"/>
        </w:trPr>
        <w:tc>
          <w:tcPr>
            <w:tcW w:w="1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20" w:type="dxa"/>
            <w:vAlign w:val="bottom"/>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120" w:type="dxa"/>
            <w:vAlign w:val="bottom"/>
          </w:tcPr>
          <w:p>
            <w:pPr>
              <w:spacing w:after="0"/>
              <w:rPr>
                <w:sz w:val="15"/>
                <w:szCs w:val="15"/>
                <w:color w:val="auto"/>
              </w:rPr>
            </w:pPr>
          </w:p>
        </w:tc>
      </w:tr>
      <w:tr>
        <w:trPr>
          <w:trHeight w:val="190"/>
        </w:trPr>
        <w:tc>
          <w:tcPr>
            <w:tcW w:w="1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20" w:type="dxa"/>
            <w:vAlign w:val="bottom"/>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(214) 479-3773</w:t>
            </w:r>
          </w:p>
        </w:tc>
        <w:tc>
          <w:tcPr>
            <w:tcW w:w="1120" w:type="dxa"/>
            <w:vAlign w:val="bottom"/>
          </w:tcPr>
          <w:p>
            <w:pPr>
              <w:spacing w:after="0"/>
              <w:rPr>
                <w:sz w:val="16"/>
                <w:szCs w:val="16"/>
                <w:color w:val="auto"/>
              </w:rPr>
            </w:pPr>
          </w:p>
        </w:tc>
      </w:tr>
      <w:tr>
        <w:trPr>
          <w:trHeight w:val="37"/>
        </w:trPr>
        <w:tc>
          <w:tcPr>
            <w:tcW w:w="140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5820" w:type="dxa"/>
            <w:vAlign w:val="bottom"/>
            <w:tcBorders>
              <w:bottom w:val="single" w:sz="8" w:color="auto"/>
            </w:tcBorders>
          </w:tcPr>
          <w:p>
            <w:pPr>
              <w:spacing w:after="0"/>
              <w:rPr>
                <w:sz w:val="3"/>
                <w:szCs w:val="3"/>
                <w:color w:val="auto"/>
              </w:rPr>
            </w:pPr>
          </w:p>
        </w:tc>
        <w:tc>
          <w:tcPr>
            <w:tcW w:w="1120" w:type="dxa"/>
            <w:vAlign w:val="bottom"/>
          </w:tcPr>
          <w:p>
            <w:pPr>
              <w:spacing w:after="0"/>
              <w:rPr>
                <w:sz w:val="3"/>
                <w:szCs w:val="3"/>
                <w:color w:val="auto"/>
              </w:rPr>
            </w:pPr>
          </w:p>
        </w:tc>
      </w:tr>
    </w:tbl>
    <w:p>
      <w:pPr>
        <w:spacing w:after="0" w:line="346" w:lineRule="exact"/>
        <w:rPr>
          <w:sz w:val="24"/>
          <w:szCs w:val="24"/>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22" w:lineRule="exact"/>
        <w:rPr>
          <w:sz w:val="24"/>
          <w:szCs w:val="24"/>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2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3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060" w:type="dxa"/>
            <w:vAlign w:val="bottom"/>
            <w:gridSpan w:val="2"/>
          </w:tcPr>
          <w:p>
            <w:pPr>
              <w:jc w:val="center"/>
              <w:ind w:right="320"/>
              <w:spacing w:after="0" w:line="202" w:lineRule="exact"/>
              <w:rPr>
                <w:sz w:val="20"/>
                <w:szCs w:val="20"/>
                <w:color w:val="auto"/>
              </w:rPr>
            </w:pPr>
            <w:r>
              <w:rPr>
                <w:rFonts w:ascii="Times New Roman" w:cs="Times New Roman" w:eastAsia="Times New Roman" w:hAnsi="Times New Roman"/>
                <w:sz w:val="18"/>
                <w:szCs w:val="18"/>
                <w:b w:val="1"/>
                <w:bCs w:val="1"/>
                <w:color w:val="auto"/>
                <w:w w:val="98"/>
              </w:rPr>
              <w:t>Trading</w:t>
            </w:r>
          </w:p>
        </w:tc>
        <w:tc>
          <w:tcPr>
            <w:tcW w:w="4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60" w:type="dxa"/>
            <w:vAlign w:val="bottom"/>
            <w:gridSpan w:val="2"/>
            <w:vMerge w:val="continue"/>
          </w:tcPr>
          <w:p>
            <w:pPr>
              <w:spacing w:after="0"/>
              <w:rPr>
                <w:sz w:val="21"/>
                <w:szCs w:val="21"/>
                <w:color w:val="auto"/>
              </w:rPr>
            </w:pPr>
          </w:p>
        </w:tc>
        <w:tc>
          <w:tcPr>
            <w:tcW w:w="20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47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4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$1.00</w:t>
            </w:r>
          </w:p>
        </w:tc>
        <w:tc>
          <w:tcPr>
            <w:tcW w:w="320" w:type="dxa"/>
            <w:vAlign w:val="bottom"/>
          </w:tcPr>
          <w:p>
            <w:pPr>
              <w:spacing w:after="0"/>
              <w:rPr>
                <w:sz w:val="20"/>
                <w:szCs w:val="20"/>
                <w:color w:val="auto"/>
              </w:rPr>
            </w:pPr>
          </w:p>
        </w:tc>
        <w:tc>
          <w:tcPr>
            <w:tcW w:w="1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TXN</w:t>
            </w:r>
          </w:p>
        </w:tc>
        <w:tc>
          <w:tcPr>
            <w:tcW w:w="340" w:type="dxa"/>
            <w:vAlign w:val="bottom"/>
          </w:tcPr>
          <w:p>
            <w:pPr>
              <w:spacing w:after="0"/>
              <w:rPr>
                <w:sz w:val="20"/>
                <w:szCs w:val="20"/>
                <w:color w:val="auto"/>
              </w:rPr>
            </w:pPr>
          </w:p>
        </w:tc>
        <w:tc>
          <w:tcPr>
            <w:tcW w:w="4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tc>
        <w:tc>
          <w:tcPr>
            <w:tcW w:w="0" w:type="dxa"/>
            <w:vAlign w:val="bottom"/>
          </w:tcPr>
          <w:p>
            <w:pPr>
              <w:spacing w:after="0"/>
              <w:rPr>
                <w:sz w:val="1"/>
                <w:szCs w:val="1"/>
                <w:color w:val="auto"/>
              </w:rPr>
            </w:pPr>
          </w:p>
        </w:tc>
      </w:tr>
    </w:tbl>
    <w:p>
      <w:pPr>
        <w:spacing w:after="0" w:line="270"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695325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133985</wp:posOffset>
            </wp:positionV>
            <wp:extent cx="7089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73660</wp:posOffset>
            </wp:positionV>
            <wp:extent cx="7089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ITEM 8.01. Other Events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Registrant’s news release dated September 15, 2022, regarding a planned dividend increase and share repurchase program, attached hereto as Exhibit 99 is incorporated by reference herein.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9.01. Exhibits</w:t>
      </w:r>
    </w:p>
    <w:p>
      <w:pPr>
        <w:spacing w:after="0" w:line="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Designation</w:t>
      </w:r>
    </w:p>
    <w:p>
      <w:pPr>
        <w:ind w:left="380"/>
        <w:spacing w:after="0" w:line="206" w:lineRule="auto"/>
        <w:rPr>
          <w:sz w:val="20"/>
          <w:szCs w:val="20"/>
          <w:color w:val="auto"/>
        </w:rPr>
      </w:pPr>
      <w:r>
        <w:rPr>
          <w:rFonts w:ascii="Times New Roman" w:cs="Times New Roman" w:eastAsia="Times New Roman" w:hAnsi="Times New Roman"/>
          <w:sz w:val="14"/>
          <w:szCs w:val="14"/>
          <w:color w:val="auto"/>
        </w:rPr>
        <w:t>of Exhibit</w:t>
      </w:r>
    </w:p>
    <w:p>
      <w:pPr>
        <w:ind w:left="500"/>
        <w:spacing w:after="0" w:line="221" w:lineRule="auto"/>
        <w:rPr>
          <w:sz w:val="20"/>
          <w:szCs w:val="20"/>
          <w:color w:val="auto"/>
        </w:rPr>
      </w:pPr>
      <w:r>
        <w:rPr>
          <w:rFonts w:ascii="Times New Roman" w:cs="Times New Roman" w:eastAsia="Times New Roman" w:hAnsi="Times New Roman"/>
          <w:sz w:val="14"/>
          <w:szCs w:val="14"/>
          <w:color w:val="auto"/>
        </w:rPr>
        <w:t>in this</w:t>
      </w:r>
    </w:p>
    <w:p>
      <w:pPr>
        <w:spacing w:after="0" w:line="1" w:lineRule="exact"/>
        <w:rPr>
          <w:sz w:val="20"/>
          <w:szCs w:val="20"/>
          <w:color w:val="auto"/>
        </w:rPr>
      </w:pPr>
    </w:p>
    <w:p>
      <w:pPr>
        <w:ind w:left="480"/>
        <w:spacing w:after="0"/>
        <w:tabs>
          <w:tab w:leader="none" w:pos="1620" w:val="left"/>
        </w:tabs>
        <w:rPr>
          <w:sz w:val="20"/>
          <w:szCs w:val="20"/>
          <w:color w:val="auto"/>
        </w:rPr>
      </w:pPr>
      <w:r>
        <w:rPr>
          <w:rFonts w:ascii="Times New Roman" w:cs="Times New Roman" w:eastAsia="Times New Roman" w:hAnsi="Times New Roman"/>
          <w:sz w:val="14"/>
          <w:szCs w:val="14"/>
          <w:color w:val="auto"/>
        </w:rPr>
        <w:t>Report</w:t>
      </w:r>
      <w:r>
        <w:rPr>
          <w:sz w:val="20"/>
          <w:szCs w:val="20"/>
          <w:color w:val="auto"/>
        </w:rPr>
        <w:tab/>
      </w:r>
      <w:r>
        <w:rPr>
          <w:rFonts w:ascii="Times New Roman" w:cs="Times New Roman" w:eastAsia="Times New Roman" w:hAnsi="Times New Roman"/>
          <w:sz w:val="14"/>
          <w:szCs w:val="14"/>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22225</wp:posOffset>
            </wp:positionV>
            <wp:extent cx="66522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52260" cy="8255"/>
                    </a:xfrm>
                    <a:prstGeom prst="rect">
                      <a:avLst/>
                    </a:prstGeom>
                    <a:noFill/>
                  </pic:spPr>
                </pic:pic>
              </a:graphicData>
            </a:graphic>
          </wp:anchor>
        </w:drawing>
      </w:r>
    </w:p>
    <w:p>
      <w:pPr>
        <w:spacing w:after="0" w:line="185" w:lineRule="exact"/>
        <w:rPr>
          <w:sz w:val="20"/>
          <w:szCs w:val="20"/>
          <w:color w:val="auto"/>
        </w:rPr>
      </w:pPr>
    </w:p>
    <w:p>
      <w:pPr>
        <w:ind w:left="1640" w:hanging="1056"/>
        <w:spacing w:after="0"/>
        <w:tabs>
          <w:tab w:leader="none" w:pos="1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Registrant’s News Release</w:t>
      </w:r>
    </w:p>
    <w:p>
      <w:pPr>
        <w:spacing w:after="0" w:line="27" w:lineRule="exact"/>
        <w:rPr>
          <w:sz w:val="20"/>
          <w:szCs w:val="20"/>
          <w:color w:val="auto"/>
        </w:rPr>
      </w:pPr>
    </w:p>
    <w:tbl>
      <w:tblPr>
        <w:tblLayout w:type="fixed"/>
        <w:tblInd w:w="540" w:type="dxa"/>
        <w:tblCellMar>
          <w:top w:w="0" w:type="dxa"/>
          <w:left w:w="0" w:type="dxa"/>
          <w:bottom w:w="0" w:type="dxa"/>
          <w:right w:w="0" w:type="dxa"/>
        </w:tblCellMar>
      </w:tblPr>
      <w:tr>
        <w:trPr>
          <w:trHeight w:val="225"/>
        </w:trPr>
        <w:tc>
          <w:tcPr>
            <w:tcW w:w="680" w:type="dxa"/>
            <w:vAlign w:val="bottom"/>
          </w:tcPr>
          <w:p>
            <w:pPr>
              <w:spacing w:after="0"/>
              <w:rPr>
                <w:sz w:val="19"/>
                <w:szCs w:val="19"/>
                <w:color w:val="auto"/>
              </w:rPr>
            </w:pPr>
          </w:p>
        </w:tc>
        <w:tc>
          <w:tcPr>
            <w:tcW w:w="62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Dated September 15, 2022</w:t>
            </w:r>
          </w:p>
        </w:tc>
      </w:tr>
      <w:tr>
        <w:trPr>
          <w:trHeight w:val="234"/>
        </w:trPr>
        <w:tc>
          <w:tcPr>
            <w:tcW w:w="6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104</w:t>
            </w:r>
          </w:p>
        </w:tc>
        <w:tc>
          <w:tcPr>
            <w:tcW w:w="62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767080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891" w:right="51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722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TEXAS INSTRUMENTS INCORPORATED</w:t>
            </w:r>
          </w:p>
        </w:tc>
      </w:tr>
      <w:tr>
        <w:trPr>
          <w:trHeight w:val="459"/>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15, 2022</w:t>
            </w:r>
          </w:p>
        </w:tc>
        <w:tc>
          <w:tcPr>
            <w:tcW w:w="294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Rafael R. Lizardi</w:t>
            </w:r>
          </w:p>
        </w:tc>
      </w:tr>
      <w:tr>
        <w:trPr>
          <w:trHeight w:val="218"/>
        </w:trPr>
        <w:tc>
          <w:tcPr>
            <w:tcW w:w="39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Rafael R. Lizardi</w:t>
            </w:r>
          </w:p>
        </w:tc>
      </w:tr>
      <w:tr>
        <w:trPr>
          <w:trHeight w:val="229"/>
        </w:trPr>
        <w:tc>
          <w:tcPr>
            <w:tcW w:w="39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w:t>
            </w:r>
          </w:p>
        </w:tc>
      </w:tr>
      <w:tr>
        <w:trPr>
          <w:trHeight w:val="234"/>
        </w:trPr>
        <w:tc>
          <w:tcPr>
            <w:tcW w:w="39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20"/>
          </w:cols>
          <w:pgMar w:left="320" w:top="891"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line="275" w:lineRule="auto"/>
        <w:rPr>
          <w:sz w:val="20"/>
          <w:szCs w:val="20"/>
          <w:color w:val="auto"/>
        </w:rPr>
      </w:pPr>
      <w:r>
        <w:rPr>
          <w:rFonts w:ascii="Times New Roman" w:cs="Times New Roman" w:eastAsia="Times New Roman" w:hAnsi="Times New Roman"/>
          <w:sz w:val="25"/>
          <w:szCs w:val="25"/>
          <w:b w:val="1"/>
          <w:bCs w:val="1"/>
          <w:color w:val="auto"/>
        </w:rPr>
        <w:t>TI to return more cash to owners with 8% dividend increase and authorization for additional $15 billion in share repurchases</w:t>
      </w:r>
    </w:p>
    <w:p>
      <w:pPr>
        <w:spacing w:after="0" w:line="166"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DALLAS (Sept. 15, 2022) – Texas Instruments Incorporated (TI) (Nasdaq: TXN) today said it will raise its quarterly cash dividend 8%, from $1.15 per share to $1.24, or $4.96 annualized. The higher dividend will be payable November 15, 2022, to stockholders of record on October 31, 2022, contingent upon formal declaration by the board of directors at its regular meeting in October.</w:t>
      </w:r>
    </w:p>
    <w:p>
      <w:pPr>
        <w:spacing w:after="0" w:line="1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The board of directors also authorized the company to repurchase an additional $15 billion of its common stock over time. This is in addition to approximately $8.2 billion of previously authorized repurchases that remained at the end of June 2022.</w:t>
      </w:r>
    </w:p>
    <w:p>
      <w:pPr>
        <w:spacing w:after="0" w:line="185" w:lineRule="exact"/>
        <w:rPr>
          <w:sz w:val="20"/>
          <w:szCs w:val="20"/>
          <w:color w:val="auto"/>
        </w:rPr>
      </w:pPr>
    </w:p>
    <w:p>
      <w:pPr>
        <w:ind w:right="240"/>
        <w:spacing w:after="0" w:line="244" w:lineRule="auto"/>
        <w:rPr>
          <w:sz w:val="20"/>
          <w:szCs w:val="20"/>
          <w:color w:val="auto"/>
        </w:rPr>
      </w:pPr>
      <w:r>
        <w:rPr>
          <w:rFonts w:ascii="Times New Roman" w:cs="Times New Roman" w:eastAsia="Times New Roman" w:hAnsi="Times New Roman"/>
          <w:sz w:val="22"/>
          <w:szCs w:val="22"/>
          <w:color w:val="auto"/>
        </w:rPr>
        <w:t>Dividend increases and share repurchases are integral pieces of TI's disciplined approach to capital management and reflect the company’s continued strength in free cash flow generation and its commitment to return all free cash flow to its owners over time.</w:t>
      </w:r>
    </w:p>
    <w:p>
      <w:pPr>
        <w:spacing w:after="0" w:line="200" w:lineRule="exact"/>
        <w:rPr>
          <w:sz w:val="20"/>
          <w:szCs w:val="20"/>
          <w:color w:val="auto"/>
        </w:rPr>
      </w:pPr>
    </w:p>
    <w:p>
      <w:pPr>
        <w:jc w:val="both"/>
        <w:ind w:right="540"/>
        <w:spacing w:after="0" w:line="244" w:lineRule="auto"/>
        <w:rPr>
          <w:sz w:val="20"/>
          <w:szCs w:val="20"/>
          <w:color w:val="auto"/>
        </w:rPr>
      </w:pPr>
      <w:r>
        <w:rPr>
          <w:rFonts w:ascii="Times New Roman" w:cs="Times New Roman" w:eastAsia="Times New Roman" w:hAnsi="Times New Roman"/>
          <w:sz w:val="22"/>
          <w:szCs w:val="22"/>
          <w:color w:val="auto"/>
        </w:rPr>
        <w:t>TI has a proven track record of returning cash to its owners. Today’s announcement marks 19 consecutive years of dividend increases. In addition, as of second quarter 2022, the company has reduced its outstanding shares by 47% through its share repurchases since the end of 2004.</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Notice regarding forward-looking statements</w:t>
      </w:r>
    </w:p>
    <w:p>
      <w:pPr>
        <w:spacing w:after="0" w:line="237"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22"/>
          <w:szCs w:val="22"/>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95"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22"/>
          <w:szCs w:val="22"/>
          <w:color w:val="auto"/>
        </w:rPr>
        <w:t>We urge you to carefully consider the following important factors that could cause actual results to differ materially from the expectations of TI or our management:</w:t>
      </w:r>
    </w:p>
    <w:p>
      <w:pPr>
        <w:spacing w:after="0" w:line="185" w:lineRule="exact"/>
        <w:rPr>
          <w:sz w:val="20"/>
          <w:szCs w:val="20"/>
          <w:color w:val="auto"/>
        </w:rPr>
      </w:pPr>
    </w:p>
    <w:p>
      <w:pPr>
        <w:ind w:left="660" w:right="660" w:hanging="328"/>
        <w:spacing w:after="0" w:line="237"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The duration and scope of the COVID-19 pandemic, government and other third-party responses to it and the consequences for the global economy, including to our business and the businesses of our suppliers, customers and distributors;</w:t>
      </w:r>
    </w:p>
    <w:p>
      <w:pPr>
        <w:spacing w:after="0" w:line="2" w:lineRule="exact"/>
        <w:rPr>
          <w:rFonts w:ascii="Arial" w:cs="Arial" w:eastAsia="Arial" w:hAnsi="Arial"/>
          <w:sz w:val="22"/>
          <w:szCs w:val="22"/>
          <w:color w:val="auto"/>
        </w:rPr>
      </w:pPr>
    </w:p>
    <w:p>
      <w:pPr>
        <w:ind w:left="660" w:right="100" w:hanging="328"/>
        <w:spacing w:after="0" w:line="230"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Economic, social and political conditions, and natural events in the countries in which we, our customers or our suppliers operate, including global trade policies;</w:t>
      </w:r>
    </w:p>
    <w:p>
      <w:pPr>
        <w:ind w:left="660" w:right="480" w:hanging="328"/>
        <w:spacing w:after="0" w:line="230"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Market demand for semiconductors, particularly in the industrial and automotive markets, and customer demand that differs from forecasts;</w:t>
      </w:r>
    </w:p>
    <w:p>
      <w:pPr>
        <w:ind w:left="660" w:hanging="328"/>
        <w:spacing w:after="0" w:line="229"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compete in products and prices in an intensely competitive industry;</w:t>
      </w:r>
    </w:p>
    <w:p>
      <w:pPr>
        <w:ind w:left="660" w:right="680" w:hanging="328"/>
        <w:spacing w:after="0" w:line="231"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Evolving cybersecurity and other threats relating to our information technology systems or those of our customers, vendors and other third parties;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595959"/>
        </w:rPr>
        <w:t>1</w:t>
      </w:r>
    </w:p>
    <w:p>
      <w:pPr>
        <w:sectPr>
          <w:pgSz w:w="11900" w:h="16838" w:orient="portrait"/>
          <w:cols w:equalWidth="0" w:num="1">
            <w:col w:w="11240"/>
          </w:cols>
          <w:pgMar w:left="320" w:top="122" w:right="339" w:bottom="1440" w:gutter="0" w:footer="0" w:header="0"/>
        </w:sectPr>
      </w:pPr>
    </w:p>
    <w:bookmarkStart w:id="4" w:name="page5"/>
    <w:bookmarkEnd w:id="4"/>
    <w:p>
      <w:pPr>
        <w:ind w:left="660" w:right="20" w:hanging="328"/>
        <w:spacing w:after="0" w:line="252" w:lineRule="auto"/>
        <w:tabs>
          <w:tab w:leader="none" w:pos="655" w:val="left"/>
        </w:tabs>
        <w:numPr>
          <w:ilvl w:val="0"/>
          <w:numId w:val="4"/>
        </w:numPr>
        <w:rPr>
          <w:rFonts w:ascii="Arial" w:cs="Arial" w:eastAsia="Arial" w:hAnsi="Arial"/>
          <w:sz w:val="21"/>
          <w:szCs w:val="21"/>
          <w:color w:val="auto"/>
        </w:rPr>
      </w:pPr>
      <w:r>
        <w:rPr>
          <w:rFonts w:ascii="Times New Roman" w:cs="Times New Roman" w:eastAsia="Times New Roman" w:hAnsi="Times New Roman"/>
          <w:sz w:val="21"/>
          <w:szCs w:val="21"/>
          <w:color w:val="auto"/>
        </w:rPr>
        <w:t>Our ability to successfully implement and realize opportunities from strategic, business and organizational changes, or our ability to realize our expectations regarding the amount and timing of associated restructuring charges and cost savings;</w:t>
      </w:r>
    </w:p>
    <w:p>
      <w:pPr>
        <w:spacing w:after="0" w:line="1" w:lineRule="exact"/>
        <w:rPr>
          <w:rFonts w:ascii="Arial" w:cs="Arial" w:eastAsia="Arial" w:hAnsi="Arial"/>
          <w:sz w:val="21"/>
          <w:szCs w:val="21"/>
          <w:color w:val="auto"/>
        </w:rPr>
      </w:pPr>
    </w:p>
    <w:p>
      <w:pPr>
        <w:jc w:val="both"/>
        <w:ind w:left="660" w:right="40" w:hanging="328"/>
        <w:spacing w:after="0" w:line="230" w:lineRule="auto"/>
        <w:tabs>
          <w:tab w:leader="none" w:pos="655" w:val="left"/>
        </w:tabs>
        <w:numPr>
          <w:ilvl w:val="0"/>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develop, manufacture and market innovative products in a rapidly changing technological environment, our timely implementation of new manufacturing technologies and installation of manufacturing equipment, and our ability to realize expected returns on significant investments in manufacturing capacity;</w:t>
      </w:r>
    </w:p>
    <w:p>
      <w:pPr>
        <w:ind w:left="660" w:right="800" w:hanging="328"/>
        <w:spacing w:after="0" w:line="223" w:lineRule="auto"/>
        <w:tabs>
          <w:tab w:leader="none" w:pos="655" w:val="left"/>
        </w:tabs>
        <w:numPr>
          <w:ilvl w:val="0"/>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Availability and cost of raw materials, utilities, manufacturing equipment, third-party manufacturing services and manufacturing technology;</w:t>
      </w:r>
    </w:p>
    <w:p>
      <w:pPr>
        <w:spacing w:after="0" w:line="1" w:lineRule="exact"/>
        <w:rPr>
          <w:rFonts w:ascii="Arial" w:cs="Arial" w:eastAsia="Arial" w:hAnsi="Arial"/>
          <w:sz w:val="22"/>
          <w:szCs w:val="22"/>
          <w:color w:val="auto"/>
        </w:rPr>
      </w:pPr>
    </w:p>
    <w:p>
      <w:pPr>
        <w:ind w:left="660" w:right="180" w:hanging="328"/>
        <w:spacing w:after="0" w:line="230" w:lineRule="auto"/>
        <w:tabs>
          <w:tab w:leader="none" w:pos="655" w:val="left"/>
        </w:tabs>
        <w:numPr>
          <w:ilvl w:val="0"/>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Product liability, warranty or other claims relating to our products, software, manufacturing, delivery, services, design or communications, or recalls by our customers for a product containing one of our parts;</w:t>
      </w:r>
    </w:p>
    <w:p>
      <w:pPr>
        <w:ind w:left="660" w:right="120" w:hanging="328"/>
        <w:spacing w:after="0" w:line="230" w:lineRule="auto"/>
        <w:tabs>
          <w:tab w:leader="none" w:pos="655" w:val="left"/>
        </w:tabs>
        <w:numPr>
          <w:ilvl w:val="0"/>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ind w:left="660" w:right="20" w:hanging="328"/>
        <w:spacing w:after="0" w:line="230" w:lineRule="auto"/>
        <w:tabs>
          <w:tab w:leader="none" w:pos="655" w:val="left"/>
        </w:tabs>
        <w:numPr>
          <w:ilvl w:val="0"/>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ind w:left="660" w:right="660" w:hanging="328"/>
        <w:spacing w:after="0" w:line="223" w:lineRule="auto"/>
        <w:tabs>
          <w:tab w:leader="none" w:pos="655" w:val="left"/>
        </w:tabs>
        <w:numPr>
          <w:ilvl w:val="0"/>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Financial difficulties of our distributors or semiconductor distributors' promotion of competing product lines to our detriment; or disputes with current or former distributors;</w:t>
      </w:r>
    </w:p>
    <w:p>
      <w:pPr>
        <w:spacing w:after="0" w:line="1" w:lineRule="exact"/>
        <w:rPr>
          <w:rFonts w:ascii="Arial" w:cs="Arial" w:eastAsia="Arial" w:hAnsi="Arial"/>
          <w:sz w:val="22"/>
          <w:szCs w:val="22"/>
          <w:color w:val="auto"/>
        </w:rPr>
      </w:pPr>
    </w:p>
    <w:p>
      <w:pPr>
        <w:ind w:left="660" w:hanging="328"/>
        <w:spacing w:after="0" w:line="229" w:lineRule="auto"/>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Losses or curtailments of purchases from key customers or the timing and amount of customer inventory adjustments;</w:t>
      </w:r>
    </w:p>
    <w:p>
      <w:pPr>
        <w:ind w:left="660" w:right="120" w:hanging="328"/>
        <w:spacing w:after="0" w:line="230" w:lineRule="auto"/>
        <w:tabs>
          <w:tab w:leader="none" w:pos="655" w:val="left"/>
        </w:tabs>
        <w:numPr>
          <w:ilvl w:val="0"/>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ind w:left="660" w:right="640" w:hanging="328"/>
        <w:spacing w:after="0" w:line="230" w:lineRule="auto"/>
        <w:tabs>
          <w:tab w:leader="none" w:pos="655" w:val="left"/>
        </w:tabs>
        <w:numPr>
          <w:ilvl w:val="0"/>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maintain and enforce a strong intellectual property portfolio and maintain freedom of operation in all jurisdictions where we conduct business; or our exposure to infringement claims;</w:t>
      </w:r>
    </w:p>
    <w:p>
      <w:pPr>
        <w:ind w:left="660" w:hanging="328"/>
        <w:spacing w:after="0" w:line="229" w:lineRule="auto"/>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Instability in the global credit and financial markets;</w:t>
      </w:r>
    </w:p>
    <w:p>
      <w:pPr>
        <w:ind w:left="660" w:hanging="328"/>
        <w:spacing w:after="0" w:line="229" w:lineRule="auto"/>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recruit and retain skilled personnel, and effectively manage key employee succession; and</w:t>
      </w:r>
    </w:p>
    <w:p>
      <w:pPr>
        <w:ind w:left="660" w:hanging="328"/>
        <w:spacing w:after="0"/>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Impairments of our non-financial assets.</w:t>
      </w:r>
    </w:p>
    <w:p>
      <w:pPr>
        <w:spacing w:after="0" w:line="208"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22"/>
          <w:szCs w:val="22"/>
          <w:color w:val="auto"/>
        </w:rPr>
        <w:t>For a more detailed discussion of these factors, see the Risk factors discussion in Item 1A of TI's most recent Form 10-K. The forward-looking statements included in this release are made only as of the date of this release,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Texas Instruments</w:t>
      </w:r>
    </w:p>
    <w:p>
      <w:pPr>
        <w:spacing w:after="0" w:line="251" w:lineRule="exact"/>
        <w:rPr>
          <w:sz w:val="20"/>
          <w:szCs w:val="20"/>
          <w:color w:val="auto"/>
        </w:rPr>
      </w:pPr>
    </w:p>
    <w:p>
      <w:pPr>
        <w:ind w:right="340"/>
        <w:spacing w:after="0" w:line="235" w:lineRule="auto"/>
        <w:rPr>
          <w:sz w:val="20"/>
          <w:szCs w:val="20"/>
          <w:color w:val="auto"/>
        </w:rPr>
      </w:pPr>
      <w:r>
        <w:rPr>
          <w:rFonts w:ascii="Times New Roman" w:cs="Times New Roman" w:eastAsia="Times New Roman" w:hAnsi="Times New Roman"/>
          <w:sz w:val="22"/>
          <w:szCs w:val="22"/>
          <w:color w:val="auto"/>
        </w:rPr>
        <w:t>Texas Instruments Incorporated (Nasdaq: TXN) is a global semiconductor company that designs, manufactures, tests and sells analog and embedded processing chips for markets such as industrial, automotive, personal electronics, communications equipment and enterprise systems. Our passion to create a better world by making electronics more affordable through semiconductors is alive today, as each generation of innovation builds upon the last to make our technology smaller, more efficient, more reliable and more affordable – making it possible for</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595959"/>
        </w:rPr>
        <w:t>2</w:t>
      </w:r>
    </w:p>
    <w:p>
      <w:pPr>
        <w:sectPr>
          <w:pgSz w:w="11900" w:h="16838" w:orient="portrait"/>
          <w:cols w:equalWidth="0" w:num="1">
            <w:col w:w="11240"/>
          </w:cols>
          <w:pgMar w:left="320" w:top="1408" w:right="339" w:bottom="1440" w:gutter="0" w:footer="0" w:header="0"/>
        </w:sectPr>
      </w:pPr>
    </w:p>
    <w:bookmarkStart w:id="5" w:name="page6"/>
    <w:bookmarkEnd w:id="5"/>
    <w:p>
      <w:pPr>
        <w:ind w:right="60"/>
        <w:spacing w:after="0" w:line="258" w:lineRule="auto"/>
        <w:rPr>
          <w:sz w:val="20"/>
          <w:szCs w:val="20"/>
          <w:color w:val="auto"/>
        </w:rPr>
      </w:pPr>
      <w:r>
        <w:rPr>
          <w:rFonts w:ascii="Times New Roman" w:cs="Times New Roman" w:eastAsia="Times New Roman" w:hAnsi="Times New Roman"/>
          <w:sz w:val="22"/>
          <w:szCs w:val="22"/>
          <w:color w:val="auto"/>
        </w:rPr>
        <w:t>semiconductors to go into electronics everywhere. We think of this as Engineering Progress. It's what we do and have been doing for decades. Learn more at TI.com.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595959"/>
        </w:rPr>
        <w:t>3</w:t>
      </w:r>
    </w:p>
    <w:sectPr>
      <w:pgSz w:w="11900" w:h="16838" w:orient="portrait"/>
      <w:cols w:equalWidth="0" w:num="1">
        <w:col w:w="11240"/>
      </w:cols>
      <w:pgMar w:left="320" w:top="14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99"/>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2022-09-15T15:20:44Z</dcterms:created>
  <dcterms:modified xsi:type="dcterms:W3CDTF">2022-09-15T15:20:44Z</dcterms:modified>
</cp:coreProperties>
</file>