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5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440" w:type="dxa"/>
            <w:vAlign w:val="bottom"/>
          </w:tcPr>
          <w:p>
            <w:pPr>
              <w:spacing w:after="0"/>
              <w:rPr>
                <w:sz w:val="19"/>
                <w:szCs w:val="19"/>
                <w:color w:val="auto"/>
              </w:rPr>
            </w:pPr>
          </w:p>
        </w:tc>
      </w:tr>
      <w:tr>
        <w:trPr>
          <w:trHeight w:val="158"/>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5"/>
        </w:trPr>
        <w:tc>
          <w:tcPr>
            <w:tcW w:w="1780" w:type="dxa"/>
            <w:vAlign w:val="bottom"/>
          </w:tcPr>
          <w:p>
            <w:pPr>
              <w:jc w:val="center"/>
              <w:ind w:right="146"/>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gridSpan w:val="2"/>
          </w:tcPr>
          <w:p>
            <w:pPr>
              <w:ind w:left="2500"/>
              <w:spacing w:after="0"/>
              <w:rPr>
                <w:sz w:val="20"/>
                <w:szCs w:val="20"/>
                <w:color w:val="auto"/>
              </w:rPr>
            </w:pPr>
            <w:r>
              <w:rPr>
                <w:rFonts w:ascii="Arial" w:cs="Arial" w:eastAsia="Arial" w:hAnsi="Arial"/>
                <w:sz w:val="18"/>
                <w:szCs w:val="18"/>
                <w:b w:val="1"/>
                <w:bCs w:val="1"/>
                <w:color w:val="auto"/>
              </w:rPr>
              <w:t>001-03761</w:t>
            </w:r>
          </w:p>
        </w:tc>
        <w:tc>
          <w:tcPr>
            <w:tcW w:w="1760" w:type="dxa"/>
            <w:vAlign w:val="bottom"/>
          </w:tcPr>
          <w:p>
            <w:pPr>
              <w:spacing w:after="0"/>
              <w:rPr>
                <w:sz w:val="24"/>
                <w:szCs w:val="24"/>
                <w:color w:val="auto"/>
              </w:rPr>
            </w:pPr>
          </w:p>
        </w:tc>
        <w:tc>
          <w:tcPr>
            <w:tcW w:w="1440" w:type="dxa"/>
            <w:vAlign w:val="bottom"/>
          </w:tcPr>
          <w:p>
            <w:pPr>
              <w:jc w:val="center"/>
              <w:ind w:left="3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78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60" w:type="dxa"/>
            <w:vAlign w:val="bottom"/>
          </w:tcPr>
          <w:p>
            <w:pPr>
              <w:spacing w:after="0"/>
              <w:rPr>
                <w:sz w:val="12"/>
                <w:szCs w:val="12"/>
                <w:color w:val="auto"/>
              </w:rPr>
            </w:pPr>
          </w:p>
        </w:tc>
        <w:tc>
          <w:tcPr>
            <w:tcW w:w="41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w w:val="87"/>
              </w:rPr>
              <w:t>of incorporation)</w:t>
            </w:r>
          </w:p>
        </w:tc>
        <w:tc>
          <w:tcPr>
            <w:tcW w:w="1560" w:type="dxa"/>
            <w:vAlign w:val="bottom"/>
          </w:tcPr>
          <w:p>
            <w:pPr>
              <w:spacing w:after="0"/>
              <w:rPr>
                <w:sz w:val="15"/>
                <w:szCs w:val="15"/>
                <w:color w:val="auto"/>
              </w:rPr>
            </w:pPr>
          </w:p>
        </w:tc>
        <w:tc>
          <w:tcPr>
            <w:tcW w:w="4140" w:type="dxa"/>
            <w:vAlign w:val="bottom"/>
            <w:gridSpan w:val="2"/>
          </w:tcPr>
          <w:p>
            <w:pPr>
              <w:ind w:left="96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346"/>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5"/>
              </w:rPr>
              <w:t>12500 TI BOULEVARD</w:t>
            </w:r>
          </w:p>
        </w:tc>
        <w:tc>
          <w:tcPr>
            <w:tcW w:w="14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9"/>
              </w:rPr>
              <w:t>P.O. BOX 660199</w:t>
            </w:r>
          </w:p>
        </w:tc>
        <w:tc>
          <w:tcPr>
            <w:tcW w:w="1440" w:type="dxa"/>
            <w:vAlign w:val="bottom"/>
          </w:tcPr>
          <w:p>
            <w:pPr>
              <w:spacing w:after="0"/>
              <w:rPr>
                <w:sz w:val="18"/>
                <w:szCs w:val="18"/>
                <w:color w:val="auto"/>
              </w:rPr>
            </w:pPr>
          </w:p>
        </w:tc>
      </w:tr>
      <w:tr>
        <w:trPr>
          <w:trHeight w:val="218"/>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DALLAS, TEXAS 75266-0199</w:t>
            </w:r>
          </w:p>
        </w:tc>
        <w:tc>
          <w:tcPr>
            <w:tcW w:w="144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spacing w:after="0"/>
              <w:rPr>
                <w:sz w:val="15"/>
                <w:szCs w:val="15"/>
                <w:color w:val="auto"/>
              </w:rPr>
            </w:pPr>
          </w:p>
        </w:tc>
      </w:tr>
      <w:tr>
        <w:trPr>
          <w:trHeight w:val="363"/>
        </w:trPr>
        <w:tc>
          <w:tcPr>
            <w:tcW w:w="1780" w:type="dxa"/>
            <w:vAlign w:val="bottom"/>
          </w:tcPr>
          <w:p>
            <w:pPr>
              <w:spacing w:after="0"/>
              <w:rPr>
                <w:sz w:val="24"/>
                <w:szCs w:val="24"/>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$3.5 Billion of Notes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23, 2011, Texas Instruments Incorporated (“Texas Instruments”) expects to consummate the issuance and sale of $1,000,000,000 aggregate principal amount of its Floating Rate Notes due 2013, $500,000,000 aggregate principal amount of its 0.875% Notes due 2013, $1,000,000,000 aggregate principal amount of its 1.375% Notes due 2014 and $1,000,000,000 aggregate principal amount of its 2.375% Notes due 2016 (all together, the “Notes”), pursuant to an underwriting agreement filed herewith as Exhibit 4.1 dated May 16, 2011 among Texas Instruments and Morgan Stanley &amp; Co. Incorporated and J.P. Morgan Securities LLC,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24, 2010 (Reg. No. 333-165045), including the prospectus contained therein (the “Registration Statement”), and a related preliminary prospectus supplement dated May 16, 2011 and a prospectus supplement dated May 16, 2011.</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material terms and conditions of the Notes are set forth in the Indenture filed herewith as Exhibit 4.2 and the Officer’s Certificate filed herewith as Exhibit 4.3 and incorporated by reference herein.</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w w:val="90"/>
              </w:rPr>
              <w:t>Item 9.01</w:t>
            </w:r>
          </w:p>
        </w:tc>
        <w:tc>
          <w:tcPr>
            <w:tcW w:w="1070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1420" w:type="dxa"/>
            <w:vAlign w:val="bottom"/>
            <w:gridSpan w:val="3"/>
          </w:tcPr>
          <w:p>
            <w:pPr>
              <w:ind w:left="240"/>
              <w:spacing w:after="0"/>
              <w:rPr>
                <w:sz w:val="20"/>
                <w:szCs w:val="20"/>
                <w:color w:val="auto"/>
              </w:rPr>
            </w:pPr>
            <w:r>
              <w:rPr>
                <w:rFonts w:ascii="Arial" w:cs="Arial" w:eastAsia="Arial" w:hAnsi="Arial"/>
                <w:sz w:val="18"/>
                <w:szCs w:val="18"/>
                <w:color w:val="auto"/>
              </w:rPr>
              <w:t>(d) Exhibits</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Underwriting Agreement, dated May 16, 2011, between the Company and Morgan Stanley &amp; Co. Incorporated and J.P. Morgan Securities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LLC, as representatives of the several underwriters named in Schedule II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Indenture dated as of May 23, 2011 between the Company and U.S. Bank National Association, as Trustee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Davis Polk &amp; Wardwell LLP (contained in Exhibit 5.1)</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May 23,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16,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$1,000,000,000 principal amount of the Floating Rate Notes due 2013, $500,000,000 principal amount of the 0.875% Notes due 2013, $1,000,000,000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the 1.375% Notes due 2014 and $1,000,000,000 principal amount of the 2.375% Notes due 2016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hereto, as more fully described in the Time of Sale Prospectus. The Offered Securities will be issued pursuant to an Indenture to be dated as of May 23,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the Company and U.S. Bank National Association, as trustee.</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5:00 p.m. (New York time) on the date hereof.</w:t>
      </w:r>
    </w:p>
    <w:p>
      <w:pPr>
        <w:spacing w:after="0" w:line="10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23, 2011, or at such other time, not later than May 31, 2011, as shall be designated by the Manager.</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May 16, 2011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w:t>
      </w:r>
    </w:p>
    <w:p>
      <w:pPr>
        <w:sectPr>
          <w:pgSz w:w="11900" w:h="16838" w:orient="portrait"/>
          <w:cols w:equalWidth="0" w:num="1">
            <w:col w:w="11420"/>
          </w:cols>
          <w:pgMar w:left="240" w:top="125" w:right="239" w:bottom="1440" w:gutter="0" w:footer="0" w:header="0"/>
        </w:sectPr>
      </w:pPr>
    </w:p>
    <w:bookmarkStart w:id="5" w:name="page6"/>
    <w:bookmarkEnd w:id="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 Morgan Stanley &amp; Co. Incorporated, J.P. Morgan Securities LLC, Merrill Lynch, Pierce, Fenner &amp; Smith Incorporated and Citigroup Global Markets Inc., whose authority hereunder may be exercised by them jointly.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purposes of Section III(e) of the Standard Provisions, references to the “Company” shall be deemed to include both Texas Instruments Incorporated and National Semiconductor Corporation and references to certain financial information shall include financial information of National Semiconductor Corporation contained in the Texas Instruments Incorporated current report on Form 8-K filed with the Commission on May 16,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Incorporated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Yurij Slyz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Bottomedi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Bottomedi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 Vice President and Treasurer</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333-165045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May 16, 2011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May 16,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810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378"/>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40" w:type="dxa"/>
            <w:vAlign w:val="bottom"/>
            <w:gridSpan w:val="2"/>
          </w:tcPr>
          <w:p>
            <w:pPr>
              <w:jc w:val="center"/>
              <w:ind w:right="4520"/>
              <w:spacing w:after="0"/>
              <w:rPr>
                <w:sz w:val="20"/>
                <w:szCs w:val="20"/>
                <w:color w:val="auto"/>
              </w:rPr>
            </w:pPr>
            <w:r>
              <w:rPr>
                <w:rFonts w:ascii="Arial" w:cs="Arial" w:eastAsia="Arial" w:hAnsi="Arial"/>
                <w:sz w:val="18"/>
                <w:szCs w:val="18"/>
                <w:b w:val="1"/>
                <w:bCs w:val="1"/>
                <w:color w:val="auto"/>
                <w:w w:val="87"/>
              </w:rPr>
              <w:t>Pricing Term Sheet</w:t>
            </w:r>
          </w:p>
        </w:tc>
      </w:tr>
      <w:tr>
        <w:trPr>
          <w:trHeight w:val="340"/>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40" w:type="dxa"/>
            <w:vAlign w:val="bottom"/>
            <w:gridSpan w:val="2"/>
          </w:tcPr>
          <w:p>
            <w:pPr>
              <w:jc w:val="center"/>
              <w:ind w:right="4540"/>
              <w:spacing w:after="0"/>
              <w:rPr>
                <w:sz w:val="20"/>
                <w:szCs w:val="20"/>
                <w:color w:val="auto"/>
              </w:rPr>
            </w:pPr>
            <w:r>
              <w:rPr>
                <w:rFonts w:ascii="Arial" w:cs="Arial" w:eastAsia="Arial" w:hAnsi="Arial"/>
                <w:sz w:val="18"/>
                <w:szCs w:val="18"/>
                <w:color w:val="auto"/>
                <w:w w:val="87"/>
              </w:rPr>
              <w:t>Floating Rate Notes due 2013</w:t>
            </w: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37"/>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Principal Amount:</w:t>
            </w:r>
          </w:p>
        </w:tc>
        <w:tc>
          <w:tcPr>
            <w:tcW w:w="3560" w:type="dxa"/>
            <w:vAlign w:val="bottom"/>
            <w:gridSpan w:val="2"/>
          </w:tcPr>
          <w:p>
            <w:pPr>
              <w:ind w:left="1160"/>
              <w:spacing w:after="0"/>
              <w:rPr>
                <w:sz w:val="20"/>
                <w:szCs w:val="20"/>
                <w:color w:val="auto"/>
              </w:rPr>
            </w:pPr>
            <w:r>
              <w:rPr>
                <w:rFonts w:ascii="Arial" w:cs="Arial" w:eastAsia="Arial" w:hAnsi="Arial"/>
                <w:sz w:val="18"/>
                <w:szCs w:val="18"/>
                <w:color w:val="auto"/>
              </w:rPr>
              <w:t>$1,000,000,000</w:t>
            </w:r>
          </w:p>
        </w:tc>
        <w:tc>
          <w:tcPr>
            <w:tcW w:w="454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Maturity:</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May 15, 2013</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Coupon:</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Three-month USD LIBOR plus 0.18%</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Price to Public:</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100% of principal amount</w:t>
            </w: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rPr>
              <w:t>Interest:</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w w:val="88"/>
              </w:rPr>
              <w:t>Interest will be payable quarterly in arrears on February 15, May 15, August 15 and November 15,</w:t>
            </w:r>
          </w:p>
        </w:tc>
      </w:tr>
      <w:tr>
        <w:trPr>
          <w:trHeight w:val="216"/>
        </w:trPr>
        <w:tc>
          <w:tcPr>
            <w:tcW w:w="3200" w:type="dxa"/>
            <w:vAlign w:val="bottom"/>
          </w:tcPr>
          <w:p>
            <w:pPr>
              <w:spacing w:after="0"/>
              <w:rPr>
                <w:sz w:val="18"/>
                <w:szCs w:val="18"/>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w w:val="88"/>
              </w:rPr>
              <w:t>commencing on August 15, 2011. Interest will be determined as set forth under “Description of the</w:t>
            </w:r>
          </w:p>
        </w:tc>
      </w:tr>
      <w:tr>
        <w:trPr>
          <w:trHeight w:val="216"/>
        </w:trPr>
        <w:tc>
          <w:tcPr>
            <w:tcW w:w="3200" w:type="dxa"/>
            <w:vAlign w:val="bottom"/>
          </w:tcPr>
          <w:p>
            <w:pPr>
              <w:spacing w:after="0"/>
              <w:rPr>
                <w:sz w:val="18"/>
                <w:szCs w:val="18"/>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w w:val="89"/>
              </w:rPr>
              <w:t>Notes—Interest on Floating Rate Notes” in the preliminary prospectus supplement dated May 16,</w:t>
            </w:r>
          </w:p>
        </w:tc>
      </w:tr>
      <w:tr>
        <w:trPr>
          <w:trHeight w:val="216"/>
        </w:trPr>
        <w:tc>
          <w:tcPr>
            <w:tcW w:w="3200" w:type="dxa"/>
            <w:vAlign w:val="bottom"/>
          </w:tcPr>
          <w:p>
            <w:pPr>
              <w:spacing w:after="0"/>
              <w:rPr>
                <w:sz w:val="18"/>
                <w:szCs w:val="18"/>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w w:val="99"/>
              </w:rPr>
              <w:t>2011 to the prospectus dated February 24, 2010, and reset quarterly. The initial Interest</w:t>
            </w:r>
          </w:p>
        </w:tc>
      </w:tr>
      <w:tr>
        <w:trPr>
          <w:trHeight w:val="222"/>
        </w:trPr>
        <w:tc>
          <w:tcPr>
            <w:tcW w:w="3200" w:type="dxa"/>
            <w:vAlign w:val="bottom"/>
          </w:tcPr>
          <w:p>
            <w:pPr>
              <w:spacing w:after="0"/>
              <w:rPr>
                <w:sz w:val="19"/>
                <w:szCs w:val="19"/>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Determination Date will be May 19, 2011.</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Day Count Convention:</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Actual Days Elapsed/360</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560" w:type="dxa"/>
            <w:vAlign w:val="bottom"/>
            <w:gridSpan w:val="2"/>
          </w:tcPr>
          <w:p>
            <w:pPr>
              <w:ind w:left="1160"/>
              <w:spacing w:after="0"/>
              <w:rPr>
                <w:sz w:val="20"/>
                <w:szCs w:val="20"/>
                <w:color w:val="auto"/>
              </w:rPr>
            </w:pPr>
            <w:r>
              <w:rPr>
                <w:rFonts w:ascii="Arial" w:cs="Arial" w:eastAsia="Arial" w:hAnsi="Arial"/>
                <w:sz w:val="18"/>
                <w:szCs w:val="18"/>
                <w:color w:val="auto"/>
              </w:rPr>
              <w:t>$998,500,000</w:t>
            </w:r>
          </w:p>
        </w:tc>
        <w:tc>
          <w:tcPr>
            <w:tcW w:w="454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Trade Date:</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May 16, 2011</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Settlement Date:</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May 23, 2011 (T+5)</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Denominations:</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CUSIP/ISIN:</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882508 AS3 / US882508AS30</w:t>
            </w:r>
          </w:p>
        </w:tc>
      </w:tr>
      <w:tr>
        <w:trPr>
          <w:trHeight w:val="318"/>
        </w:trPr>
        <w:tc>
          <w:tcPr>
            <w:tcW w:w="3200" w:type="dxa"/>
            <w:vAlign w:val="bottom"/>
          </w:tcPr>
          <w:p>
            <w:pPr>
              <w:spacing w:after="0"/>
              <w:rPr>
                <w:sz w:val="20"/>
                <w:szCs w:val="20"/>
                <w:color w:val="auto"/>
              </w:rPr>
            </w:pPr>
            <w:r>
              <w:rPr>
                <w:rFonts w:ascii="Arial" w:cs="Arial" w:eastAsia="Arial" w:hAnsi="Arial"/>
                <w:sz w:val="18"/>
                <w:szCs w:val="18"/>
                <w:color w:val="auto"/>
              </w:rPr>
              <w:t>Ratings:</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Moody’s: A1</w:t>
            </w:r>
          </w:p>
        </w:tc>
      </w:tr>
      <w:tr>
        <w:trPr>
          <w:trHeight w:val="222"/>
        </w:trPr>
        <w:tc>
          <w:tcPr>
            <w:tcW w:w="3200" w:type="dxa"/>
            <w:vAlign w:val="bottom"/>
          </w:tcPr>
          <w:p>
            <w:pPr>
              <w:spacing w:after="0"/>
              <w:rPr>
                <w:sz w:val="19"/>
                <w:szCs w:val="19"/>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S&amp;P: A+</w:t>
            </w:r>
          </w:p>
        </w:tc>
      </w:tr>
      <w:tr>
        <w:trPr>
          <w:trHeight w:val="331"/>
        </w:trPr>
        <w:tc>
          <w:tcPr>
            <w:tcW w:w="32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3200" w:type="dxa"/>
            <w:vAlign w:val="bottom"/>
          </w:tcPr>
          <w:p>
            <w:pPr>
              <w:spacing w:after="0"/>
              <w:rPr>
                <w:sz w:val="18"/>
                <w:szCs w:val="18"/>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J.P. Morgan Securities LLC</w:t>
            </w:r>
          </w:p>
        </w:tc>
      </w:tr>
      <w:tr>
        <w:trPr>
          <w:trHeight w:val="216"/>
        </w:trPr>
        <w:tc>
          <w:tcPr>
            <w:tcW w:w="3200" w:type="dxa"/>
            <w:vAlign w:val="bottom"/>
          </w:tcPr>
          <w:p>
            <w:pPr>
              <w:spacing w:after="0"/>
              <w:rPr>
                <w:sz w:val="18"/>
                <w:szCs w:val="18"/>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Merrill Lynch, Pierce, Fenner &amp; Smith Incorporated</w:t>
            </w:r>
          </w:p>
        </w:tc>
      </w:tr>
      <w:tr>
        <w:trPr>
          <w:trHeight w:val="222"/>
        </w:trPr>
        <w:tc>
          <w:tcPr>
            <w:tcW w:w="3200" w:type="dxa"/>
            <w:vAlign w:val="bottom"/>
          </w:tcPr>
          <w:p>
            <w:pPr>
              <w:spacing w:after="0"/>
              <w:rPr>
                <w:sz w:val="19"/>
                <w:szCs w:val="19"/>
                <w:color w:val="auto"/>
              </w:rPr>
            </w:pPr>
          </w:p>
        </w:tc>
        <w:tc>
          <w:tcPr>
            <w:tcW w:w="8100" w:type="dxa"/>
            <w:vAlign w:val="bottom"/>
            <w:gridSpan w:val="3"/>
          </w:tcPr>
          <w:p>
            <w:pPr>
              <w:ind w:left="1160"/>
              <w:spacing w:after="0"/>
              <w:rPr>
                <w:sz w:val="20"/>
                <w:szCs w:val="20"/>
                <w:color w:val="auto"/>
              </w:rPr>
            </w:pPr>
            <w:r>
              <w:rPr>
                <w:rFonts w:ascii="Arial" w:cs="Arial" w:eastAsia="Arial" w:hAnsi="Arial"/>
                <w:sz w:val="18"/>
                <w:szCs w:val="18"/>
                <w:color w:val="auto"/>
              </w:rPr>
              <w:t>Citigroup Global Markets Inc.</w:t>
            </w:r>
          </w:p>
        </w:tc>
      </w:tr>
      <w:tr>
        <w:trPr>
          <w:trHeight w:val="378"/>
        </w:trPr>
        <w:tc>
          <w:tcPr>
            <w:tcW w:w="3200" w:type="dxa"/>
            <w:vAlign w:val="bottom"/>
          </w:tcPr>
          <w:p>
            <w:pPr>
              <w:spacing w:after="0"/>
              <w:rPr>
                <w:sz w:val="24"/>
                <w:szCs w:val="24"/>
                <w:color w:val="auto"/>
              </w:rPr>
            </w:pPr>
          </w:p>
        </w:tc>
        <w:tc>
          <w:tcPr>
            <w:tcW w:w="3560" w:type="dxa"/>
            <w:vAlign w:val="bottom"/>
            <w:gridSpan w:val="2"/>
          </w:tcPr>
          <w:p>
            <w:pPr>
              <w:jc w:val="center"/>
              <w:ind w:left="1392"/>
              <w:spacing w:after="0"/>
              <w:rPr>
                <w:sz w:val="20"/>
                <w:szCs w:val="20"/>
                <w:color w:val="auto"/>
              </w:rPr>
            </w:pPr>
            <w:r>
              <w:rPr>
                <w:rFonts w:ascii="Arial" w:cs="Arial" w:eastAsia="Arial" w:hAnsi="Arial"/>
                <w:sz w:val="18"/>
                <w:szCs w:val="18"/>
                <w:color w:val="auto"/>
                <w:w w:val="79"/>
              </w:rPr>
              <w:t>5</w:t>
            </w:r>
          </w:p>
        </w:tc>
        <w:tc>
          <w:tcPr>
            <w:tcW w:w="45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0.</w:t>
            </w:r>
            <w:r>
              <w:rPr>
                <w:rFonts w:ascii="Arial" w:cs="Arial" w:eastAsia="Arial" w:hAnsi="Arial"/>
                <w:sz w:val="18"/>
                <w:szCs w:val="18"/>
                <w:u w:val="single" w:color="auto"/>
                <w:color w:val="auto"/>
                <w:w w:val="85"/>
              </w:rPr>
              <w:t>875%</w:t>
            </w:r>
            <w:r>
              <w:rPr>
                <w:rFonts w:ascii="Arial" w:cs="Arial" w:eastAsia="Arial" w:hAnsi="Arial"/>
                <w:sz w:val="18"/>
                <w:szCs w:val="18"/>
                <w:color w:val="auto"/>
                <w:w w:val="85"/>
              </w:rPr>
              <w:t xml:space="preserve"> Notes due 2013</w:t>
            </w:r>
          </w:p>
        </w:tc>
        <w:tc>
          <w:tcPr>
            <w:tcW w:w="4420" w:type="dxa"/>
            <w:vAlign w:val="bottom"/>
          </w:tcPr>
          <w:p>
            <w:pPr>
              <w:spacing w:after="0"/>
              <w:rPr>
                <w:sz w:val="17"/>
                <w:szCs w:val="17"/>
                <w:color w:val="auto"/>
              </w:rPr>
            </w:pPr>
          </w:p>
        </w:tc>
      </w:tr>
      <w:tr>
        <w:trPr>
          <w:trHeight w:val="545"/>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$500,000,000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15, 2013</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0.875%</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99.953% of principal amount</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15 and November 15, commencing November 15,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1000"/>
              <w:spacing w:after="0"/>
              <w:rPr>
                <w:sz w:val="20"/>
                <w:szCs w:val="20"/>
                <w:color w:val="auto"/>
              </w:rPr>
            </w:pPr>
            <w:r>
              <w:rPr>
                <w:rFonts w:ascii="Arial" w:cs="Arial" w:eastAsia="Arial" w:hAnsi="Arial"/>
                <w:sz w:val="18"/>
                <w:szCs w:val="18"/>
                <w:color w:val="auto"/>
                <w:w w:val="90"/>
              </w:rPr>
              <w:t>30/360</w:t>
            </w:r>
          </w:p>
        </w:tc>
        <w:tc>
          <w:tcPr>
            <w:tcW w:w="16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$499,015,000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0.625% due April 30, 2013</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37.5 basis points</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0.899%</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0.524%</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At any time at a discount rate of Treasury plus 5 basis points</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2012, or such earlier date as the merger agreement is terminated</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16,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23, 2011 (T+5)</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882508 AP9 / US882508AP90</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Moody’s: A1</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S&amp;P: A+</w:t>
            </w:r>
          </w:p>
        </w:tc>
      </w:tr>
      <w:tr>
        <w:trPr>
          <w:trHeight w:val="331"/>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Merrill Lynch, Pierce, Fenner &amp; Smith Incorporated</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Citigroup Global Markets Inc.</w:t>
            </w:r>
          </w:p>
        </w:tc>
      </w:tr>
      <w:tr>
        <w:trPr>
          <w:trHeight w:val="378"/>
        </w:trPr>
        <w:tc>
          <w:tcPr>
            <w:tcW w:w="3360" w:type="dxa"/>
            <w:vAlign w:val="bottom"/>
          </w:tcPr>
          <w:p>
            <w:pPr>
              <w:spacing w:after="0"/>
              <w:rPr>
                <w:sz w:val="24"/>
                <w:szCs w:val="24"/>
                <w:color w:val="auto"/>
              </w:rPr>
            </w:pPr>
          </w:p>
        </w:tc>
        <w:tc>
          <w:tcPr>
            <w:tcW w:w="3200" w:type="dxa"/>
            <w:vAlign w:val="bottom"/>
            <w:gridSpan w:val="2"/>
          </w:tcPr>
          <w:p>
            <w:pPr>
              <w:ind w:left="2320"/>
              <w:spacing w:after="0"/>
              <w:rPr>
                <w:sz w:val="20"/>
                <w:szCs w:val="20"/>
                <w:color w:val="auto"/>
              </w:rPr>
            </w:pPr>
            <w:r>
              <w:rPr>
                <w:rFonts w:ascii="Arial" w:cs="Arial" w:eastAsia="Arial" w:hAnsi="Arial"/>
                <w:sz w:val="18"/>
                <w:szCs w:val="18"/>
                <w:color w:val="auto"/>
              </w:rPr>
              <w:t>6</w:t>
            </w:r>
          </w:p>
        </w:tc>
        <w:tc>
          <w:tcPr>
            <w:tcW w:w="4420" w:type="dxa"/>
            <w:vAlign w:val="bottom"/>
          </w:tcPr>
          <w:p>
            <w:pPr>
              <w:spacing w:after="0"/>
              <w:rPr>
                <w:sz w:val="24"/>
                <w:szCs w:val="24"/>
                <w:color w:val="auto"/>
              </w:rPr>
            </w:pPr>
          </w:p>
        </w:tc>
      </w:tr>
    </w:tbl>
    <w:p>
      <w:pPr>
        <w:sectPr>
          <w:pgSz w:w="11900" w:h="16838" w:orient="portrait"/>
          <w:cols w:equalWidth="0" w:num="1">
            <w:col w:w="10980"/>
          </w:cols>
          <w:pgMar w:left="240" w:top="257" w:right="67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375%</w:t>
            </w:r>
            <w:r>
              <w:rPr>
                <w:rFonts w:ascii="Arial" w:cs="Arial" w:eastAsia="Arial" w:hAnsi="Arial"/>
                <w:sz w:val="18"/>
                <w:szCs w:val="18"/>
                <w:color w:val="auto"/>
                <w:w w:val="85"/>
              </w:rPr>
              <w:t xml:space="preserve"> Notes due 2014</w:t>
            </w:r>
          </w:p>
        </w:tc>
        <w:tc>
          <w:tcPr>
            <w:tcW w:w="4420" w:type="dxa"/>
            <w:vAlign w:val="bottom"/>
          </w:tcPr>
          <w:p>
            <w:pPr>
              <w:spacing w:after="0"/>
              <w:rPr>
                <w:sz w:val="17"/>
                <w:szCs w:val="17"/>
                <w:color w:val="auto"/>
              </w:rPr>
            </w:pPr>
          </w:p>
        </w:tc>
      </w:tr>
      <w:tr>
        <w:trPr>
          <w:trHeight w:val="545"/>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$1,000,000,000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15, 2014</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1.375%</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99.875% of principal amount</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15 and November 15, commencing November 15,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1000"/>
              <w:spacing w:after="0"/>
              <w:rPr>
                <w:sz w:val="20"/>
                <w:szCs w:val="20"/>
                <w:color w:val="auto"/>
              </w:rPr>
            </w:pPr>
            <w:r>
              <w:rPr>
                <w:rFonts w:ascii="Arial" w:cs="Arial" w:eastAsia="Arial" w:hAnsi="Arial"/>
                <w:sz w:val="18"/>
                <w:szCs w:val="18"/>
                <w:color w:val="auto"/>
                <w:w w:val="90"/>
              </w:rPr>
              <w:t>30/360</w:t>
            </w:r>
          </w:p>
        </w:tc>
        <w:tc>
          <w:tcPr>
            <w:tcW w:w="16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$996,250,000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1.000% due May 15, 2014</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50 basis points</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1.418%</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0.918%</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At any time at a discount rate of Treasury plus 7.5 basis points</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2012, or such earlier date as the merger agreement is terminated</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16,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23, 2011 (T+5)</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882508 AQ7 / US882508AQ73</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Moody’s: A1</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S&amp;P: A+</w:t>
            </w:r>
          </w:p>
        </w:tc>
      </w:tr>
      <w:tr>
        <w:trPr>
          <w:trHeight w:val="331"/>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Merrill Lynch, Pierce, Fenner &amp; Smith Incorporated</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Citigroup Global Markets Inc.</w:t>
            </w:r>
          </w:p>
        </w:tc>
      </w:tr>
      <w:tr>
        <w:trPr>
          <w:trHeight w:val="378"/>
        </w:trPr>
        <w:tc>
          <w:tcPr>
            <w:tcW w:w="3360" w:type="dxa"/>
            <w:vAlign w:val="bottom"/>
          </w:tcPr>
          <w:p>
            <w:pPr>
              <w:spacing w:after="0"/>
              <w:rPr>
                <w:sz w:val="24"/>
                <w:szCs w:val="24"/>
                <w:color w:val="auto"/>
              </w:rPr>
            </w:pPr>
          </w:p>
        </w:tc>
        <w:tc>
          <w:tcPr>
            <w:tcW w:w="3200" w:type="dxa"/>
            <w:vAlign w:val="bottom"/>
            <w:gridSpan w:val="2"/>
          </w:tcPr>
          <w:p>
            <w:pPr>
              <w:ind w:left="2320"/>
              <w:spacing w:after="0"/>
              <w:rPr>
                <w:sz w:val="20"/>
                <w:szCs w:val="20"/>
                <w:color w:val="auto"/>
              </w:rPr>
            </w:pPr>
            <w:r>
              <w:rPr>
                <w:rFonts w:ascii="Arial" w:cs="Arial" w:eastAsia="Arial" w:hAnsi="Arial"/>
                <w:sz w:val="18"/>
                <w:szCs w:val="18"/>
                <w:color w:val="auto"/>
              </w:rPr>
              <w:t>7</w:t>
            </w:r>
          </w:p>
        </w:tc>
        <w:tc>
          <w:tcPr>
            <w:tcW w:w="4420" w:type="dxa"/>
            <w:vAlign w:val="bottom"/>
          </w:tcPr>
          <w:p>
            <w:pPr>
              <w:spacing w:after="0"/>
              <w:rPr>
                <w:sz w:val="24"/>
                <w:szCs w:val="24"/>
                <w:color w:val="auto"/>
              </w:rPr>
            </w:pPr>
          </w:p>
        </w:tc>
      </w:tr>
    </w:tbl>
    <w:p>
      <w:pPr>
        <w:sectPr>
          <w:pgSz w:w="11900" w:h="16838" w:orient="portrait"/>
          <w:cols w:equalWidth="0" w:num="1">
            <w:col w:w="10980"/>
          </w:cols>
          <w:pgMar w:left="240" w:top="257" w:right="67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2.</w:t>
            </w:r>
            <w:r>
              <w:rPr>
                <w:rFonts w:ascii="Arial" w:cs="Arial" w:eastAsia="Arial" w:hAnsi="Arial"/>
                <w:sz w:val="18"/>
                <w:szCs w:val="18"/>
                <w:u w:val="single" w:color="auto"/>
                <w:color w:val="auto"/>
                <w:w w:val="85"/>
              </w:rPr>
              <w:t>375%</w:t>
            </w:r>
            <w:r>
              <w:rPr>
                <w:rFonts w:ascii="Arial" w:cs="Arial" w:eastAsia="Arial" w:hAnsi="Arial"/>
                <w:sz w:val="18"/>
                <w:szCs w:val="18"/>
                <w:color w:val="auto"/>
                <w:w w:val="85"/>
              </w:rPr>
              <w:t xml:space="preserve"> Notes due 2016</w:t>
            </w:r>
          </w:p>
        </w:tc>
        <w:tc>
          <w:tcPr>
            <w:tcW w:w="4420" w:type="dxa"/>
            <w:vAlign w:val="bottom"/>
          </w:tcPr>
          <w:p>
            <w:pPr>
              <w:spacing w:after="0"/>
              <w:rPr>
                <w:sz w:val="17"/>
                <w:szCs w:val="17"/>
                <w:color w:val="auto"/>
              </w:rPr>
            </w:pPr>
          </w:p>
        </w:tc>
      </w:tr>
      <w:tr>
        <w:trPr>
          <w:trHeight w:val="545"/>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$1,000,000,000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16, 2016</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2.375%</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99.893% of principal amount</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15 and November 15, commencing November 15,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1000"/>
              <w:spacing w:after="0"/>
              <w:rPr>
                <w:sz w:val="20"/>
                <w:szCs w:val="20"/>
                <w:color w:val="auto"/>
              </w:rPr>
            </w:pPr>
            <w:r>
              <w:rPr>
                <w:rFonts w:ascii="Arial" w:cs="Arial" w:eastAsia="Arial" w:hAnsi="Arial"/>
                <w:sz w:val="18"/>
                <w:szCs w:val="18"/>
                <w:color w:val="auto"/>
                <w:w w:val="90"/>
              </w:rPr>
              <w:t>30/360</w:t>
            </w:r>
          </w:p>
        </w:tc>
        <w:tc>
          <w:tcPr>
            <w:tcW w:w="16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$995,430,000</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2.000% due April 30, 2016</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60 basis points</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2.398%</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1.798%</w:t>
            </w:r>
          </w:p>
        </w:tc>
        <w:tc>
          <w:tcPr>
            <w:tcW w:w="442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Make-Whole Call:</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At any time at a discount rate of Treasury plus 10 basis points</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w w:val="90"/>
              </w:rPr>
              <w:t>At 101%, if TI’s merger with National Semiconductor Corporation has not closed by April 30,</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2012, or such earlier date as the merger agreement is terminated</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16, 2011</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May 23, 2011 (T+5)</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Denominations: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60" w:type="dxa"/>
            <w:vAlign w:val="bottom"/>
          </w:tcPr>
          <w:p>
            <w:pPr>
              <w:spacing w:after="0"/>
              <w:rPr>
                <w:sz w:val="20"/>
                <w:szCs w:val="20"/>
                <w:color w:val="auto"/>
              </w:rPr>
            </w:pPr>
            <w:r>
              <w:rPr>
                <w:rFonts w:ascii="Arial" w:cs="Arial" w:eastAsia="Arial" w:hAnsi="Arial"/>
                <w:sz w:val="18"/>
                <w:szCs w:val="18"/>
                <w:color w:val="auto"/>
              </w:rPr>
              <w:t>CUSIP/ISIN:</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882508 AR5 / US882508AR56</w:t>
            </w:r>
          </w:p>
        </w:tc>
      </w:tr>
      <w:tr>
        <w:trPr>
          <w:trHeight w:val="318"/>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Moody’s: A1</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S&amp;P: A+</w:t>
            </w:r>
          </w:p>
        </w:tc>
      </w:tr>
      <w:tr>
        <w:trPr>
          <w:trHeight w:val="331"/>
        </w:trPr>
        <w:tc>
          <w:tcPr>
            <w:tcW w:w="33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J.P. Morgan Securities LLC</w:t>
            </w:r>
          </w:p>
        </w:tc>
      </w:tr>
      <w:tr>
        <w:trPr>
          <w:trHeight w:val="216"/>
        </w:trPr>
        <w:tc>
          <w:tcPr>
            <w:tcW w:w="3360" w:type="dxa"/>
            <w:vAlign w:val="bottom"/>
          </w:tcPr>
          <w:p>
            <w:pPr>
              <w:spacing w:after="0"/>
              <w:rPr>
                <w:sz w:val="18"/>
                <w:szCs w:val="18"/>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Merrill Lynch, Pierce, Fenner &amp; Smith Incorporated</w:t>
            </w:r>
          </w:p>
        </w:tc>
      </w:tr>
      <w:tr>
        <w:trPr>
          <w:trHeight w:val="222"/>
        </w:trPr>
        <w:tc>
          <w:tcPr>
            <w:tcW w:w="3360" w:type="dxa"/>
            <w:vAlign w:val="bottom"/>
          </w:tcPr>
          <w:p>
            <w:pPr>
              <w:spacing w:after="0"/>
              <w:rPr>
                <w:sz w:val="19"/>
                <w:szCs w:val="19"/>
                <w:color w:val="auto"/>
              </w:rPr>
            </w:pPr>
          </w:p>
        </w:tc>
        <w:tc>
          <w:tcPr>
            <w:tcW w:w="7620" w:type="dxa"/>
            <w:vAlign w:val="bottom"/>
            <w:gridSpan w:val="3"/>
          </w:tcPr>
          <w:p>
            <w:pPr>
              <w:ind w:left="1000"/>
              <w:spacing w:after="0"/>
              <w:rPr>
                <w:sz w:val="20"/>
                <w:szCs w:val="20"/>
                <w:color w:val="auto"/>
              </w:rPr>
            </w:pPr>
            <w:r>
              <w:rPr>
                <w:rFonts w:ascii="Arial" w:cs="Arial" w:eastAsia="Arial" w:hAnsi="Arial"/>
                <w:sz w:val="18"/>
                <w:szCs w:val="18"/>
                <w:color w:val="auto"/>
              </w:rPr>
              <w:t>Citigroup Global Markets Inc.</w:t>
            </w:r>
          </w:p>
        </w:tc>
      </w:tr>
      <w:tr>
        <w:trPr>
          <w:trHeight w:val="378"/>
        </w:trPr>
        <w:tc>
          <w:tcPr>
            <w:tcW w:w="3360" w:type="dxa"/>
            <w:vAlign w:val="bottom"/>
          </w:tcPr>
          <w:p>
            <w:pPr>
              <w:spacing w:after="0"/>
              <w:rPr>
                <w:sz w:val="24"/>
                <w:szCs w:val="24"/>
                <w:color w:val="auto"/>
              </w:rPr>
            </w:pPr>
          </w:p>
        </w:tc>
        <w:tc>
          <w:tcPr>
            <w:tcW w:w="3200" w:type="dxa"/>
            <w:vAlign w:val="bottom"/>
            <w:gridSpan w:val="2"/>
          </w:tcPr>
          <w:p>
            <w:pPr>
              <w:ind w:left="2320"/>
              <w:spacing w:after="0"/>
              <w:rPr>
                <w:sz w:val="20"/>
                <w:szCs w:val="20"/>
                <w:color w:val="auto"/>
              </w:rPr>
            </w:pPr>
            <w:r>
              <w:rPr>
                <w:rFonts w:ascii="Arial" w:cs="Arial" w:eastAsia="Arial" w:hAnsi="Arial"/>
                <w:sz w:val="18"/>
                <w:szCs w:val="18"/>
                <w:color w:val="auto"/>
              </w:rPr>
              <w:t>8</w:t>
            </w:r>
          </w:p>
        </w:tc>
        <w:tc>
          <w:tcPr>
            <w:tcW w:w="4420" w:type="dxa"/>
            <w:vAlign w:val="bottom"/>
          </w:tcPr>
          <w:p>
            <w:pPr>
              <w:spacing w:after="0"/>
              <w:rPr>
                <w:sz w:val="24"/>
                <w:szCs w:val="24"/>
                <w:color w:val="auto"/>
              </w:rPr>
            </w:pPr>
          </w:p>
        </w:tc>
      </w:tr>
    </w:tbl>
    <w:p>
      <w:pPr>
        <w:sectPr>
          <w:pgSz w:w="11900" w:h="16838" w:orient="portrait"/>
          <w:cols w:equalWidth="0" w:num="1">
            <w:col w:w="10980"/>
          </w:cols>
          <w:pgMar w:left="240" w:top="257" w:right="6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 on or about May 23, 2011,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Incorporated at 1-866-718-1649, J.P. Morgan Securities LLC at 1-212-834-4533, Merrill Lynch, Pierce, Fenner &amp; Smith Incorporated at 1-800-294-1322 or Citigroup Global Markets Inc. at 1-877-858-5407.</w:t>
      </w:r>
    </w:p>
    <w:p>
      <w:pPr>
        <w:spacing w:after="0" w:line="1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2013 Floating</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 Notes</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2013 Notes</w:t>
            </w:r>
          </w:p>
        </w:tc>
        <w:tc>
          <w:tcPr>
            <w:tcW w:w="1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2014 Notes</w:t>
            </w:r>
          </w:p>
        </w:tc>
        <w:tc>
          <w:tcPr>
            <w:tcW w:w="1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2016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210,000,000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210,000,000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105,000,000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210,000,000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142,000,000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142,000,000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56,000,000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28,000,000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56,000,000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110,000,000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110,000,000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110,000,000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55,000,000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110,000,000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110,000,000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110,000,000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26,000,000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13,000,000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26,000,000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26,000,000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gridSpan w:val="2"/>
            <w:vMerge w:val="continue"/>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1,000,000,000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500,000,000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1,000,000,000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1,000,000,000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40" w:type="dxa"/>
            <w:vAlign w:val="bottom"/>
            <w:vMerge w:val="restart"/>
          </w:tcPr>
          <w:p>
            <w:pPr>
              <w:jc w:val="right"/>
              <w:ind w:right="2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5" w:name="page16"/>
    <w:bookmarkEnd w:id="15"/>
    <w:p>
      <w:pPr>
        <w:jc w:val="center"/>
        <w:ind w:right="37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 w:lineRule="exact"/>
        <w:rPr>
          <w:sz w:val="20"/>
          <w:szCs w:val="20"/>
          <w:color w:val="auto"/>
        </w:rPr>
      </w:pPr>
    </w:p>
    <w:p>
      <w:pPr>
        <w:jc w:val="center"/>
        <w:ind w:right="374"/>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90"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“Underwriters” in the Prospectus Supplement, concerning the terms offered by the Underwriters;</w:t>
      </w:r>
    </w:p>
    <w:p>
      <w:pPr>
        <w:spacing w:after="0" w:line="113"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third and fourth sentences of the paragraph of text under the sub-caption “Underwriters—New Issue of Notes” in the Prospectus Supplement, concerning market making by the Underwriters; and</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two paragraphs of text under the sub-caption “Underwriters—Price Stabilization and Short Positions” in the Prospectus Supplement, concerning short sales, purchases to cover short positions and stabilizing purchases.</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6"/>
          </w:cols>
          <w:pgMar w:left="694" w:top="274"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May 16, 2011</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 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 Agreement. As used herein, the terms “Registration Statement,” “Base Prospectus,” “Prospectus,”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and “Time of Sale Prospectus” shall include in each case the documents, if any, incorporated by reference therein. The terms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“supplement,” “amendment” and “amend” as used herein shall include all documents deemed to be incorporated by reference in the Prospectus that are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date of the Base Prospectus by the Company with the Commission pursuant to the Securities Exchange Act of 1934,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writing by the Company and the Manager.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80" w:firstLine="443"/>
        <w:spacing w:after="0" w:line="290"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37" w:lineRule="exact"/>
        <w:rPr>
          <w:rFonts w:ascii="Arial" w:cs="Arial" w:eastAsia="Arial" w:hAnsi="Arial"/>
          <w:sz w:val="16"/>
          <w:szCs w:val="16"/>
          <w:color w:val="auto"/>
        </w:rPr>
      </w:pPr>
    </w:p>
    <w:p>
      <w:pPr>
        <w:ind w:left="460" w:right="560" w:firstLine="443"/>
        <w:spacing w:after="0" w:line="259" w:lineRule="auto"/>
        <w:tabs>
          <w:tab w:leader="none" w:pos="11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Joseph F. Hubach, Esq., Senior Vice President, Secretary and General Counsel of the Company (or another lawyer of the Company reasonably satisfactory to the Underwriters), dated the Closing Date, to the effect (as applicable)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 w:name="page19"/>
    <w:bookmarkEnd w:id="18"/>
    <w:p>
      <w:pPr>
        <w:ind w:left="-280" w:right="160" w:firstLine="421"/>
        <w:spacing w:after="0" w:line="268"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50" w:lineRule="exact"/>
        <w:rPr>
          <w:rFonts w:ascii="Arial" w:cs="Arial" w:eastAsia="Arial" w:hAnsi="Arial"/>
          <w:sz w:val="18"/>
          <w:szCs w:val="18"/>
          <w:color w:val="auto"/>
        </w:rPr>
      </w:pPr>
    </w:p>
    <w:p>
      <w:pPr>
        <w:ind w:left="-280" w:firstLine="421"/>
        <w:spacing w:after="0" w:line="306" w:lineRule="auto"/>
        <w:tabs>
          <w:tab w:leader="none" w:pos="39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25" w:lineRule="exact"/>
        <w:rPr>
          <w:rFonts w:ascii="Arial" w:cs="Arial" w:eastAsia="Arial" w:hAnsi="Arial"/>
          <w:sz w:val="16"/>
          <w:szCs w:val="16"/>
          <w:color w:val="auto"/>
        </w:rPr>
      </w:pPr>
    </w:p>
    <w:p>
      <w:pPr>
        <w:ind w:left="440" w:hanging="299"/>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90" w:lineRule="exact"/>
        <w:rPr>
          <w:rFonts w:ascii="Arial" w:cs="Arial" w:eastAsia="Arial" w:hAnsi="Arial"/>
          <w:sz w:val="18"/>
          <w:szCs w:val="18"/>
          <w:color w:val="auto"/>
        </w:rPr>
      </w:pPr>
    </w:p>
    <w:p>
      <w:pPr>
        <w:ind w:left="-280" w:right="280" w:firstLine="421"/>
        <w:spacing w:after="0" w:line="268"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ind w:left="-280" w:right="20" w:firstLine="421"/>
        <w:spacing w:after="0" w:line="290" w:lineRule="auto"/>
        <w:tabs>
          <w:tab w:leader="none" w:pos="38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37" w:lineRule="exact"/>
        <w:rPr>
          <w:rFonts w:ascii="Arial" w:cs="Arial" w:eastAsia="Arial" w:hAnsi="Arial"/>
          <w:sz w:val="16"/>
          <w:szCs w:val="16"/>
          <w:color w:val="auto"/>
        </w:rPr>
      </w:pPr>
    </w:p>
    <w:p>
      <w:pPr>
        <w:ind w:left="-280" w:right="20" w:firstLine="421"/>
        <w:spacing w:after="0" w:line="255"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61" w:lineRule="exact"/>
        <w:rPr>
          <w:rFonts w:ascii="Arial" w:cs="Arial" w:eastAsia="Arial" w:hAnsi="Arial"/>
          <w:sz w:val="18"/>
          <w:szCs w:val="18"/>
          <w:color w:val="auto"/>
        </w:rPr>
      </w:pPr>
    </w:p>
    <w:p>
      <w:pPr>
        <w:ind w:left="-280" w:right="120" w:firstLine="421"/>
        <w:spacing w:after="0" w:line="259"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280" w:right="239" w:bottom="1440" w:gutter="0" w:footer="0" w:header="0"/>
        </w:sectPr>
      </w:pPr>
    </w:p>
    <w:bookmarkStart w:id="19" w:name="page20"/>
    <w:bookmarkEnd w:id="19"/>
    <w:p>
      <w:pPr>
        <w:ind w:left="4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52" w:lineRule="exact"/>
        <w:rPr>
          <w:sz w:val="20"/>
          <w:szCs w:val="20"/>
          <w:color w:val="auto"/>
        </w:rPr>
      </w:pPr>
    </w:p>
    <w:p>
      <w:pPr>
        <w:ind w:right="140" w:firstLine="443"/>
        <w:spacing w:after="0" w:line="268" w:lineRule="auto"/>
        <w:tabs>
          <w:tab w:leader="none" w:pos="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left="1140" w:hanging="259"/>
        <w:spacing w:after="0"/>
        <w:tabs>
          <w:tab w:leader="none" w:pos="1140"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0" w:name="page21"/>
    <w:bookmarkEnd w:id="20"/>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35" w:lineRule="exact"/>
        <w:rPr>
          <w:sz w:val="20"/>
          <w:szCs w:val="20"/>
          <w:color w:val="auto"/>
        </w:rPr>
      </w:pPr>
    </w:p>
    <w:p>
      <w:pPr>
        <w:ind w:right="100" w:firstLine="421"/>
        <w:spacing w:after="0" w:line="294" w:lineRule="auto"/>
        <w:tabs>
          <w:tab w:leader="none" w:pos="727"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right="100" w:firstLine="421"/>
        <w:spacing w:after="0" w:line="294" w:lineRule="auto"/>
        <w:tabs>
          <w:tab w:leader="none" w:pos="717"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660" w:hanging="2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firstLine="421"/>
        <w:spacing w:after="0" w:line="259" w:lineRule="auto"/>
        <w:tabs>
          <w:tab w:leader="none" w:pos="7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59" w:lineRule="exact"/>
        <w:rPr>
          <w:rFonts w:ascii="Arial" w:cs="Arial" w:eastAsia="Arial" w:hAnsi="Arial"/>
          <w:sz w:val="18"/>
          <w:szCs w:val="18"/>
          <w:color w:val="auto"/>
        </w:rPr>
      </w:pPr>
    </w:p>
    <w:p>
      <w:pPr>
        <w:ind w:right="60" w:firstLine="421"/>
        <w:spacing w:after="0" w:line="268" w:lineRule="auto"/>
        <w:tabs>
          <w:tab w:leader="none" w:pos="76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“Certain U.S. Tax Considerations” and “Underwriting” relating to legal matters fairly summarize in all material respects such legal matters;</w:t>
      </w:r>
    </w:p>
    <w:p>
      <w:pPr>
        <w:spacing w:after="0" w:line="44" w:lineRule="exact"/>
        <w:rPr>
          <w:rFonts w:ascii="Arial" w:cs="Arial" w:eastAsia="Arial" w:hAnsi="Arial"/>
          <w:sz w:val="18"/>
          <w:szCs w:val="18"/>
          <w:color w:val="auto"/>
        </w:rPr>
      </w:pPr>
    </w:p>
    <w:p>
      <w:pPr>
        <w:ind w:left="820" w:hanging="399"/>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1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w:t>
      </w:r>
      <w:r>
        <w:rPr>
          <w:rFonts w:ascii="Arial" w:cs="Arial" w:eastAsia="Arial" w:hAnsi="Arial"/>
          <w:sz w:val="18"/>
          <w:szCs w:val="18"/>
          <w:color w:val="auto"/>
        </w:rPr>
        <w:t>”), the Underlying Securities have been duly authorized and reserved for issuance;</w:t>
      </w:r>
    </w:p>
    <w:p>
      <w:pPr>
        <w:spacing w:after="0" w:line="96" w:lineRule="exact"/>
        <w:rPr>
          <w:sz w:val="20"/>
          <w:szCs w:val="20"/>
          <w:color w:val="auto"/>
        </w:rPr>
      </w:pPr>
    </w:p>
    <w:p>
      <w:pPr>
        <w:jc w:val="both"/>
        <w:ind w:firstLine="421"/>
        <w:spacing w:after="0" w:line="306" w:lineRule="auto"/>
        <w:tabs>
          <w:tab w:leader="none" w:pos="717"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25" w:lineRule="exact"/>
        <w:rPr>
          <w:rFonts w:ascii="Arial" w:cs="Arial" w:eastAsia="Arial" w:hAnsi="Arial"/>
          <w:sz w:val="16"/>
          <w:szCs w:val="16"/>
          <w:color w:val="auto"/>
        </w:rPr>
      </w:pPr>
    </w:p>
    <w:p>
      <w:pPr>
        <w:ind w:right="200" w:firstLine="421"/>
        <w:spacing w:after="0" w:line="306" w:lineRule="auto"/>
        <w:tabs>
          <w:tab w:leader="none" w:pos="66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 and</w:t>
      </w:r>
    </w:p>
    <w:p>
      <w:pPr>
        <w:spacing w:after="0" w:line="25" w:lineRule="exact"/>
        <w:rPr>
          <w:rFonts w:ascii="Arial" w:cs="Arial" w:eastAsia="Arial" w:hAnsi="Arial"/>
          <w:sz w:val="16"/>
          <w:szCs w:val="16"/>
          <w:color w:val="auto"/>
        </w:rPr>
      </w:pPr>
    </w:p>
    <w:p>
      <w:pPr>
        <w:ind w:firstLine="421"/>
        <w:spacing w:after="0" w:line="305" w:lineRule="auto"/>
        <w:tabs>
          <w:tab w:leader="none" w:pos="717" w:val="left"/>
        </w:tabs>
        <w:numPr>
          <w:ilvl w:val="0"/>
          <w:numId w:val="8"/>
        </w:numPr>
        <w:rPr>
          <w:rFonts w:ascii="Arial" w:cs="Arial" w:eastAsia="Arial" w:hAnsi="Arial"/>
          <w:sz w:val="15"/>
          <w:szCs w:val="15"/>
          <w:color w:val="auto"/>
        </w:rPr>
      </w:pPr>
      <w:r>
        <w:rPr>
          <w:rFonts w:ascii="Arial" w:cs="Arial" w:eastAsia="Arial" w:hAnsi="Arial"/>
          <w:sz w:val="15"/>
          <w:szCs w:val="15"/>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w:t>
      </w:r>
    </w:p>
    <w:p>
      <w:pPr>
        <w:spacing w:after="0" w:line="3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1160" w:top="274" w:right="259" w:bottom="1440" w:gutter="0" w:footer="0" w:header="0"/>
        </w:sectPr>
      </w:pPr>
    </w:p>
    <w:bookmarkStart w:id="22" w:name="page23"/>
    <w:bookmarkEnd w:id="22"/>
    <w:p>
      <w:pPr>
        <w:ind w:left="920"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 The Manager shall have received on the Closing Date an opinion of its own counsel, in a form acceptable to the Manager, dated the Closing Date.</w:t>
      </w:r>
    </w:p>
    <w:p>
      <w:pPr>
        <w:spacing w:after="0" w:line="20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It is understood that Joseph F. Hubach, Esq. may rely as to all matters relating to the laws of the State of New York upon the opinion of Davis Polk &amp; Wardwell LLP.</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With respect to the matters set forth in (b)(vii) and (c)(xi) above, Joseph F. Hubach, Esq.,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32" w:lineRule="exact"/>
        <w:rPr>
          <w:sz w:val="20"/>
          <w:szCs w:val="20"/>
          <w:color w:val="auto"/>
        </w:rPr>
      </w:pPr>
    </w:p>
    <w:p>
      <w:pPr>
        <w:ind w:left="460" w:right="300" w:firstLine="443"/>
        <w:spacing w:after="0" w:line="256" w:lineRule="auto"/>
        <w:tabs>
          <w:tab w:leader="none" w:pos="11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left="460" w:right="120" w:firstLine="443"/>
        <w:spacing w:after="0" w:line="298" w:lineRule="auto"/>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31"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left="5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100" w:firstLine="443"/>
        <w:spacing w:after="0" w:line="306" w:lineRule="auto"/>
        <w:tabs>
          <w:tab w:leader="none" w:pos="6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right="60" w:firstLine="443"/>
        <w:spacing w:after="0" w:line="335" w:lineRule="auto"/>
        <w:tabs>
          <w:tab w:leader="none" w:pos="6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Before amending or supplementing the Registration Statement, the Time of Sale Prospectus or the Prospectus with respect to the Offered Securities, to furnish the Manager a copy of each such proposed amendment or supplement and will not file any such proposed amendment or supplement to which the Manager reasonably objects unless, in the Company’s good faith judgment, the Company is required by law or regulation to make such filing.</w:t>
      </w:r>
    </w:p>
    <w:p>
      <w:pPr>
        <w:spacing w:after="0" w:line="7" w:lineRule="exact"/>
        <w:rPr>
          <w:rFonts w:ascii="Arial" w:cs="Arial" w:eastAsia="Arial" w:hAnsi="Arial"/>
          <w:sz w:val="15"/>
          <w:szCs w:val="15"/>
          <w:color w:val="auto"/>
        </w:rPr>
      </w:pPr>
    </w:p>
    <w:p>
      <w:pPr>
        <w:ind w:right="120" w:firstLine="443"/>
        <w:spacing w:after="0" w:line="268"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50" w:lineRule="exact"/>
        <w:rPr>
          <w:rFonts w:ascii="Arial" w:cs="Arial" w:eastAsia="Arial" w:hAnsi="Arial"/>
          <w:sz w:val="18"/>
          <w:szCs w:val="18"/>
          <w:color w:val="auto"/>
        </w:rPr>
      </w:pPr>
    </w:p>
    <w:p>
      <w:pPr>
        <w:ind w:right="260" w:firstLine="443"/>
        <w:spacing w:after="0" w:line="259"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8"/>
          <w:szCs w:val="18"/>
          <w:color w:val="auto"/>
        </w:rPr>
      </w:pPr>
    </w:p>
    <w:p>
      <w:pPr>
        <w:ind w:firstLine="443"/>
        <w:spacing w:after="0" w:line="288" w:lineRule="auto"/>
        <w:tabs>
          <w:tab w:leader="none" w:pos="6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38" w:lineRule="exact"/>
        <w:rPr>
          <w:rFonts w:ascii="Arial" w:cs="Arial" w:eastAsia="Arial" w:hAnsi="Arial"/>
          <w:sz w:val="16"/>
          <w:szCs w:val="16"/>
          <w:color w:val="auto"/>
        </w:rPr>
      </w:pPr>
    </w:p>
    <w:p>
      <w:pPr>
        <w:ind w:right="440" w:firstLine="443"/>
        <w:spacing w:after="0" w:line="268"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24" w:name="page25"/>
    <w:bookmarkEnd w:id="2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law to be delivered in connection with sales by an Underwriter or dealer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38" w:lineRule="exact"/>
        <w:rPr>
          <w:sz w:val="20"/>
          <w:szCs w:val="20"/>
          <w:color w:val="auto"/>
        </w:rPr>
      </w:pPr>
    </w:p>
    <w:p>
      <w:pPr>
        <w:ind w:right="220" w:firstLine="443"/>
        <w:spacing w:after="0" w:line="332"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4" w:lineRule="exact"/>
        <w:rPr>
          <w:rFonts w:ascii="Arial" w:cs="Arial" w:eastAsia="Arial" w:hAnsi="Arial"/>
          <w:sz w:val="16"/>
          <w:szCs w:val="16"/>
          <w:color w:val="auto"/>
        </w:rPr>
      </w:pPr>
    </w:p>
    <w:p>
      <w:pPr>
        <w:ind w:right="60" w:firstLine="443"/>
        <w:spacing w:after="0" w:line="298"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31" w:lineRule="exact"/>
        <w:rPr>
          <w:rFonts w:ascii="Arial" w:cs="Arial" w:eastAsia="Arial" w:hAnsi="Arial"/>
          <w:sz w:val="16"/>
          <w:szCs w:val="16"/>
          <w:color w:val="auto"/>
        </w:rPr>
      </w:pPr>
    </w:p>
    <w:p>
      <w:pPr>
        <w:ind w:right="40" w:firstLine="443"/>
        <w:spacing w:after="0" w:line="305" w:lineRule="auto"/>
        <w:tabs>
          <w:tab w:leader="none" w:pos="648" w:val="left"/>
        </w:tabs>
        <w:numPr>
          <w:ilvl w:val="1"/>
          <w:numId w:val="11"/>
        </w:numPr>
        <w:rPr>
          <w:rFonts w:ascii="Arial" w:cs="Arial" w:eastAsia="Arial" w:hAnsi="Arial"/>
          <w:sz w:val="15"/>
          <w:szCs w:val="15"/>
          <w:color w:val="auto"/>
        </w:rPr>
      </w:pPr>
      <w:r>
        <w:rPr>
          <w:rFonts w:ascii="Arial" w:cs="Arial" w:eastAsia="Arial" w:hAnsi="Arial"/>
          <w:sz w:val="15"/>
          <w:szCs w:val="15"/>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06" w:lineRule="exact"/>
        <w:rPr>
          <w:rFonts w:ascii="Arial" w:cs="Arial" w:eastAsia="Arial" w:hAnsi="Arial"/>
          <w:sz w:val="16"/>
          <w:szCs w:val="16"/>
          <w:color w:val="auto"/>
        </w:rPr>
      </w:pPr>
    </w:p>
    <w:p>
      <w:pPr>
        <w:ind w:right="100" w:firstLine="443"/>
        <w:spacing w:after="0" w:line="306" w:lineRule="auto"/>
        <w:tabs>
          <w:tab w:leader="none" w:pos="648" w:val="left"/>
        </w:tabs>
        <w:numPr>
          <w:ilvl w:val="1"/>
          <w:numId w:val="12"/>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5" w:lineRule="exact"/>
        <w:rPr>
          <w:rFonts w:ascii="Arial" w:cs="Arial" w:eastAsia="Arial" w:hAnsi="Arial"/>
          <w:sz w:val="16"/>
          <w:szCs w:val="16"/>
          <w:color w:val="auto"/>
        </w:rPr>
      </w:pPr>
    </w:p>
    <w:p>
      <w:pPr>
        <w:ind w:firstLine="443"/>
        <w:spacing w:after="0" w:line="268" w:lineRule="auto"/>
        <w:tabs>
          <w:tab w:leader="none" w:pos="6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5" w:name="page26"/>
    <w:bookmarkEnd w:id="25"/>
    <w:p>
      <w:pPr>
        <w:ind w:firstLine="443"/>
        <w:spacing w:after="0" w:line="286"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43" w:lineRule="exact"/>
        <w:rPr>
          <w:rFonts w:ascii="Arial" w:cs="Arial" w:eastAsia="Arial" w:hAnsi="Arial"/>
          <w:sz w:val="16"/>
          <w:szCs w:val="16"/>
          <w:color w:val="auto"/>
        </w:rPr>
      </w:pPr>
    </w:p>
    <w:p>
      <w:pPr>
        <w:ind w:right="200" w:firstLine="443"/>
        <w:spacing w:after="0" w:line="294" w:lineRule="auto"/>
        <w:tabs>
          <w:tab w:leader="none" w:pos="7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34" w:lineRule="exact"/>
        <w:rPr>
          <w:rFonts w:ascii="Arial" w:cs="Arial" w:eastAsia="Arial" w:hAnsi="Arial"/>
          <w:sz w:val="16"/>
          <w:szCs w:val="16"/>
          <w:color w:val="auto"/>
        </w:rPr>
      </w:pPr>
    </w:p>
    <w:p>
      <w:pPr>
        <w:ind w:right="40" w:firstLine="443"/>
        <w:spacing w:after="0" w:line="288"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6" w:name="page27"/>
    <w:bookmarkEnd w:id="26"/>
    <w:p>
      <w:pPr>
        <w:ind w:right="2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1" w:lineRule="exact"/>
        <w:rPr>
          <w:sz w:val="20"/>
          <w:szCs w:val="20"/>
          <w:color w:val="auto"/>
        </w:rPr>
      </w:pPr>
    </w:p>
    <w:p>
      <w:pPr>
        <w:ind w:firstLine="4"/>
        <w:spacing w:after="0" w:line="253"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100" w:firstLine="443"/>
        <w:spacing w:after="0" w:line="298" w:lineRule="auto"/>
        <w:tabs>
          <w:tab w:leader="none" w:pos="6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31" w:lineRule="exact"/>
        <w:rPr>
          <w:rFonts w:ascii="Arial" w:cs="Arial" w:eastAsia="Arial" w:hAnsi="Arial"/>
          <w:sz w:val="16"/>
          <w:szCs w:val="16"/>
          <w:color w:val="auto"/>
        </w:rPr>
      </w:pPr>
    </w:p>
    <w:p>
      <w:pPr>
        <w:ind w:right="20" w:firstLine="443"/>
        <w:spacing w:after="0" w:line="286"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27" w:name="page28"/>
    <w:bookmarkEnd w:id="27"/>
    <w:p>
      <w:pPr>
        <w:ind w:right="20" w:firstLine="4"/>
        <w:spacing w:after="0" w:line="289"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37" w:lineRule="exact"/>
        <w:rPr>
          <w:rFonts w:ascii="Arial" w:cs="Arial" w:eastAsia="Arial" w:hAnsi="Arial"/>
          <w:sz w:val="16"/>
          <w:szCs w:val="16"/>
          <w:color w:val="auto"/>
        </w:rPr>
      </w:pPr>
    </w:p>
    <w:p>
      <w:pPr>
        <w:ind w:firstLine="443"/>
        <w:spacing w:after="0" w:line="289" w:lineRule="auto"/>
        <w:tabs>
          <w:tab w:leader="none" w:pos="6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37" w:lineRule="exact"/>
        <w:rPr>
          <w:rFonts w:ascii="Arial" w:cs="Arial" w:eastAsia="Arial" w:hAnsi="Arial"/>
          <w:sz w:val="16"/>
          <w:szCs w:val="16"/>
          <w:color w:val="auto"/>
        </w:rPr>
      </w:pPr>
    </w:p>
    <w:p>
      <w:pPr>
        <w:ind w:right="120" w:firstLine="443"/>
        <w:spacing w:after="0" w:line="255" w:lineRule="auto"/>
        <w:tabs>
          <w:tab w:leader="none" w:pos="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61" w:lineRule="exact"/>
        <w:rPr>
          <w:rFonts w:ascii="Arial" w:cs="Arial" w:eastAsia="Arial" w:hAnsi="Arial"/>
          <w:sz w:val="18"/>
          <w:szCs w:val="18"/>
          <w:color w:val="auto"/>
        </w:rPr>
      </w:pPr>
    </w:p>
    <w:p>
      <w:pPr>
        <w:jc w:val="both"/>
        <w:ind w:right="200" w:firstLine="443"/>
        <w:spacing w:after="0" w:line="259" w:lineRule="auto"/>
        <w:tabs>
          <w:tab w:leader="none" w:pos="6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right="680" w:firstLine="443"/>
        <w:spacing w:after="0" w:line="268"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28" w:name="page29"/>
    <w:bookmarkEnd w:id="2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62" w:lineRule="exact"/>
        <w:rPr>
          <w:sz w:val="20"/>
          <w:szCs w:val="20"/>
          <w:color w:val="auto"/>
        </w:rPr>
      </w:pPr>
    </w:p>
    <w:p>
      <w:pPr>
        <w:ind w:right="20" w:firstLine="443"/>
        <w:spacing w:after="0" w:line="255" w:lineRule="auto"/>
        <w:tabs>
          <w:tab w:leader="none" w:pos="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firstLine="443"/>
        <w:spacing w:after="0" w:line="255" w:lineRule="auto"/>
        <w:tabs>
          <w:tab w:leader="none" w:pos="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80" w:firstLine="443"/>
        <w:spacing w:after="0" w:line="291" w:lineRule="auto"/>
        <w:tabs>
          <w:tab w:leader="none" w:pos="6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39" w:lineRule="exact"/>
        <w:rPr>
          <w:rFonts w:ascii="Arial" w:cs="Arial" w:eastAsia="Arial" w:hAnsi="Arial"/>
          <w:sz w:val="16"/>
          <w:szCs w:val="16"/>
          <w:color w:val="auto"/>
        </w:rPr>
      </w:pPr>
    </w:p>
    <w:p>
      <w:pPr>
        <w:ind w:right="20" w:firstLine="443"/>
        <w:spacing w:after="0" w:line="305" w:lineRule="auto"/>
        <w:tabs>
          <w:tab w:leader="none" w:pos="687"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ind w:right="280" w:firstLine="4"/>
        <w:spacing w:after="0" w:line="261"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agreement or other instrument binding upon the Company or any of its subsidiaries, or (iv) any judgment, order or decree of any governmental body, agency or court having jurisdiction over the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29" w:name="page30"/>
    <w:bookmarkEnd w:id="29"/>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51" w:lineRule="exact"/>
        <w:rPr>
          <w:sz w:val="20"/>
          <w:szCs w:val="20"/>
          <w:color w:val="auto"/>
        </w:rPr>
      </w:pPr>
    </w:p>
    <w:p>
      <w:pPr>
        <w:ind w:left="460" w:right="180" w:firstLine="443"/>
        <w:spacing w:after="0" w:line="259" w:lineRule="auto"/>
        <w:tabs>
          <w:tab w:leader="none" w:pos="11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9" w:lineRule="exact"/>
        <w:rPr>
          <w:rFonts w:ascii="Arial" w:cs="Arial" w:eastAsia="Arial" w:hAnsi="Arial"/>
          <w:sz w:val="18"/>
          <w:szCs w:val="18"/>
          <w:color w:val="auto"/>
        </w:rPr>
      </w:pPr>
    </w:p>
    <w:p>
      <w:pPr>
        <w:ind w:left="460" w:right="240" w:firstLine="443"/>
        <w:spacing w:after="0" w:line="259" w:lineRule="auto"/>
        <w:tabs>
          <w:tab w:leader="none" w:pos="1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34"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59"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31" w:name="page32"/>
    <w:bookmarkEnd w:id="31"/>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2" w:name="page33"/>
    <w:bookmarkEnd w:id="3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controlling any Underwriter or by or on behalf of the Company, its directors or officers or any person controlling the Company and (iii) acceptance of and payment for any of the Offered Securities.</w:t>
      </w: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60" w:firstLine="443"/>
        <w:spacing w:after="0" w:line="259" w:lineRule="auto"/>
        <w:tabs>
          <w:tab w:leader="none" w:pos="11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Global Market, (ii) trading of any securities of the Company shall have been suspended on the New York Stock Exchange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on the Closing Date any one or more of the Underwriters shall fail or refuse to purchase Offered Securities that it or they have agreed to purchase on such date,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4" w:name="page35"/>
    <w:bookmarkEnd w:id="34"/>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8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TEXAS INSTRUMENTS INCORPORATED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Certain Terms Defined</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ECURITIES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Forms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Form of Trustee’s 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Amount Unlimited; 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Authentication and Delivery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2.05.</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Execution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2.06.</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2.07.</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Denomination and Date of Securities; Payments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2.08.</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Registration,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Mutilated, Defaced,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Cancellation of Securities; Destruction Thereof</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2.11</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 OF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Payment of Principal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Offices for Payments, Etc</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Appointment to Fill a Vacancy in Office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Paying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Written Statement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Limitation on Liens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Limitation on Sale and Leaseback</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9940" w:type="dxa"/>
            <w:vAlign w:val="bottom"/>
            <w:gridSpan w:val="3"/>
          </w:tcPr>
          <w:p>
            <w:pPr>
              <w:jc w:val="center"/>
              <w:ind w:right="78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ECURITYHOLDERS</w:t>
            </w:r>
            <w:r>
              <w:rPr>
                <w:rFonts w:ascii="Arial" w:cs="Arial" w:eastAsia="Arial" w:hAnsi="Arial"/>
                <w:sz w:val="18"/>
                <w:szCs w:val="18"/>
                <w:color w:val="auto"/>
                <w:w w:val="99"/>
              </w:rPr>
              <w:t xml:space="preserve"> L</w:t>
            </w:r>
            <w:r>
              <w:rPr>
                <w:rFonts w:ascii="Arial" w:cs="Arial" w:eastAsia="Arial" w:hAnsi="Arial"/>
                <w:sz w:val="14"/>
                <w:szCs w:val="14"/>
                <w:color w:val="auto"/>
                <w:w w:val="99"/>
              </w:rPr>
              <w:t>ISTS AND</w:t>
            </w:r>
            <w:r>
              <w:rPr>
                <w:rFonts w:ascii="Arial" w:cs="Arial" w:eastAsia="Arial" w:hAnsi="Arial"/>
                <w:sz w:val="18"/>
                <w:szCs w:val="18"/>
                <w:color w:val="auto"/>
                <w:w w:val="99"/>
              </w:rPr>
              <w:t xml:space="preserve"> R</w:t>
            </w:r>
            <w:r>
              <w:rPr>
                <w:rFonts w:ascii="Arial" w:cs="Arial" w:eastAsia="Arial" w:hAnsi="Arial"/>
                <w:sz w:val="14"/>
                <w:szCs w:val="14"/>
                <w:color w:val="auto"/>
                <w:w w:val="99"/>
              </w:rPr>
              <w:t>EPORTS BY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 AND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Issuer to Furnish Trustee Information as to Names and Addresses of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Reports by the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Reports by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 w:name="page38"/>
    <w:bookmarkEnd w:id="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Event of Default Defined; Acceleration of Maturity; Waiver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Collection of Debt by Trustee; Trustee May Prove Debt</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Application of Proceeds</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Suits for Enforcement</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Restoration of Rights on Abandonment of Proceedings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Limitations on Suits by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Unconditional Right of Securityholders to Institute Certain Suits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5.08.</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Powers and Remedies Cumulative; Delay or Omission Not Waiver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Control by Holders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5.10.</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Waiver of Past Defaults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5.11.</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Trustee to Give Notice of Default, but May Withhold in Certain Circumstances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5.12.</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Right of Court to Require Filing of Undertaking to Pay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26"/>
        </w:trPr>
        <w:tc>
          <w:tcPr>
            <w:tcW w:w="1080" w:type="dxa"/>
            <w:vAlign w:val="bottom"/>
          </w:tcPr>
          <w:p>
            <w:pPr>
              <w:spacing w:after="0"/>
              <w:rPr>
                <w:sz w:val="24"/>
                <w:szCs w:val="24"/>
                <w:color w:val="auto"/>
              </w:rPr>
            </w:pPr>
          </w:p>
        </w:tc>
        <w:tc>
          <w:tcPr>
            <w:tcW w:w="8560" w:type="dxa"/>
            <w:vAlign w:val="bottom"/>
          </w:tcPr>
          <w:p>
            <w:pPr>
              <w:jc w:val="center"/>
              <w:ind w:left="532"/>
              <w:spacing w:after="0"/>
              <w:rPr>
                <w:sz w:val="20"/>
                <w:szCs w:val="20"/>
                <w:color w:val="auto"/>
              </w:rPr>
            </w:pPr>
            <w:r>
              <w:rPr>
                <w:rFonts w:ascii="Arial" w:cs="Arial" w:eastAsia="Arial" w:hAnsi="Arial"/>
                <w:sz w:val="18"/>
                <w:szCs w:val="18"/>
                <w:color w:val="auto"/>
                <w:w w:val="94"/>
              </w:rPr>
              <w:t>ARTICLE 6</w:t>
            </w:r>
          </w:p>
        </w:tc>
        <w:tc>
          <w:tcPr>
            <w:tcW w:w="168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8560" w:type="dxa"/>
            <w:vAlign w:val="bottom"/>
          </w:tcPr>
          <w:p>
            <w:pPr>
              <w:jc w:val="center"/>
              <w:ind w:left="53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16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Duties and Responsibilities of the Trustee; During Default; Prior to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Certain Rights of the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Trustee Not Responsible for Recitals, Disposition of Securities or Application of Proceeds Thereof</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6.04</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Trustee and Agents May Hold Securities; Collections, Etc</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Moneys Held by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Compensation and Indemnification of Trustee and Its Prior Claim</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Right of Trustee to Rely on Officers’ Certificate, Etc</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Indentures Creating Potential Conflicting Interests for the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6.09</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Persons Eligible for Appointment as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Resignation and Removal; Appointment of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6.11</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Acceptance of Appointment by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6.12</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Merger, Conversion, Consolidation or Succession to Business of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6"/>
        </w:trPr>
        <w:tc>
          <w:tcPr>
            <w:tcW w:w="1080" w:type="dxa"/>
            <w:vAlign w:val="bottom"/>
          </w:tcPr>
          <w:p>
            <w:pPr>
              <w:spacing w:after="0"/>
              <w:rPr>
                <w:sz w:val="24"/>
                <w:szCs w:val="24"/>
                <w:color w:val="auto"/>
              </w:rPr>
            </w:pPr>
          </w:p>
        </w:tc>
        <w:tc>
          <w:tcPr>
            <w:tcW w:w="8560" w:type="dxa"/>
            <w:vAlign w:val="bottom"/>
          </w:tcPr>
          <w:p>
            <w:pPr>
              <w:jc w:val="center"/>
              <w:ind w:left="532"/>
              <w:spacing w:after="0"/>
              <w:rPr>
                <w:sz w:val="20"/>
                <w:szCs w:val="20"/>
                <w:color w:val="auto"/>
              </w:rPr>
            </w:pPr>
            <w:r>
              <w:rPr>
                <w:rFonts w:ascii="Arial" w:cs="Arial" w:eastAsia="Arial" w:hAnsi="Arial"/>
                <w:sz w:val="18"/>
                <w:szCs w:val="18"/>
                <w:color w:val="auto"/>
                <w:w w:val="94"/>
              </w:rPr>
              <w:t>ARTICLE 7</w:t>
            </w:r>
          </w:p>
        </w:tc>
        <w:tc>
          <w:tcPr>
            <w:tcW w:w="168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8560" w:type="dxa"/>
            <w:vAlign w:val="bottom"/>
          </w:tcPr>
          <w:p>
            <w:pPr>
              <w:jc w:val="center"/>
              <w:ind w:left="51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w:t>
            </w:r>
          </w:p>
        </w:tc>
        <w:tc>
          <w:tcPr>
            <w:tcW w:w="16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Evidence of Action Taken by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Proof of Execution of Instruments and of Holding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w:t>
            </w:r>
          </w:p>
        </w:tc>
        <w:tc>
          <w:tcPr>
            <w:tcW w:w="8560" w:type="dxa"/>
            <w:vAlign w:val="bottom"/>
          </w:tcPr>
          <w:p>
            <w:pPr>
              <w:ind w:left="160"/>
              <w:spacing w:after="0"/>
              <w:rPr>
                <w:sz w:val="20"/>
                <w:szCs w:val="20"/>
                <w:color w:val="auto"/>
              </w:rPr>
            </w:pPr>
            <w:r>
              <w:rPr>
                <w:rFonts w:ascii="Arial" w:cs="Arial" w:eastAsia="Arial" w:hAnsi="Arial"/>
                <w:sz w:val="18"/>
                <w:szCs w:val="18"/>
                <w:i w:val="1"/>
                <w:iCs w:val="1"/>
                <w:color w:val="auto"/>
              </w:rPr>
              <w:t>Holders to Be Treated as Owners</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9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7.04.</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Securities Owned by Issuer Deemed Not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Right of Revocation of Action Taken</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120" w:type="dxa"/>
            <w:vAlign w:val="bottom"/>
          </w:tcPr>
          <w:p>
            <w:pPr>
              <w:spacing w:after="0"/>
              <w:rPr>
                <w:sz w:val="24"/>
                <w:szCs w:val="24"/>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4"/>
              </w:rPr>
              <w:t>ARTICLE 8</w:t>
            </w:r>
          </w:p>
        </w:tc>
        <w:tc>
          <w:tcPr>
            <w:tcW w:w="16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UPPLEMENTAL</w:t>
            </w:r>
            <w:r>
              <w:rPr>
                <w:rFonts w:ascii="Arial" w:cs="Arial" w:eastAsia="Arial" w:hAnsi="Arial"/>
                <w:sz w:val="18"/>
                <w:szCs w:val="18"/>
                <w:color w:val="auto"/>
                <w:w w:val="99"/>
              </w:rPr>
              <w:t xml:space="preserve"> I</w:t>
            </w:r>
            <w:r>
              <w:rPr>
                <w:rFonts w:ascii="Arial" w:cs="Arial" w:eastAsia="Arial" w:hAnsi="Arial"/>
                <w:sz w:val="14"/>
                <w:szCs w:val="14"/>
                <w:color w:val="auto"/>
                <w:w w:val="99"/>
              </w:rPr>
              <w:t>NDENTURES</w:t>
            </w:r>
          </w:p>
        </w:tc>
        <w:tc>
          <w:tcPr>
            <w:tcW w:w="1640" w:type="dxa"/>
            <w:vAlign w:val="bottom"/>
          </w:tcPr>
          <w:p>
            <w:pPr>
              <w:spacing w:after="0"/>
              <w:rPr>
                <w:sz w:val="19"/>
                <w:szCs w:val="19"/>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Supplemental Indentures Without Consent of Securityholders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Supplemental Indentures With Consent of Securityholders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Effect of Supplemental Indenture</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Documents to Be Given to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8.05</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Notation on Securities in Respect of Supplemental Indentures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1120" w:type="dxa"/>
            <w:vAlign w:val="bottom"/>
          </w:tcPr>
          <w:p>
            <w:pPr>
              <w:spacing w:after="0"/>
              <w:rPr>
                <w:sz w:val="24"/>
                <w:szCs w:val="24"/>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4"/>
              </w:rPr>
              <w:t>ARTICLE 9</w:t>
            </w:r>
          </w:p>
        </w:tc>
        <w:tc>
          <w:tcPr>
            <w:tcW w:w="16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ONSOLIDATION</w:t>
            </w:r>
            <w:r>
              <w:rPr>
                <w:rFonts w:ascii="Arial" w:cs="Arial" w:eastAsia="Arial" w:hAnsi="Arial"/>
                <w:sz w:val="18"/>
                <w:szCs w:val="18"/>
                <w:color w:val="auto"/>
                <w:w w:val="99"/>
              </w:rPr>
              <w:t>, M</w:t>
            </w:r>
            <w:r>
              <w:rPr>
                <w:rFonts w:ascii="Arial" w:cs="Arial" w:eastAsia="Arial" w:hAnsi="Arial"/>
                <w:sz w:val="14"/>
                <w:szCs w:val="14"/>
                <w:color w:val="auto"/>
                <w:w w:val="99"/>
              </w:rPr>
              <w:t>ERGER</w:t>
            </w:r>
            <w:r>
              <w:rPr>
                <w:rFonts w:ascii="Arial" w:cs="Arial" w:eastAsia="Arial" w:hAnsi="Arial"/>
                <w:sz w:val="18"/>
                <w:szCs w:val="18"/>
                <w:color w:val="auto"/>
                <w:w w:val="99"/>
              </w:rPr>
              <w:t>, S</w:t>
            </w:r>
            <w:r>
              <w:rPr>
                <w:rFonts w:ascii="Arial" w:cs="Arial" w:eastAsia="Arial" w:hAnsi="Arial"/>
                <w:sz w:val="14"/>
                <w:szCs w:val="14"/>
                <w:color w:val="auto"/>
                <w:w w:val="99"/>
              </w:rPr>
              <w:t>ALE OR</w:t>
            </w:r>
            <w:r>
              <w:rPr>
                <w:rFonts w:ascii="Arial" w:cs="Arial" w:eastAsia="Arial" w:hAnsi="Arial"/>
                <w:sz w:val="18"/>
                <w:szCs w:val="18"/>
                <w:color w:val="auto"/>
                <w:w w:val="99"/>
              </w:rPr>
              <w:t xml:space="preserve"> C</w:t>
            </w:r>
            <w:r>
              <w:rPr>
                <w:rFonts w:ascii="Arial" w:cs="Arial" w:eastAsia="Arial" w:hAnsi="Arial"/>
                <w:sz w:val="14"/>
                <w:szCs w:val="14"/>
                <w:color w:val="auto"/>
                <w:w w:val="99"/>
              </w:rPr>
              <w:t>ONVEYANCE</w:t>
            </w:r>
          </w:p>
        </w:tc>
        <w:tc>
          <w:tcPr>
            <w:tcW w:w="1640" w:type="dxa"/>
            <w:vAlign w:val="bottom"/>
          </w:tcPr>
          <w:p>
            <w:pPr>
              <w:spacing w:after="0"/>
              <w:rPr>
                <w:sz w:val="19"/>
                <w:szCs w:val="19"/>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Issuer May Consolidate, Etc., on Certain Terms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Successor Issuer Substituted</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Opinion of Counsel and Officers’ Certificate to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120" w:type="dxa"/>
            <w:vAlign w:val="bottom"/>
          </w:tcPr>
          <w:p>
            <w:pPr>
              <w:spacing w:after="0"/>
              <w:rPr>
                <w:sz w:val="24"/>
                <w:szCs w:val="24"/>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2"/>
              </w:rPr>
              <w:t>ARTICLE 10</w:t>
            </w:r>
          </w:p>
        </w:tc>
        <w:tc>
          <w:tcPr>
            <w:tcW w:w="16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tc>
        <w:tc>
          <w:tcPr>
            <w:tcW w:w="1640" w:type="dxa"/>
            <w:vAlign w:val="bottom"/>
          </w:tcPr>
          <w:p>
            <w:pPr>
              <w:spacing w:after="0"/>
              <w:rPr>
                <w:sz w:val="19"/>
                <w:szCs w:val="19"/>
                <w:color w:val="auto"/>
              </w:rPr>
            </w:pPr>
          </w:p>
        </w:tc>
      </w:tr>
      <w:tr>
        <w:trPr>
          <w:trHeight w:val="42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Satisfaction and Discharge of Indenture</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Application by Trustee of Funds Deposited for Payment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Repayment of Moneys Held by Paying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Return of Moneys Held by Trustee and Paying Agent Unclaimed for Two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Indemnity for U.S. Government Obligations</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6"/>
        </w:trPr>
        <w:tc>
          <w:tcPr>
            <w:tcW w:w="1120" w:type="dxa"/>
            <w:vAlign w:val="bottom"/>
          </w:tcPr>
          <w:p>
            <w:pPr>
              <w:spacing w:after="0"/>
              <w:rPr>
                <w:sz w:val="24"/>
                <w:szCs w:val="24"/>
                <w:color w:val="auto"/>
              </w:rPr>
            </w:pPr>
          </w:p>
        </w:tc>
        <w:tc>
          <w:tcPr>
            <w:tcW w:w="8560" w:type="dxa"/>
            <w:vAlign w:val="bottom"/>
          </w:tcPr>
          <w:p>
            <w:pPr>
              <w:jc w:val="center"/>
              <w:ind w:left="452"/>
              <w:spacing w:after="0"/>
              <w:rPr>
                <w:sz w:val="20"/>
                <w:szCs w:val="20"/>
                <w:color w:val="auto"/>
              </w:rPr>
            </w:pPr>
            <w:r>
              <w:rPr>
                <w:rFonts w:ascii="Arial" w:cs="Arial" w:eastAsia="Arial" w:hAnsi="Arial"/>
                <w:sz w:val="18"/>
                <w:szCs w:val="18"/>
                <w:color w:val="auto"/>
                <w:w w:val="92"/>
              </w:rPr>
              <w:t>ARTICLE 11</w:t>
            </w:r>
          </w:p>
        </w:tc>
        <w:tc>
          <w:tcPr>
            <w:tcW w:w="16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560" w:type="dxa"/>
            <w:vAlign w:val="bottom"/>
          </w:tcPr>
          <w:p>
            <w:pPr>
              <w:jc w:val="center"/>
              <w:ind w:left="43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ISCELLANEOUS</w:t>
            </w:r>
            <w:r>
              <w:rPr>
                <w:rFonts w:ascii="Arial" w:cs="Arial" w:eastAsia="Arial" w:hAnsi="Arial"/>
                <w:sz w:val="18"/>
                <w:szCs w:val="18"/>
                <w:color w:val="auto"/>
                <w:w w:val="99"/>
              </w:rPr>
              <w:t xml:space="preserve"> P</w:t>
            </w:r>
            <w:r>
              <w:rPr>
                <w:rFonts w:ascii="Arial" w:cs="Arial" w:eastAsia="Arial" w:hAnsi="Arial"/>
                <w:sz w:val="14"/>
                <w:szCs w:val="14"/>
                <w:color w:val="auto"/>
                <w:w w:val="99"/>
              </w:rPr>
              <w:t>ROVISIONS</w:t>
            </w:r>
          </w:p>
        </w:tc>
        <w:tc>
          <w:tcPr>
            <w:tcW w:w="1640" w:type="dxa"/>
            <w:vAlign w:val="bottom"/>
          </w:tcPr>
          <w:p>
            <w:pPr>
              <w:spacing w:after="0"/>
              <w:rPr>
                <w:sz w:val="19"/>
                <w:szCs w:val="19"/>
                <w:color w:val="auto"/>
              </w:rPr>
            </w:pPr>
          </w:p>
        </w:tc>
      </w:tr>
      <w:tr>
        <w:trPr>
          <w:trHeight w:val="42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Incorporators, Stockholders, Officers and Directors of Issuer Exempt from Individual Liability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   Provisions of Indenture for the Sole Benefit of Parties and Holders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Successors and Assigns of Issuer Bound by Indenture</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11.04</w:t>
            </w:r>
            <w:r>
              <w:rPr>
                <w:rFonts w:ascii="Arial" w:cs="Arial" w:eastAsia="Arial" w:hAnsi="Arial"/>
                <w:sz w:val="18"/>
                <w:szCs w:val="18"/>
                <w:i w:val="1"/>
                <w:iCs w:val="1"/>
                <w:color w:val="auto"/>
              </w:rPr>
              <w:t>.   Notices and Demands on Issuer, Trustee and Holders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11.05</w:t>
            </w:r>
            <w:r>
              <w:rPr>
                <w:rFonts w:ascii="Arial" w:cs="Arial" w:eastAsia="Arial" w:hAnsi="Arial"/>
                <w:sz w:val="18"/>
                <w:szCs w:val="18"/>
                <w:i w:val="1"/>
                <w:iCs w:val="1"/>
                <w:color w:val="auto"/>
              </w:rPr>
              <w:t>.   Officers’ Certificates and Opinions of Counsel; Statements to Be Contained Therein</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11.06</w:t>
            </w:r>
            <w:r>
              <w:rPr>
                <w:rFonts w:ascii="Arial" w:cs="Arial" w:eastAsia="Arial" w:hAnsi="Arial"/>
                <w:sz w:val="18"/>
                <w:szCs w:val="18"/>
                <w:i w:val="1"/>
                <w:iCs w:val="1"/>
                <w:color w:val="auto"/>
              </w:rPr>
              <w:t>.   Payments Due on Saturdays, Sundays and Holidays</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11.07</w:t>
            </w:r>
            <w:r>
              <w:rPr>
                <w:rFonts w:ascii="Arial" w:cs="Arial" w:eastAsia="Arial" w:hAnsi="Arial"/>
                <w:sz w:val="18"/>
                <w:szCs w:val="18"/>
                <w:i w:val="1"/>
                <w:iCs w:val="1"/>
                <w:color w:val="auto"/>
              </w:rPr>
              <w:t>.   Conflict of Any Provision of Indenture With Trust Indenture Act of 1939</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Section 11.08</w:t>
            </w:r>
            <w:r>
              <w:rPr>
                <w:rFonts w:ascii="Arial" w:cs="Arial" w:eastAsia="Arial" w:hAnsi="Arial"/>
                <w:sz w:val="18"/>
                <w:szCs w:val="18"/>
                <w:i w:val="1"/>
                <w:iCs w:val="1"/>
                <w:color w:val="auto"/>
              </w:rPr>
              <w:t>.   New York Law to Govern</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5"/>
              </w:rPr>
              <w:t>Section 11.09</w:t>
            </w:r>
            <w:r>
              <w:rPr>
                <w:rFonts w:ascii="Arial" w:cs="Arial" w:eastAsia="Arial" w:hAnsi="Arial"/>
                <w:sz w:val="18"/>
                <w:szCs w:val="18"/>
                <w:i w:val="1"/>
                <w:iCs w:val="1"/>
                <w:color w:val="auto"/>
                <w:w w:val="95"/>
              </w:rPr>
              <w:t>.</w:t>
            </w:r>
          </w:p>
        </w:tc>
        <w:tc>
          <w:tcPr>
            <w:tcW w:w="8560" w:type="dxa"/>
            <w:vAlign w:val="bottom"/>
          </w:tcPr>
          <w:p>
            <w:pPr>
              <w:ind w:left="120"/>
              <w:spacing w:after="0"/>
              <w:rPr>
                <w:sz w:val="20"/>
                <w:szCs w:val="20"/>
                <w:color w:val="auto"/>
              </w:rPr>
            </w:pPr>
            <w:r>
              <w:rPr>
                <w:rFonts w:ascii="Arial" w:cs="Arial" w:eastAsia="Arial" w:hAnsi="Arial"/>
                <w:sz w:val="18"/>
                <w:szCs w:val="18"/>
                <w:i w:val="1"/>
                <w:iCs w:val="1"/>
                <w:color w:val="auto"/>
              </w:rPr>
              <w:t>Counterparts</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p>
        </w:tc>
        <w:tc>
          <w:tcPr>
            <w:tcW w:w="2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11.11</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Securities in a Foreign Currency</w:t>
            </w:r>
          </w:p>
        </w:tc>
        <w:tc>
          <w:tcPr>
            <w:tcW w:w="2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5"/>
              </w:rPr>
              <w:t>Section 11.12</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Judgment Currency</w:t>
            </w: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6"/>
        </w:trPr>
        <w:tc>
          <w:tcPr>
            <w:tcW w:w="1120" w:type="dxa"/>
            <w:vAlign w:val="bottom"/>
          </w:tcPr>
          <w:p>
            <w:pPr>
              <w:spacing w:after="0"/>
              <w:rPr>
                <w:sz w:val="24"/>
                <w:szCs w:val="24"/>
                <w:color w:val="auto"/>
              </w:rPr>
            </w:pPr>
          </w:p>
        </w:tc>
        <w:tc>
          <w:tcPr>
            <w:tcW w:w="8200" w:type="dxa"/>
            <w:vAlign w:val="bottom"/>
          </w:tcPr>
          <w:p>
            <w:pPr>
              <w:ind w:left="4080"/>
              <w:spacing w:after="0"/>
              <w:rPr>
                <w:sz w:val="20"/>
                <w:szCs w:val="20"/>
                <w:color w:val="auto"/>
              </w:rPr>
            </w:pPr>
            <w:r>
              <w:rPr>
                <w:rFonts w:ascii="Arial" w:cs="Arial" w:eastAsia="Arial" w:hAnsi="Arial"/>
                <w:sz w:val="18"/>
                <w:szCs w:val="18"/>
                <w:color w:val="auto"/>
              </w:rPr>
              <w:t>ARTICLE 12</w:t>
            </w:r>
          </w:p>
        </w:tc>
        <w:tc>
          <w:tcPr>
            <w:tcW w:w="200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8200" w:type="dxa"/>
            <w:vAlign w:val="bottom"/>
          </w:tcPr>
          <w:p>
            <w:pPr>
              <w:ind w:left="27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2000" w:type="dxa"/>
            <w:vAlign w:val="bottom"/>
          </w:tcPr>
          <w:p>
            <w:pPr>
              <w:spacing w:after="0"/>
              <w:rPr>
                <w:sz w:val="19"/>
                <w:szCs w:val="19"/>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w w:val="95"/>
              </w:rPr>
              <w:t>Section 12.01</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Applicability of Article</w:t>
            </w: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12.02</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Notice of Redemption; Partial Redemptions</w:t>
            </w: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12.03</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Payment of Securities Called for Redemption</w:t>
            </w: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12.04</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Exclusion of Certain Securities from Eligibility for Selection for Redemption</w:t>
            </w:r>
          </w:p>
        </w:tc>
        <w:tc>
          <w:tcPr>
            <w:tcW w:w="2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5"/>
              </w:rPr>
              <w:t>Section 12.05</w:t>
            </w:r>
            <w:r>
              <w:rPr>
                <w:rFonts w:ascii="Arial" w:cs="Arial" w:eastAsia="Arial" w:hAnsi="Arial"/>
                <w:sz w:val="18"/>
                <w:szCs w:val="18"/>
                <w:i w:val="1"/>
                <w:iCs w:val="1"/>
                <w:color w:val="auto"/>
                <w:w w:val="95"/>
              </w:rPr>
              <w:t>.</w:t>
            </w:r>
          </w:p>
        </w:tc>
        <w:tc>
          <w:tcPr>
            <w:tcW w:w="8200" w:type="dxa"/>
            <w:vAlign w:val="bottom"/>
          </w:tcPr>
          <w:p>
            <w:pPr>
              <w:ind w:left="120"/>
              <w:spacing w:after="0"/>
              <w:rPr>
                <w:sz w:val="20"/>
                <w:szCs w:val="20"/>
                <w:color w:val="auto"/>
              </w:rPr>
            </w:pPr>
            <w:r>
              <w:rPr>
                <w:rFonts w:ascii="Arial" w:cs="Arial" w:eastAsia="Arial" w:hAnsi="Arial"/>
                <w:sz w:val="18"/>
                <w:szCs w:val="18"/>
                <w:i w:val="1"/>
                <w:iCs w:val="1"/>
                <w:color w:val="auto"/>
              </w:rPr>
              <w:t>Mandatory and Optional Sinking Funds</w:t>
            </w:r>
          </w:p>
        </w:tc>
        <w:tc>
          <w:tcPr>
            <w:tcW w:w="20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40" w:name="page41"/>
    <w:bookmarkEnd w:id="40"/>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dated as of May 23, 2011 between 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and U.S. BANK NATIONAL ASSOCIATION, a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ectPr>
          <w:pgSz w:w="11900" w:h="16838" w:orient="portrait"/>
          <w:cols w:equalWidth="0" w:num="1">
            <w:col w:w="11380"/>
          </w:cols>
          <w:pgMar w:left="240" w:top="274" w:right="27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Attributable Debt</w:t>
      </w:r>
      <w:r>
        <w:rPr>
          <w:rFonts w:ascii="Arial" w:cs="Arial" w:eastAsia="Arial" w:hAnsi="Arial"/>
          <w:sz w:val="18"/>
          <w:szCs w:val="18"/>
          <w:color w:val="auto"/>
        </w:rPr>
        <w:t>” shall have the meaning set forth in Section 3.07.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$1.00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the Issuer’s most recent consolidated balance sheet, prepared in accordance with generally accepted accounting principles, less (a) all current liabilities as shown on such balance sheet, and (b) intangible assets. “</w:t>
      </w:r>
      <w:r>
        <w:rPr>
          <w:rFonts w:ascii="Arial" w:cs="Arial" w:eastAsia="Arial" w:hAnsi="Arial"/>
          <w:sz w:val="16"/>
          <w:szCs w:val="16"/>
          <w:b w:val="1"/>
          <w:bCs w:val="1"/>
          <w:color w:val="auto"/>
        </w:rPr>
        <w:t>Intangible</w:t>
      </w:r>
      <w:r>
        <w:rPr>
          <w:rFonts w:ascii="Arial" w:cs="Arial" w:eastAsia="Arial" w:hAnsi="Arial"/>
          <w:sz w:val="16"/>
          <w:szCs w:val="16"/>
          <w:color w:val="auto"/>
        </w:rPr>
        <w:t xml:space="preserve"> </w:t>
      </w:r>
      <w:r>
        <w:rPr>
          <w:rFonts w:ascii="Arial" w:cs="Arial" w:eastAsia="Arial" w:hAnsi="Arial"/>
          <w:sz w:val="16"/>
          <w:szCs w:val="16"/>
          <w:b w:val="1"/>
          <w:bCs w:val="1"/>
          <w:color w:val="auto"/>
        </w:rPr>
        <w:t>assets</w:t>
      </w:r>
      <w:r>
        <w:rPr>
          <w:rFonts w:ascii="Arial" w:cs="Arial" w:eastAsia="Arial" w:hAnsi="Arial"/>
          <w:sz w:val="16"/>
          <w:szCs w:val="16"/>
          <w:color w:val="auto"/>
        </w:rPr>
        <w:t>” means the value (net of applicable reserves), as shown on or reflected in such balance sheet, of: (i) all trade names, trademarks, licenses,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and goodwill; (ii) organizational or development costs; (iii) deferred charges (other than prepaid items such as insurance, taxes, interest, commissions, rents and similar items and tangible assets being amortized); and (iv) unamortized debt discount and expenses, less unamortized premium; but in no event shall 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include computer programs and related products.</w:t>
      </w:r>
    </w:p>
    <w:p>
      <w:pPr>
        <w:spacing w:after="0" w:line="11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 administered, which office is, at the date as of which this Indenture is dated, located at 120 Wall Street, New York, New York 10043.</w:t>
      </w:r>
    </w:p>
    <w:p>
      <w:pPr>
        <w:spacing w:after="0" w:line="74" w:lineRule="exact"/>
        <w:rPr>
          <w:sz w:val="20"/>
          <w:szCs w:val="20"/>
          <w:color w:val="auto"/>
        </w:rPr>
      </w:pPr>
    </w:p>
    <w:p>
      <w:pPr>
        <w:jc w:val="center"/>
        <w:ind w:right="18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any debt for money borrowed which is created, assumed, incurred or guaranteed in any manner by such Person or for 2</w:t>
      </w:r>
    </w:p>
    <w:p>
      <w:pPr>
        <w:sectPr>
          <w:pgSz w:w="11900" w:h="16838" w:orient="portrait"/>
          <w:cols w:equalWidth="0" w:num="1">
            <w:col w:w="11400"/>
          </w:cols>
          <w:pgMar w:left="240" w:top="274" w:right="259" w:bottom="1440" w:gutter="0" w:footer="0" w:header="0"/>
        </w:sectPr>
      </w:pPr>
    </w:p>
    <w:bookmarkStart w:id="42" w:name="page43"/>
    <w:bookmarkEnd w:id="4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such Person is otherwise responsible or liable, and shall expressly include any such guaranty thereof by such Person. For the purpose of computing the amount of any Funded Debt or other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1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6"/>
          <w:szCs w:val="16"/>
          <w:b w:val="1"/>
          <w:bCs w:val="1"/>
          <w:color w:val="auto"/>
        </w:rPr>
        <w:t>Depositary</w:t>
      </w:r>
      <w:r>
        <w:rPr>
          <w:rFonts w:ascii="Arial" w:cs="Arial" w:eastAsia="Arial" w:hAnsi="Arial"/>
          <w:sz w:val="16"/>
          <w:szCs w:val="16"/>
          <w:color w:val="auto"/>
        </w:rPr>
        <w:t>” shall mean or include each Person who is then a Depositary hereunder, and if at any time there is more than one such Person, “</w:t>
      </w:r>
      <w:r>
        <w:rPr>
          <w:rFonts w:ascii="Arial" w:cs="Arial" w:eastAsia="Arial" w:hAnsi="Arial"/>
          <w:sz w:val="16"/>
          <w:szCs w:val="16"/>
          <w:b w:val="1"/>
          <w:bCs w:val="1"/>
          <w:color w:val="auto"/>
        </w:rPr>
        <w:t>Depositary</w:t>
      </w:r>
      <w:r>
        <w:rPr>
          <w:rFonts w:ascii="Arial" w:cs="Arial" w:eastAsia="Arial" w:hAnsi="Arial"/>
          <w:sz w:val="16"/>
          <w:szCs w:val="16"/>
          <w:color w:val="auto"/>
        </w:rPr>
        <w:t>” as used with respect to the Securities of any such series shall mean the Depositary with respect to the Global Securities of that series.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1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Debt</w:t>
      </w:r>
      <w:r>
        <w:rPr>
          <w:rFonts w:ascii="Arial" w:cs="Arial" w:eastAsia="Arial" w:hAnsi="Arial"/>
          <w:sz w:val="18"/>
          <w:szCs w:val="18"/>
          <w:color w:val="auto"/>
        </w:rPr>
        <w:t>” means the sum of the following items outstanding as of the date Exempted Debt is being determined: (i) Debt of the Issuer incurred after the date of this Indenture and secured by liens created, assumed or permitted to exist pursuant to Section 3.06(b) and (ii) Attributable Debt of the Issuer in respect of all sale and leaseback transactions entered into pursuant to Section 3.07(b), including amounts considered to be Attributable Debt pursuant to Section 3.07(a)(iii)(B).</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17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43" w:name="page44"/>
    <w:bookmarkEnd w:id="43"/>
    <w:p>
      <w:pPr>
        <w:ind w:right="3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Reporting Interest, if any, and when used with respect to non-interest bearing Securities, refers to interest payable after maturity and Reporting Interest, if 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Texas Instruments Incorporated and, subject to Article 9, its successors and assigns.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“Market Exchange Rate” </w:t>
      </w:r>
      <w:r>
        <w:rPr>
          <w:rFonts w:ascii="Arial" w:cs="Arial" w:eastAsia="Arial" w:hAnsi="Arial"/>
          <w:sz w:val="18"/>
          <w:szCs w:val="18"/>
          <w:color w:val="auto"/>
        </w:rPr>
        <w:t>has the meaning set forth in Section 11.11.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has the meaning set forth in Section 3.06.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rental payments</w:t>
      </w:r>
      <w:r>
        <w:rPr>
          <w:rFonts w:ascii="Arial" w:cs="Arial" w:eastAsia="Arial" w:hAnsi="Arial"/>
          <w:sz w:val="18"/>
          <w:szCs w:val="18"/>
          <w:color w:val="auto"/>
        </w:rPr>
        <w:t>” has the meaning set forth in Section 3.07.</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(i) the chairman of the Board of Directors or the president or any vice president and (ii) the treasurer or the secretary or any assistant secretary of the Issuer and delivered to the Trustee. Each such certificate shall comply with Section 314 of the Trust Indenture Act of 1939 and shall include the statements provided for in Section 11.05.</w:t>
      </w:r>
    </w:p>
    <w:p>
      <w:pPr>
        <w:spacing w:after="0" w:line="132"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32"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4" w:name="page45"/>
    <w:bookmarkEnd w:id="44"/>
    <w:p>
      <w:pPr>
        <w:ind w:right="4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Securities, or portions thereof, for the payment or redemption of which moneys or U.S. Government Obligations (as provided for in</w:t>
      </w:r>
    </w:p>
    <w:p>
      <w:pPr>
        <w:spacing w:after="0" w:line="38"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 xml:space="preserve">Section 10.01)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34" w:lineRule="exact"/>
        <w:rPr>
          <w:sz w:val="20"/>
          <w:szCs w:val="20"/>
          <w:color w:val="auto"/>
        </w:rPr>
      </w:pPr>
    </w:p>
    <w:p>
      <w:pPr>
        <w:ind w:left="460" w:right="220" w:firstLine="443"/>
        <w:spacing w:after="0" w:line="256"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w:t>
      </w:r>
    </w:p>
    <w:p>
      <w:pPr>
        <w:spacing w:after="0" w:line="137"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right="4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manufacturing or processing plant or facility of the Issuer located in the United States of America (other than its territories and possessions) or Puerto Rico; except any such manufacturing or processing plant or facility which the Board of Directors by resolution determines not to be of material importance to the total business conducted by the Issuer and its consolidated Subsidiaries, taken as a whole.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5" w:name="page46"/>
    <w:bookmarkEnd w:id="45"/>
    <w:p>
      <w:pPr>
        <w:jc w:val="both"/>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39"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shall have the meaning set forth in Section 10.01(a).</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ECURITIES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12"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Bank National Association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38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issued in one or more series. The terms of a series of Securities shall be established prior to the initial issuance thereof in or pursuant to one or more Board Resolutions of the Board of Directors and set forth in a Board Resolution,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13" w:lineRule="exact"/>
        <w:rPr>
          <w:sz w:val="20"/>
          <w:szCs w:val="20"/>
          <w:color w:val="auto"/>
        </w:rPr>
      </w:pPr>
    </w:p>
    <w:p>
      <w:pPr>
        <w:ind w:left="5680" w:right="3080" w:hanging="5216"/>
        <w:spacing w:after="0" w:line="440" w:lineRule="auto"/>
        <w:tabs>
          <w:tab w:leader="none" w:pos="7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 7</w:t>
      </w:r>
    </w:p>
    <w:p>
      <w:pPr>
        <w:sectPr>
          <w:pgSz w:w="11900" w:h="16838" w:orient="portrait"/>
          <w:cols w:equalWidth="0" w:num="1">
            <w:col w:w="11400"/>
          </w:cols>
          <w:pgMar w:left="240" w:top="280" w:right="259" w:bottom="1440" w:gutter="0" w:footer="0" w:header="0"/>
        </w:sectPr>
      </w:pPr>
    </w:p>
    <w:bookmarkStart w:id="47" w:name="page48"/>
    <w:bookmarkEnd w:id="47"/>
    <w:p>
      <w:pPr>
        <w:ind w:left="-20" w:right="240" w:firstLine="464"/>
        <w:spacing w:after="0" w:line="268"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if applicable, upon which conversion of the Securities into Common Stock will be effected, including the initial conversion price or rate, the conversion period and other provisions in addition to or in lieu of those described herein;</w:t>
      </w:r>
    </w:p>
    <w:p>
      <w:pPr>
        <w:spacing w:after="0" w:line="131" w:lineRule="exact"/>
        <w:rPr>
          <w:rFonts w:ascii="Arial" w:cs="Arial" w:eastAsia="Arial" w:hAnsi="Arial"/>
          <w:sz w:val="18"/>
          <w:szCs w:val="18"/>
          <w:color w:val="auto"/>
        </w:rPr>
      </w:pPr>
    </w:p>
    <w:p>
      <w:pPr>
        <w:ind w:left="-20" w:firstLine="464"/>
        <w:spacing w:after="0" w:line="259"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the Securities of that series are denominated;</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date on which the principal of the Securities of the series is payable;</w:t>
      </w:r>
    </w:p>
    <w:p>
      <w:pPr>
        <w:spacing w:after="0" w:line="171" w:lineRule="exact"/>
        <w:rPr>
          <w:rFonts w:ascii="Arial" w:cs="Arial" w:eastAsia="Arial" w:hAnsi="Arial"/>
          <w:sz w:val="18"/>
          <w:szCs w:val="18"/>
          <w:color w:val="auto"/>
        </w:rPr>
      </w:pPr>
    </w:p>
    <w:p>
      <w:pPr>
        <w:ind w:left="-20" w:right="120" w:firstLine="464"/>
        <w:spacing w:after="0" w:line="259"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the record date or dates for the determination of holders to whom interest is payable, the date or dates from which such interest shall accrue and on which such interest shall be payable and/or the method by which such rate or rates or date or dates shall be determined;</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94" w:lineRule="exact"/>
        <w:rPr>
          <w:rFonts w:ascii="Arial" w:cs="Arial" w:eastAsia="Arial" w:hAnsi="Arial"/>
          <w:sz w:val="16"/>
          <w:szCs w:val="16"/>
          <w:color w:val="auto"/>
        </w:rPr>
      </w:pPr>
    </w:p>
    <w:p>
      <w:pPr>
        <w:ind w:left="-20" w:right="220" w:firstLine="464"/>
        <w:spacing w:after="0" w:line="268"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31" w:lineRule="exact"/>
        <w:rPr>
          <w:rFonts w:ascii="Arial" w:cs="Arial" w:eastAsia="Arial" w:hAnsi="Arial"/>
          <w:sz w:val="18"/>
          <w:szCs w:val="18"/>
          <w:color w:val="auto"/>
        </w:rPr>
      </w:pPr>
    </w:p>
    <w:p>
      <w:pPr>
        <w:ind w:left="-20" w:right="320" w:firstLine="464"/>
        <w:spacing w:after="0" w:line="306" w:lineRule="auto"/>
        <w:tabs>
          <w:tab w:leader="none" w:pos="6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48" w:name="page49"/>
    <w:bookmarkEnd w:id="48"/>
    <w:p>
      <w:pPr>
        <w:ind w:left="-20" w:right="400" w:firstLine="464"/>
        <w:spacing w:after="0" w:line="268"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other than the principal amount thereof, the portion of the principal amount of Securities of the series which shall be payable upon declaration of acceleration of the maturity thereof;</w:t>
      </w:r>
    </w:p>
    <w:p>
      <w:pPr>
        <w:spacing w:after="0" w:line="131" w:lineRule="exact"/>
        <w:rPr>
          <w:rFonts w:ascii="Arial" w:cs="Arial" w:eastAsia="Arial" w:hAnsi="Arial"/>
          <w:sz w:val="18"/>
          <w:szCs w:val="18"/>
          <w:color w:val="auto"/>
        </w:rPr>
      </w:pPr>
    </w:p>
    <w:p>
      <w:pPr>
        <w:ind w:left="-20" w:right="380" w:firstLine="464"/>
        <w:spacing w:after="0" w:line="268" w:lineRule="auto"/>
        <w:tabs>
          <w:tab w:leader="none" w:pos="6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that series are denominated, the currency in which payment of the principal of or interest on the Securities of such series shall be payable;</w:t>
      </w:r>
    </w:p>
    <w:p>
      <w:pPr>
        <w:spacing w:after="0" w:line="131" w:lineRule="exact"/>
        <w:rPr>
          <w:rFonts w:ascii="Arial" w:cs="Arial" w:eastAsia="Arial" w:hAnsi="Arial"/>
          <w:sz w:val="18"/>
          <w:szCs w:val="18"/>
          <w:color w:val="auto"/>
        </w:rPr>
      </w:pPr>
    </w:p>
    <w:p>
      <w:pPr>
        <w:ind w:left="-20" w:firstLine="464"/>
        <w:spacing w:after="0" w:line="332" w:lineRule="auto"/>
        <w:tabs>
          <w:tab w:leader="none" w:pos="7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5" w:lineRule="exact"/>
        <w:rPr>
          <w:rFonts w:ascii="Arial" w:cs="Arial" w:eastAsia="Arial" w:hAnsi="Arial"/>
          <w:sz w:val="16"/>
          <w:szCs w:val="16"/>
          <w:color w:val="auto"/>
        </w:rPr>
      </w:pPr>
    </w:p>
    <w:p>
      <w:pPr>
        <w:ind w:left="-20" w:right="140" w:firstLine="464"/>
        <w:spacing w:after="0" w:line="332"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amount of payments of principal of and interest on the Securities of the series may be determined with reference to an index based on a currency other than that in which the Securities of the series are denominated, the manner in which such amounts shall be determined;</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upon what terms the Securities may be defeased;</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40" w:lineRule="exact"/>
        <w:rPr>
          <w:rFonts w:ascii="Arial" w:cs="Arial" w:eastAsia="Arial" w:hAnsi="Arial"/>
          <w:sz w:val="18"/>
          <w:szCs w:val="18"/>
          <w:color w:val="auto"/>
        </w:rPr>
      </w:pPr>
    </w:p>
    <w:p>
      <w:pPr>
        <w:ind w:left="-20" w:right="180" w:firstLine="464"/>
        <w:spacing w:after="0" w:line="259"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40" w:lineRule="exact"/>
        <w:rPr>
          <w:rFonts w:ascii="Arial" w:cs="Arial" w:eastAsia="Arial" w:hAnsi="Arial"/>
          <w:sz w:val="18"/>
          <w:szCs w:val="18"/>
          <w:color w:val="auto"/>
        </w:rPr>
      </w:pPr>
    </w:p>
    <w:p>
      <w:pPr>
        <w:ind w:left="660" w:hanging="21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 series;</w:t>
      </w:r>
    </w:p>
    <w:p>
      <w:pPr>
        <w:spacing w:after="0" w:line="194" w:lineRule="exact"/>
        <w:rPr>
          <w:rFonts w:ascii="Arial" w:cs="Arial" w:eastAsia="Arial" w:hAnsi="Arial"/>
          <w:sz w:val="16"/>
          <w:szCs w:val="16"/>
          <w:color w:val="auto"/>
        </w:rPr>
      </w:pPr>
    </w:p>
    <w:p>
      <w:pPr>
        <w:ind w:left="680" w:hanging="236"/>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 Indenture;</w:t>
      </w:r>
    </w:p>
    <w:p>
      <w:pPr>
        <w:spacing w:after="0" w:line="194" w:lineRule="exact"/>
        <w:rPr>
          <w:rFonts w:ascii="Arial" w:cs="Arial" w:eastAsia="Arial" w:hAnsi="Arial"/>
          <w:sz w:val="16"/>
          <w:szCs w:val="16"/>
          <w:color w:val="auto"/>
        </w:rPr>
      </w:pPr>
    </w:p>
    <w:p>
      <w:pPr>
        <w:jc w:val="both"/>
        <w:ind w:left="-20" w:right="80" w:firstLine="464"/>
        <w:spacing w:after="0" w:line="306" w:lineRule="auto"/>
        <w:tabs>
          <w:tab w:leader="none" w:pos="6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49" w:name="page50"/>
    <w:bookmarkEnd w:id="49"/>
    <w:p>
      <w:pPr>
        <w:ind w:right="24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if any, pursuant to which the Securities may be exchanged for the cash value of other securities issued by the Issuer or by a third party;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7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the payment of interest accruing prior to the issue date of such further Securities or except for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2.04</w:t>
      </w:r>
      <w:r>
        <w:rPr>
          <w:rFonts w:ascii="Arial" w:cs="Arial" w:eastAsia="Arial" w:hAnsi="Arial"/>
          <w:sz w:val="16"/>
          <w:szCs w:val="16"/>
          <w:i w:val="1"/>
          <w:iCs w:val="1"/>
          <w:color w:val="auto"/>
        </w:rPr>
        <w:t>. 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18"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Issuer Order requesting such authentication and setting forth delivery instructions if the Securities are not to be delivered to the Issuer;</w:t>
      </w:r>
    </w:p>
    <w:p>
      <w:pPr>
        <w:spacing w:after="0" w:line="194"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131" w:lineRule="exact"/>
        <w:rPr>
          <w:rFonts w:ascii="Arial" w:cs="Arial" w:eastAsia="Arial" w:hAnsi="Arial"/>
          <w:sz w:val="18"/>
          <w:szCs w:val="18"/>
          <w:color w:val="auto"/>
        </w:rPr>
      </w:pPr>
    </w:p>
    <w:p>
      <w:pPr>
        <w:ind w:right="200" w:firstLine="464"/>
        <w:spacing w:after="0" w:line="332"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form or forms and terms of such Securities have been established pursuant to Sections 2.01 and 2.03 and comply with this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0" w:name="page51"/>
    <w:bookmarkEnd w:id="50"/>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authentication and delivery of such Securities by the Trustee are authorized under the provisions of this Indenture,</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2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laws and requirements in respect of the execution and delivery by the Issuer of the Securities have been complied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1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w:t>
      </w:r>
    </w:p>
    <w:p>
      <w:pPr>
        <w:spacing w:after="0" w:line="1" w:lineRule="exact"/>
        <w:rPr>
          <w:sz w:val="20"/>
          <w:szCs w:val="20"/>
          <w:color w:val="auto"/>
        </w:rPr>
      </w:pPr>
    </w:p>
    <w:p>
      <w:pPr>
        <w:ind w:right="160" w:firstLine="8"/>
        <w:spacing w:after="0" w:line="295" w:lineRule="auto"/>
        <w:tabs>
          <w:tab w:leader="none" w:pos="3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1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Depositary designated pursuant to this Section must, at the time of its designation and at all times while it serves as Depositary, be a clearing agency registered under the Securities Exchange Act of 1934 and any other applicable statute or regulation.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1" w:name="page52"/>
    <w:bookmarkEnd w:id="51"/>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or any vice chairman of its Board of Directors or its president or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Denomination and Date of Securities; Payments of Interest</w:t>
      </w:r>
      <w:r>
        <w:rPr>
          <w:rFonts w:ascii="Arial" w:cs="Arial" w:eastAsia="Arial" w:hAnsi="Arial"/>
          <w:sz w:val="16"/>
          <w:szCs w:val="16"/>
          <w:color w:val="auto"/>
        </w:rPr>
        <w:t>. The Securities of each series shall be issuable in denominations established as contemplated by Section 2.03 or, if not so established, in denominations of $1,000 and any integral multiple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3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2" w:name="page53"/>
    <w:bookmarkEnd w:id="52"/>
    <w:p>
      <w:pPr>
        <w:ind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if such interest payment date is the first day of a calendar month, the 15th day of the next preceding calendar month or, if such interest payment date is the 15th day of a calendar month, the first day of such calendar month, whether or not such record date is a Business Day.</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3" w:name="page54"/>
    <w:bookmarkEnd w:id="5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election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4" w:name="page55"/>
    <w:bookmarkEnd w:id="5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Depositary for such Global Security may surrender such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59" w:lineRule="exact"/>
        <w:rPr>
          <w:sz w:val="20"/>
          <w:szCs w:val="20"/>
          <w:color w:val="auto"/>
        </w:rPr>
      </w:pPr>
    </w:p>
    <w:p>
      <w:pPr>
        <w:ind w:left="460" w:right="100" w:firstLine="443"/>
        <w:spacing w:after="0" w:line="332" w:lineRule="auto"/>
        <w:tabs>
          <w:tab w:leader="none" w:pos="11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4" w:lineRule="exact"/>
        <w:rPr>
          <w:rFonts w:ascii="Arial" w:cs="Arial" w:eastAsia="Arial" w:hAnsi="Arial"/>
          <w:sz w:val="16"/>
          <w:szCs w:val="16"/>
          <w:color w:val="auto"/>
        </w:rPr>
      </w:pPr>
    </w:p>
    <w:p>
      <w:pPr>
        <w:ind w:left="460" w:right="420" w:firstLine="443"/>
        <w:spacing w:after="0" w:line="332" w:lineRule="auto"/>
        <w:tabs>
          <w:tab w:leader="none" w:pos="11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5" w:name="page56"/>
    <w:bookmarkEnd w:id="55"/>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Cancellation of Securities; Destruction Thereof.</w:t>
      </w:r>
      <w:r>
        <w:rPr>
          <w:rFonts w:ascii="Arial" w:cs="Arial" w:eastAsia="Arial" w:hAnsi="Arial"/>
          <w:sz w:val="16"/>
          <w:szCs w:val="16"/>
          <w:color w:val="auto"/>
        </w:rPr>
        <w:t xml:space="preserve"> All Securities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6" w:name="page57"/>
    <w:bookmarkEnd w:id="5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w:t>
      </w:r>
      <w:r>
        <w:rPr>
          <w:rFonts w:ascii="Arial" w:cs="Arial" w:eastAsia="Arial" w:hAnsi="Arial"/>
          <w:sz w:val="16"/>
          <w:szCs w:val="16"/>
          <w:i w:val="1"/>
          <w:iCs w:val="1"/>
          <w:color w:val="auto"/>
        </w:rPr>
        <w:t>. 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 THE</w:t>
      </w:r>
      <w:r>
        <w:rPr>
          <w:rFonts w:ascii="Arial" w:cs="Arial" w:eastAsia="Arial" w:hAnsi="Arial"/>
          <w:sz w:val="18"/>
          <w:szCs w:val="18"/>
          <w:color w:val="auto"/>
        </w:rPr>
        <w:t xml:space="preserve"> I</w:t>
      </w:r>
      <w:r>
        <w:rPr>
          <w:rFonts w:ascii="Arial" w:cs="Arial" w:eastAsia="Arial" w:hAnsi="Arial"/>
          <w:sz w:val="14"/>
          <w:szCs w:val="14"/>
          <w:color w:val="auto"/>
        </w:rPr>
        <w:t>SSUER</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Offices for Payments, Etc.</w:t>
      </w:r>
      <w:r>
        <w:rPr>
          <w:rFonts w:ascii="Arial" w:cs="Arial" w:eastAsia="Arial" w:hAnsi="Arial"/>
          <w:sz w:val="18"/>
          <w:szCs w:val="18"/>
          <w:color w:val="auto"/>
        </w:rPr>
        <w:t xml:space="preserve"> The Issuer will maintain (i) in the Borough of Manhattan, The City of New York, an agency where the Securities of each series may be presented for payment, an agency where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7" w:name="page58"/>
    <w:bookmarkEnd w:id="5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Issuer will maintain in the Borough of Manhattan, The City of New York, an agency where notices and demands to or upon the Issuer in respect of the Securities of any series or this Indenture may be served.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 will give to the Trustee written notice of the location of each such agency and of any change of location thereof. In case the Issuer shall fail to maintain any agency required by this Section to be located in the Borough of Manhattan, The City of New York, or shall fail to give such notice of the location or of any change in the location of any of the above agencies, presentations and demands may be made and notices may be served at the Corporate Trust Office of the Trustee.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44"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Section 3.03</w:t>
      </w:r>
      <w:r>
        <w:rPr>
          <w:rFonts w:ascii="Arial" w:cs="Arial" w:eastAsia="Arial" w:hAnsi="Arial"/>
          <w:sz w:val="16"/>
          <w:szCs w:val="16"/>
          <w:i w:val="1"/>
          <w:iCs w:val="1"/>
          <w:color w:val="auto"/>
        </w:rPr>
        <w:t>. Appointment to Fill a Vacancy in Office of Trustee.</w:t>
      </w:r>
      <w:r>
        <w:rPr>
          <w:rFonts w:ascii="Arial" w:cs="Arial" w:eastAsia="Arial" w:hAnsi="Arial"/>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40" w:lineRule="exact"/>
        <w:rPr>
          <w:sz w:val="20"/>
          <w:szCs w:val="20"/>
          <w:color w:val="auto"/>
        </w:rPr>
      </w:pPr>
    </w:p>
    <w:p>
      <w:pPr>
        <w:jc w:val="both"/>
        <w:ind w:right="100" w:firstLine="464"/>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58" w:name="page59"/>
    <w:bookmarkEnd w:id="58"/>
    <w:p>
      <w:pPr>
        <w:ind w:right="4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3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Written Statement to Trustee.</w:t>
      </w:r>
      <w:r>
        <w:rPr>
          <w:rFonts w:ascii="Arial" w:cs="Arial" w:eastAsia="Arial" w:hAnsi="Arial"/>
          <w:sz w:val="18"/>
          <w:szCs w:val="18"/>
          <w:color w:val="auto"/>
        </w:rPr>
        <w:t xml:space="preserve"> So long as any Securities are Outstanding hereunder, the Issuer will deliver to the Trustee on or before April 30 in each year (beginning in the year following the first issuance of Securities pursuant to this Indenture) a written statement covering the previous calendar year, signed by two of its officers (which need not comply with Section 11.05), stating that in the course of the performance of their duties as officers of the Issuer they would normally have knowledge of any default by the Issuer in the performance or fulfillment of any covenant, agreement or condition contained in this Indenture, stating whether or not they have knowledge of any such default and, if so, specifying each such default of which the signers have knowledge and the nature thereof.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9" w:name="page60"/>
    <w:bookmarkEnd w:id="59"/>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3.06</w:t>
      </w:r>
      <w:r>
        <w:rPr>
          <w:rFonts w:ascii="Arial" w:cs="Arial" w:eastAsia="Arial" w:hAnsi="Arial"/>
          <w:sz w:val="18"/>
          <w:szCs w:val="18"/>
          <w:i w:val="1"/>
          <w:iCs w:val="1"/>
          <w:color w:val="auto"/>
        </w:rPr>
        <w:t>. Limitation on Liens.</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as provided pursuant to Section 2.03.</w:t>
      </w:r>
    </w:p>
    <w:p>
      <w:pPr>
        <w:spacing w:after="0" w:line="132" w:lineRule="exact"/>
        <w:rPr>
          <w:sz w:val="20"/>
          <w:szCs w:val="20"/>
          <w:color w:val="auto"/>
        </w:rPr>
      </w:pPr>
    </w:p>
    <w:p>
      <w:pPr>
        <w:ind w:right="80" w:firstLine="464"/>
        <w:spacing w:after="0" w:line="254"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 will not issue or assume any Debt secured by any mortgage, pledge, lien or other encumbrance (mortgages, pledges, liens and other encumbrances being hereinafter called “</w:t>
      </w:r>
      <w:r>
        <w:rPr>
          <w:rFonts w:ascii="Arial" w:cs="Arial" w:eastAsia="Arial" w:hAnsi="Arial"/>
          <w:sz w:val="18"/>
          <w:szCs w:val="18"/>
          <w:b w:val="1"/>
          <w:bCs w:val="1"/>
          <w:color w:val="auto"/>
        </w:rPr>
        <w:t>Mortgage</w:t>
      </w:r>
      <w:r>
        <w:rPr>
          <w:rFonts w:ascii="Arial" w:cs="Arial" w:eastAsia="Arial" w:hAnsi="Arial"/>
          <w:sz w:val="18"/>
          <w:szCs w:val="18"/>
          <w:color w:val="auto"/>
        </w:rPr>
        <w:t>” or “</w:t>
      </w:r>
      <w:r>
        <w:rPr>
          <w:rFonts w:ascii="Arial" w:cs="Arial" w:eastAsia="Arial" w:hAnsi="Arial"/>
          <w:sz w:val="18"/>
          <w:szCs w:val="18"/>
          <w:b w:val="1"/>
          <w:bCs w:val="1"/>
          <w:color w:val="auto"/>
        </w:rPr>
        <w:t>Mortgages</w:t>
      </w:r>
      <w:r>
        <w:rPr>
          <w:rFonts w:ascii="Arial" w:cs="Arial" w:eastAsia="Arial" w:hAnsi="Arial"/>
          <w:sz w:val="18"/>
          <w:szCs w:val="18"/>
          <w:color w:val="auto"/>
        </w:rPr>
        <w:t xml:space="preserve">”) upon any Principal Manufacturing Property (whether such Principal Manufacturing Property is now owned or hereafter acquired) without in any such case effectively providing, concurrently with the issuance or assumption of such Debt, that the Securities (together with, if the Issuer shall so determine, any other Debt of the Issuer ranking equally with the Securities and then existing or thereafter created) shall be secured equally and ratably with such Debt until such time as such Debt is no longer secured by such Mortgage; </w:t>
      </w:r>
      <w:r>
        <w:rPr>
          <w:rFonts w:ascii="Arial" w:cs="Arial" w:eastAsia="Arial" w:hAnsi="Arial"/>
          <w:sz w:val="18"/>
          <w:szCs w:val="18"/>
          <w:i w:val="1"/>
          <w:iCs w:val="1"/>
          <w:color w:val="auto"/>
        </w:rPr>
        <w:t>provided</w:t>
      </w:r>
      <w:r>
        <w:rPr>
          <w:rFonts w:ascii="Arial" w:cs="Arial" w:eastAsia="Arial" w:hAnsi="Arial"/>
          <w:sz w:val="18"/>
          <w:szCs w:val="18"/>
          <w:color w:val="auto"/>
        </w:rPr>
        <w:t>, that the foregoing restrictions shall not apply to:</w:t>
      </w:r>
    </w:p>
    <w:p>
      <w:pPr>
        <w:spacing w:after="0" w:line="63" w:lineRule="exact"/>
        <w:rPr>
          <w:rFonts w:ascii="Arial" w:cs="Arial" w:eastAsia="Arial" w:hAnsi="Arial"/>
          <w:sz w:val="18"/>
          <w:szCs w:val="18"/>
          <w:color w:val="auto"/>
        </w:rPr>
      </w:pPr>
    </w:p>
    <w:p>
      <w:pPr>
        <w:ind w:left="1120" w:hanging="21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Securities;</w:t>
      </w:r>
    </w:p>
    <w:p>
      <w:pPr>
        <w:spacing w:after="0" w:line="90" w:lineRule="exact"/>
        <w:rPr>
          <w:rFonts w:ascii="Arial" w:cs="Arial" w:eastAsia="Arial" w:hAnsi="Arial"/>
          <w:sz w:val="18"/>
          <w:szCs w:val="18"/>
          <w:color w:val="auto"/>
        </w:rPr>
      </w:pPr>
    </w:p>
    <w:p>
      <w:pPr>
        <w:ind w:left="460" w:firstLine="443"/>
        <w:spacing w:after="0" w:line="287" w:lineRule="auto"/>
        <w:tabs>
          <w:tab w:leader="none" w:pos="11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Mortgages on any Principal Manufacturing Property hereafter acquired by the Issuer prior to, at the time of, or within 120 days after the latest of the acquisition, completion of construction (including any improvements on an existing property) or commencement of commercial operation of such property, to secure or provide for the payment or financing of all or any part of the purchase price thereof or construction of fixed improvements thereon, or, in addition to assumptions in transactions contemplated by subparagraph (iii) below, the assumption of any Mortgage upon any such property hereafter acquired existing at the time of such acquisition, or the acquisition of any such property subject to any Mortgage without the assumption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principal amount of Debt secured by any such Mortgage so issued, assumed or existing shall not exceed 100% of the cost of such Principal Manufacturing Property to the corporation acquiring the same or of the fair value thereof (as determined by resolution adopted by the Board of Directors) at the time of such acquisition, whichever is less, and provided, further, that in the case of any such acquisition, construction or improvement the Mortgage shall not apply to any property theretofore owned by the Issuer, other than, in the case of any such construction or improvement, any theretofore unimproved real property on which the property so constructed, or the improvement, is located;</w:t>
      </w:r>
    </w:p>
    <w:p>
      <w:pPr>
        <w:spacing w:after="0" w:line="41" w:lineRule="exact"/>
        <w:rPr>
          <w:rFonts w:ascii="Arial" w:cs="Arial" w:eastAsia="Arial" w:hAnsi="Arial"/>
          <w:sz w:val="16"/>
          <w:szCs w:val="16"/>
          <w:color w:val="auto"/>
        </w:rPr>
      </w:pPr>
    </w:p>
    <w:p>
      <w:pPr>
        <w:ind w:left="460" w:right="220" w:firstLine="443"/>
        <w:spacing w:after="0" w:line="268"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assumption of any Mortgage on any Principal Manufacturing Property of an entity which is merged into or consolidated with the Issuer or substantially all the assets of which are acquired by the Issuer;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60" w:name="page61"/>
    <w:bookmarkEnd w:id="60"/>
    <w:p>
      <w:pPr>
        <w:ind w:left="1180" w:hanging="297"/>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Mortgages on any Principal Manufacturing Property of the Issuer in favor of the United States of America or any State thereof, or any</w:t>
      </w:r>
    </w:p>
    <w:p>
      <w:pPr>
        <w:spacing w:after="0" w:line="38" w:lineRule="exact"/>
        <w:rPr>
          <w:rFonts w:ascii="Arial" w:cs="Arial" w:eastAsia="Arial" w:hAnsi="Arial"/>
          <w:sz w:val="16"/>
          <w:szCs w:val="16"/>
          <w:color w:val="auto"/>
        </w:rPr>
      </w:pPr>
    </w:p>
    <w:p>
      <w:pPr>
        <w:ind w:left="440" w:right="20"/>
        <w:spacing w:after="0" w:line="295" w:lineRule="auto"/>
        <w:rPr>
          <w:rFonts w:ascii="Arial" w:cs="Arial" w:eastAsia="Arial" w:hAnsi="Arial"/>
          <w:sz w:val="16"/>
          <w:szCs w:val="16"/>
          <w:color w:val="auto"/>
        </w:rPr>
      </w:pPr>
      <w:r>
        <w:rPr>
          <w:rFonts w:ascii="Arial" w:cs="Arial" w:eastAsia="Arial" w:hAnsi="Arial"/>
          <w:sz w:val="16"/>
          <w:szCs w:val="16"/>
          <w:color w:val="auto"/>
        </w:rPr>
        <w:t>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Debt incurred or guaranteed for the purpose of financing all or any part of the cost of acquiring, constructing or improving the property subject to such Mortgages (including Mortgages incurred in connection with pollution control, industrial revenue, Title XI maritime financings or similar financings);</w:t>
      </w:r>
    </w:p>
    <w:p>
      <w:pPr>
        <w:spacing w:after="0" w:line="34" w:lineRule="exact"/>
        <w:rPr>
          <w:rFonts w:ascii="Arial" w:cs="Arial" w:eastAsia="Arial" w:hAnsi="Arial"/>
          <w:sz w:val="16"/>
          <w:szCs w:val="16"/>
          <w:color w:val="auto"/>
        </w:rPr>
      </w:pPr>
    </w:p>
    <w:p>
      <w:pPr>
        <w:ind w:left="440" w:right="420" w:firstLine="443"/>
        <w:spacing w:after="0" w:line="268" w:lineRule="auto"/>
        <w:tabs>
          <w:tab w:leader="none" w:pos="11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the Issuer is contesting in good faith by appropriate proceedings;</w:t>
      </w:r>
    </w:p>
    <w:p>
      <w:pPr>
        <w:spacing w:after="0" w:line="50" w:lineRule="exact"/>
        <w:rPr>
          <w:rFonts w:ascii="Arial" w:cs="Arial" w:eastAsia="Arial" w:hAnsi="Arial"/>
          <w:sz w:val="18"/>
          <w:szCs w:val="18"/>
          <w:color w:val="auto"/>
        </w:rPr>
      </w:pPr>
    </w:p>
    <w:p>
      <w:pPr>
        <w:ind w:left="440" w:firstLine="443"/>
        <w:spacing w:after="0" w:line="268"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440" w:right="20" w:firstLine="443"/>
        <w:spacing w:after="0" w:line="255"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the Issuer with respect to which the Issuer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440" w:right="100" w:firstLine="443"/>
        <w:spacing w:after="0" w:line="298" w:lineRule="auto"/>
        <w:tabs>
          <w:tab w:leader="none" w:pos="127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Mortgage referred to in the foregoing clauses (i) through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so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and construction on such property).</w:t>
      </w:r>
    </w:p>
    <w:p>
      <w:pPr>
        <w:spacing w:after="0" w:line="113" w:lineRule="exact"/>
        <w:rPr>
          <w:sz w:val="20"/>
          <w:szCs w:val="20"/>
          <w:color w:val="auto"/>
        </w:rPr>
      </w:pPr>
    </w:p>
    <w:p>
      <w:pPr>
        <w:ind w:left="-20" w:right="200" w:firstLine="464"/>
        <w:spacing w:after="0" w:line="306"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subsection (a) of this Section 3.06, the Issuer may issue or assume Debt secured by a Mortgage in addition to those permitted by subsection (a) of this Section 3.06 and renew, extend or replace such Mortgages; </w:t>
      </w:r>
      <w:r>
        <w:rPr>
          <w:rFonts w:ascii="Arial" w:cs="Arial" w:eastAsia="Arial" w:hAnsi="Arial"/>
          <w:sz w:val="16"/>
          <w:szCs w:val="16"/>
          <w:i w:val="1"/>
          <w:iCs w:val="1"/>
          <w:color w:val="auto"/>
        </w:rPr>
        <w:t>provided</w:t>
      </w:r>
      <w:r>
        <w:rPr>
          <w:rFonts w:ascii="Arial" w:cs="Arial" w:eastAsia="Arial" w:hAnsi="Arial"/>
          <w:sz w:val="16"/>
          <w:szCs w:val="16"/>
          <w:color w:val="auto"/>
        </w:rPr>
        <w:t>, that at the time of such creation, assumption, renewal, extension or replacement, and after giving effect thereto, Exempted Debt does not exceed 15% of Consolidated Net Tangible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80" w:right="239" w:bottom="1440" w:gutter="0" w:footer="0" w:header="0"/>
        </w:sectPr>
      </w:pPr>
    </w:p>
    <w:bookmarkStart w:id="61" w:name="page62"/>
    <w:bookmarkEnd w:id="61"/>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3.07</w:t>
      </w:r>
      <w:r>
        <w:rPr>
          <w:rFonts w:ascii="Arial" w:cs="Arial" w:eastAsia="Arial" w:hAnsi="Arial"/>
          <w:sz w:val="18"/>
          <w:szCs w:val="18"/>
          <w:i w:val="1"/>
          <w:iCs w:val="1"/>
          <w:color w:val="auto"/>
        </w:rPr>
        <w:t>. Limitation on Sale and Leaseback.</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provided pursuant to Section 2.03.</w:t>
      </w:r>
    </w:p>
    <w:p>
      <w:pPr>
        <w:spacing w:after="0" w:line="132" w:lineRule="exact"/>
        <w:rPr>
          <w:sz w:val="20"/>
          <w:szCs w:val="20"/>
          <w:color w:val="auto"/>
        </w:rPr>
      </w:pPr>
    </w:p>
    <w:p>
      <w:pPr>
        <w:ind w:right="120" w:firstLine="464"/>
        <w:spacing w:after="0" w:line="294"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Issuer will not enter into any arrangement with any Person (other than any then-existing subsidiary) providing for the leasing by the Issuer of any Principal Manufacturing Property, whether such Principal Manufacturing Property is now owned or hereafter acquired, except for temporary leases for a term, including renewals at the option of the lessee, of not more than three years, which property has been or is to be sold or transferred by the Issuer to such Person with the intention of taking back a lease of such property (a “</w:t>
      </w:r>
      <w:r>
        <w:rPr>
          <w:rFonts w:ascii="Arial" w:cs="Arial" w:eastAsia="Arial" w:hAnsi="Arial"/>
          <w:sz w:val="16"/>
          <w:szCs w:val="16"/>
          <w:b w:val="1"/>
          <w:bCs w:val="1"/>
          <w:color w:val="auto"/>
        </w:rPr>
        <w:t>sale and leaseback transaction</w:t>
      </w:r>
      <w:r>
        <w:rPr>
          <w:rFonts w:ascii="Arial" w:cs="Arial" w:eastAsia="Arial" w:hAnsi="Arial"/>
          <w:sz w:val="16"/>
          <w:szCs w:val="16"/>
          <w:color w:val="auto"/>
        </w:rPr>
        <w:t>”) unless the proceeds of such sale or transfer shall be at least equal to the fair value of such property as determined by resolution adopted by the Board of Directors and either:</w:t>
      </w:r>
    </w:p>
    <w:p>
      <w:pPr>
        <w:spacing w:after="0" w:line="34" w:lineRule="exact"/>
        <w:rPr>
          <w:rFonts w:ascii="Arial" w:cs="Arial" w:eastAsia="Arial" w:hAnsi="Arial"/>
          <w:sz w:val="16"/>
          <w:szCs w:val="16"/>
          <w:color w:val="auto"/>
        </w:rPr>
      </w:pPr>
    </w:p>
    <w:p>
      <w:pPr>
        <w:ind w:left="460" w:right="100" w:firstLine="443"/>
        <w:spacing w:after="0" w:line="298" w:lineRule="auto"/>
        <w:tabs>
          <w:tab w:leader="none" w:pos="110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the Issuer would be entitled, pursuant to the provisions of Section 3.06, to issue or assume Debt secured by a Mortgage on such property at least equal in amount to the Attributable Debt in respect of such sale and leaseback transaction without equally and ratably securing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the date on which such sale and leaseback transaction becomes effective the Attributable Debt in respect of such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for all purposes under Section 3.06 and this Section 3.07 to be Debt subject to the provisions of Section 3.06; or</w:t>
      </w:r>
    </w:p>
    <w:p>
      <w:pPr>
        <w:spacing w:after="0" w:line="31" w:lineRule="exact"/>
        <w:rPr>
          <w:rFonts w:ascii="Arial" w:cs="Arial" w:eastAsia="Arial" w:hAnsi="Arial"/>
          <w:sz w:val="16"/>
          <w:szCs w:val="16"/>
          <w:color w:val="auto"/>
        </w:rPr>
      </w:pPr>
    </w:p>
    <w:p>
      <w:pPr>
        <w:ind w:left="460" w:right="260" w:firstLine="443"/>
        <w:spacing w:after="0" w:line="305" w:lineRule="auto"/>
        <w:tabs>
          <w:tab w:leader="none" w:pos="1157" w:val="left"/>
        </w:tabs>
        <w:numPr>
          <w:ilvl w:val="1"/>
          <w:numId w:val="36"/>
        </w:numPr>
        <w:rPr>
          <w:rFonts w:ascii="Arial" w:cs="Arial" w:eastAsia="Arial" w:hAnsi="Arial"/>
          <w:sz w:val="15"/>
          <w:szCs w:val="15"/>
          <w:color w:val="auto"/>
        </w:rPr>
      </w:pPr>
      <w:r>
        <w:rPr>
          <w:rFonts w:ascii="Arial" w:cs="Arial" w:eastAsia="Arial" w:hAnsi="Arial"/>
          <w:sz w:val="15"/>
          <w:szCs w:val="15"/>
          <w:color w:val="auto"/>
        </w:rPr>
        <w:t>within a period commencing 12 months prior to the consummation of such sale and leaseback transaction and ending 12 months after the consummation of such sale and leaseback transaction, the Issuer has expended, or will expend, for Principal Manufacturing Property an amount equal to</w:t>
      </w:r>
    </w:p>
    <w:p>
      <w:pPr>
        <w:ind w:left="460" w:right="180"/>
        <w:spacing w:after="0" w:line="302" w:lineRule="auto"/>
        <w:rPr>
          <w:rFonts w:ascii="Arial" w:cs="Arial" w:eastAsia="Arial" w:hAnsi="Arial"/>
          <w:sz w:val="15"/>
          <w:szCs w:val="15"/>
          <w:color w:val="auto"/>
        </w:rPr>
      </w:pPr>
      <w:r>
        <w:rPr>
          <w:rFonts w:ascii="Arial" w:cs="Arial" w:eastAsia="Arial" w:hAnsi="Arial"/>
          <w:sz w:val="16"/>
          <w:szCs w:val="16"/>
          <w:color w:val="auto"/>
        </w:rPr>
        <w:t>(A) the proceeds of such sale and leaseback transaction and the Issuer elects to designate such amount as a credit against such sale and leaseback transaction or (B) a part of the proceeds of such sale and leaseback transaction and the Issuer elects to designate such amount as a credit against such sale and leaseback transaction and treats an amount equal to the remainder of the proceeds as provided in clause (iii) hereof; or</w:t>
      </w:r>
    </w:p>
    <w:p>
      <w:pPr>
        <w:spacing w:after="0" w:line="28" w:lineRule="exact"/>
        <w:rPr>
          <w:rFonts w:ascii="Arial" w:cs="Arial" w:eastAsia="Arial" w:hAnsi="Arial"/>
          <w:sz w:val="15"/>
          <w:szCs w:val="15"/>
          <w:color w:val="auto"/>
        </w:rPr>
      </w:pPr>
    </w:p>
    <w:p>
      <w:pPr>
        <w:ind w:left="460" w:firstLine="443"/>
        <w:spacing w:after="0" w:line="256" w:lineRule="auto"/>
        <w:tabs>
          <w:tab w:leader="none" w:pos="12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such sale or transfer does not come within the exceptions provided by clause (i) hereof and the Issuer does not make the election permitted by clause (ii) hereof or makes such election only as to part of such proceeds, in either of which events the Issuer will (A) within 120 days after such sale and leaseback transaction, apply an amount equal to the Attributable Debt in respect of such sale and leaseback transaction (less an amount equal to the amount, if any, elected under clause (ii)</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2" w:name="page63"/>
    <w:bookmarkEnd w:id="62"/>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hereof) to the retirement (other than any mandatory retirement or by way of payment at maturity) of Funded Debt of the Issuer, or (B) consider an amount equal to the Attributable Debt in respect of such sale and leaseback transaction (less an amount equal to the amount, if any, elected under clause (ii) hereof) to be Attributable Debt for purposes of the calculation of Exempted Debt; </w:t>
      </w:r>
      <w:r>
        <w:rPr>
          <w:rFonts w:ascii="Arial" w:cs="Arial" w:eastAsia="Arial" w:hAnsi="Arial"/>
          <w:sz w:val="18"/>
          <w:szCs w:val="18"/>
          <w:i w:val="1"/>
          <w:iCs w:val="1"/>
          <w:color w:val="auto"/>
        </w:rPr>
        <w:t>provided</w:t>
      </w:r>
      <w:r>
        <w:rPr>
          <w:rFonts w:ascii="Arial" w:cs="Arial" w:eastAsia="Arial" w:hAnsi="Arial"/>
          <w:sz w:val="18"/>
          <w:szCs w:val="18"/>
          <w:color w:val="auto"/>
        </w:rPr>
        <w:t>, that, after giving effect thereto, Exempted Debt does not exceed 15% of Consolidated Net Tangible Assets.</w:t>
      </w:r>
    </w:p>
    <w:p>
      <w:pPr>
        <w:spacing w:after="0" w:line="1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 of this Section 3.07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shall mean, at the time of determination, the lesser of (i) the fair market value of the assets subject to such transaction, as determined by our Board of Directors, and (2) the present value (discounted at the interest rate implicit in the lease or, if it is not practicable to determine such rate, then at the Issuer’s incremental borrowing rate determined in accordance with generally accepted accounting principles) of the obligation of the lessee for net rental payments during the remaining term of any lease included in the sale and leaseback transaction (including any period for which such lease has been extended or may, at the option of the lessor, be extended). The term “</w:t>
      </w:r>
      <w:r>
        <w:rPr>
          <w:rFonts w:ascii="Arial" w:cs="Arial" w:eastAsia="Arial" w:hAnsi="Arial"/>
          <w:sz w:val="16"/>
          <w:szCs w:val="16"/>
          <w:b w:val="1"/>
          <w:bCs w:val="1"/>
          <w:color w:val="auto"/>
        </w:rPr>
        <w:t>net rental payments</w:t>
      </w:r>
      <w:r>
        <w:rPr>
          <w:rFonts w:ascii="Arial" w:cs="Arial" w:eastAsia="Arial" w:hAnsi="Arial"/>
          <w:sz w:val="16"/>
          <w:szCs w:val="16"/>
          <w:color w:val="auto"/>
        </w:rPr>
        <w:t>” under any lease for any period shall mean the sum of the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19" w:lineRule="exact"/>
        <w:rPr>
          <w:sz w:val="20"/>
          <w:szCs w:val="20"/>
          <w:color w:val="auto"/>
        </w:rPr>
      </w:pPr>
    </w:p>
    <w:p>
      <w:pPr>
        <w:jc w:val="both"/>
        <w:ind w:right="420" w:firstLine="464"/>
        <w:spacing w:after="0" w:line="256"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paragraph (a) of this Section 3.07, the Issuer may enter into sale and leaseback transactions in addition to those permitted by paragraph (a) of this Section 3.07 and without any obligation to make expenditures for Principal Manufacturing Property or to retire any Debt; </w:t>
      </w:r>
      <w:r>
        <w:rPr>
          <w:rFonts w:ascii="Arial" w:cs="Arial" w:eastAsia="Arial" w:hAnsi="Arial"/>
          <w:sz w:val="18"/>
          <w:szCs w:val="18"/>
          <w:i w:val="1"/>
          <w:iCs w:val="1"/>
          <w:color w:val="auto"/>
        </w:rPr>
        <w:t>provided</w:t>
      </w:r>
      <w:r>
        <w:rPr>
          <w:rFonts w:ascii="Arial" w:cs="Arial" w:eastAsia="Arial" w:hAnsi="Arial"/>
          <w:sz w:val="18"/>
          <w:szCs w:val="18"/>
          <w:color w:val="auto"/>
        </w:rPr>
        <w:t>, that at the time of entering into such sale and leaseback transactions and after giving effect thereto, Exempted Debt does not exceed 15%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Tangible Assets.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ECURITYHOLDERS</w:t>
      </w:r>
      <w:r>
        <w:rPr>
          <w:rFonts w:ascii="Arial" w:cs="Arial" w:eastAsia="Arial" w:hAnsi="Arial"/>
          <w:sz w:val="18"/>
          <w:szCs w:val="18"/>
          <w:color w:val="auto"/>
        </w:rPr>
        <w:t xml:space="preserve"> L</w:t>
      </w:r>
      <w:r>
        <w:rPr>
          <w:rFonts w:ascii="Arial" w:cs="Arial" w:eastAsia="Arial" w:hAnsi="Arial"/>
          <w:sz w:val="14"/>
          <w:szCs w:val="14"/>
          <w:color w:val="auto"/>
        </w:rPr>
        <w:t>ISTS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I</w:t>
      </w:r>
      <w:r>
        <w:rPr>
          <w:rFonts w:ascii="Arial" w:cs="Arial" w:eastAsia="Arial" w:hAnsi="Arial"/>
          <w:sz w:val="14"/>
          <w:szCs w:val="14"/>
          <w:color w:val="auto"/>
        </w:rPr>
        <w:t>SSUER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40" w:lineRule="exact"/>
        <w:rPr>
          <w:sz w:val="20"/>
          <w:szCs w:val="20"/>
          <w:color w:val="auto"/>
        </w:rPr>
      </w:pPr>
    </w:p>
    <w:p>
      <w:pPr>
        <w:ind w:right="440" w:firstLine="464"/>
        <w:spacing w:after="0" w:line="332"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63" w:name="page64"/>
    <w:bookmarkEnd w:id="63"/>
    <w:p>
      <w:pPr>
        <w:ind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that, if and so long as the Trustee shall be the Security registrar for such series, such list shall not be required to be furnished.</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Reports by the Issuer.</w:t>
      </w:r>
      <w:r>
        <w:rPr>
          <w:rFonts w:ascii="Arial" w:cs="Arial" w:eastAsia="Arial" w:hAnsi="Arial"/>
          <w:sz w:val="16"/>
          <w:szCs w:val="16"/>
          <w:color w:val="auto"/>
        </w:rPr>
        <w:t xml:space="preserve"> The Issuer covenants to file with the Trustee, within 15 days after the Issuer files the same with the Commission, copies of the annual reports and of the information, documents, and other reports which the Issuer is required to file with the Commission pursuant to Section 13 or Section 15(d) of the Securities Exchange Act of 1934. The filing of such reports, information and documents with the Commission on EDGAR (or any successor system thereto) shall be deemed to constitute “filing” of such reports, information and documents with the Trustee, provided however that the Issuer shall provide a physical or electronic copy thereof to the Trustee promptly following a request therefor from the Trustee.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Reports by the Trustee.</w:t>
      </w:r>
      <w:r>
        <w:rPr>
          <w:rFonts w:ascii="Arial" w:cs="Arial" w:eastAsia="Arial" w:hAnsi="Arial"/>
          <w:sz w:val="18"/>
          <w:szCs w:val="18"/>
          <w:color w:val="auto"/>
        </w:rPr>
        <w:t xml:space="preserve"> Any Trustee’s report required under Section 313(a) of the Trust Indenture Act of 1939 shall be transmitted on or before May 1 in each year following the date hereof, so long as any Securities are Outstanding hereunder, and shall be dated as of a date convenient to the Trustee but no more than 60 nor less than 45 days prior thereto.</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2" w:lineRule="exact"/>
        <w:rPr>
          <w:sz w:val="20"/>
          <w:szCs w:val="20"/>
          <w:color w:val="auto"/>
        </w:rPr>
      </w:pPr>
    </w:p>
    <w:p>
      <w:pPr>
        <w:ind w:right="140" w:firstLine="464"/>
        <w:spacing w:after="0" w:line="268"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w:t>
      </w:r>
    </w:p>
    <w:p>
      <w:pPr>
        <w:spacing w:after="0" w:line="131" w:lineRule="exact"/>
        <w:rPr>
          <w:rFonts w:ascii="Arial" w:cs="Arial" w:eastAsia="Arial" w:hAnsi="Arial"/>
          <w:sz w:val="18"/>
          <w:szCs w:val="18"/>
          <w:color w:val="auto"/>
        </w:rPr>
      </w:pPr>
    </w:p>
    <w:p>
      <w:pPr>
        <w:jc w:val="both"/>
        <w:ind w:right="38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but, in the case of technical or administrative difficulties, only if that default continues for a period of two days; or</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Issuer in respect of the Securities of such series (other than a covenant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4" w:name="page65"/>
    <w:bookmarkEnd w:id="6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warranty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13" w:lineRule="exact"/>
        <w:rPr>
          <w:sz w:val="20"/>
          <w:szCs w:val="20"/>
          <w:color w:val="auto"/>
        </w:rPr>
      </w:pPr>
    </w:p>
    <w:p>
      <w:pPr>
        <w:ind w:right="120" w:firstLine="464"/>
        <w:spacing w:after="0" w:line="256"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or ordering the winding up or liquidation of its affairs, and such decree or order shall remain unstayed and in effect for a period of 60 consecutive days; or</w:t>
      </w:r>
    </w:p>
    <w:p>
      <w:pPr>
        <w:spacing w:after="0" w:line="143"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 (d) or (e) occurs and is continuing, then the entire principal amount of the outstanding Securities will automatically become due immediately and payable without any declaration or other act on the part of the Trustee or any Holder.</w:t>
      </w:r>
    </w:p>
    <w:p>
      <w:pPr>
        <w:spacing w:after="0" w:line="11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65" w:name="page66"/>
    <w:bookmarkEnd w:id="65"/>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1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Section 5.02</w:t>
      </w:r>
      <w:r>
        <w:rPr>
          <w:rFonts w:ascii="Arial" w:cs="Arial" w:eastAsia="Arial" w:hAnsi="Arial"/>
          <w:sz w:val="15"/>
          <w:szCs w:val="15"/>
          <w:i w:val="1"/>
          <w:iCs w:val="1"/>
          <w:color w:val="auto"/>
        </w:rPr>
        <w:t>. Collection of Debt by Trustee; Trustee May Prove Debt.</w:t>
      </w:r>
      <w:r>
        <w:rPr>
          <w:rFonts w:ascii="Arial" w:cs="Arial" w:eastAsia="Arial" w:hAnsi="Arial"/>
          <w:sz w:val="15"/>
          <w:szCs w:val="15"/>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and such default shall have continued for a period of five days, whether upon maturity of the Securities of such series or upon any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66" w:name="page67"/>
    <w:bookmarkEnd w:id="6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left="460" w:right="80" w:firstLine="443"/>
        <w:spacing w:after="0" w:line="298" w:lineRule="auto"/>
        <w:tabs>
          <w:tab w:leader="none" w:pos="11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67" w:name="page68"/>
    <w:bookmarkEnd w:id="67"/>
    <w:p>
      <w:pPr>
        <w:ind w:left="460"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59" w:lineRule="exact"/>
        <w:rPr>
          <w:sz w:val="20"/>
          <w:szCs w:val="20"/>
          <w:color w:val="auto"/>
        </w:rPr>
      </w:pPr>
    </w:p>
    <w:p>
      <w:pPr>
        <w:ind w:left="460" w:firstLine="443"/>
        <w:spacing w:after="0" w:line="259" w:lineRule="auto"/>
        <w:tabs>
          <w:tab w:leader="none" w:pos="11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460" w:right="80" w:firstLine="443"/>
        <w:spacing w:after="0" w:line="253" w:lineRule="auto"/>
        <w:tabs>
          <w:tab w:leader="none" w:pos="12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16"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28</w:t>
      </w:r>
    </w:p>
    <w:p>
      <w:pPr>
        <w:sectPr>
          <w:pgSz w:w="11900" w:h="16838" w:orient="portrait"/>
          <w:cols w:equalWidth="0" w:num="1">
            <w:col w:w="11420"/>
          </w:cols>
          <w:pgMar w:left="240" w:top="280" w:right="239" w:bottom="1440" w:gutter="0" w:footer="0" w:header="0"/>
        </w:sectPr>
      </w:pPr>
    </w:p>
    <w:bookmarkStart w:id="68" w:name="page69"/>
    <w:bookmarkEnd w:id="68"/>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90"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62"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69" w:name="page70"/>
    <w:bookmarkEnd w:id="6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Restoration of Rights on Abandonment of Proceedings</w:t>
      </w:r>
      <w:r>
        <w:rPr>
          <w:rFonts w:ascii="Arial" w:cs="Arial" w:eastAsia="Arial" w:hAnsi="Arial"/>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70" w:name="page71"/>
    <w:bookmarkEnd w:id="70"/>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or for the enforcement of such conversion right, shall not be impaired or affected without the consent of such Holder.</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1" w:name="page72"/>
    <w:bookmarkEnd w:id="7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Indenture shall impair the right of the Trustee in its discretion to take any action deemed proper by the Trustee and which is not inconsistent with such direction or directions by Securityholders.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the declaration of the acceleration of the maturity of the Securities of any series as provided in Section 5.01, the Holders of a majority in aggregate principal amount of the Securities of such series at the time Outstanding may on behalf of the Holders of all the Securities of such series waive any past default or Event of Default described in clause Section 5.01(c) or Section 5.01(f) of Section 5.01 (or, in the case of an event specified in clause Section 5.01(c) or Section 5.01(f) of Section 5.01 which relates to less than all series of Securities then Outstanding, the Holders of a majority in aggregate principal amount of the Securities then Outstanding affected thereby (each series voting as a separate class) may waive any such default or Event of Default, or, in the case of an event specified in clause Section 5.01(c) or Section 5.01(f) (if the Event of Default under clause Section 5.01(c) or Section 5.01(f) relates to all series of Securities then Outstanding), Section 5.01(d) or Section 5.01(e) of Section 5.01 the Holders of Securities of a majority in principal amount of all the Securities then Outstanding (voting as one class) may waive any such default or Event of Default), and its consequences except a default in respect of a covenant or provision hereof which cannot be modified or amended without the consent of the Holder of each Security affected. In the case of any such waiver, the Issuer,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Trustee to Give Notice of Default, but May Withhold in Certain Circumstances</w:t>
      </w:r>
      <w:r>
        <w:rPr>
          <w:rFonts w:ascii="Arial" w:cs="Arial" w:eastAsia="Arial" w:hAnsi="Arial"/>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 4.03, unless in each case such defaults shall have been cured before the mailing or publication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for the purpose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fund installment on such series,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72" w:name="page73"/>
    <w:bookmarkEnd w:id="72"/>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6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Right of Court to Require Filing of Undertaking to Pay Costs</w:t>
      </w:r>
      <w:r>
        <w:rPr>
          <w:rFonts w:ascii="Arial" w:cs="Arial" w:eastAsia="Arial" w:hAnsi="Arial"/>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Section 5.01(c) or</w:t>
      </w:r>
    </w:p>
    <w:p>
      <w:pPr>
        <w:spacing w:after="0" w:line="252" w:lineRule="auto"/>
        <w:rPr>
          <w:sz w:val="20"/>
          <w:szCs w:val="20"/>
          <w:color w:val="auto"/>
        </w:rPr>
      </w:pPr>
      <w:r>
        <w:rPr>
          <w:rFonts w:ascii="Arial" w:cs="Arial" w:eastAsia="Arial" w:hAnsi="Arial"/>
          <w:sz w:val="18"/>
          <w:szCs w:val="18"/>
          <w:color w:val="auto"/>
        </w:rPr>
        <w:t>Section 5.01(f) of Section 5.01 (if the suit relates to Securities of more than one but less than all series), 10% in aggregate principal amount of Securities then Outstanding and affected thereby, or in the case of any suit relating to or arising under Section 5.01(c) or Section 5.01(f) (if the suit under Section 5.01(c) or Section 5.01(f) relates to all the Securities then Outstanding), Section 5.01(d) or Section 5.01(e) of Section 5.01,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 or for the enforcement of a right to convert any Security in accordance with the terms thereof.</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73" w:name="page74"/>
    <w:bookmarkEnd w:id="73"/>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132" w:lineRule="exact"/>
        <w:rPr>
          <w:sz w:val="20"/>
          <w:szCs w:val="20"/>
          <w:color w:val="auto"/>
        </w:rPr>
      </w:pPr>
    </w:p>
    <w:p>
      <w:pPr>
        <w:ind w:right="220" w:firstLine="464"/>
        <w:spacing w:after="0" w:line="268"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1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12"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31"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6.01 are in furtherance of and subject to Sections 315 and 316 of the Trust Indenture Act of 1939.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74" w:name="page75"/>
    <w:bookmarkEnd w:id="74"/>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6.02</w:t>
      </w:r>
      <w:r>
        <w:rPr>
          <w:rFonts w:ascii="Arial" w:cs="Arial" w:eastAsia="Arial" w:hAnsi="Arial"/>
          <w:sz w:val="18"/>
          <w:szCs w:val="18"/>
          <w:i w:val="1"/>
          <w:iCs w:val="1"/>
          <w:color w:val="auto"/>
        </w:rPr>
        <w:t>. Certain Rights of the Trustee.</w:t>
      </w:r>
      <w:r>
        <w:rPr>
          <w:rFonts w:ascii="Arial" w:cs="Arial" w:eastAsia="Arial" w:hAnsi="Arial"/>
          <w:sz w:val="18"/>
          <w:szCs w:val="18"/>
          <w:color w:val="auto"/>
        </w:rPr>
        <w:t xml:space="preserve"> In furtherance of and subject to the Trust Indenture Act of 1939 and subject to Section 6.01:</w:t>
      </w:r>
    </w:p>
    <w:p>
      <w:pPr>
        <w:spacing w:after="0" w:line="171" w:lineRule="exact"/>
        <w:rPr>
          <w:sz w:val="20"/>
          <w:szCs w:val="20"/>
          <w:color w:val="auto"/>
        </w:rPr>
      </w:pPr>
    </w:p>
    <w:p>
      <w:pPr>
        <w:ind w:left="-80" w:firstLine="464"/>
        <w:spacing w:after="0" w:line="259"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left="-80" w:firstLine="464"/>
        <w:spacing w:after="0" w:line="259"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40" w:lineRule="exact"/>
        <w:rPr>
          <w:rFonts w:ascii="Arial" w:cs="Arial" w:eastAsia="Arial" w:hAnsi="Arial"/>
          <w:sz w:val="18"/>
          <w:szCs w:val="18"/>
          <w:color w:val="auto"/>
        </w:rPr>
      </w:pPr>
    </w:p>
    <w:p>
      <w:pPr>
        <w:ind w:left="-80" w:right="220" w:firstLine="464"/>
        <w:spacing w:after="0" w:line="332" w:lineRule="auto"/>
        <w:tabs>
          <w:tab w:leader="none" w:pos="6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5" w:lineRule="exact"/>
        <w:rPr>
          <w:rFonts w:ascii="Arial" w:cs="Arial" w:eastAsia="Arial" w:hAnsi="Arial"/>
          <w:sz w:val="16"/>
          <w:szCs w:val="16"/>
          <w:color w:val="auto"/>
        </w:rPr>
      </w:pPr>
    </w:p>
    <w:p>
      <w:pPr>
        <w:ind w:left="-80" w:right="120" w:firstLine="464"/>
        <w:spacing w:after="0" w:line="259"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40" w:lineRule="exact"/>
        <w:rPr>
          <w:rFonts w:ascii="Arial" w:cs="Arial" w:eastAsia="Arial" w:hAnsi="Arial"/>
          <w:sz w:val="18"/>
          <w:szCs w:val="18"/>
          <w:color w:val="auto"/>
        </w:rPr>
      </w:pPr>
    </w:p>
    <w:p>
      <w:pPr>
        <w:ind w:left="-80" w:right="220" w:firstLine="464"/>
        <w:spacing w:after="0" w:line="268"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left="-80" w:firstLine="464"/>
        <w:spacing w:after="0" w:line="289" w:lineRule="auto"/>
        <w:tabs>
          <w:tab w:leader="none" w:pos="5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280" w:right="319" w:bottom="1440" w:gutter="0" w:footer="0" w:header="0"/>
        </w:sectPr>
      </w:pPr>
    </w:p>
    <w:bookmarkStart w:id="75" w:name="page76"/>
    <w:bookmarkEnd w:id="75"/>
    <w:p>
      <w:pPr>
        <w:ind w:firstLine="464"/>
        <w:spacing w:after="0" w:line="259"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6.06</w:t>
      </w:r>
      <w:r>
        <w:rPr>
          <w:rFonts w:ascii="Arial" w:cs="Arial" w:eastAsia="Arial" w:hAnsi="Arial"/>
          <w:sz w:val="16"/>
          <w:szCs w:val="16"/>
          <w:i w:val="1"/>
          <w:iCs w:val="1"/>
          <w:color w:val="auto"/>
        </w:rPr>
        <w:t>. Compensation and Indemnification of Trustee and Its Prior Claim.</w:t>
      </w:r>
      <w:r>
        <w:rPr>
          <w:rFonts w:ascii="Arial" w:cs="Arial" w:eastAsia="Arial" w:hAnsi="Arial"/>
          <w:sz w:val="16"/>
          <w:szCs w:val="16"/>
          <w:color w:val="auto"/>
        </w:rPr>
        <w:t xml:space="preserve">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76" w:name="page77"/>
    <w:bookmarkEnd w:id="7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 Indentures Creating Potential Conflicting Interests for the Trustee.</w:t>
      </w:r>
      <w:r>
        <w:rPr>
          <w:rFonts w:ascii="Arial" w:cs="Arial" w:eastAsia="Arial" w:hAnsi="Arial"/>
          <w:sz w:val="18"/>
          <w:szCs w:val="18"/>
          <w:color w:val="auto"/>
        </w:rPr>
        <w:t xml:space="preserve"> No indentures are hereby specifically described for the purposes of Section 310(b)(1) of the Trust Indenture Act of 1939.</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6.09</w:t>
      </w:r>
      <w:r>
        <w:rPr>
          <w:rFonts w:ascii="Arial" w:cs="Arial" w:eastAsia="Arial" w:hAnsi="Arial"/>
          <w:sz w:val="16"/>
          <w:szCs w:val="16"/>
          <w:i w:val="1"/>
          <w:iCs w:val="1"/>
          <w:color w:val="auto"/>
        </w:rPr>
        <w:t>. 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6.10</w:t>
      </w:r>
      <w:r>
        <w:rPr>
          <w:rFonts w:ascii="Arial" w:cs="Arial" w:eastAsia="Arial" w:hAnsi="Arial"/>
          <w:sz w:val="16"/>
          <w:szCs w:val="16"/>
          <w:i w:val="1"/>
          <w:iCs w:val="1"/>
          <w:color w:val="auto"/>
        </w:rPr>
        <w:t>. 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77" w:name="page78"/>
    <w:bookmarkEnd w:id="77"/>
    <w:p>
      <w:pPr>
        <w:ind w:right="1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98"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0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ind w:right="20" w:firstLine="464"/>
        <w:spacing w:after="0" w:line="306"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78" w:name="page79"/>
    <w:bookmarkEnd w:id="78"/>
    <w:p>
      <w:pPr>
        <w:ind w:right="160" w:firstLine="464"/>
        <w:spacing w:after="0" w:line="332"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6.11</w:t>
      </w:r>
      <w:r>
        <w:rPr>
          <w:rFonts w:ascii="Arial" w:cs="Arial" w:eastAsia="Arial" w:hAnsi="Arial"/>
          <w:sz w:val="16"/>
          <w:szCs w:val="16"/>
          <w:i w:val="1"/>
          <w:iCs w:val="1"/>
          <w:color w:val="auto"/>
        </w:rPr>
        <w:t>. 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79" w:name="page80"/>
    <w:bookmarkEnd w:id="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acceptance of appointment by any successor trustee as provided in this Section 6.11, the Issuer shall mail notice thereof to the Holders of Securities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each series affected, by mailing such notice to such Holders at their addresses as they shall appear on the Security register. If the acceptance of appointment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contemporaneous with the resignation, then the notice called for by the preceding sentence may be combined with the notice called for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6.10. If the Issuer fails to mail such notice within ten days after acceptance of appointment by the successor trustee, the successor trustee shall cause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notice to be given at the expense of the Issuer.</w:t>
      </w:r>
    </w:p>
    <w:p>
      <w:pPr>
        <w:spacing w:after="0" w:line="16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Section 6.12</w:t>
      </w:r>
      <w:r>
        <w:rPr>
          <w:rFonts w:ascii="Arial" w:cs="Arial" w:eastAsia="Arial" w:hAnsi="Arial"/>
          <w:sz w:val="15"/>
          <w:szCs w:val="15"/>
          <w:i w:val="1"/>
          <w:iCs w:val="1"/>
          <w:color w:val="auto"/>
        </w:rPr>
        <w:t>. 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S</w:t>
      </w:r>
      <w:r>
        <w:rPr>
          <w:rFonts w:ascii="Arial" w:cs="Arial" w:eastAsia="Arial" w:hAnsi="Arial"/>
          <w:sz w:val="14"/>
          <w:szCs w:val="14"/>
          <w:color w:val="auto"/>
        </w:rPr>
        <w:t>ECURITYHOLDERS</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Proof of Execution of Instruments and of Holding of Securities.</w:t>
      </w:r>
      <w:r>
        <w:rPr>
          <w:rFonts w:ascii="Arial" w:cs="Arial" w:eastAsia="Arial" w:hAnsi="Arial"/>
          <w:sz w:val="16"/>
          <w:szCs w:val="16"/>
          <w:color w:val="auto"/>
        </w:rPr>
        <w:t xml:space="preserve"> Subject to Sections 6.01 and 6.02, the execution of any instrument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Securityholder or his or her agent or proxy may be proved in the following manner:</w:t>
      </w:r>
    </w:p>
    <w:p>
      <w:pPr>
        <w:spacing w:after="0" w:line="165" w:lineRule="exact"/>
        <w:rPr>
          <w:sz w:val="20"/>
          <w:szCs w:val="20"/>
          <w:color w:val="auto"/>
        </w:rPr>
      </w:pPr>
    </w:p>
    <w:p>
      <w:pPr>
        <w:jc w:val="both"/>
        <w:ind w:right="60" w:firstLine="464"/>
        <w:spacing w:after="0" w:line="323" w:lineRule="auto"/>
        <w:tabs>
          <w:tab w:leader="none" w:pos="695"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fact and date of the execution by any Holder of any instrument may be proved by the certificate of any notary public or other officer of any jurisdiction authorized to take acknowledgments of deeds or administer oaths that the person executing such instruments acknowledged to him or her the execution thereof, or by an affidavit of a witness to such execution sworn to before any such notary or other such officer. Where such execution is by or on behalf of any legal entity other than an individual, such certificate or affidavit shall also constitute sufficient proof of the authority of the person executing the same.</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such Securities shall be proved by the Security register or by a certificate of the Security registrar.</w:t>
      </w:r>
    </w:p>
    <w:p>
      <w:pPr>
        <w:spacing w:after="0" w:line="171" w:lineRule="exact"/>
        <w:rPr>
          <w:rFonts w:ascii="Arial" w:cs="Arial" w:eastAsia="Arial" w:hAnsi="Arial"/>
          <w:sz w:val="18"/>
          <w:szCs w:val="18"/>
          <w:color w:val="auto"/>
        </w:rPr>
      </w:pPr>
    </w:p>
    <w:p>
      <w:pPr>
        <w:ind w:right="100" w:firstLine="464"/>
        <w:spacing w:after="0" w:line="287"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Issuer shall solicit from the Holders of Securities any request, demand, authorization, direction, notice, consent, waiver or other action, the Issuer may, at its option, by Board Resolution, fix in advance a record date for the determination of Holders of Securities entitled to give such request, demand, authorization, direction, notice, consent, waiver or other action, but the Issuer shall have no obligation to do so. Notice of such record date shall be given to the Trustee as soon as practicable after the time that the record date has been fixed. If such a record date is fixed, such request, demand, authorization, direction, notice, consent, waiver or other action may be given before or after such record date, but only the Holders of Securities of record at the close of business on such record date shall be deemed to be Holders of Securities for the purposes of determining whether Holders of Securities of the requisite proportion of Outstanding Securities have authorized or agreed or consented to such request, demand, authorization, direction, notice, consent, waiver or other action,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that no such authorization, agreement or consent by the Holders of Securities on such record date shall be deemed effective unless it shall become effective pursuant to the provisions of this Indenture not later than six months after the record date.</w:t>
      </w:r>
    </w:p>
    <w:p>
      <w:pPr>
        <w:spacing w:after="0" w:line="123"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Section 7.03</w:t>
      </w:r>
      <w:r>
        <w:rPr>
          <w:rFonts w:ascii="Arial" w:cs="Arial" w:eastAsia="Arial" w:hAnsi="Arial"/>
          <w:sz w:val="15"/>
          <w:szCs w:val="15"/>
          <w:i w:val="1"/>
          <w:iCs w:val="1"/>
          <w:color w:val="auto"/>
        </w:rPr>
        <w:t>. Holders to Be Treated as Owners.</w:t>
      </w:r>
      <w:r>
        <w:rPr>
          <w:rFonts w:ascii="Arial" w:cs="Arial" w:eastAsia="Arial" w:hAnsi="Arial"/>
          <w:sz w:val="15"/>
          <w:szCs w:val="15"/>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81" w:name="page82"/>
    <w:bookmarkEnd w:id="81"/>
    <w:p>
      <w:pPr>
        <w:jc w:val="both"/>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6.01 and 6.02, the Trustee shall be entitled to accept such Officers’ Certificate as conclusive evidence of the facts therein set forth and of the fact that all Securities not listed therein are Outstanding for the purpose of any such determination.</w:t>
      </w:r>
    </w:p>
    <w:p>
      <w:pPr>
        <w:spacing w:after="0" w:line="12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Section 7.05</w:t>
      </w:r>
      <w:r>
        <w:rPr>
          <w:rFonts w:ascii="Arial" w:cs="Arial" w:eastAsia="Arial" w:hAnsi="Arial"/>
          <w:sz w:val="15"/>
          <w:szCs w:val="15"/>
          <w:i w:val="1"/>
          <w:iCs w:val="1"/>
          <w:color w:val="auto"/>
        </w:rPr>
        <w:t>. Right of Revocation of Action Taken.</w:t>
      </w:r>
      <w:r>
        <w:rPr>
          <w:rFonts w:ascii="Arial" w:cs="Arial" w:eastAsia="Arial" w:hAnsi="Arial"/>
          <w:sz w:val="15"/>
          <w:szCs w:val="15"/>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82" w:name="page83"/>
    <w:bookmarkEnd w:id="8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enter into an indenture or indentures supplemental hereto in form satisfactory to the Trustee for one or more of the following purposes:</w:t>
      </w:r>
    </w:p>
    <w:p>
      <w:pPr>
        <w:spacing w:after="0" w:line="140" w:lineRule="exact"/>
        <w:rPr>
          <w:sz w:val="20"/>
          <w:szCs w:val="20"/>
          <w:color w:val="auto"/>
        </w:rPr>
      </w:pPr>
    </w:p>
    <w:p>
      <w:pPr>
        <w:ind w:left="700" w:hanging="236"/>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194"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9;</w:t>
      </w:r>
    </w:p>
    <w:p>
      <w:pPr>
        <w:spacing w:after="0" w:line="131" w:lineRule="exact"/>
        <w:rPr>
          <w:rFonts w:ascii="Arial" w:cs="Arial" w:eastAsia="Arial" w:hAnsi="Arial"/>
          <w:sz w:val="18"/>
          <w:szCs w:val="18"/>
          <w:color w:val="auto"/>
        </w:rPr>
      </w:pPr>
    </w:p>
    <w:p>
      <w:pPr>
        <w:ind w:firstLine="464"/>
        <w:spacing w:after="0" w:line="290"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18" w:lineRule="exact"/>
        <w:rPr>
          <w:rFonts w:ascii="Arial" w:cs="Arial" w:eastAsia="Arial" w:hAnsi="Arial"/>
          <w:sz w:val="16"/>
          <w:szCs w:val="16"/>
          <w:color w:val="auto"/>
        </w:rPr>
      </w:pPr>
    </w:p>
    <w:p>
      <w:pPr>
        <w:ind w:right="560" w:firstLine="464"/>
        <w:spacing w:after="0" w:line="306"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conform this Indenture or any supplemental indenture to the description of the Securities set forth in any prospectus or prospectus supplement related to such series of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83" w:name="page84"/>
    <w:bookmarkEnd w:id="83"/>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establish the form or terms of Securities of any series as permitted by Sections 2.01 and 2.03;</w:t>
      </w:r>
    </w:p>
    <w:p>
      <w:pPr>
        <w:spacing w:after="0" w:line="171" w:lineRule="exact"/>
        <w:rPr>
          <w:rFonts w:ascii="Arial" w:cs="Arial" w:eastAsia="Arial" w:hAnsi="Arial"/>
          <w:sz w:val="18"/>
          <w:szCs w:val="18"/>
          <w:color w:val="auto"/>
        </w:rPr>
      </w:pPr>
    </w:p>
    <w:p>
      <w:pPr>
        <w:jc w:val="both"/>
        <w:ind w:right="160" w:firstLine="464"/>
        <w:spacing w:after="0" w:line="259" w:lineRule="auto"/>
        <w:tabs>
          <w:tab w:leader="none" w:pos="6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to make any other change that is necessary or desirable; </w:t>
      </w:r>
      <w:r>
        <w:rPr>
          <w:rFonts w:ascii="Arial" w:cs="Arial" w:eastAsia="Arial" w:hAnsi="Arial"/>
          <w:sz w:val="18"/>
          <w:szCs w:val="18"/>
          <w:i w:val="1"/>
          <w:iCs w:val="1"/>
          <w:color w:val="auto"/>
        </w:rPr>
        <w:t>provided</w:t>
      </w:r>
      <w:r>
        <w:rPr>
          <w:rFonts w:ascii="Arial" w:cs="Arial" w:eastAsia="Arial" w:hAnsi="Arial"/>
          <w:sz w:val="18"/>
          <w:szCs w:val="18"/>
          <w:color w:val="auto"/>
        </w:rPr>
        <w:t>, that no such action shall adversely affect the interests of the Holders of the Securities in any material respect;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8.02</w:t>
      </w:r>
      <w:r>
        <w:rPr>
          <w:rFonts w:ascii="Arial" w:cs="Arial" w:eastAsia="Arial" w:hAnsi="Arial"/>
          <w:sz w:val="16"/>
          <w:szCs w:val="16"/>
          <w:i w:val="1"/>
          <w:iCs w:val="1"/>
          <w:color w:val="auto"/>
        </w:rPr>
        <w:t>. 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84" w:name="page85"/>
    <w:bookmarkEnd w:id="8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Section 5.02, or alter the provisions of Section 11.11 or 11.12, or impair or affect the right of any Securityholder to institute suit for the payment or conversion thereof or, in the case of convertible or exchangeable Securities, materially and adversely affect the right to convert or exchange the Securities in accordance with their terms or, if the Securities provide therefor, any right of repayment at the option of the Securityholder, or modify any of the provisions of this paragraph except to increase any required percentage or to provide that certain other provisions cannot be modified or waived without the consent of the Holder of each Security so affected; </w:t>
      </w:r>
      <w:r>
        <w:rPr>
          <w:rFonts w:ascii="Arial" w:cs="Arial" w:eastAsia="Arial" w:hAnsi="Arial"/>
          <w:sz w:val="16"/>
          <w:szCs w:val="16"/>
          <w:i w:val="1"/>
          <w:iCs w:val="1"/>
          <w:color w:val="auto"/>
        </w:rPr>
        <w:t>provided</w:t>
      </w:r>
      <w:r>
        <w:rPr>
          <w:rFonts w:ascii="Arial" w:cs="Arial" w:eastAsia="Arial" w:hAnsi="Arial"/>
          <w:sz w:val="16"/>
          <w:szCs w:val="16"/>
          <w:color w:val="auto"/>
        </w:rPr>
        <w:t>, that no consent of any Holder of any Security shall be necessary under this Section 8.02 to permit the Trustee and the Issuer to execute supplemental indentures pursuant to Section 8.01(e) of this Indenture, or (b) reduce the aforesaid percentage of Securities of any series, the consent of the Holders of which is required for any such supplemental indenture.</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a notice thereof to the Holders of then Outstanding Securities of each series affected thereby, by mailing a notice thereof by first-class mail to such Holders at their addresses as they shall appear on the Security register, and in each case such notice shall set forth in general terms the substance of such supplemental indenture. Any failure of the Issuer to mail such notice, or any defect therein, shall not, however, in any way impair or affect the validity of any such supplemental indenture.</w:t>
      </w:r>
    </w:p>
    <w:p>
      <w:pPr>
        <w:spacing w:after="0" w:line="143"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Effect of Supplemental Indenture.</w:t>
      </w:r>
      <w:r>
        <w:rPr>
          <w:rFonts w:ascii="Arial" w:cs="Arial" w:eastAsia="Arial" w:hAnsi="Arial"/>
          <w:sz w:val="18"/>
          <w:szCs w:val="18"/>
          <w:color w:val="auto"/>
        </w:rPr>
        <w:t xml:space="preserve"> Upon the execution of any supplemental indenture pursuant to the provisions hereof, this Indenture shall 45</w:t>
      </w:r>
    </w:p>
    <w:p>
      <w:pPr>
        <w:sectPr>
          <w:pgSz w:w="11900" w:h="16838" w:orient="portrait"/>
          <w:cols w:equalWidth="0" w:num="1">
            <w:col w:w="11340"/>
          </w:cols>
          <w:pgMar w:left="240" w:top="280" w:right="319" w:bottom="1440" w:gutter="0" w:footer="0" w:header="0"/>
        </w:sectPr>
      </w:pPr>
    </w:p>
    <w:bookmarkStart w:id="85" w:name="page86"/>
    <w:bookmarkEnd w:id="85"/>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 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8.05</w:t>
      </w:r>
      <w:r>
        <w:rPr>
          <w:rFonts w:ascii="Arial" w:cs="Arial" w:eastAsia="Arial" w:hAnsi="Arial"/>
          <w:sz w:val="16"/>
          <w:szCs w:val="16"/>
          <w:i w:val="1"/>
          <w:iCs w:val="1"/>
          <w:color w:val="auto"/>
        </w:rPr>
        <w:t>. 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9.01</w:t>
      </w:r>
      <w:r>
        <w:rPr>
          <w:rFonts w:ascii="Arial" w:cs="Arial" w:eastAsia="Arial" w:hAnsi="Arial"/>
          <w:sz w:val="16"/>
          <w:szCs w:val="16"/>
          <w:i w:val="1"/>
          <w:iCs w:val="1"/>
          <w:color w:val="auto"/>
        </w:rPr>
        <w:t>. Issuer May Consolidate, Etc., on Certain Terms.</w:t>
      </w:r>
      <w:r>
        <w:rPr>
          <w:rFonts w:ascii="Arial" w:cs="Arial" w:eastAsia="Arial" w:hAnsi="Arial"/>
          <w:sz w:val="16"/>
          <w:szCs w:val="16"/>
          <w:color w:val="auto"/>
        </w:rPr>
        <w:t xml:space="preserve"> The Issuer covenants that it will not merge or consolidate with any other corporation or sell or convey (including by way of lease) all or substantially all of its assets to any Person, unless (a) either the Issuer shall be the continuing corporation, or the successor corporation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including, without limitation, the conversion rights, if any, provided for in accordance with the terms of the Securities, by supplemental indenture satisfactory to the Trustee, executed and delivered to the Trustee by such corporation or entity, and shall be a corporation or entity organized under the laws of the United States of America or any State thereof or a corporation or entity not organized under such laws which shall agree, in form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86" w:name="page87"/>
    <w:bookmarkEnd w:id="8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satisfactory to the Trustee, (i) to subject itself to the jurisdiction of the United States district court for the Southern District of New York, and (ii) to indemnify and hold harmless the holders of all Securities against (A) any tax, assessment or governmental charge imposed on such holders by a jurisdiction other than the United States or any political subdivision or taxing authority thereof or therein with respect to, and withheld on the making of, any payment of principal of or interest on such Securities and which would not have been so imposed and withheld had such consolidation, merger, sale or conveyance not been made and (B) any tax, assessment or governmental charge imposed on or relating to, and any costs or expenses involved in, such consolidation, merger, sale or conveyance, (b) the Issuer or such successor corporation or entity, as the case may be, shall not, immediately after such merger or consolidation, or such sale or conveyance, be in default in the performance of any such covenant or condition, and (c) the Issuer delivers to the trustee an officers’ certificate and opinion of counsel, in each case stating that such consolidation, merger, or transfer and such supplemental indenture complies with this Section 9.01 and that all conditions precedent provided for in the Indenture and the Securities relating to such transaction have been complied with.</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restrictions in this Section 9.01 shall not, however,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 pursuant to Section 251(g) (or any successor provision) of the General Corporation Law of the State of Delaware.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9.02</w:t>
      </w:r>
      <w:r>
        <w:rPr>
          <w:rFonts w:ascii="Arial" w:cs="Arial" w:eastAsia="Arial" w:hAnsi="Arial"/>
          <w:sz w:val="16"/>
          <w:szCs w:val="16"/>
          <w:i w:val="1"/>
          <w:iCs w:val="1"/>
          <w:color w:val="auto"/>
        </w:rPr>
        <w:t>. Successor Issuer Substituted.</w:t>
      </w:r>
      <w:r>
        <w:rPr>
          <w:rFonts w:ascii="Arial" w:cs="Arial" w:eastAsia="Arial" w:hAnsi="Arial"/>
          <w:sz w:val="16"/>
          <w:szCs w:val="16"/>
          <w:color w:val="auto"/>
        </w:rPr>
        <w:t xml:space="preserve">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87" w:name="page88"/>
    <w:bookmarkEnd w:id="87"/>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such consolidation, merger, sale, lease or conveyance, such changes in phraseology and form (but not in substance) may be made in the Securities thereafter to be issued as may be appropriate.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Section 9.03</w:t>
      </w:r>
      <w:r>
        <w:rPr>
          <w:rFonts w:ascii="Arial" w:cs="Arial" w:eastAsia="Arial" w:hAnsi="Arial"/>
          <w:sz w:val="16"/>
          <w:szCs w:val="16"/>
          <w:i w:val="1"/>
          <w:iCs w:val="1"/>
          <w:color w:val="auto"/>
        </w:rPr>
        <w:t>. Opinion of Counsel and Officers’ Certificate to Trustee.</w:t>
      </w:r>
      <w:r>
        <w:rPr>
          <w:rFonts w:ascii="Arial" w:cs="Arial" w:eastAsia="Arial" w:hAnsi="Arial"/>
          <w:sz w:val="16"/>
          <w:szCs w:val="16"/>
          <w:color w:val="auto"/>
        </w:rPr>
        <w:t xml:space="preserve"> The Trustee, subject to the provisions of Sections 6.01 and 6.02, may receive an Opinion of Counsel and an Officers’ Certificate, prepared in accordance with Section 11.05, as conclusive evidence that any such consolidation, merger, sale, lease or conveyance, and any such assumption, and any such liquidation or dissolution, complies with the applicable provisions of this Indenture.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10.01</w:t>
      </w:r>
      <w:r>
        <w:rPr>
          <w:rFonts w:ascii="Arial" w:cs="Arial" w:eastAsia="Arial" w:hAnsi="Arial"/>
          <w:sz w:val="16"/>
          <w:szCs w:val="16"/>
          <w:i w:val="1"/>
          <w:iCs w:val="1"/>
          <w:color w:val="auto"/>
        </w:rPr>
        <w:t>. Satisfaction and Discharge of Indenture.</w:t>
      </w:r>
      <w:r>
        <w:rPr>
          <w:rFonts w:ascii="Arial" w:cs="Arial" w:eastAsia="Arial" w:hAnsi="Arial"/>
          <w:sz w:val="16"/>
          <w:szCs w:val="16"/>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in the case of any series of Securities the exact amount (including the currency of payment) of principal of and interest due on which on the dates referred to in clause (B) below can be determined at the time of making the deposit referred to in such clause,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10.04) or, in the case of any series of Securities the payments on which may only be made in Dollars, direct obligations of the United States of America, backed by its full faith and credit (“</w:t>
      </w:r>
      <w:r>
        <w:rPr>
          <w:rFonts w:ascii="Arial" w:cs="Arial" w:eastAsia="Arial" w:hAnsi="Arial"/>
          <w:sz w:val="16"/>
          <w:szCs w:val="16"/>
          <w:b w:val="1"/>
          <w:bCs w:val="1"/>
          <w:color w:val="auto"/>
        </w:rPr>
        <w:t>U.S. Government Obligations</w:t>
      </w:r>
      <w:r>
        <w:rPr>
          <w:rFonts w:ascii="Arial" w:cs="Arial" w:eastAsia="Arial" w:hAnsi="Arial"/>
          <w:sz w:val="16"/>
          <w:szCs w:val="16"/>
          <w:color w:val="auto"/>
        </w:rPr>
        <w:t>”), maturing as to principal and interest in such amounts and at such times as will insure the availability of cash sufficient to pay on any subsequent interest payment date all interest due on such interest payment date on the Securities of such series and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88" w:name="page89"/>
    <w:bookmarkEnd w:id="8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and interest due or to become due to such date of maturity, as the case may be, and if, in any such case,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(including the Trustee’s rights under Section 10.05) and immunities of the Trustee hereunder and the Trustee’s obligations under Sections 10.02 and 10.04, (5) the rights of the Holders of Securities of such series as beneficiaries hereof with respect to the property so deposited with the Trustee payable to all or any of them and (6)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w:t>
      </w:r>
      <w:r>
        <w:rPr>
          <w:rFonts w:ascii="Arial" w:cs="Arial" w:eastAsia="Arial" w:hAnsi="Arial"/>
          <w:sz w:val="16"/>
          <w:szCs w:val="16"/>
          <w:i w:val="1"/>
          <w:iCs w:val="1"/>
          <w:color w:val="auto"/>
        </w:rPr>
        <w:t>provided</w:t>
      </w:r>
      <w:r>
        <w:rPr>
          <w:rFonts w:ascii="Arial" w:cs="Arial" w:eastAsia="Arial" w:hAnsi="Arial"/>
          <w:sz w:val="16"/>
          <w:szCs w:val="16"/>
          <w:color w:val="auto"/>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4" w:lineRule="exact"/>
        <w:rPr>
          <w:sz w:val="20"/>
          <w:szCs w:val="20"/>
          <w:color w:val="auto"/>
        </w:rPr>
      </w:pPr>
    </w:p>
    <w:p>
      <w:pPr>
        <w:ind w:right="20" w:firstLine="464"/>
        <w:spacing w:after="0" w:line="283"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subsequently due on which can be determined at the time of making the deposit referred to in clause (vi)(A)(1) below, the Issuer shall be deemed to have paid and discharged the entire Debt on all the Securities of such a series on the 121st day after the date of the deposit referred to in subparagraph (vi)(A)(1) below, and the provisions of this Indenture with respect to the Securities of such series shall no longer be in effect (except as to (i) rights of registration of transfer, conversion and exchange of Securities of such series,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substitution of apparently mutilated, defaced, destroyed, lost or stolen Securities, (iii) rights of Holders of Securities to receive payments of principal thereof</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89" w:name="page90"/>
    <w:bookmarkEnd w:id="89"/>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thereon, upon the original stated due dates therefor (but not upon acceleration) and remaining rights of the Holders to receive sinking fund payments, if any, (iv) the rights (including the Trustee’s rights under Section 10.05) and immunities of the Trustee hereunder and the Trustee’s obligations with respect to the Securities of such series under Sections 10.02 and 10.04, (v) the rights of the Holders of Securities of such series as beneficiaries hereof with respect to the property so deposited with the Trustee payable to all or any of them and (vi) the obligations of the Issuer under Section 3.02) and the Trustee, at the expense of the Issuer, shall at the Issuer’s request, execute proper instruments acknowledging the same, if</w:t>
      </w:r>
    </w:p>
    <w:p>
      <w:pPr>
        <w:spacing w:after="0" w:line="35" w:lineRule="exact"/>
        <w:rPr>
          <w:sz w:val="20"/>
          <w:szCs w:val="20"/>
          <w:color w:val="auto"/>
        </w:rPr>
      </w:pPr>
    </w:p>
    <w:p>
      <w:pPr>
        <w:jc w:val="both"/>
        <w:ind w:left="920" w:right="20" w:firstLine="421"/>
        <w:spacing w:after="0" w:line="305" w:lineRule="auto"/>
        <w:tabs>
          <w:tab w:leader="none" w:pos="1627" w:val="left"/>
        </w:tabs>
        <w:numPr>
          <w:ilvl w:val="1"/>
          <w:numId w:val="55"/>
        </w:numPr>
        <w:rPr>
          <w:rFonts w:ascii="Arial" w:cs="Arial" w:eastAsia="Arial" w:hAnsi="Arial"/>
          <w:sz w:val="15"/>
          <w:szCs w:val="15"/>
          <w:color w:val="auto"/>
        </w:rPr>
      </w:pPr>
      <w:r>
        <w:rPr>
          <w:rFonts w:ascii="Arial" w:cs="Arial" w:eastAsia="Arial" w:hAnsi="Arial"/>
          <w:sz w:val="15"/>
          <w:szCs w:val="15"/>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(1) cash in an amount, or</w:t>
      </w:r>
    </w:p>
    <w:p>
      <w:pPr>
        <w:ind w:left="920" w:firstLine="1"/>
        <w:spacing w:after="0" w:line="315" w:lineRule="auto"/>
        <w:tabs>
          <w:tab w:leader="none" w:pos="1169"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case of any series of Securities the payments on which may only be made in Dollars, U.S. Government Obligations, maturing as to principal and interest at such times and in such amounts as will insure the availability of cash or (3) a combination thereof, sufficient, in the opinion of a nationally recognized firm of independent public accountants expressed in a written certification thereof delivered to the Trustee, to pay (x) the principal and interest on all Securities of such series on the date that such principal or interest is due and payable and (y) any mandatory sinking fund payments on the day on which such payments are due and payable in accordance with the terms of the Indenture and the Securities of such series;</w:t>
      </w:r>
    </w:p>
    <w:p>
      <w:pPr>
        <w:spacing w:after="0" w:line="23" w:lineRule="exact"/>
        <w:rPr>
          <w:rFonts w:ascii="Arial" w:cs="Arial" w:eastAsia="Arial" w:hAnsi="Arial"/>
          <w:sz w:val="15"/>
          <w:szCs w:val="15"/>
          <w:color w:val="auto"/>
        </w:rPr>
      </w:pPr>
    </w:p>
    <w:p>
      <w:pPr>
        <w:ind w:left="920" w:right="220" w:firstLine="421"/>
        <w:spacing w:after="0" w:line="268" w:lineRule="auto"/>
        <w:tabs>
          <w:tab w:leader="none" w:pos="16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50" w:lineRule="exact"/>
        <w:rPr>
          <w:rFonts w:ascii="Arial" w:cs="Arial" w:eastAsia="Arial" w:hAnsi="Arial"/>
          <w:sz w:val="18"/>
          <w:szCs w:val="18"/>
          <w:color w:val="auto"/>
        </w:rPr>
      </w:pPr>
    </w:p>
    <w:p>
      <w:pPr>
        <w:ind w:left="920" w:firstLine="421"/>
        <w:spacing w:after="0" w:line="255" w:lineRule="auto"/>
        <w:tabs>
          <w:tab w:leader="none" w:pos="16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independent legal counsel satisfactory to the Trustee to the effect that the Issuer has received from, or there has been published by, the Internal Revenue Service a ruling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61" w:lineRule="exact"/>
        <w:rPr>
          <w:rFonts w:ascii="Arial" w:cs="Arial" w:eastAsia="Arial" w:hAnsi="Arial"/>
          <w:sz w:val="18"/>
          <w:szCs w:val="18"/>
          <w:color w:val="auto"/>
        </w:rPr>
      </w:pPr>
    </w:p>
    <w:p>
      <w:pPr>
        <w:ind w:left="1620" w:hanging="279"/>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90" w:name="page91"/>
    <w:bookmarkEnd w:id="90"/>
    <w:p>
      <w:pPr>
        <w:ind w:left="92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 provided for relating to the defeasance contemplated by this provision have been complied with, and the Opinion of Counsel shall also state that such deposit does not violate applicable law.</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Application by Trustee of Funds Deposited for Payment of Securities.</w:t>
      </w:r>
      <w:r>
        <w:rPr>
          <w:rFonts w:ascii="Arial" w:cs="Arial" w:eastAsia="Arial" w:hAnsi="Arial"/>
          <w:sz w:val="18"/>
          <w:szCs w:val="18"/>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10.03</w:t>
      </w:r>
      <w:r>
        <w:rPr>
          <w:rFonts w:ascii="Arial" w:cs="Arial" w:eastAsia="Arial" w:hAnsi="Arial"/>
          <w:sz w:val="16"/>
          <w:szCs w:val="16"/>
          <w:i w:val="1"/>
          <w:iCs w:val="1"/>
          <w:color w:val="auto"/>
        </w:rPr>
        <w:t>. Repayment of Moneys Held by Paying Agent.</w:t>
      </w:r>
      <w:r>
        <w:rPr>
          <w:rFonts w:ascii="Arial" w:cs="Arial" w:eastAsia="Arial" w:hAnsi="Arial"/>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0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Section 10.04</w:t>
      </w:r>
      <w:r>
        <w:rPr>
          <w:rFonts w:ascii="Arial" w:cs="Arial" w:eastAsia="Arial" w:hAnsi="Arial"/>
          <w:sz w:val="15"/>
          <w:szCs w:val="15"/>
          <w:i w:val="1"/>
          <w:iCs w:val="1"/>
          <w:color w:val="auto"/>
        </w:rPr>
        <w:t>. Return of Moneys Held by Trustee and Paying Agent Unclaimed for Two Years.</w:t>
      </w:r>
      <w:r>
        <w:rPr>
          <w:rFonts w:ascii="Arial" w:cs="Arial" w:eastAsia="Arial" w:hAnsi="Arial"/>
          <w:sz w:val="15"/>
          <w:szCs w:val="15"/>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Trustee or such paying agent, before being required to make any such repayment with respect to moneys deposited with it for any payment in respect of Securities of any series, shall at the expense of the Issuer mail by first-class mail to Holders of such Securities at their addresses as they shall appear on the Security register notice that such moneys remain and that, after a date specified therein, which shall not be less than 30 days from the date of such mailing or publication, any unclaimed balance of such money then remaining will be repaid to the Issuer.</w:t>
      </w:r>
    </w:p>
    <w:p>
      <w:pPr>
        <w:spacing w:after="0" w:line="10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Section 10.05</w:t>
      </w:r>
      <w:r>
        <w:rPr>
          <w:rFonts w:ascii="Arial" w:cs="Arial" w:eastAsia="Arial" w:hAnsi="Arial"/>
          <w:sz w:val="16"/>
          <w:szCs w:val="16"/>
          <w:i w:val="1"/>
          <w:iCs w:val="1"/>
          <w:color w:val="auto"/>
        </w:rPr>
        <w:t>. Indemnity for U.S. Government Obligations.</w:t>
      </w:r>
      <w:r>
        <w:rPr>
          <w:rFonts w:ascii="Arial" w:cs="Arial" w:eastAsia="Arial" w:hAnsi="Arial"/>
          <w:sz w:val="16"/>
          <w:szCs w:val="16"/>
          <w:color w:val="auto"/>
        </w:rPr>
        <w:t xml:space="preserve"> The Issuer shall pay and indemnify the Trustee against any tax, fee or other charge imposed on or assessed against the U.S. Government Obligations deposited pursuant to Section 10.01 or the principal or interest received in respect of such obligations.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91" w:name="page92"/>
    <w:bookmarkEnd w:id="9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Incorporators, Stockholders, Officers and Directors of Issuer Exempt from Individual Liability.</w:t>
      </w:r>
      <w:r>
        <w:rPr>
          <w:rFonts w:ascii="Arial" w:cs="Arial" w:eastAsia="Arial" w:hAnsi="Arial"/>
          <w:sz w:val="18"/>
          <w:szCs w:val="18"/>
          <w:color w:val="auto"/>
        </w:rPr>
        <w:t xml:space="preserve">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11.02</w:t>
      </w:r>
      <w:r>
        <w:rPr>
          <w:rFonts w:ascii="Arial" w:cs="Arial" w:eastAsia="Arial" w:hAnsi="Arial"/>
          <w:sz w:val="16"/>
          <w:szCs w:val="16"/>
          <w:i w:val="1"/>
          <w:iCs w:val="1"/>
          <w:color w:val="auto"/>
        </w:rPr>
        <w:t>. 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11.04</w:t>
      </w:r>
      <w:r>
        <w:rPr>
          <w:rFonts w:ascii="Arial" w:cs="Arial" w:eastAsia="Arial" w:hAnsi="Arial"/>
          <w:sz w:val="16"/>
          <w:szCs w:val="16"/>
          <w:i w:val="1"/>
          <w:iCs w:val="1"/>
          <w:color w:val="auto"/>
        </w:rPr>
        <w:t>. Notices and Demands on Issuer, Trustee and Holders of Securities.</w:t>
      </w:r>
      <w:r>
        <w:rPr>
          <w:rFonts w:ascii="Arial" w:cs="Arial" w:eastAsia="Arial" w:hAnsi="Arial"/>
          <w:sz w:val="16"/>
          <w:szCs w:val="16"/>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Texas Instruments Incorporated, Post Office Box 655474, Dallas, Texas 75265-5474, Attn: Secretary. Any notice, direction, request or demand by the Issuer or any Holder of Securities to or upon the Trustee shall be deemed to have been sufficiently given or made, for all purposes, if given or made at U.S. Bank National Association, EP-MN-WS3C, 60 Livingston Avenue, St. Paul, Minnesota, 55107-1419, Attn: Corporate Trust Services.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92" w:name="page93"/>
    <w:bookmarkEnd w:id="92"/>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this Indenture provides for notice to Holders of Securities, such notice shall be sufficiently given (unless otherwise herein expressly provided) if in writing and mailed, first-class postage prepaid, to each Holder entitled thereto, at his or her last address as it appears in the Security register. In any case where notice to such Holders is given by mail, neither the failure to mail such notice, nor any defect in any notice so mailed, to any particular Holder shall affect the sufficiency of such notice with respect to other Holders.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 Neither the failure to give notice, nor any defect in any notice so given, to any particular Holder of a Security shall affect the sufficiency of such notice with respect to other Holders of Securities given as provided above.</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11.05</w:t>
      </w:r>
      <w:r>
        <w:rPr>
          <w:rFonts w:ascii="Arial" w:cs="Arial" w:eastAsia="Arial" w:hAnsi="Arial"/>
          <w:sz w:val="18"/>
          <w:szCs w:val="18"/>
          <w:i w:val="1"/>
          <w:iCs w:val="1"/>
          <w:color w:val="auto"/>
        </w:rPr>
        <w:t>. 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93" w:name="page94"/>
    <w:bookmarkEnd w:id="93"/>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11.06</w:t>
      </w:r>
      <w:r>
        <w:rPr>
          <w:rFonts w:ascii="Arial" w:cs="Arial" w:eastAsia="Arial" w:hAnsi="Arial"/>
          <w:sz w:val="18"/>
          <w:szCs w:val="18"/>
          <w:i w:val="1"/>
          <w:iCs w:val="1"/>
          <w:color w:val="auto"/>
        </w:rPr>
        <w:t>. 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Section 11.07</w:t>
      </w:r>
      <w:r>
        <w:rPr>
          <w:rFonts w:ascii="Arial" w:cs="Arial" w:eastAsia="Arial" w:hAnsi="Arial"/>
          <w:sz w:val="18"/>
          <w:szCs w:val="18"/>
          <w:i w:val="1"/>
          <w:iCs w:val="1"/>
          <w:color w:val="auto"/>
        </w:rPr>
        <w:t>. 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94" w:name="page95"/>
    <w:bookmarkEnd w:id="94"/>
    <w:p>
      <w:pPr>
        <w:ind w:right="2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11.08</w:t>
      </w:r>
      <w:r>
        <w:rPr>
          <w:rFonts w:ascii="Arial" w:cs="Arial" w:eastAsia="Arial" w:hAnsi="Arial"/>
          <w:sz w:val="16"/>
          <w:szCs w:val="16"/>
          <w:i w:val="1"/>
          <w:iCs w:val="1"/>
          <w:color w:val="auto"/>
        </w:rPr>
        <w:t>. New York Law to Govern.</w:t>
      </w:r>
      <w:r>
        <w:rPr>
          <w:rFonts w:ascii="Arial" w:cs="Arial" w:eastAsia="Arial" w:hAnsi="Arial"/>
          <w:sz w:val="16"/>
          <w:szCs w:val="16"/>
          <w:color w:val="auto"/>
        </w:rPr>
        <w:t xml:space="preserve">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11.09</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11.10</w:t>
      </w:r>
      <w:r>
        <w:rPr>
          <w:rFonts w:ascii="Arial" w:cs="Arial" w:eastAsia="Arial" w:hAnsi="Arial"/>
          <w:sz w:val="18"/>
          <w:szCs w:val="18"/>
          <w:i w:val="1"/>
          <w:iCs w:val="1"/>
          <w:color w:val="auto"/>
        </w:rPr>
        <w:t>. 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11.11</w:t>
      </w:r>
      <w:r>
        <w:rPr>
          <w:rFonts w:ascii="Arial" w:cs="Arial" w:eastAsia="Arial" w:hAnsi="Arial"/>
          <w:sz w:val="16"/>
          <w:szCs w:val="16"/>
          <w:i w:val="1"/>
          <w:iCs w:val="1"/>
          <w:color w:val="auto"/>
        </w:rPr>
        <w:t>. Securities in a Foreign Currency.</w:t>
      </w:r>
      <w:r>
        <w:rPr>
          <w:rFonts w:ascii="Arial" w:cs="Arial" w:eastAsia="Arial" w:hAnsi="Arial"/>
          <w:sz w:val="16"/>
          <w:szCs w:val="16"/>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currency other than Dollars, then the principal amount of Securities of such series which shall be deemed to be Outstanding for the purpose of taking such action shall be that amount of Dollars that could be obtained for such amount at the Market Exchange Rate. For purposes of this Section 11.11, “</w:t>
      </w:r>
      <w:r>
        <w:rPr>
          <w:rFonts w:ascii="Arial" w:cs="Arial" w:eastAsia="Arial" w:hAnsi="Arial"/>
          <w:sz w:val="16"/>
          <w:szCs w:val="16"/>
          <w:b w:val="1"/>
          <w:bCs w:val="1"/>
          <w:color w:val="auto"/>
        </w:rPr>
        <w:t>Market Exchange Rate</w:t>
      </w:r>
      <w:r>
        <w:rPr>
          <w:rFonts w:ascii="Arial" w:cs="Arial" w:eastAsia="Arial" w:hAnsi="Arial"/>
          <w:sz w:val="16"/>
          <w:szCs w:val="16"/>
          <w:color w:val="auto"/>
        </w:rPr>
        <w:t>” shall mean the noon Dollar buying rate for that currency for cable transfers quoted in The City of New York as certified for customs purposes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for all purposes and irrevocably binding upon the Issuer and all Holders.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95" w:name="page96"/>
    <w:bookmarkEnd w:id="9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11.12</w:t>
      </w:r>
      <w:r>
        <w:rPr>
          <w:rFonts w:ascii="Arial" w:cs="Arial" w:eastAsia="Arial" w:hAnsi="Arial"/>
          <w:sz w:val="16"/>
          <w:szCs w:val="16"/>
          <w:i w:val="1"/>
          <w:iCs w:val="1"/>
          <w:color w:val="auto"/>
        </w:rPr>
        <w:t>. Judgment Currency.</w:t>
      </w:r>
      <w:r>
        <w:rPr>
          <w:rFonts w:ascii="Arial" w:cs="Arial" w:eastAsia="Arial" w:hAnsi="Arial"/>
          <w:sz w:val="16"/>
          <w:szCs w:val="16"/>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b w:val="1"/>
          <w:bCs w:val="1"/>
          <w:color w:val="auto"/>
        </w:rPr>
        <w:t>Judgment Currency</w:t>
      </w:r>
      <w:r>
        <w:rPr>
          <w:rFonts w:ascii="Arial" w:cs="Arial" w:eastAsia="Arial" w:hAnsi="Arial"/>
          <w:sz w:val="16"/>
          <w:szCs w:val="16"/>
          <w:color w:val="auto"/>
        </w:rPr>
        <w:t>”), the rate of exchange used shall be the rate at which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normal banking procedures the Trustee could purchase in The City of New York the Required Currency with the Judgment Currency on the New York Banking Day preceding that on which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b w:val="1"/>
          <w:bCs w:val="1"/>
          <w:color w:val="auto"/>
        </w:rPr>
        <w:t>New York Banking Day</w:t>
      </w:r>
      <w:r>
        <w:rPr>
          <w:rFonts w:ascii="Arial" w:cs="Arial" w:eastAsia="Arial" w:hAnsi="Arial"/>
          <w:sz w:val="16"/>
          <w:szCs w:val="16"/>
          <w:color w:val="auto"/>
        </w:rPr>
        <w:t>” means any day except a Saturday, Sunday or legal holiday in The City of New York or a day on which banking institutions in The City of New York are authorized or required by law or executive order to close.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12.02</w:t>
      </w:r>
      <w:r>
        <w:rPr>
          <w:rFonts w:ascii="Arial" w:cs="Arial" w:eastAsia="Arial" w:hAnsi="Arial"/>
          <w:sz w:val="16"/>
          <w:szCs w:val="16"/>
          <w:i w:val="1"/>
          <w:iCs w:val="1"/>
          <w:color w:val="auto"/>
        </w:rPr>
        <w:t>. 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96" w:name="page97"/>
    <w:bookmarkEnd w:id="96"/>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theretofore surrendered for conversion into Common Stock) at the appropriate redemption price, together with accrued interest to the date fixed for redemption. If any Security called for redemption is converted pursuant hereto,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70 days prior to the date fixed for redemption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23"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97" w:name="page98"/>
    <w:bookmarkEnd w:id="9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12.03</w:t>
      </w:r>
      <w:r>
        <w:rPr>
          <w:rFonts w:ascii="Arial" w:cs="Arial" w:eastAsia="Arial" w:hAnsi="Arial"/>
          <w:sz w:val="16"/>
          <w:szCs w:val="16"/>
          <w:i w:val="1"/>
          <w:iCs w:val="1"/>
          <w:color w:val="auto"/>
        </w:rPr>
        <w:t>. 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6.05 and 10.04, such Securities shall cease from and after the date fixed for redemption to be convertible into Common Stock, if applicable, and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98" w:name="page99"/>
    <w:bookmarkEnd w:id="98"/>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12.04</w:t>
      </w:r>
      <w:r>
        <w:rPr>
          <w:rFonts w:ascii="Arial" w:cs="Arial" w:eastAsia="Arial" w:hAnsi="Arial"/>
          <w:sz w:val="16"/>
          <w:szCs w:val="16"/>
          <w:i w:val="1"/>
          <w:iCs w:val="1"/>
          <w:color w:val="auto"/>
        </w:rPr>
        <w:t>. Exclusion of Certain Securities from Eligibility for Selection for Redemption.</w:t>
      </w:r>
      <w:r>
        <w:rPr>
          <w:rFonts w:ascii="Arial" w:cs="Arial" w:eastAsia="Arial" w:hAnsi="Arial"/>
          <w:sz w:val="16"/>
          <w:szCs w:val="16"/>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firstLine="8"/>
        <w:spacing w:after="0" w:line="288" w:lineRule="auto"/>
        <w:tabs>
          <w:tab w:leader="none" w:pos="23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99" w:name="page100"/>
    <w:bookmarkEnd w:id="9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00" w:name="page101"/>
    <w:bookmarkEnd w:id="10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Trustee is not the conversion agent for the Securities, the Issuer or such conversion agent shall give the Trustee written notice prior to the date fixed for redemption of the principal amount of Securities or portions thereof so converted.</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the next succeeding sinking fund payment date in accordance with this Section to the redemption of such Securities.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May 23, 2011.</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Daniel M. Drory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Assistant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U.S. BANK NATIONAL ASSOCIATION, Trustee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Joshua A. Hahn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Assistant Vice President</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9980"/>
          </w:cols>
          <w:pgMar w:left="700" w:top="280" w:right="1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23, 2011</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 to Section 2.01 and Section 2.03 of the Indenture the undersigned officer does hereby certify, in connection with the issuance of (i) $1,000,000,000 aggregate principal amount of Floating Rate Notes due 2013, (ii) $500,000,000 aggregate principal amount of 0.875% Notes due 2013 (the “</w:t>
      </w:r>
      <w:r>
        <w:rPr>
          <w:rFonts w:ascii="Arial" w:cs="Arial" w:eastAsia="Arial" w:hAnsi="Arial"/>
          <w:sz w:val="16"/>
          <w:szCs w:val="16"/>
          <w:b w:val="1"/>
          <w:bCs w:val="1"/>
          <w:color w:val="auto"/>
        </w:rPr>
        <w:t>2013 Notes</w:t>
      </w:r>
      <w:r>
        <w:rPr>
          <w:rFonts w:ascii="Arial" w:cs="Arial" w:eastAsia="Arial" w:hAnsi="Arial"/>
          <w:sz w:val="16"/>
          <w:szCs w:val="16"/>
          <w:color w:val="auto"/>
        </w:rPr>
        <w:t>”), (iii) $1,000,000,000 aggregate principal amount of 1.375% Notes due 2014 (the “</w:t>
      </w:r>
      <w:r>
        <w:rPr>
          <w:rFonts w:ascii="Arial" w:cs="Arial" w:eastAsia="Arial" w:hAnsi="Arial"/>
          <w:sz w:val="16"/>
          <w:szCs w:val="16"/>
          <w:b w:val="1"/>
          <w:bCs w:val="1"/>
          <w:color w:val="auto"/>
        </w:rPr>
        <w:t>2014 Notes</w:t>
      </w:r>
      <w:r>
        <w:rPr>
          <w:rFonts w:ascii="Arial" w:cs="Arial" w:eastAsia="Arial" w:hAnsi="Arial"/>
          <w:sz w:val="16"/>
          <w:szCs w:val="16"/>
          <w:color w:val="auto"/>
        </w:rPr>
        <w:t>”) and (iii) $1,000,000,000 aggregate principal amount of 2.375% Notes due 2016 (the “</w:t>
      </w:r>
      <w:r>
        <w:rPr>
          <w:rFonts w:ascii="Arial" w:cs="Arial" w:eastAsia="Arial" w:hAnsi="Arial"/>
          <w:sz w:val="16"/>
          <w:szCs w:val="16"/>
          <w:b w:val="1"/>
          <w:bCs w:val="1"/>
          <w:color w:val="auto"/>
        </w:rPr>
        <w:t>2016</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together with the Floating Rate Notes, the 2013 Notes and the 2014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Rate Notes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Floating Rate Notes due 2013</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 Instruments Incorporated</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140" w:lineRule="exact"/>
        <w:rPr>
          <w:sz w:val="20"/>
          <w:szCs w:val="20"/>
          <w:color w:val="auto"/>
        </w:rPr>
      </w:pPr>
    </w:p>
    <w:p>
      <w:pPr>
        <w:sectPr>
          <w:pgSz w:w="11900" w:h="16838" w:orient="portrait"/>
          <w:cols w:equalWidth="0" w:num="2">
            <w:col w:w="4020" w:space="44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$1,000,000,000</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15, 2013</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Three-month USD LIBOR plus 0.18% per annum</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23, 2011</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February 15, May 15, August 15 and November 15, commencing August 15, 2011</w:t>
      </w:r>
    </w:p>
    <w:p>
      <w:pPr>
        <w:spacing w:after="0" w:line="152"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2">
            <w:col w:w="3740" w:space="720"/>
            <w:col w:w="6960"/>
          </w:cols>
          <w:pgMar w:left="240" w:top="125"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-288290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The terms of the Floating Rate Notes shall include such other terms as are set forth in the forms of Floating Rate Notes attached hereto as </w:t>
      </w:r>
      <w:r>
        <w:rPr>
          <w:rFonts w:ascii="Arial" w:cs="Arial" w:eastAsia="Arial" w:hAnsi="Arial"/>
          <w:sz w:val="16"/>
          <w:szCs w:val="16"/>
          <w:b w:val="1"/>
          <w:bCs w:val="1"/>
          <w:color w:val="auto"/>
        </w:rPr>
        <w:t>Exhibits A and B</w:t>
      </w:r>
      <w:r>
        <w:rPr>
          <w:rFonts w:ascii="Arial" w:cs="Arial" w:eastAsia="Arial" w:hAnsi="Arial"/>
          <w:sz w:val="16"/>
          <w:szCs w:val="16"/>
          <w:color w:val="auto"/>
        </w:rPr>
        <w:t xml:space="preserve"> and in the Indenture.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0.875% Notes due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0.875%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on November 15, 2011</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may at its option redeem the 2013 Notes in whole or in part, at any time or from time to time prior to their maturity, on at least 30 days, but not more than 60 days, prior notice mailed to the registered address of each holder of the 2013 Notes, at a redemption price, calculated by the Issuer, equal to the greater of:</w:t>
      </w:r>
    </w:p>
    <w:p>
      <w:pPr>
        <w:spacing w:after="0" w:line="62" w:lineRule="exact"/>
        <w:rPr>
          <w:sz w:val="20"/>
          <w:szCs w:val="20"/>
          <w:color w:val="auto"/>
        </w:rPr>
      </w:pPr>
    </w:p>
    <w:p>
      <w:pPr>
        <w:ind w:left="220" w:hanging="215"/>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of the principal amount of the 2013 Notes being redeemed; and</w:t>
      </w:r>
    </w:p>
    <w:p>
      <w:pPr>
        <w:spacing w:after="0" w:line="90" w:lineRule="exact"/>
        <w:rPr>
          <w:rFonts w:ascii="Arial" w:cs="Arial" w:eastAsia="Arial" w:hAnsi="Arial"/>
          <w:sz w:val="18"/>
          <w:szCs w:val="18"/>
          <w:color w:val="auto"/>
        </w:rPr>
      </w:pPr>
    </w:p>
    <w:p>
      <w:pPr>
        <w:ind w:right="140" w:firstLine="5"/>
        <w:spacing w:after="0" w:line="259"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as of the date of redemption) discounted to the redemption date on a</w:t>
      </w:r>
    </w:p>
    <w:p>
      <w:pPr>
        <w:spacing w:after="0" w:line="14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020" w:space="440"/>
            <w:col w:w="6940"/>
          </w:cols>
          <w:pgMar w:left="240" w:top="388" w:right="259" w:bottom="1440" w:gutter="0" w:footer="0" w:header="0"/>
        </w:sectPr>
      </w:pPr>
    </w:p>
    <w:bookmarkStart w:id="104" w:name="page105"/>
    <w:bookmarkEnd w:id="104"/>
    <w:p>
      <w:pPr>
        <w:ind w:left="4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semiannual basis (assuming a 360-day year consisting of twelve 30-day months) of the 2013 Notes being redeemed at the Treasury Rate (as defined in the 2013 Notes) plus five basis points,</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420"/>
          </w:cols>
          <w:pgMar w:left="240" w:top="280" w:right="2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Mandatory Redemption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merger with National Semiconductor Corporation (“</w:t>
      </w:r>
      <w:r>
        <w:rPr>
          <w:rFonts w:ascii="Arial" w:cs="Arial" w:eastAsia="Arial" w:hAnsi="Arial"/>
          <w:sz w:val="16"/>
          <w:szCs w:val="16"/>
          <w:b w:val="1"/>
          <w:bCs w:val="1"/>
          <w:color w:val="auto"/>
        </w:rPr>
        <w:t>National</w:t>
      </w:r>
      <w:r>
        <w:rPr>
          <w:rFonts w:ascii="Arial" w:cs="Arial" w:eastAsia="Arial" w:hAnsi="Arial"/>
          <w:sz w:val="16"/>
          <w:szCs w:val="16"/>
          <w:color w:val="auto"/>
        </w:rPr>
        <w:t xml:space="preserve">”) has not closed by April 30, 2012, or such earlier date as the Merger Agreement with National is terminated, Texas Instruments Incorporated will redeem all of the 2013 Notes on the Special Mandatory Redemption Date (as defined in the form of 2013 Notes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at a redemption price equal to 101% of the aggregate principal amount of the 2013 Notes, plus accrued and unpaid interest from the date of the initial issuance (or the most recent interest payment date on which interest was paid) to but excluding the Special Mandatory Redemption Date.</w:t>
      </w:r>
    </w:p>
    <w:p>
      <w:pPr>
        <w:spacing w:after="0" w:line="65"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 xml:space="preserve">The terms of the 2013 Notes shall include such other terms as are set forth in the form of 2013 Notes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Notes</w:t>
      </w:r>
    </w:p>
    <w:p>
      <w:pPr>
        <w:sectPr>
          <w:pgSz w:w="11900" w:h="16838" w:orient="portrait"/>
          <w:cols w:equalWidth="0" w:num="1">
            <w:col w:w="11420"/>
          </w:cols>
          <w:pgMar w:left="240" w:top="280"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1.375% Notes due 2014</w:t>
      </w:r>
    </w:p>
    <w:p>
      <w:pPr>
        <w:spacing w:after="0" w:line="15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 Instruments Incorporated</w:t>
      </w:r>
    </w:p>
    <w:p>
      <w:pPr>
        <w:spacing w:after="0" w:line="15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140" w:lineRule="exact"/>
        <w:rPr>
          <w:sz w:val="20"/>
          <w:szCs w:val="20"/>
          <w:color w:val="auto"/>
        </w:rPr>
      </w:pPr>
    </w:p>
    <w:p>
      <w:pPr>
        <w:sectPr>
          <w:pgSz w:w="11900" w:h="16838" w:orient="portrait"/>
          <w:cols w:equalWidth="0" w:num="2">
            <w:col w:w="4020" w:space="44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$1,000,000,000</w:t>
      </w:r>
    </w:p>
    <w:p>
      <w:pPr>
        <w:spacing w:after="0" w:line="15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15, 2014</w:t>
      </w:r>
    </w:p>
    <w:p>
      <w:pPr>
        <w:spacing w:after="0" w:line="181" w:lineRule="exact"/>
        <w:rPr>
          <w:sz w:val="20"/>
          <w:szCs w:val="20"/>
          <w:color w:val="auto"/>
        </w:rPr>
      </w:pPr>
    </w:p>
    <w:p>
      <w:pPr>
        <w:sectPr>
          <w:pgSz w:w="11900" w:h="16838" w:orient="portrait"/>
          <w:cols w:equalWidth="0" w:num="2">
            <w:col w:w="3740" w:space="720"/>
            <w:col w:w="696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1.375%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-219710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on November 15, 2011</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may at its option redeem the 2014 Notes in whole or in part, at any time or from time to time prior to their maturity, on at least 30 days, but not more than 60 days, prior notice mailed to the registered address of each holder of the 2014 Notes, at a redemption price, calculated by the Issuer, equal to the greater of:</w:t>
      </w:r>
    </w:p>
    <w:p>
      <w:pPr>
        <w:spacing w:after="0" w:line="62" w:lineRule="exact"/>
        <w:rPr>
          <w:sz w:val="20"/>
          <w:szCs w:val="20"/>
          <w:color w:val="auto"/>
        </w:rPr>
      </w:pPr>
    </w:p>
    <w:p>
      <w:pPr>
        <w:ind w:left="220" w:hanging="215"/>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of the principal amount of the 2014 Notes being redeemed; and</w:t>
      </w:r>
    </w:p>
    <w:p>
      <w:pPr>
        <w:spacing w:after="0" w:line="90" w:lineRule="exact"/>
        <w:rPr>
          <w:rFonts w:ascii="Arial" w:cs="Arial" w:eastAsia="Arial" w:hAnsi="Arial"/>
          <w:sz w:val="18"/>
          <w:szCs w:val="18"/>
          <w:color w:val="auto"/>
        </w:rPr>
      </w:pPr>
    </w:p>
    <w:p>
      <w:pPr>
        <w:ind w:right="140" w:firstLine="5"/>
        <w:spacing w:after="0" w:line="255" w:lineRule="auto"/>
        <w:tabs>
          <w:tab w:leader="none" w:pos="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2014 Notes being redeemed at the Treasury Rate (as defined in the 2014 Notes) plus seven and one-half basis points,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25"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If the merger with National Semiconductor Corporation (“</w:t>
      </w:r>
      <w:r>
        <w:rPr>
          <w:rFonts w:ascii="Arial" w:cs="Arial" w:eastAsia="Arial" w:hAnsi="Arial"/>
          <w:sz w:val="15"/>
          <w:szCs w:val="15"/>
          <w:b w:val="1"/>
          <w:bCs w:val="1"/>
          <w:color w:val="auto"/>
        </w:rPr>
        <w:t>National</w:t>
      </w:r>
      <w:r>
        <w:rPr>
          <w:rFonts w:ascii="Arial" w:cs="Arial" w:eastAsia="Arial" w:hAnsi="Arial"/>
          <w:sz w:val="15"/>
          <w:szCs w:val="15"/>
          <w:color w:val="auto"/>
        </w:rPr>
        <w:t xml:space="preserve">”) has not closed by April 30, 2012, or such earlier date as the Merger Agreement with National is terminated, Texas Instruments Incorporated will redeem all of the 2014 Notes on the Special Mandatory Redemption Date (as defined in the forms of 2014 Notes attached hereto as </w:t>
      </w:r>
      <w:r>
        <w:rPr>
          <w:rFonts w:ascii="Arial" w:cs="Arial" w:eastAsia="Arial" w:hAnsi="Arial"/>
          <w:sz w:val="15"/>
          <w:szCs w:val="15"/>
          <w:b w:val="1"/>
          <w:bCs w:val="1"/>
          <w:color w:val="auto"/>
        </w:rPr>
        <w:t>Exhibits D and E</w:t>
      </w:r>
      <w:r>
        <w:rPr>
          <w:rFonts w:ascii="Arial" w:cs="Arial" w:eastAsia="Arial" w:hAnsi="Arial"/>
          <w:sz w:val="15"/>
          <w:szCs w:val="15"/>
          <w:color w:val="auto"/>
        </w:rPr>
        <w:t>) at a redemption price equal to 101% of the aggregate principal amount of the 2014 Notes, plus accrued and unpaid interest from the date of the initial issuance (or the most recent interest payment date on which interest was paid) to but excluding the Special Mandatory Redemption Date.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740" w:space="720"/>
            <w:col w:w="6940"/>
          </w:cols>
          <w:pgMar w:left="240" w:top="280"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$2,000 and multiples of $1,000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-219710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The terms of the 2014 Notes shall include such other terms as are set forth in the forms of 2014 Notes attached hereto as </w:t>
      </w:r>
      <w:r>
        <w:rPr>
          <w:rFonts w:ascii="Arial" w:cs="Arial" w:eastAsia="Arial" w:hAnsi="Arial"/>
          <w:sz w:val="18"/>
          <w:szCs w:val="18"/>
          <w:b w:val="1"/>
          <w:bCs w:val="1"/>
          <w:color w:val="auto"/>
        </w:rPr>
        <w:t>Exhibits D and E</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2.375% Notes due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16,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2.375%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on November 15, 2011</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may at its option redeem the 2016 Notes in whole or in part, at any time or from time to time prior to their maturity, on at least 30 days, but not more than 60 days, prior notice mailed to the registered address of each holder of the 2016 Notes, at a redemption price, calculated by the Issuer, equal to the greater of:</w:t>
      </w:r>
    </w:p>
    <w:p>
      <w:pPr>
        <w:spacing w:after="0" w:line="62" w:lineRule="exact"/>
        <w:rPr>
          <w:sz w:val="20"/>
          <w:szCs w:val="20"/>
          <w:color w:val="auto"/>
        </w:rPr>
      </w:pPr>
    </w:p>
    <w:p>
      <w:pPr>
        <w:ind w:left="220" w:hanging="215"/>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the principal amount of the 2016 Notes being redeemed; and</w:t>
      </w:r>
    </w:p>
    <w:p>
      <w:pPr>
        <w:spacing w:after="0" w:line="90" w:lineRule="exact"/>
        <w:rPr>
          <w:rFonts w:ascii="Arial" w:cs="Arial" w:eastAsia="Arial" w:hAnsi="Arial"/>
          <w:sz w:val="18"/>
          <w:szCs w:val="18"/>
          <w:color w:val="auto"/>
        </w:rPr>
      </w:pPr>
    </w:p>
    <w:p>
      <w:pPr>
        <w:ind w:right="140" w:firstLine="5"/>
        <w:spacing w:after="0" w:line="255" w:lineRule="auto"/>
        <w:tabs>
          <w:tab w:leader="none" w:pos="2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2016 Notes being redeemed at the Treasury Rate (as defined in the 2016 Notes) plus ten basis points,</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020" w:space="440"/>
            <w:col w:w="6940"/>
          </w:cols>
          <w:pgMar w:left="240" w:top="280" w:right="259" w:bottom="1440" w:gutter="0" w:footer="0" w:header="0"/>
        </w:sectPr>
      </w:pPr>
    </w:p>
    <w:bookmarkStart w:id="107" w:name="page108"/>
    <w:bookmarkEnd w:id="107"/>
    <w:p>
      <w:pPr>
        <w:ind w:left="4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plus, in each case, accrued interest thereon to the date of redemption.</w:t>
      </w:r>
    </w:p>
    <w:p>
      <w:pPr>
        <w:sectPr>
          <w:pgSz w:w="11900" w:h="16838" w:orient="portrait"/>
          <w:cols w:equalWidth="0" w:num="1">
            <w:col w:w="11400"/>
          </w:cols>
          <w:pgMar w:left="240" w:top="280" w:right="2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Mandatory Redemption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If the merger with National Semiconductor Corporation (“</w:t>
      </w:r>
      <w:r>
        <w:rPr>
          <w:rFonts w:ascii="Arial" w:cs="Arial" w:eastAsia="Arial" w:hAnsi="Arial"/>
          <w:sz w:val="15"/>
          <w:szCs w:val="15"/>
          <w:b w:val="1"/>
          <w:bCs w:val="1"/>
          <w:color w:val="auto"/>
        </w:rPr>
        <w:t>National</w:t>
      </w:r>
      <w:r>
        <w:rPr>
          <w:rFonts w:ascii="Arial" w:cs="Arial" w:eastAsia="Arial" w:hAnsi="Arial"/>
          <w:sz w:val="15"/>
          <w:szCs w:val="15"/>
          <w:color w:val="auto"/>
        </w:rPr>
        <w:t xml:space="preserve">”) has not closed by April 30, 2012, or such earlier date as the Merger Agreement with National is terminated, Texas Instruments Incorporated will redeem all of the 2016 Notes on the Special Mandatory Redemption Date (as defined in the forms of 2016 Notes attached hereto as </w:t>
      </w:r>
      <w:r>
        <w:rPr>
          <w:rFonts w:ascii="Arial" w:cs="Arial" w:eastAsia="Arial" w:hAnsi="Arial"/>
          <w:sz w:val="15"/>
          <w:szCs w:val="15"/>
          <w:b w:val="1"/>
          <w:bCs w:val="1"/>
          <w:color w:val="auto"/>
        </w:rPr>
        <w:t>Exhibits F and G</w:t>
      </w:r>
      <w:r>
        <w:rPr>
          <w:rFonts w:ascii="Arial" w:cs="Arial" w:eastAsia="Arial" w:hAnsi="Arial"/>
          <w:sz w:val="15"/>
          <w:szCs w:val="15"/>
          <w:color w:val="auto"/>
        </w:rPr>
        <w:t>) at a redemption price equal to 101% of the aggregate principal amount of the 2016 Notes, plus accrued and unpaid interest from the date of the initial issuance (or the most recent interest payment date on which interest was paid) to but excluding the Special Mandatory Redemption Date.</w:t>
      </w:r>
    </w:p>
    <w:p>
      <w:pPr>
        <w:spacing w:after="0" w:line="52"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 xml:space="preserve">The terms of the 2016 Notes shall include such other terms as are set forth in the forms of 2016 Notes attached hereto as </w:t>
      </w:r>
      <w:r>
        <w:rPr>
          <w:rFonts w:ascii="Arial" w:cs="Arial" w:eastAsia="Arial" w:hAnsi="Arial"/>
          <w:sz w:val="18"/>
          <w:szCs w:val="18"/>
          <w:b w:val="1"/>
          <w:bCs w:val="1"/>
          <w:color w:val="auto"/>
        </w:rPr>
        <w:t>Exhibits F and G</w:t>
      </w:r>
      <w:r>
        <w:rPr>
          <w:rFonts w:ascii="Arial" w:cs="Arial" w:eastAsia="Arial" w:hAnsi="Arial"/>
          <w:sz w:val="18"/>
          <w:szCs w:val="18"/>
          <w:color w:val="auto"/>
        </w:rPr>
        <w:t xml:space="preserve"> and in the Indenture.</w:t>
      </w:r>
    </w:p>
    <w:p>
      <w:pPr>
        <w:spacing w:after="0" w:line="132"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Floating Rate Notes, 2013 Notes, 2014 Notes or the 2016 Notes, as the case may be, issued on the issue date, other than with respect to the date of issuance and the issue price (together the “</w:t>
      </w:r>
      <w:r>
        <w:rPr>
          <w:rFonts w:ascii="Arial" w:cs="Arial" w:eastAsia="Arial" w:hAnsi="Arial"/>
          <w:sz w:val="16"/>
          <w:szCs w:val="16"/>
          <w:b w:val="1"/>
          <w:bCs w:val="1"/>
          <w:color w:val="auto"/>
        </w:rPr>
        <w:t>Additional Notes</w:t>
      </w:r>
      <w:r>
        <w:rPr>
          <w:rFonts w:ascii="Arial" w:cs="Arial" w:eastAsia="Arial" w:hAnsi="Arial"/>
          <w:sz w:val="16"/>
          <w:szCs w:val="16"/>
          <w:color w:val="auto"/>
        </w:rPr>
        <w:t>”). Any Additional Notes will be issued in accordance with Section 2.03 of the Indenture.</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TEXAS INSTRUMENTS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and Treasurer</w:t>
      </w:r>
    </w:p>
    <w:p>
      <w:pPr>
        <w:spacing w:after="0" w:line="18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80"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FLOATING RATE NOTES DUE 2013]</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Notes due 2013</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CUSIP No.: 882508 AS3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US882508AS30</w:t>
      </w:r>
    </w:p>
    <w:p>
      <w:pPr>
        <w:spacing w:after="0" w:line="200" w:lineRule="exact"/>
        <w:rPr>
          <w:sz w:val="20"/>
          <w:szCs w:val="20"/>
          <w:color w:val="auto"/>
        </w:rPr>
      </w:pPr>
    </w:p>
    <w:p>
      <w:pPr>
        <w:sectPr>
          <w:pgSz w:w="11900" w:h="16838" w:orient="portrait"/>
          <w:cols w:equalWidth="0" w:num="2">
            <w:col w:w="8820" w:space="720"/>
            <w:col w:w="1880"/>
          </w:cols>
          <w:pgMar w:left="240" w:top="274" w:right="239" w:bottom="1440" w:gutter="0" w:footer="0" w:header="0"/>
          <w:type w:val="continuous"/>
        </w:sectPr>
      </w:pPr>
    </w:p>
    <w:p>
      <w:pPr>
        <w:spacing w:after="0" w:line="42"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15, 2013.</w:t>
      </w:r>
    </w:p>
    <w:p>
      <w:pPr>
        <w:spacing w:after="0" w:line="12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Interest Payment Dates: February 15, May 15, August 15 and November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interest is due on a day that is not a business day, interest will be paid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August 15, 2011.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May 1, August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type w:val="continuous"/>
        </w:sectPr>
      </w:pPr>
    </w:p>
    <w:bookmarkStart w:id="111" w:name="page112"/>
    <w:bookmarkEnd w:id="11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280" w:right="51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80" w:right="1440" w:bottom="1440" w:gutter="0" w:footer="0" w:header="0"/>
        </w:sectPr>
      </w:pPr>
    </w:p>
    <w:bookmarkStart w:id="113" w:name="page114"/>
    <w:bookmarkEnd w:id="113"/>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Notes due 2013</w:t>
      </w:r>
    </w:p>
    <w:p>
      <w:pPr>
        <w:spacing w:after="0" w:line="20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Note at the rate per annum described herein. This Note will be payable on each Interest Payment Date commencing on August 15, 2011, to the person in whose name the Note is registered at the close of business on the preceding Interest Record Date. Interest payments for this Note shall be the amount of interest accrued from the date of issue or from the last interest payment date to, but excluding, the interest payment date. Interest on this Note will be calculated on the basis of a 360-day year, actual days elapsed.</w:t>
      </w:r>
    </w:p>
    <w:p>
      <w:pPr>
        <w:spacing w:after="0" w:line="10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The amount of interest for each day this Note is outstanding (the “</w:t>
      </w:r>
      <w:r>
        <w:rPr>
          <w:rFonts w:ascii="Arial" w:cs="Arial" w:eastAsia="Arial" w:hAnsi="Arial"/>
          <w:sz w:val="18"/>
          <w:szCs w:val="18"/>
          <w:b w:val="1"/>
          <w:bCs w:val="1"/>
          <w:color w:val="auto"/>
        </w:rPr>
        <w:t>daily interest amount</w:t>
      </w:r>
      <w:r>
        <w:rPr>
          <w:rFonts w:ascii="Arial" w:cs="Arial" w:eastAsia="Arial" w:hAnsi="Arial"/>
          <w:sz w:val="18"/>
          <w:szCs w:val="18"/>
          <w:color w:val="auto"/>
        </w:rPr>
        <w:t>”) will be calculated by dividing the interest rate in effect for that day by 360 and multiplying the result by the principal amount of this Note. The amount of interest to be paid on this Note on any interest payment date will be calculated by adding the daily interest amounts for each day in the interest period.</w:t>
      </w:r>
    </w:p>
    <w:p>
      <w:pPr>
        <w:spacing w:after="0" w:line="13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Note will bear interest for each interest period at a per annum rate equal to three-month USD LIBOR, as determined by the Calculation Agent on the Interest Determination Date (as defined below) for such period, plus 0.18%. Promptly upon determination, the Calculation Agent will inform the Trustee and the Issuer of the interest rate for the next interest period. Absent manifest error, the determination of the interest rate by the Calculation Agent shall be binding and conclusive on the Holder of the Note, the Trustee and the Issuer. The interest rate will in no event be higher than the maximum rate permitted by New York law as the same may be modified by United States law of general application.</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any Interest Determination Date, USD LIBOR will be equal to the offered rate for deposits in U.S. dollars having an index maturity of three months, in amounts of at least $1,000,000, as such rate appears on “Reuters Page LIBOR01” at approximately 11:00 a.m., London time, on such Interest Determination Date. If on an Interest Determination Date, such rate does not appear on the “Reuters Page LIBOR01” as of 11:00 a.m. (London time), or if the “Reuters Page LIBOR01” is not available on such date, the Trustee will obtain such rate from Bloomberg L.P.’s page “BBAM.”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14" w:name="page115"/>
    <w:bookmarkEnd w:id="11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offered rate appears on “Reuters Page LIBOR01” or Bloomberg L.P.’s page “BBAM” on an Interest Determination Date at approximately 11:00 a.m., London time, then the Calculation Agent (after consultation with the Issuer) will select four major banks in the London interbank market and shall request each of their principal London offices to provide a quotation of the rate at which three-month deposits in U.S. dollars in amounts of at least $1,000,000 are offered by it to prime banks in the London interbank market, on that date and at that time, that is representative of single transactions at that time. If at least two quotations are provided, USD LIBOR will be the arithmetic average of the quotations provided. Otherwise, the Calculation Agent will select three major banks in New York City and shall request each of them to provide a quotation of the rate offered by them at approximately 11:00 a.m., New York City time, on the Interest Determination Date for loans in U.S. dollars to leading European banks having an index maturity of three months for the applicable interest period in an amount of at least $1,000,000 that is representative of single transactions at that time. If three quotations are provided, USD LIBOR will be the arithmetic average of the quotations provided. Otherwise, the rate of USD LIBOR for the next interest period will be set equal to the rate of USD LIBOR for the then current interest period.</w:t>
      </w:r>
    </w:p>
    <w:p>
      <w:pPr>
        <w:spacing w:after="0" w:line="33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Upon request from the Holder of this Note, the Calculation Agent will provide the interest rate in effect on this Note for the current interest period and, if it has been determined, the interest rate to be in effect for the next interest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interest payable on Floating Rate Notes,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the calculation agent as appointed by Texas Instruments Incorporated, which initially shall be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Determination Date</w:t>
      </w:r>
      <w:r>
        <w:rPr>
          <w:rFonts w:ascii="Arial" w:cs="Arial" w:eastAsia="Arial" w:hAnsi="Arial"/>
          <w:sz w:val="16"/>
          <w:szCs w:val="16"/>
          <w:color w:val="auto"/>
        </w:rPr>
        <w:t>” with respect to an interest period will be the second London Business Day preceding the first day of the interest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is a day on which dealings in deposits in U.S. dollars are transacted in the London interbank market.</w:t>
      </w:r>
    </w:p>
    <w:p>
      <w:pPr>
        <w:spacing w:after="0" w:line="218"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jc w:val="center"/>
        <w:ind w:left="580" w:right="120"/>
        <w:spacing w:after="0" w:line="447"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13</w:t>
      </w:r>
    </w:p>
    <w:p>
      <w:pPr>
        <w:sectPr>
          <w:pgSz w:w="11900" w:h="16838" w:orient="portrait"/>
          <w:cols w:equalWidth="0" w:num="1">
            <w:col w:w="11400"/>
          </w:cols>
          <w:pgMar w:left="240" w:top="280" w:right="259" w:bottom="1440" w:gutter="0" w:footer="0" w:header="0"/>
        </w:sectPr>
      </w:pPr>
    </w:p>
    <w:bookmarkStart w:id="115" w:name="page116"/>
    <w:bookmarkEnd w:id="115"/>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Defined Terms.</w:t>
      </w:r>
    </w:p>
    <w:p>
      <w:pPr>
        <w:spacing w:after="0" w:line="165"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color w:val="auto"/>
        </w:rPr>
        <w:t>This Note is one of the Floating Rate Notes due 2013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16" w:name="page117"/>
    <w:bookmarkEnd w:id="116"/>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232"/>
        </w:trPr>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r>
      <w:tr>
        <w:trPr>
          <w:trHeight w:val="52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69" w:right="239" w:bottom="1440" w:gutter="0" w:footer="0" w:header="0"/>
        </w:sectPr>
      </w:pPr>
    </w:p>
    <w:bookmarkStart w:id="118" w:name="page119"/>
    <w:bookmarkEnd w:id="118"/>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80"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FLOATING RATE NOTES DUE 2013]</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Notes due 2013</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CUSIP No.: 882508 AS3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US882508AS30</w:t>
      </w:r>
    </w:p>
    <w:p>
      <w:pPr>
        <w:spacing w:after="0" w:line="134" w:lineRule="exact"/>
        <w:rPr>
          <w:sz w:val="20"/>
          <w:szCs w:val="20"/>
          <w:color w:val="auto"/>
        </w:rPr>
      </w:pPr>
    </w:p>
    <w:p>
      <w:pPr>
        <w:sectPr>
          <w:pgSz w:w="11900" w:h="16838" w:orient="portrait"/>
          <w:cols w:equalWidth="0" w:num="2">
            <w:col w:w="8820" w:space="720"/>
            <w:col w:w="188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15, 2013.</w:t>
      </w:r>
    </w:p>
    <w:p>
      <w:pPr>
        <w:spacing w:after="0" w:line="12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Interest Payment Dates: February 15, May 15, August 15 and November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interest is due on a day that is not a business day, interest will be paid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August 15, 2011.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May 1, August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type w:val="continuous"/>
        </w:sectPr>
      </w:pPr>
    </w:p>
    <w:bookmarkStart w:id="121" w:name="page122"/>
    <w:bookmarkEnd w:id="1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280" w:right="51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80" w:right="1440" w:bottom="1440" w:gutter="0" w:footer="0" w:header="0"/>
        </w:sectPr>
      </w:pPr>
    </w:p>
    <w:bookmarkStart w:id="123" w:name="page124"/>
    <w:bookmarkEnd w:id="123"/>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Notes due 2013</w:t>
      </w:r>
    </w:p>
    <w:p>
      <w:pPr>
        <w:spacing w:after="0" w:line="205"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Note at the rate per annum described herein. This Note will be payable on each Interest Payment Date commencing on August 15, 2011, to the person in whose name the Note is registered at the close of business on the preceding Interest Record Date. Interest payments for this Note shall be the amount of interest accrued from the date of issue or from the last interest payment date to, but excluding, the interest payment date. Interest on this Note will be calculated on the basis of a 360-day year, actual days elapsed.</w:t>
      </w:r>
    </w:p>
    <w:p>
      <w:pPr>
        <w:spacing w:after="0" w:line="10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The amount of interest for each day this Note is outstanding (the “</w:t>
      </w:r>
      <w:r>
        <w:rPr>
          <w:rFonts w:ascii="Arial" w:cs="Arial" w:eastAsia="Arial" w:hAnsi="Arial"/>
          <w:sz w:val="18"/>
          <w:szCs w:val="18"/>
          <w:b w:val="1"/>
          <w:bCs w:val="1"/>
          <w:color w:val="auto"/>
        </w:rPr>
        <w:t>daily interest amount</w:t>
      </w:r>
      <w:r>
        <w:rPr>
          <w:rFonts w:ascii="Arial" w:cs="Arial" w:eastAsia="Arial" w:hAnsi="Arial"/>
          <w:sz w:val="18"/>
          <w:szCs w:val="18"/>
          <w:color w:val="auto"/>
        </w:rPr>
        <w:t>”) will be calculated by dividing the interest rate in effect for that day by 360 and multiplying the result by the principal amount of this Note. The amount of interest to be paid on this Note on any interest payment date will be calculated by adding the daily interest amounts for each day in the interest period.</w:t>
      </w:r>
    </w:p>
    <w:p>
      <w:pPr>
        <w:spacing w:after="0" w:line="13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Note will bear interest for each interest period at a per annum rate equal to three-month USD LIBOR, as determined by the Calculation Agent on the Interest Determination Date (as defined below) for such period, plus 0.18%. Promptly upon determination, the Calculation Agent will inform the Trustee and the Issuer of the interest rate for the next interest period. Absent manifest error, the determination of the interest rate by the Calculation Agent shall be binding and conclusive on the Holder of the Note, the Trustee and the Issuer. The interest rate will in no event be higher than the maximum rate permitted by New York law as the same may be modified by United States law of general application.</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any Interest Determination Date, USD LIBOR will be equal to the offered rate for deposits in U.S. dollars having an index maturity of three months, in amounts of at least $1,000,000, as such rate appears on “Reuters Page LIBOR01” at approximately 11:00 a.m., London time, on such Interest Determination Date. If on an Interest Determination Date, such rate does not appear on the “Reuters Page LIBOR01” as of 11:00 a.m. (London time), or if the “Reuters Page LIBOR01” is not available on such date, the Trustee will obtain such rate from Bloomberg L.P.’s page “BBAM.”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24" w:name="page125"/>
    <w:bookmarkEnd w:id="12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offered rate appears on “Reuters Page LIBOR01” or Bloomberg L.P.’s page “BBAM” on an Interest Determination Date at approximately 11:00 a.m., London time, then the Calculation Agent (after consultation with the Issuer) will select four major banks in the London interbank market and shall request each of their principal London offices to provide a quotation of the rate at which three-month deposits in U.S. dollars in amounts of at least $1,000,000 are offered by it to prime banks in the London interbank market, on that date and at that time, that is representative of single transactions at that time. If at least two quotations are provided, USD LIBOR will be the arithmetic average of the quotations provided. Otherwise, the Calculation Agent will select three major banks in New York City and shall request each of them to provide a quotation of the rate offered by them at approximately 11:00 a.m., New York City time, on the Interest Determination Date for loans in U.S. dollars to leading European banks having an index maturity of three months for the applicable interest period in an amount of at least $1,000,000 that is representative of single transactions at that time. If three quotations are provided, USD LIBOR will be the arithmetic average of the quotations provided. Otherwise, the rate of USD LIBOR for the next interest period will be set equal to the rate of USD LIBOR for the then current interest period.</w:t>
      </w:r>
    </w:p>
    <w:p>
      <w:pPr>
        <w:spacing w:after="0" w:line="33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Upon request from the Holder of this Note, the Calculation Agent will provide the interest rate in effect on this Note for the current interest period and, if it has been determined, the interest rate to be in effect for the next interest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interest payable on Floating Rate Notes,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the calculation agent as appointed by Texas Instruments Incorporated, which initially shall be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Determination Date</w:t>
      </w:r>
      <w:r>
        <w:rPr>
          <w:rFonts w:ascii="Arial" w:cs="Arial" w:eastAsia="Arial" w:hAnsi="Arial"/>
          <w:sz w:val="16"/>
          <w:szCs w:val="16"/>
          <w:color w:val="auto"/>
        </w:rPr>
        <w:t>” with respect to an interest period will be the second London Business Day preceding the first day of the interest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is a day on which dealings in deposits in U.S. dollars are transacted in the London interbank market.</w:t>
      </w:r>
    </w:p>
    <w:p>
      <w:pPr>
        <w:spacing w:after="0" w:line="218"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jc w:val="center"/>
        <w:ind w:left="580" w:right="120"/>
        <w:spacing w:after="0" w:line="447"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23</w:t>
      </w:r>
    </w:p>
    <w:p>
      <w:pPr>
        <w:sectPr>
          <w:pgSz w:w="11900" w:h="16838" w:orient="portrait"/>
          <w:cols w:equalWidth="0" w:num="1">
            <w:col w:w="11400"/>
          </w:cols>
          <w:pgMar w:left="240" w:top="280" w:right="259" w:bottom="1440" w:gutter="0" w:footer="0" w:header="0"/>
        </w:sectPr>
      </w:pPr>
    </w:p>
    <w:bookmarkStart w:id="125" w:name="page126"/>
    <w:bookmarkEnd w:id="125"/>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Defined Terms.</w:t>
      </w:r>
    </w:p>
    <w:p>
      <w:pPr>
        <w:spacing w:after="0" w:line="165"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color w:val="auto"/>
        </w:rPr>
        <w:t>This Note is one of the Floating Rate Notes due 2013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26" w:name="page127"/>
    <w:bookmarkEnd w:id="126"/>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299"/>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128" w:name="page129"/>
    <w:bookmarkEnd w:id="128"/>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80"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2013]</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0.875% Notes due 2013</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CUSIP No.: 882508 AP9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US882508AP90</w:t>
      </w:r>
    </w:p>
    <w:p>
      <w:pPr>
        <w:spacing w:after="0" w:line="134" w:lineRule="exact"/>
        <w:rPr>
          <w:sz w:val="20"/>
          <w:szCs w:val="20"/>
          <w:color w:val="auto"/>
        </w:rPr>
      </w:pPr>
    </w:p>
    <w:p>
      <w:pPr>
        <w:sectPr>
          <w:pgSz w:w="11900" w:h="16838" w:orient="portrait"/>
          <w:cols w:equalWidth="0" w:num="2">
            <w:col w:w="8820" w:space="720"/>
            <w:col w:w="188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15,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type w:val="continuous"/>
        </w:sectPr>
      </w:pPr>
    </w:p>
    <w:bookmarkStart w:id="131" w:name="page132"/>
    <w:bookmarkEnd w:id="13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280" w:right="519"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280" w:right="1440"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0.875% Notes due 2013</w:t>
      </w:r>
    </w:p>
    <w:p>
      <w:pPr>
        <w:spacing w:after="0" w:line="212"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May 23, 2011. Interest on this Note will be paid to but excluding the relevant Interest Payment Date. The Issuer will pay interest semi-annually in arrears on each Interest Payment Date, commencing November 15, 2011 to the person in whose name the Note is registered at the close of business on the preceding Interest Record Date. Interest will be computed on the basis of a 360-day year consisting of twelve 30-day months in a manner consistent with Rule 11620(b) of the NASD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0.875% Notes due 2013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5"/>
          <w:szCs w:val="15"/>
          <w:b w:val="1"/>
          <w:bCs w:val="1"/>
          <w:color w:val="auto"/>
        </w:rPr>
        <w:t>TIA</w:t>
      </w:r>
      <w:r>
        <w:rPr>
          <w:rFonts w:ascii="Arial" w:cs="Arial" w:eastAsia="Arial" w:hAnsi="Arial"/>
          <w:sz w:val="15"/>
          <w:szCs w:val="15"/>
          <w:color w:val="auto"/>
        </w:rPr>
        <w:t>”) as in effect on the date on which the Indenture was qualified under the TIA. Notwithstanding anything to the contrary herein, the Notes are subject to all such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34" w:name="page135"/>
    <w:bookmarkEnd w:id="134"/>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Holders of Notes are referred to the Indenture and the TIA for a statement of them. To the extent the terms of the Indenture and this Note are inconsistent, the terms of the Indenture shall govern.</w:t>
      </w:r>
    </w:p>
    <w:p>
      <w:pPr>
        <w:spacing w:after="0" w:line="17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five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35" w:name="page136"/>
    <w:bookmarkEnd w:id="135"/>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Morgan Stanley &amp; Co. Incorporated and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36" w:lineRule="exact"/>
        <w:rPr>
          <w:sz w:val="20"/>
          <w:szCs w:val="20"/>
          <w:color w:val="auto"/>
        </w:rPr>
      </w:pPr>
    </w:p>
    <w:p>
      <w:pPr>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34</w:t>
      </w:r>
    </w:p>
    <w:p>
      <w:pPr>
        <w:sectPr>
          <w:pgSz w:w="11900" w:h="16838" w:orient="portrait"/>
          <w:cols w:equalWidth="0" w:num="1">
            <w:col w:w="11400"/>
          </w:cols>
          <w:pgMar w:left="240" w:top="280" w:right="259" w:bottom="1440" w:gutter="0" w:footer="0" w:header="0"/>
        </w:sectPr>
      </w:pPr>
    </w:p>
    <w:bookmarkStart w:id="136" w:name="page137"/>
    <w:bookmarkEnd w:id="13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Mandatory Redemption.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the Issuer will redeem all of the Notes on the Special Mandatory Redemption Date (as defined below) at a redemption price equal to 101% of the aggregate principal amount of the Notes, plus accrued and unpaid interest from the date of the initial issuance (or the most recent interest payment date on which interest was paid) to but excluding the Special Mandatory Redemption Date.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Notes to be redeemed on the Special Mandatory Redemption Date are deposited with a paying agent or the trustee on or before such Special Mandatory Redemption Date, on and after such Special Mandatory Redemption Date, interest will cease to accrue on the Notes and, other than the right to receive the Special Mandatory Redemption Price, all rights under the Notes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merger</w:t>
      </w:r>
      <w:r>
        <w:rPr>
          <w:rFonts w:ascii="Arial" w:cs="Arial" w:eastAsia="Arial" w:hAnsi="Arial"/>
          <w:sz w:val="18"/>
          <w:szCs w:val="18"/>
          <w:color w:val="auto"/>
        </w:rPr>
        <w:t>” means the Issuer’s acquisition of National Semiconductor Corporation as contemplated by the Merger Agreement.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National Semiconductor Corporation, Texas Instruments Incorporated and Orion Merger Corp. dated as of April 4, 2011, as amended from time to time in accordance with its terms.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2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means 101% of the aggregate principal amount of the Notes to be redeemed together with accrued and unpaid interest, if any, from the date of initial issuance (or the most recent interest payment date on which interest on the Notes was paid or duly provided for) to, but not including, the Special Mandatory Redemption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37" w:name="page138"/>
    <w:bookmarkEnd w:id="137"/>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38" w:name="page139"/>
    <w:bookmarkEnd w:id="138"/>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laws of the State of New York shall govern the Indenture and this Note thereof.</w:t>
      </w:r>
    </w:p>
    <w:p>
      <w:pPr>
        <w:spacing w:after="0" w:line="192"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765"/>
          </w:cols>
          <w:pgMar w:left="694" w:top="280"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313"/>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69" w:right="239" w:bottom="1440" w:gutter="0" w:footer="0" w:header="0"/>
        </w:sectPr>
      </w:pPr>
    </w:p>
    <w:bookmarkStart w:id="140" w:name="page141"/>
    <w:bookmarkEnd w:id="140"/>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80" w:right="2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2014]</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1.375% Notes due 2014</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882508 AQ7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US882508AQ73</w:t>
      </w:r>
    </w:p>
    <w:p>
      <w:pPr>
        <w:spacing w:after="0" w:line="134" w:lineRule="exact"/>
        <w:rPr>
          <w:sz w:val="20"/>
          <w:szCs w:val="20"/>
          <w:color w:val="auto"/>
        </w:rPr>
      </w:pPr>
    </w:p>
    <w:p>
      <w:pPr>
        <w:sectPr>
          <w:pgSz w:w="11900" w:h="16838" w:orient="portrait"/>
          <w:cols w:equalWidth="0" w:num="2">
            <w:col w:w="8780" w:space="720"/>
            <w:col w:w="192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15,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type w:val="continuous"/>
        </w:sectPr>
      </w:pPr>
    </w:p>
    <w:bookmarkStart w:id="143" w:name="page144"/>
    <w:bookmarkEnd w:id="1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240" w:top="280" w:right="519"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280" w:right="1440"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1.375% Notes due 2014</w:t>
      </w:r>
    </w:p>
    <w:p>
      <w:pPr>
        <w:spacing w:after="0" w:line="21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May 23, 2011. Interest on this Note will be paid to but excluding the relevant Interest Payment Date. The Issuer will pay interest semi-annually in arrears on each Interest Payment Date, commencing November 15, 2011 to the person in whose name the Note is registered at the close of business on the preceding Interest Record Date. Interest will be computed on the basis of a 360-day year consisting of twelve 30-day months in a manner consistent with Rule 11620(b) of the NASD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1.375% Notes due 2014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5"/>
          <w:szCs w:val="15"/>
          <w:b w:val="1"/>
          <w:bCs w:val="1"/>
          <w:color w:val="auto"/>
        </w:rPr>
        <w:t>TIA</w:t>
      </w:r>
      <w:r>
        <w:rPr>
          <w:rFonts w:ascii="Arial" w:cs="Arial" w:eastAsia="Arial" w:hAnsi="Arial"/>
          <w:sz w:val="15"/>
          <w:szCs w:val="15"/>
          <w:color w:val="auto"/>
        </w:rPr>
        <w:t>”) as in effect on the date on which the Indenture was qualified under the TIA. Notwithstanding anything to the contrary herein, the Notes are subject to all such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146" w:name="page147"/>
    <w:bookmarkEnd w:id="146"/>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Holders of Notes are referred to the Indenture and the TIA for a statement of them. To the extent the terms of the Indenture and this Note are inconsistent, the terms of the Indenture shall govern.</w:t>
      </w:r>
    </w:p>
    <w:p>
      <w:pPr>
        <w:spacing w:after="0" w:line="17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seven and one-half basis points,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plus in each case accrued interest thereon to the date of redemption.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Morgan Stanley &amp; Co. Incorporated and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36" w:lineRule="exact"/>
        <w:rPr>
          <w:sz w:val="20"/>
          <w:szCs w:val="20"/>
          <w:color w:val="auto"/>
        </w:rPr>
      </w:pPr>
    </w:p>
    <w:p>
      <w:pPr>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148" w:name="page149"/>
    <w:bookmarkEnd w:id="148"/>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3"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Special Mandatory Redemption.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the Issuer will redeem all of the Notes on the Special Mandatory Redemption Date (as defined below) at a redemption price equal to 101% of the aggregate principal amount of the Notes, plus accrued and unpaid interest from the date of the initial issuance (or the most recent interest payment date on which interest was paid) to but excluding the Special Mandatory Redemption Date.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Notes to be redeemed on the Special Mandatory Redemption Date are deposited with a paying agent or the trustee on or before such Special Mandatory Redemption Date, on and after such Special Mandatory Redemption Date, interest will cease to accrue on the Notes and, other than the right to receive the Special Mandatory Redemption Price, all rights under the Notes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merger</w:t>
      </w:r>
      <w:r>
        <w:rPr>
          <w:rFonts w:ascii="Arial" w:cs="Arial" w:eastAsia="Arial" w:hAnsi="Arial"/>
          <w:sz w:val="18"/>
          <w:szCs w:val="18"/>
          <w:color w:val="auto"/>
        </w:rPr>
        <w:t>” means the Issuer’s acquisition of National Semiconductor Corporation as contemplated by the Merger Agreement.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National Semiconductor Corporation, Texas Instruments Incorporated and Orion Merger Corp. dated as of April 4, 2011, as amended from time to time in accordance with its terms.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20" w:lineRule="exact"/>
        <w:rPr>
          <w:sz w:val="20"/>
          <w:szCs w:val="20"/>
          <w:color w:val="auto"/>
        </w:rPr>
      </w:pPr>
    </w:p>
    <w:p>
      <w:pPr>
        <w:jc w:val="center"/>
        <w:ind w:left="500" w:right="20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means 101% of the aggregate principal amount of the Notes to be redeemed together with accrued and unpaid 47</w:t>
      </w:r>
    </w:p>
    <w:p>
      <w:pPr>
        <w:sectPr>
          <w:pgSz w:w="11900" w:h="16838" w:orient="portrait"/>
          <w:cols w:equalWidth="0" w:num="1">
            <w:col w:w="11400"/>
          </w:cols>
          <w:pgMar w:left="240" w:top="280" w:right="259" w:bottom="1440" w:gutter="0" w:footer="0" w:header="0"/>
        </w:sectPr>
      </w:pPr>
    </w:p>
    <w:bookmarkStart w:id="149" w:name="page150"/>
    <w:bookmarkEnd w:id="14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if any, from the date of initial issuance (or the most recent interest payment date on which interest on the Notes was paid or duly provided for) to, but not including, the Special Mandatory Redemption Date.</w:t>
      </w:r>
    </w:p>
    <w:p>
      <w:pPr>
        <w:spacing w:after="0" w:line="17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50" w:name="page151"/>
    <w:bookmarkEnd w:id="150"/>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laws of the State of New York shall govern the Indenture and this Note thereof.</w:t>
      </w:r>
    </w:p>
    <w:p>
      <w:pPr>
        <w:spacing w:after="0" w:line="192"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765"/>
          </w:cols>
          <w:pgMar w:left="694" w:top="280"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313"/>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69" w:right="239" w:bottom="1440" w:gutter="0" w:footer="0" w:header="0"/>
        </w:sectPr>
      </w:pPr>
    </w:p>
    <w:bookmarkStart w:id="152" w:name="page153"/>
    <w:bookmarkEnd w:id="152"/>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280" w:right="2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2014]</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1.375% Notes due 2014</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882508 AQ7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US882508AQ73</w:t>
      </w:r>
    </w:p>
    <w:p>
      <w:pPr>
        <w:spacing w:after="0" w:line="200" w:lineRule="exact"/>
        <w:rPr>
          <w:sz w:val="20"/>
          <w:szCs w:val="20"/>
          <w:color w:val="auto"/>
        </w:rPr>
      </w:pPr>
    </w:p>
    <w:p>
      <w:pPr>
        <w:sectPr>
          <w:pgSz w:w="11900" w:h="16838" w:orient="portrait"/>
          <w:cols w:equalWidth="0" w:num="2">
            <w:col w:w="8780" w:space="720"/>
            <w:col w:w="1920"/>
          </w:cols>
          <w:pgMar w:left="240" w:top="274" w:right="239" w:bottom="1440" w:gutter="0" w:footer="0" w:header="0"/>
          <w:type w:val="continuous"/>
        </w:sectPr>
      </w:pPr>
    </w:p>
    <w:p>
      <w:pPr>
        <w:spacing w:after="0" w:line="42"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15,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type w:val="continuous"/>
        </w:sectPr>
      </w:pPr>
    </w:p>
    <w:bookmarkStart w:id="155" w:name="page156"/>
    <w:bookmarkEnd w:id="15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240" w:top="280" w:right="51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280" w:right="1440"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1.375% Notes due 2014</w:t>
      </w:r>
    </w:p>
    <w:p>
      <w:pPr>
        <w:spacing w:after="0" w:line="212"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May 23, 2011. Interest on this Note will be paid to but excluding the relevant Interest Payment Date. The Issuer will pay interest semi-annually in arrears on each Interest Payment Date, commencing November 15, 2011 to the person in whose name the Note is registered at the close of business on the preceding Interest Record Date. Interest will be computed on the basis of a 360-day year consisting of twelve 30-day months in a manner consistent with Rule 11620(b) of the NASD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1.375% Notes due 2014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5"/>
          <w:szCs w:val="15"/>
          <w:b w:val="1"/>
          <w:bCs w:val="1"/>
          <w:color w:val="auto"/>
        </w:rPr>
        <w:t>TIA</w:t>
      </w:r>
      <w:r>
        <w:rPr>
          <w:rFonts w:ascii="Arial" w:cs="Arial" w:eastAsia="Arial" w:hAnsi="Arial"/>
          <w:sz w:val="15"/>
          <w:szCs w:val="15"/>
          <w:color w:val="auto"/>
        </w:rPr>
        <w:t>”) as in effect on the date on which the Indenture was qualified under the TIA. Notwithstanding anything to the contrary herein, the Notes are subject to all such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158" w:name="page159"/>
    <w:bookmarkEnd w:id="158"/>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Holders of Notes are referred to the Indenture and the TIA for a statement of them. To the extent the terms of the Indenture and this Note are inconsistent, the terms of the Indenture shall govern.</w:t>
      </w:r>
    </w:p>
    <w:p>
      <w:pPr>
        <w:spacing w:after="0" w:line="172"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seven and one-half basis points,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in each case accrued interest thereon to the date of redemption.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Morgan Stanley &amp; Co. Incorporated and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36" w:lineRule="exact"/>
        <w:rPr>
          <w:sz w:val="20"/>
          <w:szCs w:val="20"/>
          <w:color w:val="auto"/>
        </w:rPr>
      </w:pPr>
    </w:p>
    <w:p>
      <w:pPr>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60" w:name="page161"/>
    <w:bookmarkEnd w:id="16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3"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Mandatory Redemption.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the Issuer will redeem all of the Notes on the Special Mandatory Redemption Date (as defined below) at a redemption price equal to 101% of the aggregate principal amount of the Notes, plus accrued and unpaid interest from the date of the initial issuance (or the most recent interest payment date on which interest was paid) to but excluding the Special Mandatory Redemption Date.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Notes to be redeemed on the Special Mandatory Redemption Date are deposited with a paying agent or the trustee on or before such Special Mandatory Redemption Date, on and after such Special Mandatory Redemption Date, interest will cease to accrue on the Notes and, other than the right to receive the Special Mandatory Redemption Price, all rights under the Notes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merger</w:t>
      </w:r>
      <w:r>
        <w:rPr>
          <w:rFonts w:ascii="Arial" w:cs="Arial" w:eastAsia="Arial" w:hAnsi="Arial"/>
          <w:sz w:val="18"/>
          <w:szCs w:val="18"/>
          <w:color w:val="auto"/>
        </w:rPr>
        <w:t>” means the Issuer’s acquisition of National Semiconductor Corporation as contemplated by the Merger Agreement.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National Semiconductor Corporation, Texas Instruments Incorporated and Orion Merger Corp. dated as of April 4, 2011, as amended from time to time in accordance with its terms.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20" w:lineRule="exact"/>
        <w:rPr>
          <w:sz w:val="20"/>
          <w:szCs w:val="20"/>
          <w:color w:val="auto"/>
        </w:rPr>
      </w:pPr>
    </w:p>
    <w:p>
      <w:pPr>
        <w:jc w:val="center"/>
        <w:ind w:left="500" w:right="20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means 101% of the aggregate principal amount of the Notes to be redeemed together with accrued and unpaid 59</w:t>
      </w:r>
    </w:p>
    <w:p>
      <w:pPr>
        <w:sectPr>
          <w:pgSz w:w="11900" w:h="16838" w:orient="portrait"/>
          <w:cols w:equalWidth="0" w:num="1">
            <w:col w:w="11400"/>
          </w:cols>
          <w:pgMar w:left="240" w:top="280" w:right="259" w:bottom="1440" w:gutter="0" w:footer="0" w:header="0"/>
        </w:sectPr>
      </w:pPr>
    </w:p>
    <w:bookmarkStart w:id="161" w:name="page162"/>
    <w:bookmarkEnd w:id="16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if any, from the date of initial issuance (or the most recent interest payment date on which interest on the Notes was paid or duly provided for) to, but not including, the Special Mandatory Redemption Date.</w:t>
      </w:r>
    </w:p>
    <w:p>
      <w:pPr>
        <w:spacing w:after="0" w:line="172"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62" w:name="page163"/>
    <w:bookmarkEnd w:id="162"/>
    <w:p>
      <w:pPr>
        <w:ind w:left="446" w:hanging="446"/>
        <w:spacing w:after="0"/>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laws of the State of New York shall govern the Indenture and this Note thereof.</w:t>
      </w:r>
    </w:p>
    <w:p>
      <w:pPr>
        <w:spacing w:after="0" w:line="192"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765"/>
          </w:cols>
          <w:pgMar w:left="694" w:top="280"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313"/>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69" w:right="239" w:bottom="1440" w:gutter="0" w:footer="0" w:header="0"/>
        </w:sectPr>
      </w:pPr>
    </w:p>
    <w:bookmarkStart w:id="164" w:name="page165"/>
    <w:bookmarkEnd w:id="164"/>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80" w:right="2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2016]</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2.375% Notes due 2016</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CUSIP No.: 882508 AR5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US882508AR56</w:t>
      </w:r>
    </w:p>
    <w:p>
      <w:pPr>
        <w:spacing w:after="0" w:line="200" w:lineRule="exact"/>
        <w:rPr>
          <w:sz w:val="20"/>
          <w:szCs w:val="20"/>
          <w:color w:val="auto"/>
        </w:rPr>
      </w:pPr>
    </w:p>
    <w:p>
      <w:pPr>
        <w:sectPr>
          <w:pgSz w:w="11900" w:h="16838" w:orient="portrait"/>
          <w:cols w:equalWidth="0" w:num="2">
            <w:col w:w="8800" w:space="720"/>
            <w:col w:w="1900"/>
          </w:cols>
          <w:pgMar w:left="240" w:top="274" w:right="239" w:bottom="1440" w:gutter="0" w:footer="0" w:header="0"/>
          <w:type w:val="continuous"/>
        </w:sectPr>
      </w:pPr>
    </w:p>
    <w:p>
      <w:pPr>
        <w:spacing w:after="0" w:line="42"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16, 2016.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type w:val="continuous"/>
        </w:sectPr>
      </w:pPr>
    </w:p>
    <w:bookmarkStart w:id="167" w:name="page168"/>
    <w:bookmarkEnd w:id="1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240" w:top="280" w:right="519"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280" w:right="1440" w:bottom="1440" w:gutter="0" w:footer="0" w:header="0"/>
        </w:sectPr>
      </w:pPr>
    </w:p>
    <w:bookmarkStart w:id="169" w:name="page170"/>
    <w:bookmarkEnd w:id="169"/>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2.375% Notes due 2016</w:t>
      </w:r>
    </w:p>
    <w:p>
      <w:pPr>
        <w:spacing w:after="0" w:line="205"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May 23, 2011. Interest on this Note will be paid to but excluding the relevant Interest Payment Date. The Issuer will pay interest semi-annually in arrears on each Interest Payment Date, commencing November 15, 2011 to the person in whose name the Note is registered at the close of business on the preceding Interest Record Date. Interest will be computed on the basis of a 360-day year consisting of twelve 30-day months in a manner consistent with Rule 11620(b) of the NASD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2.375% Notes due 2016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70" w:name="page171"/>
    <w:bookmarkEnd w:id="170"/>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ten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71" w:name="page172"/>
    <w:bookmarkEnd w:id="17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Morgan Stanley &amp; Co. Incorporated and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36" w:lineRule="exact"/>
        <w:rPr>
          <w:sz w:val="20"/>
          <w:szCs w:val="20"/>
          <w:color w:val="auto"/>
        </w:rPr>
      </w:pPr>
    </w:p>
    <w:p>
      <w:pPr>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70</w:t>
      </w:r>
    </w:p>
    <w:p>
      <w:pPr>
        <w:sectPr>
          <w:pgSz w:w="11900" w:h="16838" w:orient="portrait"/>
          <w:cols w:equalWidth="0" w:num="1">
            <w:col w:w="11400"/>
          </w:cols>
          <w:pgMar w:left="240" w:top="280" w:right="259" w:bottom="1440" w:gutter="0" w:footer="0" w:header="0"/>
        </w:sectPr>
      </w:pPr>
    </w:p>
    <w:bookmarkStart w:id="172" w:name="page173"/>
    <w:bookmarkEnd w:id="17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4"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Special Mandatory Redemption.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the Issuer will redeem all of the Notes on the Special Mandatory Redemption Date (as defined below) at a redemption price equal to 101% of the aggregate principal amount of the Notes, plus accrued and unpaid interest from the date of the initial issuance (or the most recent interest payment date on which interest was paid) to but excluding the Special Mandatory Redemption Date.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Notes to be redeemed on the Special Mandatory Redemption Date are deposited with a paying agent or the trustee on or before such Special Mandatory Redemption Date, on and after such Special Mandatory Redemption Date, interest will cease to accrue on the Notes and, other than the right to receive the Special Mandatory Redemption Price, all rights under the Notes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merger</w:t>
      </w:r>
      <w:r>
        <w:rPr>
          <w:rFonts w:ascii="Arial" w:cs="Arial" w:eastAsia="Arial" w:hAnsi="Arial"/>
          <w:sz w:val="18"/>
          <w:szCs w:val="18"/>
          <w:color w:val="auto"/>
        </w:rPr>
        <w:t>” means the Issuer’s acquisition of National Semiconductor Corporation as contemplated by the Merger Agreement.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National Semiconductor Corporation, Texas Instruments Incorporated and Orion Merger Corp. dated as of April 4, 2011, as amended from time to time in accordance with its terms.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2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means 101% of the aggregate principal amount of the Notes to be redeemed together with accrued and unpaid interest, if any, from the date of initial issuance (or the most recent interest payment date on which interest on the Notes was paid or duly provided for) to, but not including, the Special Mandatory Redemption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73" w:name="page174"/>
    <w:bookmarkEnd w:id="173"/>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174" w:name="page175"/>
    <w:bookmarkEnd w:id="174"/>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laws of the State of New York shall govern the Indenture and this Note thereof.</w:t>
      </w:r>
    </w:p>
    <w:p>
      <w:pPr>
        <w:spacing w:after="0" w:line="192"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9765"/>
          </w:cols>
          <w:pgMar w:left="694" w:top="280"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313"/>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9" w:right="239" w:bottom="1440" w:gutter="0" w:footer="0" w:header="0"/>
        </w:sectPr>
      </w:pPr>
    </w:p>
    <w:bookmarkStart w:id="176" w:name="page177"/>
    <w:bookmarkEnd w:id="176"/>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280" w:right="2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2016]</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2.375% Notes due 2016</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CUSIP No.: 882508 AR5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US882508AR56</w:t>
      </w:r>
    </w:p>
    <w:p>
      <w:pPr>
        <w:spacing w:after="0" w:line="200" w:lineRule="exact"/>
        <w:rPr>
          <w:sz w:val="20"/>
          <w:szCs w:val="20"/>
          <w:color w:val="auto"/>
        </w:rPr>
      </w:pPr>
    </w:p>
    <w:p>
      <w:pPr>
        <w:sectPr>
          <w:pgSz w:w="11900" w:h="16838" w:orient="portrait"/>
          <w:cols w:equalWidth="0" w:num="2">
            <w:col w:w="8800" w:space="720"/>
            <w:col w:w="1900"/>
          </w:cols>
          <w:pgMar w:left="240" w:top="274" w:right="239" w:bottom="1440" w:gutter="0" w:footer="0" w:header="0"/>
          <w:type w:val="continuous"/>
        </w:sectPr>
      </w:pPr>
    </w:p>
    <w:p>
      <w:pPr>
        <w:spacing w:after="0" w:line="28"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13"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16, 2016.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type w:val="continuous"/>
        </w:sectPr>
      </w:pPr>
    </w:p>
    <w:bookmarkStart w:id="179" w:name="page180"/>
    <w:bookmarkEnd w:id="1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Charles D. Tobin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M. Drory</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240" w:top="280" w:right="519"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19"/>
          </w:cols>
          <w:pgMar w:left="240" w:top="280" w:right="1440" w:bottom="1440" w:gutter="0" w:footer="0" w:header="0"/>
        </w:sectPr>
      </w:pPr>
    </w:p>
    <w:bookmarkStart w:id="181" w:name="page182"/>
    <w:bookmarkEnd w:id="181"/>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2.375% Notes due 2016</w:t>
      </w:r>
    </w:p>
    <w:p>
      <w:pPr>
        <w:spacing w:after="0" w:line="205"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May 23, 2011. Interest on this Note will be paid to but excluding the relevant Interest Payment Date. The Issuer will pay interest semi-annually in arrears on each Interest Payment Date, commencing November 15, 2011 to the person in whose name the Note is registered at the close of business on the preceding Interest Record Date. Interest will be computed on the basis of a 360-day year consisting of twelve 30-day months in a manner consistent with Rule 11620(b) of the NASD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2.375% Notes due 2016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23, 2011,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80" w:right="279" w:bottom="1440" w:gutter="0" w:footer="0" w:header="0"/>
        </w:sectPr>
      </w:pPr>
    </w:p>
    <w:bookmarkStart w:id="182" w:name="page183"/>
    <w:bookmarkEnd w:id="182"/>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ten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183" w:name="page184"/>
    <w:bookmarkEnd w:id="183"/>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Morgan Stanley &amp; Co. Incorporated and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36" w:lineRule="exact"/>
        <w:rPr>
          <w:sz w:val="20"/>
          <w:szCs w:val="20"/>
          <w:color w:val="auto"/>
        </w:rPr>
      </w:pPr>
    </w:p>
    <w:p>
      <w:pPr>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82</w:t>
      </w:r>
    </w:p>
    <w:p>
      <w:pPr>
        <w:sectPr>
          <w:pgSz w:w="11900" w:h="16838" w:orient="portrait"/>
          <w:cols w:equalWidth="0" w:num="1">
            <w:col w:w="11400"/>
          </w:cols>
          <w:pgMar w:left="240" w:top="280" w:right="259" w:bottom="1440" w:gutter="0" w:footer="0" w:header="0"/>
        </w:sectPr>
      </w:pPr>
    </w:p>
    <w:bookmarkStart w:id="184" w:name="page185"/>
    <w:bookmarkEnd w:id="18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4"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Special Mandatory Redemption.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the Issuer will redeem all of the Notes on the Special Mandatory Redemption Date (as defined below) at a redemption price equal to 101% of the aggregate principal amount of the Notes, plus accrued and unpaid interest from the date of the initial issuance (or the most recent interest payment date on which interest was paid) to but excluding the Special Mandatory Redemption Date.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Notes to be redeemed on the Special Mandatory Redemption Date are deposited with a paying agent or the trustee on or before such Special Mandatory Redemption Date, on and after such Special Mandatory Redemption Date, interest will cease to accrue on the Notes and, other than the right to receive the Special Mandatory Redemption Price, all rights under the Notes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merger</w:t>
      </w:r>
      <w:r>
        <w:rPr>
          <w:rFonts w:ascii="Arial" w:cs="Arial" w:eastAsia="Arial" w:hAnsi="Arial"/>
          <w:sz w:val="18"/>
          <w:szCs w:val="18"/>
          <w:color w:val="auto"/>
        </w:rPr>
        <w:t>” means the Issuer’s acquisition of National Semiconductor Corporation as contemplated by the Merger Agreement.</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National Semiconductor Corporation, Texas Instruments Incorporated and Orion Merger Corp. dated as of April 4, 2011, as amended from time to time in accordance with its terms.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2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Mandatory Redemption Price</w:t>
      </w:r>
      <w:r>
        <w:rPr>
          <w:rFonts w:ascii="Arial" w:cs="Arial" w:eastAsia="Arial" w:hAnsi="Arial"/>
          <w:sz w:val="18"/>
          <w:szCs w:val="18"/>
          <w:color w:val="auto"/>
        </w:rPr>
        <w:t>” means 101% of the aggregate principal amount of the Notes to be redeemed together with accrued and unpaid interest, if any, from the date of initial issuance (or the most recent interest payment date on which interest on the Notes was paid or duly provided for) to, but not including, the Special Mandatory Redemption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185" w:name="page186"/>
    <w:bookmarkEnd w:id="185"/>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186" w:name="page187"/>
    <w:bookmarkEnd w:id="186"/>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laws of the State of New York shall govern the Indenture and this Note thereof.</w:t>
      </w:r>
    </w:p>
    <w:p>
      <w:pPr>
        <w:spacing w:after="0" w:line="192"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9765"/>
          </w:cols>
          <w:pgMar w:left="694" w:top="280"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20" w:type="dxa"/>
            <w:vAlign w:val="bottom"/>
            <w:gridSpan w:val="4"/>
          </w:tcPr>
          <w:p>
            <w:pPr>
              <w:ind w:left="920"/>
              <w:spacing w:after="0"/>
              <w:rPr>
                <w:sz w:val="20"/>
                <w:szCs w:val="20"/>
                <w:color w:val="auto"/>
              </w:rPr>
            </w:pPr>
            <w:r>
              <w:rPr>
                <w:rFonts w:ascii="Arial" w:cs="Arial" w:eastAsia="Arial" w:hAnsi="Arial"/>
                <w:sz w:val="18"/>
                <w:szCs w:val="18"/>
                <w:color w:val="auto"/>
                <w:w w:val="97"/>
              </w:rPr>
              <w:t>agent to transfer this Note on the books of the Issuer. The agent may substitute another to act for him.</w:t>
            </w:r>
          </w:p>
        </w:tc>
      </w:tr>
      <w:tr>
        <w:trPr>
          <w:trHeight w:val="313"/>
        </w:trPr>
        <w:tc>
          <w:tcPr>
            <w:tcW w:w="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276860</wp:posOffset>
            </wp:positionV>
            <wp:extent cx="32588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9" w:right="239" w:bottom="1440" w:gutter="0" w:footer="0" w:header="0"/>
        </w:sectPr>
      </w:pPr>
    </w:p>
    <w:bookmarkStart w:id="188" w:name="page189"/>
    <w:bookmarkEnd w:id="188"/>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pacing w:after="0" w:line="200" w:lineRule="exact"/>
        <w:rPr>
          <w:sz w:val="20"/>
          <w:szCs w:val="20"/>
          <w:color w:val="auto"/>
        </w:rPr>
      </w:pPr>
    </w:p>
    <w:p>
      <w:pPr>
        <w:sectPr>
          <w:pgSz w:w="11900" w:h="16838" w:orient="portrait"/>
          <w:cols w:equalWidth="0" w:num="2">
            <w:col w:w="4700" w:space="120"/>
            <w:col w:w="6600"/>
          </w:cols>
          <w:pgMar w:left="240" w:top="280"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280" w:right="239" w:bottom="1440" w:gutter="0" w:footer="0" w:header="0"/>
          <w:type w:val="continuous"/>
        </w:sectPr>
      </w:pPr>
    </w:p>
    <w:bookmarkStart w:id="189" w:name="page190"/>
    <w:bookmarkEnd w:id="189"/>
    <w:p>
      <w:pPr>
        <w:ind w:left="10600"/>
        <w:spacing w:after="0"/>
        <w:rPr>
          <w:sz w:val="20"/>
          <w:szCs w:val="20"/>
          <w:color w:val="auto"/>
        </w:rPr>
      </w:pPr>
      <w:r>
        <w:rPr>
          <w:rFonts w:ascii="Arial" w:cs="Arial" w:eastAsia="Arial" w:hAnsi="Arial"/>
          <w:sz w:val="16"/>
          <w:szCs w:val="16"/>
          <w:b w:val="1"/>
          <w:bCs w:val="1"/>
          <w:color w:val="auto"/>
        </w:rPr>
        <w:t>Exhibit 5.1</w:t>
      </w:r>
    </w:p>
    <w:p>
      <w:pPr>
        <w:spacing w:after="0" w:line="235" w:lineRule="exact"/>
        <w:rPr>
          <w:sz w:val="20"/>
          <w:szCs w:val="20"/>
          <w:color w:val="auto"/>
        </w:rPr>
      </w:pPr>
    </w:p>
    <w:p>
      <w:pPr>
        <w:ind w:left="8900"/>
        <w:spacing w:after="0"/>
        <w:tabs>
          <w:tab w:leader="none" w:pos="1038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Madrid</w:t>
      </w:r>
    </w:p>
    <w:p>
      <w:pPr>
        <w:spacing w:after="0" w:line="21" w:lineRule="exact"/>
        <w:rPr>
          <w:sz w:val="20"/>
          <w:szCs w:val="20"/>
          <w:color w:val="auto"/>
        </w:rPr>
      </w:pPr>
    </w:p>
    <w:p>
      <w:pPr>
        <w:ind w:left="8900"/>
        <w:spacing w:after="0"/>
        <w:tabs>
          <w:tab w:leader="none" w:pos="10380" w:val="left"/>
        </w:tabs>
        <w:rPr>
          <w:sz w:val="20"/>
          <w:szCs w:val="20"/>
          <w:color w:val="auto"/>
        </w:rPr>
      </w:pPr>
      <w:r>
        <w:rPr>
          <w:rFonts w:ascii="Arial" w:cs="Arial" w:eastAsia="Arial" w:hAnsi="Arial"/>
          <w:sz w:val="18"/>
          <w:szCs w:val="18"/>
          <w:b w:val="1"/>
          <w:bCs w:val="1"/>
          <w:color w:val="auto"/>
        </w:rPr>
        <w:t>Menlo Park</w:t>
      </w:r>
      <w:r>
        <w:rPr>
          <w:sz w:val="20"/>
          <w:szCs w:val="20"/>
          <w:color w:val="auto"/>
        </w:rPr>
        <w:tab/>
      </w:r>
      <w:r>
        <w:rPr>
          <w:rFonts w:ascii="Arial" w:cs="Arial" w:eastAsia="Arial" w:hAnsi="Arial"/>
          <w:sz w:val="15"/>
          <w:szCs w:val="15"/>
          <w:b w:val="1"/>
          <w:bCs w:val="1"/>
          <w:color w:val="auto"/>
        </w:rPr>
        <w:t>Tokyo</w:t>
      </w:r>
    </w:p>
    <w:p>
      <w:pPr>
        <w:spacing w:after="0" w:line="9" w:lineRule="exact"/>
        <w:rPr>
          <w:sz w:val="20"/>
          <w:szCs w:val="20"/>
          <w:color w:val="auto"/>
        </w:rPr>
      </w:pPr>
    </w:p>
    <w:p>
      <w:pPr>
        <w:ind w:left="8900"/>
        <w:spacing w:after="0"/>
        <w:tabs>
          <w:tab w:leader="none" w:pos="10380" w:val="left"/>
        </w:tabs>
        <w:rPr>
          <w:sz w:val="20"/>
          <w:szCs w:val="20"/>
          <w:color w:val="auto"/>
        </w:rPr>
      </w:pPr>
      <w:r>
        <w:rPr>
          <w:rFonts w:ascii="Arial" w:cs="Arial" w:eastAsia="Arial" w:hAnsi="Arial"/>
          <w:sz w:val="18"/>
          <w:szCs w:val="18"/>
          <w:b w:val="1"/>
          <w:bCs w:val="1"/>
          <w:color w:val="auto"/>
        </w:rPr>
        <w:t>Washington DC</w:t>
      </w:r>
      <w:r>
        <w:rPr>
          <w:sz w:val="20"/>
          <w:szCs w:val="20"/>
          <w:color w:val="auto"/>
        </w:rPr>
        <w:tab/>
      </w:r>
      <w:r>
        <w:rPr>
          <w:rFonts w:ascii="Arial" w:cs="Arial" w:eastAsia="Arial" w:hAnsi="Arial"/>
          <w:sz w:val="16"/>
          <w:szCs w:val="16"/>
          <w:b w:val="1"/>
          <w:bCs w:val="1"/>
          <w:color w:val="auto"/>
        </w:rPr>
        <w:t>Beijing</w:t>
      </w:r>
    </w:p>
    <w:p>
      <w:pPr>
        <w:spacing w:after="0" w:line="9" w:lineRule="exact"/>
        <w:rPr>
          <w:sz w:val="20"/>
          <w:szCs w:val="20"/>
          <w:color w:val="auto"/>
        </w:rPr>
      </w:pPr>
    </w:p>
    <w:p>
      <w:pPr>
        <w:ind w:left="8900"/>
        <w:spacing w:after="0"/>
        <w:tabs>
          <w:tab w:leader="none" w:pos="10380" w:val="left"/>
        </w:tabs>
        <w:rPr>
          <w:sz w:val="20"/>
          <w:szCs w:val="20"/>
          <w:color w:val="auto"/>
        </w:rPr>
      </w:pPr>
      <w:r>
        <w:rPr>
          <w:rFonts w:ascii="Arial" w:cs="Arial" w:eastAsia="Arial" w:hAnsi="Arial"/>
          <w:sz w:val="18"/>
          <w:szCs w:val="18"/>
          <w:b w:val="1"/>
          <w:bCs w:val="1"/>
          <w:color w:val="auto"/>
        </w:rPr>
        <w:t>London</w:t>
      </w:r>
      <w:r>
        <w:rPr>
          <w:sz w:val="20"/>
          <w:szCs w:val="20"/>
          <w:color w:val="auto"/>
        </w:rPr>
        <w:tab/>
      </w:r>
      <w:r>
        <w:rPr>
          <w:rFonts w:ascii="Arial" w:cs="Arial" w:eastAsia="Arial" w:hAnsi="Arial"/>
          <w:sz w:val="18"/>
          <w:szCs w:val="18"/>
          <w:b w:val="1"/>
          <w:bCs w:val="1"/>
          <w:color w:val="auto"/>
        </w:rPr>
        <w:t>Hong Kong</w:t>
      </w:r>
    </w:p>
    <w:p>
      <w:pPr>
        <w:spacing w:after="0" w:line="9"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346200" cy="2317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46200" cy="23177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620" w:type="dxa"/>
            <w:vAlign w:val="bottom"/>
          </w:tcPr>
          <w:p>
            <w:pPr>
              <w:ind w:left="380"/>
              <w:spacing w:after="0"/>
              <w:rPr>
                <w:sz w:val="20"/>
                <w:szCs w:val="20"/>
                <w:color w:val="auto"/>
              </w:rPr>
            </w:pPr>
            <w:r>
              <w:rPr>
                <w:rFonts w:ascii="Arial" w:cs="Arial" w:eastAsia="Arial" w:hAnsi="Arial"/>
                <w:sz w:val="18"/>
                <w:szCs w:val="18"/>
                <w:color w:val="auto"/>
                <w:w w:val="90"/>
              </w:rPr>
              <w:t>650 752 2000 tel</w:t>
            </w: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1600 El Camino Real</w:t>
            </w:r>
          </w:p>
        </w:tc>
        <w:tc>
          <w:tcPr>
            <w:tcW w:w="1620" w:type="dxa"/>
            <w:vAlign w:val="bottom"/>
          </w:tcPr>
          <w:p>
            <w:pPr>
              <w:ind w:left="380"/>
              <w:spacing w:after="0"/>
              <w:rPr>
                <w:sz w:val="20"/>
                <w:szCs w:val="20"/>
                <w:color w:val="auto"/>
              </w:rPr>
            </w:pPr>
            <w:r>
              <w:rPr>
                <w:rFonts w:ascii="Arial" w:cs="Arial" w:eastAsia="Arial" w:hAnsi="Arial"/>
                <w:sz w:val="18"/>
                <w:szCs w:val="18"/>
                <w:color w:val="auto"/>
                <w:w w:val="87"/>
              </w:rPr>
              <w:t>650 752 2111 fax</w:t>
            </w:r>
          </w:p>
        </w:tc>
      </w:tr>
    </w:tbl>
    <w:p>
      <w:pPr>
        <w:spacing w:after="0"/>
        <w:rPr>
          <w:sz w:val="20"/>
          <w:szCs w:val="20"/>
          <w:color w:val="auto"/>
        </w:rPr>
      </w:pPr>
      <w:r>
        <w:rPr>
          <w:rFonts w:ascii="Arial" w:cs="Arial" w:eastAsia="Arial" w:hAnsi="Arial"/>
          <w:sz w:val="18"/>
          <w:szCs w:val="18"/>
          <w:color w:val="auto"/>
        </w:rPr>
        <w:t>Menlo Park, CA 94025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acted as special counsel for Texas Instruments Incorporated, a Delaware corporation (the “Company”), in connection with the Company’s offering of $1,000,000,000 aggregate principal amount of Floating Rate Notes due 2013 (the “2013 Floating Rate Notes”), $500,000,000 aggregate principal amount of 0.875% Notes due 2013 (the “2013 Notes”), $1,000,000,000 aggregate principal amount of 1.375% Notes due 2014 (the “2014 Notes”) and $1,000,000,000 aggregate principal amount of 2.375% Notes due 2016 (the “2016 Notes” and together with the 2013 Floating Rate Notes, the 2013 Notes and the 2014 Notes, the “Notes”) in an underwritten public offering pursuant to an underwriting agreement dated May 16, 2011 (the “Underwriting Agreement”) among the Company and Morgan Stanley &amp; Co. Incorporated and J.P. Morgan Securities LLC (the “Representatives”), as representatives of the several underwriters listed in Schedule II thereto (the “Underwriters”). The Notes are to be issued pursuant to an Indenture dated as of May 23, 2011 (the “Indenture”) by and between the Company and U.S. Bank National Association, as Trustee, and an Officer’s Certificate to be issued pursuant thereto on or about May 23, 2011.</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as your counsel,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the basis of the foregoing, we advise you that, in our opinion, the Notes have been duly authorized in accordance with the Indenture, and, when executed and authenticated in accordance with the provisions of the Indenture and delivered to and paid for by the Underwriters in accordance with the terms of the Underwriting Agreement, will constitute valid and binding obligations of the Company, enforceable in accordance with their terms, subject to applicable bankruptcy, insolvency and similar laws affecting creditors’ rights generally and equitable principles of general applicability.</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(including the statutory provisions, all applicable provisions of the Delaware Constitution and reported judicial decisions interpreting the foregoing).</w:t>
      </w:r>
    </w:p>
    <w:p>
      <w:pPr>
        <w:sectPr>
          <w:pgSz w:w="11900" w:h="16838" w:orient="portrait"/>
          <w:cols w:equalWidth="0" w:num="1">
            <w:col w:w="11420"/>
          </w:cols>
          <w:pgMar w:left="240" w:top="125" w:right="239" w:bottom="1440" w:gutter="0" w:footer="0" w:header="0"/>
        </w:sectPr>
      </w:pPr>
    </w:p>
    <w:bookmarkStart w:id="190" w:name="page191"/>
    <w:bookmarkEnd w:id="190"/>
    <w:p>
      <w:pPr>
        <w:spacing w:after="0"/>
        <w:tabs>
          <w:tab w:leader="none" w:pos="5340" w:val="left"/>
          <w:tab w:leader="none" w:pos="11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May 23, 2011</w:t>
      </w:r>
      <w:r>
        <w:rPr>
          <w:sz w:val="20"/>
          <w:szCs w:val="20"/>
          <w:color w:val="auto"/>
        </w:rPr>
        <w:tab/>
      </w:r>
      <w:r>
        <w:rPr>
          <w:rFonts w:ascii="Arial" w:cs="Arial" w:eastAsia="Arial" w:hAnsi="Arial"/>
          <w:sz w:val="16"/>
          <w:szCs w:val="16"/>
          <w:color w:val="auto"/>
        </w:rPr>
        <w:t>pg. 2</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In giving this consent, we do not admit that we are in the category of persons whose consent is required under Section 7 of the Securities Act.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decimal"/>
      <w:start w:val="1"/>
    </w:lvl>
  </w:abstractNum>
  <w:abstractNum w:abstractNumId="2">
    <w:nsid w:val="5DC79EA8"/>
    <w:multiLevelType w:val="hybridMultilevel"/>
    <w:lvl w:ilvl="0">
      <w:lvlJc w:val="left"/>
      <w:lvlText w:val="(%1)"/>
      <w:numFmt w:val="lowerLetter"/>
      <w:start w:val="4"/>
    </w:lvl>
  </w:abstractNum>
  <w:abstractNum w:abstractNumId="3">
    <w:nsid w:val="540A471C"/>
    <w:multiLevelType w:val="hybridMultilevel"/>
    <w:lvl w:ilvl="0">
      <w:lvlJc w:val="left"/>
      <w:lvlText w:val="(%1)"/>
      <w:numFmt w:val="lowerLetter"/>
      <w:start w:val="1"/>
    </w:lvl>
  </w:abstractNum>
  <w:abstractNum w:abstractNumId="4">
    <w:nsid w:val="7BD3EE7B"/>
    <w:multiLevelType w:val="hybridMultilevel"/>
    <w:lvl w:ilvl="0">
      <w:lvlJc w:val="left"/>
      <w:lvlText w:val="(%1)"/>
      <w:numFmt w:val="lowerRoman"/>
      <w:start w:val="1"/>
    </w:lvl>
  </w:abstractNum>
  <w:abstractNum w:abstractNumId="5">
    <w:nsid w:val="51D9C564"/>
    <w:multiLevelType w:val="hybridMultilevel"/>
    <w:lvl w:ilvl="0">
      <w:lvlJc w:val="left"/>
      <w:lvlText w:val="(%1)"/>
      <w:numFmt w:val="lowerLetter"/>
      <w:start w:val="3"/>
    </w:lvl>
    <w:lvl w:ilvl="1">
      <w:lvlJc w:val="left"/>
      <w:lvlText w:val="(%2)"/>
      <w:numFmt w:val="lowerRoman"/>
      <w:start w:val="1"/>
    </w:lvl>
  </w:abstractNum>
  <w:abstractNum w:abstractNumId="6">
    <w:nsid w:val="613EFDC5"/>
    <w:multiLevelType w:val="hybridMultilevel"/>
    <w:lvl w:ilvl="0">
      <w:lvlJc w:val="left"/>
      <w:lvlText w:val="(%1)"/>
      <w:numFmt w:val="lowerRoman"/>
      <w:start w:val="3"/>
    </w:lvl>
  </w:abstractNum>
  <w:abstractNum w:abstractNumId="7">
    <w:nsid w:val="BF72B14"/>
    <w:multiLevelType w:val="hybridMultilevel"/>
    <w:lvl w:ilvl="0">
      <w:lvlJc w:val="left"/>
      <w:lvlText w:val="(%1)"/>
      <w:numFmt w:val="lowerRoman"/>
      <w:start w:val="9"/>
    </w:lvl>
  </w:abstractNum>
  <w:abstractNum w:abstractNumId="8">
    <w:nsid w:val="11447B73"/>
    <w:multiLevelType w:val="hybridMultilevel"/>
    <w:lvl w:ilvl="0">
      <w:lvlJc w:val="left"/>
      <w:lvlText w:val="(%1)"/>
      <w:numFmt w:val="lowerLetter"/>
      <w:start w:val="5"/>
    </w:lvl>
  </w:abstractNum>
  <w:abstractNum w:abstractNumId="9">
    <w:nsid w:val="42963E5A"/>
    <w:multiLevelType w:val="hybridMultilevel"/>
    <w:lvl w:ilvl="0">
      <w:lvlJc w:val="left"/>
      <w:lvlText w:val="(%1)"/>
      <w:numFmt w:val="lowerLetter"/>
      <w:start w:val="1"/>
    </w:lvl>
  </w:abstractNum>
  <w:abstractNum w:abstractNumId="10">
    <w:nsid w:val="A0382C5"/>
    <w:multiLevelType w:val="hybridMultilevel"/>
    <w:lvl w:ilvl="0">
      <w:lvlJc w:val="left"/>
      <w:lvlText w:val="%1"/>
      <w:numFmt w:val="lowerLetter"/>
      <w:start w:val="1"/>
    </w:lvl>
    <w:lvl w:ilvl="1">
      <w:lvlJc w:val="left"/>
      <w:lvlText w:val="(%2)"/>
      <w:numFmt w:val="lowerLetter"/>
      <w:start w:val="7"/>
    </w:lvl>
  </w:abstractNum>
  <w:abstractNum w:abstractNumId="11">
    <w:nsid w:val="8F2B15E"/>
    <w:multiLevelType w:val="hybridMultilevel"/>
    <w:lvl w:ilvl="0">
      <w:lvlJc w:val="left"/>
      <w:lvlText w:val="(%1)"/>
      <w:numFmt w:val="lowerLetter"/>
      <w:start w:val="9"/>
    </w:lvl>
    <w:lvl w:ilvl="1">
      <w:lvlJc w:val="left"/>
      <w:lvlText w:val="(%2)"/>
      <w:numFmt w:val="lowerLetter"/>
      <w:start w:val="10"/>
    </w:lvl>
  </w:abstractNum>
  <w:abstractNum w:abstractNumId="12">
    <w:nsid w:val="1A32234B"/>
    <w:multiLevelType w:val="hybridMultilevel"/>
    <w:lvl w:ilvl="0">
      <w:lvlJc w:val="left"/>
      <w:lvlText w:val="(%1)"/>
      <w:numFmt w:val="lowerLetter"/>
      <w:start w:val="12"/>
    </w:lvl>
  </w:abstractNum>
  <w:abstractNum w:abstractNumId="13">
    <w:nsid w:val="3B0FD379"/>
    <w:multiLevelType w:val="hybridMultilevel"/>
    <w:lvl w:ilvl="0">
      <w:lvlJc w:val="left"/>
      <w:lvlText w:val="(%1)"/>
      <w:numFmt w:val="lowerRoman"/>
      <w:start w:val="7"/>
    </w:lvl>
  </w:abstractNum>
  <w:abstractNum w:abstractNumId="14">
    <w:nsid w:val="68EB2F63"/>
    <w:multiLevelType w:val="hybridMultilevel"/>
    <w:lvl w:ilvl="0">
      <w:lvlJc w:val="left"/>
      <w:lvlText w:val="(%1)"/>
      <w:numFmt w:val="lowerLetter"/>
      <w:start w:val="1"/>
    </w:lvl>
  </w:abstractNum>
  <w:abstractNum w:abstractNumId="15">
    <w:nsid w:val="4962813B"/>
    <w:multiLevelType w:val="hybridMultilevel"/>
    <w:lvl w:ilvl="0">
      <w:lvlJc w:val="left"/>
      <w:lvlText w:val="(%1)"/>
      <w:numFmt w:val="lowerLetter"/>
      <w:start w:val="22"/>
    </w:lvl>
    <w:lvl w:ilvl="1">
      <w:lvlJc w:val="left"/>
      <w:lvlText w:val="(%2)"/>
      <w:numFmt w:val="lowerLetter"/>
      <w:start w:val="3"/>
    </w:lvl>
  </w:abstractNum>
  <w:abstractNum w:abstractNumId="16">
    <w:nsid w:val="60B6DF70"/>
    <w:multiLevelType w:val="hybridMultilevel"/>
    <w:lvl w:ilvl="0">
      <w:lvlJc w:val="left"/>
      <w:lvlText w:val="%1"/>
      <w:numFmt w:val="lowerLetter"/>
      <w:start w:val="1"/>
    </w:lvl>
    <w:lvl w:ilvl="1">
      <w:lvlJc w:val="left"/>
      <w:lvlText w:val="(%2)"/>
      <w:numFmt w:val="lowerLetter"/>
      <w:start w:val="7"/>
    </w:lvl>
  </w:abstractNum>
  <w:abstractNum w:abstractNumId="17">
    <w:nsid w:val="6A5EE64"/>
    <w:multiLevelType w:val="hybridMultilevel"/>
    <w:lvl w:ilvl="0">
      <w:lvlJc w:val="left"/>
      <w:lvlText w:val="(%1)"/>
      <w:numFmt w:val="lowerLetter"/>
      <w:start w:val="61"/>
    </w:lvl>
    <w:lvl w:ilvl="1">
      <w:lvlJc w:val="left"/>
      <w:lvlText w:val="%2"/>
      <w:numFmt w:val="lowerLetter"/>
      <w:start w:val="1"/>
    </w:lvl>
  </w:abstractNum>
  <w:abstractNum w:abstractNumId="18">
    <w:nsid w:val="14330624"/>
    <w:multiLevelType w:val="hybridMultilevel"/>
    <w:lvl w:ilvl="0">
      <w:lvlJc w:val="left"/>
      <w:lvlText w:val="(%1)"/>
      <w:numFmt w:val="lowerLetter"/>
      <w:start w:val="12"/>
    </w:lvl>
  </w:abstractNum>
  <w:abstractNum w:abstractNumId="19">
    <w:nsid w:val="7FFFCA11"/>
    <w:multiLevelType w:val="hybridMultilevel"/>
    <w:lvl w:ilvl="0">
      <w:lvlJc w:val="left"/>
      <w:lvlText w:val="(%1)"/>
      <w:numFmt w:val="lowerLetter"/>
      <w:start w:val="1"/>
    </w:lvl>
  </w:abstractNum>
  <w:abstractNum w:abstractNumId="20">
    <w:nsid w:val="1A27709E"/>
    <w:multiLevelType w:val="hybridMultilevel"/>
    <w:lvl w:ilvl="0">
      <w:lvlJc w:val="left"/>
      <w:lvlText w:val="(%1)"/>
      <w:numFmt w:val="lowerLetter"/>
      <w:start w:val="1"/>
    </w:lvl>
  </w:abstractNum>
  <w:abstractNum w:abstractNumId="21">
    <w:nsid w:val="71EA1109"/>
    <w:multiLevelType w:val="hybridMultilevel"/>
    <w:lvl w:ilvl="0">
      <w:lvlJc w:val="left"/>
      <w:lvlText w:val="(%1)"/>
      <w:numFmt w:val="lowerLetter"/>
      <w:start w:val="3"/>
    </w:lvl>
  </w:abstractNum>
  <w:abstractNum w:abstractNumId="22">
    <w:nsid w:val="100F59DC"/>
    <w:multiLevelType w:val="hybridMultilevel"/>
    <w:lvl w:ilvl="0">
      <w:lvlJc w:val="left"/>
      <w:lvlText w:val="(%1)"/>
      <w:numFmt w:val="lowerLetter"/>
      <w:start w:val="1"/>
    </w:lvl>
  </w:abstractNum>
  <w:abstractNum w:abstractNumId="23">
    <w:nsid w:val="7FB7E0AA"/>
    <w:multiLevelType w:val="hybridMultilevel"/>
    <w:lvl w:ilvl="0">
      <w:lvlJc w:val="left"/>
      <w:lvlText w:val="(%1)"/>
      <w:numFmt w:val="lowerLetter"/>
      <w:start w:val="2"/>
    </w:lvl>
  </w:abstractNum>
  <w:abstractNum w:abstractNumId="24">
    <w:nsid w:val="6EB5BD4"/>
    <w:multiLevelType w:val="hybridMultilevel"/>
    <w:lvl w:ilvl="0">
      <w:lvlJc w:val="left"/>
      <w:lvlText w:val="(%1)"/>
      <w:numFmt w:val="lowerLetter"/>
      <w:start w:val="11"/>
    </w:lvl>
  </w:abstractNum>
  <w:abstractNum w:abstractNumId="25">
    <w:nsid w:val="6F6DD9AC"/>
    <w:multiLevelType w:val="hybridMultilevel"/>
    <w:lvl w:ilvl="0">
      <w:lvlJc w:val="left"/>
      <w:lvlText w:val="(%1)"/>
      <w:numFmt w:val="lowerLetter"/>
      <w:start w:val="21"/>
    </w:lvl>
  </w:abstractNum>
  <w:abstractNum w:abstractNumId="26">
    <w:nsid w:val="94211F2"/>
    <w:multiLevelType w:val="hybridMultilevel"/>
    <w:lvl w:ilvl="0">
      <w:lvlJc w:val="left"/>
      <w:lvlText w:val="(%1)"/>
      <w:numFmt w:val="lowerLetter"/>
      <w:start w:val="1"/>
    </w:lvl>
    <w:lvl w:ilvl="1">
      <w:lvlJc w:val="left"/>
      <w:lvlText w:val="(%2)"/>
      <w:numFmt w:val="lowerLetter"/>
      <w:start w:val="9"/>
    </w:lvl>
  </w:abstractNum>
  <w:abstractNum w:abstractNumId="27">
    <w:nsid w:val="885E1B"/>
    <w:multiLevelType w:val="hybridMultilevel"/>
    <w:lvl w:ilvl="0">
      <w:lvlJc w:val="left"/>
      <w:lvlText w:val="(%1)"/>
      <w:numFmt w:val="lowerRoman"/>
      <w:start w:val="2"/>
    </w:lvl>
  </w:abstractNum>
  <w:abstractNum w:abstractNumId="28">
    <w:nsid w:val="76272110"/>
    <w:multiLevelType w:val="hybridMultilevel"/>
    <w:lvl w:ilvl="0">
      <w:lvlJc w:val="left"/>
      <w:lvlText w:val="(%1)"/>
      <w:numFmt w:val="lowerRoman"/>
      <w:start w:val="3"/>
    </w:lvl>
  </w:abstractNum>
  <w:abstractNum w:abstractNumId="29">
    <w:nsid w:val="4C04A8AF"/>
    <w:multiLevelType w:val="hybridMultilevel"/>
    <w:lvl w:ilvl="0">
      <w:lvlJc w:val="left"/>
      <w:lvlText w:val="(%1)"/>
      <w:numFmt w:val="lowerRoman"/>
      <w:start w:val="1"/>
    </w:lvl>
  </w:abstractNum>
  <w:abstractNum w:abstractNumId="30">
    <w:nsid w:val="1716703B"/>
    <w:multiLevelType w:val="hybridMultilevel"/>
    <w:lvl w:ilvl="0">
      <w:lvlJc w:val="left"/>
      <w:lvlText w:val="(%1)"/>
      <w:numFmt w:val="lowerLetter"/>
      <w:start w:val="1"/>
    </w:lvl>
  </w:abstractNum>
  <w:abstractNum w:abstractNumId="31">
    <w:nsid w:val="14E17E33"/>
    <w:multiLevelType w:val="hybridMultilevel"/>
    <w:lvl w:ilvl="0">
      <w:lvlJc w:val="left"/>
      <w:lvlText w:val="(%1)"/>
      <w:numFmt w:val="lowerLetter"/>
      <w:start w:val="2"/>
    </w:lvl>
  </w:abstractNum>
  <w:abstractNum w:abstractNumId="32">
    <w:nsid w:val="3222E7CD"/>
    <w:multiLevelType w:val="hybridMultilevel"/>
    <w:lvl w:ilvl="0">
      <w:lvlJc w:val="left"/>
      <w:lvlText w:val="(%1)"/>
      <w:numFmt w:val="lowerLetter"/>
      <w:start w:val="1"/>
    </w:lvl>
    <w:lvl w:ilvl="1">
      <w:lvlJc w:val="left"/>
      <w:lvlText w:val="(%2)"/>
      <w:numFmt w:val="lowerRoman"/>
      <w:start w:val="1"/>
    </w:lvl>
  </w:abstractNum>
  <w:abstractNum w:abstractNumId="33">
    <w:nsid w:val="74DE0EE3"/>
    <w:multiLevelType w:val="hybridMultilevel"/>
    <w:lvl w:ilvl="0">
      <w:lvlJc w:val="left"/>
      <w:lvlText w:val="(%1)"/>
      <w:numFmt w:val="lowerRoman"/>
      <w:start w:val="4"/>
    </w:lvl>
  </w:abstractNum>
  <w:abstractNum w:abstractNumId="34">
    <w:nsid w:val="68EBC550"/>
    <w:multiLevelType w:val="hybridMultilevel"/>
    <w:lvl w:ilvl="0">
      <w:lvlJc w:val="left"/>
      <w:lvlText w:val="(%1)"/>
      <w:numFmt w:val="lowerLetter"/>
      <w:start w:val="2"/>
    </w:lvl>
  </w:abstractNum>
  <w:abstractNum w:abstractNumId="35">
    <w:nsid w:val="2DF6D648"/>
    <w:multiLevelType w:val="hybridMultilevel"/>
    <w:lvl w:ilvl="0">
      <w:lvlJc w:val="left"/>
      <w:lvlText w:val="(%1)"/>
      <w:numFmt w:val="lowerLetter"/>
      <w:start w:val="1"/>
    </w:lvl>
    <w:lvl w:ilvl="1">
      <w:lvlJc w:val="left"/>
      <w:lvlText w:val="(%2)"/>
      <w:numFmt w:val="lowerRoman"/>
      <w:start w:val="1"/>
    </w:lvl>
  </w:abstractNum>
  <w:abstractNum w:abstractNumId="36">
    <w:nsid w:val="46B7D447"/>
    <w:multiLevelType w:val="hybridMultilevel"/>
    <w:lvl w:ilvl="0">
      <w:lvlJc w:val="left"/>
      <w:lvlText w:val="(%1)"/>
      <w:numFmt w:val="lowerLetter"/>
      <w:start w:val="2"/>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2"/>
    </w:lvl>
  </w:abstractNum>
  <w:abstractNum w:abstractNumId="39">
    <w:nsid w:val="57FC4FBB"/>
    <w:multiLevelType w:val="hybridMultilevel"/>
    <w:lvl w:ilvl="0">
      <w:lvlJc w:val="left"/>
      <w:lvlText w:val="(%1)"/>
      <w:numFmt w:val="lowerLetter"/>
      <w:start w:val="1"/>
    </w:lvl>
  </w:abstractNum>
  <w:abstractNum w:abstractNumId="40">
    <w:nsid w:val="CC1016F"/>
    <w:multiLevelType w:val="hybridMultilevel"/>
    <w:lvl w:ilvl="0">
      <w:lvlJc w:val="left"/>
      <w:lvlText w:val="(%1)"/>
      <w:numFmt w:val="lowerLetter"/>
      <w:start w:val="4"/>
    </w:lvl>
  </w:abstractNum>
  <w:abstractNum w:abstractNumId="41">
    <w:nsid w:val="43F18422"/>
    <w:multiLevelType w:val="hybridMultilevel"/>
    <w:lvl w:ilvl="0">
      <w:lvlJc w:val="left"/>
      <w:lvlText w:val="(%1)"/>
      <w:numFmt w:val="lowerRoman"/>
      <w:start w:val="1"/>
    </w:lvl>
  </w:abstractNum>
  <w:abstractNum w:abstractNumId="42">
    <w:nsid w:val="60EF0119"/>
    <w:multiLevelType w:val="hybridMultilevel"/>
    <w:lvl w:ilvl="0">
      <w:lvlJc w:val="left"/>
      <w:lvlText w:val="(%1)"/>
      <w:numFmt w:val="lowerRoman"/>
      <w:start w:val="2"/>
    </w:lvl>
  </w:abstractNum>
  <w:abstractNum w:abstractNumId="43">
    <w:nsid w:val="26F324BA"/>
    <w:multiLevelType w:val="hybridMultilevel"/>
    <w:lvl w:ilvl="0">
      <w:lvlJc w:val="left"/>
      <w:lvlText w:val="(%1)"/>
      <w:numFmt w:val="lowerLetter"/>
      <w:start w:val="1"/>
    </w:lvl>
    <w:lvl w:ilvl="1">
      <w:lvlJc w:val="left"/>
      <w:lvlText w:val="(%2)"/>
      <w:numFmt w:val="lowerRoman"/>
      <w:start w:val="1"/>
    </w:lvl>
  </w:abstractNum>
  <w:abstractNum w:abstractNumId="44">
    <w:nsid w:val="7F01579B"/>
    <w:multiLevelType w:val="hybridMultilevel"/>
    <w:lvl w:ilvl="0">
      <w:lvlJc w:val="left"/>
      <w:lvlText w:val="(%1)"/>
      <w:numFmt w:val="lowerLetter"/>
      <w:start w:val="1"/>
    </w:lvl>
  </w:abstractNum>
  <w:abstractNum w:abstractNumId="45">
    <w:nsid w:val="49DA307D"/>
    <w:multiLevelType w:val="hybridMultilevel"/>
    <w:lvl w:ilvl="0">
      <w:lvlJc w:val="left"/>
      <w:lvlText w:val="(%1)"/>
      <w:numFmt w:val="lowerLetter"/>
      <w:start w:val="7"/>
    </w:lvl>
  </w:abstractNum>
  <w:abstractNum w:abstractNumId="46">
    <w:nsid w:val="7055A5F5"/>
    <w:multiLevelType w:val="hybridMultilevel"/>
    <w:lvl w:ilvl="0">
      <w:lvlJc w:val="left"/>
      <w:lvlText w:val="(%1)"/>
      <w:numFmt w:val="lowerLetter"/>
      <w:start w:val="2"/>
    </w:lvl>
    <w:lvl w:ilvl="1">
      <w:lvlJc w:val="left"/>
      <w:lvlText w:val="(%2)"/>
      <w:numFmt w:val="lowerRoman"/>
      <w:start w:val="1"/>
    </w:lvl>
  </w:abstractNum>
  <w:abstractNum w:abstractNumId="47">
    <w:nsid w:val="5FB8370B"/>
    <w:multiLevelType w:val="hybridMultilevel"/>
    <w:lvl w:ilvl="0">
      <w:lvlJc w:val="left"/>
      <w:lvlText w:val="(%1)"/>
      <w:numFmt w:val="lowerLetter"/>
      <w:start w:val="3"/>
    </w:lvl>
  </w:abstractNum>
  <w:abstractNum w:abstractNumId="48">
    <w:nsid w:val="50801EE1"/>
    <w:multiLevelType w:val="hybridMultilevel"/>
    <w:lvl w:ilvl="0">
      <w:lvlJc w:val="left"/>
      <w:lvlText w:val="(%1)"/>
      <w:numFmt w:val="lowerLetter"/>
      <w:start w:val="4"/>
    </w:lvl>
  </w:abstractNum>
  <w:abstractNum w:abstractNumId="49">
    <w:nsid w:val="488AC1A"/>
    <w:multiLevelType w:val="hybridMultilevel"/>
    <w:lvl w:ilvl="0">
      <w:lvlJc w:val="left"/>
      <w:lvlText w:val="(%1)"/>
      <w:numFmt w:val="lowerLetter"/>
      <w:start w:val="1"/>
    </w:lvl>
  </w:abstractNum>
  <w:abstractNum w:abstractNumId="50">
    <w:nsid w:val="5FB8011C"/>
    <w:multiLevelType w:val="hybridMultilevel"/>
    <w:lvl w:ilvl="0">
      <w:lvlJc w:val="left"/>
      <w:lvlText w:val="(%1)"/>
      <w:numFmt w:val="lowerLetter"/>
      <w:start w:val="1"/>
    </w:lvl>
  </w:abstractNum>
  <w:abstractNum w:abstractNumId="51">
    <w:nsid w:val="6AA78F7F"/>
    <w:multiLevelType w:val="hybridMultilevel"/>
    <w:lvl w:ilvl="0">
      <w:lvlJc w:val="left"/>
      <w:lvlText w:val="(%1)"/>
      <w:numFmt w:val="lowerLetter"/>
      <w:start w:val="5"/>
    </w:lvl>
  </w:abstractNum>
  <w:abstractNum w:abstractNumId="52">
    <w:nsid w:val="7672BD23"/>
    <w:multiLevelType w:val="hybridMultilevel"/>
    <w:lvl w:ilvl="0">
      <w:lvlJc w:val="left"/>
      <w:lvlText w:val="%1"/>
      <w:numFmt w:val="lowerLetter"/>
      <w:start w:val="1"/>
    </w:lvl>
    <w:lvl w:ilvl="1">
      <w:lvlJc w:val="left"/>
      <w:lvlText w:val="(%2)"/>
      <w:numFmt w:val="lowerLetter"/>
      <w:start w:val="2"/>
    </w:lvl>
  </w:abstractNum>
  <w:abstractNum w:abstractNumId="53">
    <w:nsid w:val="6FC75AF8"/>
    <w:multiLevelType w:val="hybridMultilevel"/>
    <w:lvl w:ilvl="0">
      <w:lvlJc w:val="left"/>
      <w:lvlText w:val="(%1)"/>
      <w:numFmt w:val="lowerLetter"/>
      <w:start w:val="35"/>
    </w:lvl>
    <w:lvl w:ilvl="1">
      <w:lvlJc w:val="left"/>
      <w:lvlText w:val="%2"/>
      <w:numFmt w:val="lowerLetter"/>
      <w:start w:val="1"/>
    </w:lvl>
  </w:abstractNum>
  <w:abstractNum w:abstractNumId="54">
    <w:nsid w:val="6A5F7029"/>
    <w:multiLevelType w:val="hybridMultilevel"/>
    <w:lvl w:ilvl="0">
      <w:lvlJc w:val="left"/>
      <w:lvlText w:val="%1"/>
      <w:numFmt w:val="decimal"/>
      <w:start w:val="1"/>
    </w:lvl>
    <w:lvl w:ilvl="1">
      <w:lvlJc w:val="left"/>
      <w:lvlText w:val="(%2)"/>
      <w:numFmt w:val="upperLetter"/>
      <w:start w:val="1"/>
    </w:lvl>
  </w:abstractNum>
  <w:abstractNum w:abstractNumId="55">
    <w:nsid w:val="7D5E18F8"/>
    <w:multiLevelType w:val="hybridMultilevel"/>
    <w:lvl w:ilvl="0">
      <w:lvlJc w:val="left"/>
      <w:lvlText w:val="(%1)"/>
      <w:numFmt w:val="decimal"/>
      <w:start w:val="2"/>
    </w:lvl>
    <w:lvl w:ilvl="1">
      <w:lvlJc w:val="left"/>
      <w:lvlText w:val="(%2)"/>
      <w:numFmt w:val="upperLetter"/>
      <w:start w:val="2"/>
    </w:lvl>
  </w:abstractNum>
  <w:abstractNum w:abstractNumId="56">
    <w:nsid w:val="5F3534A4"/>
    <w:multiLevelType w:val="hybridMultilevel"/>
    <w:lvl w:ilvl="0">
      <w:lvlJc w:val="left"/>
      <w:lvlText w:val="(%1)"/>
      <w:numFmt w:val="lowerLetter"/>
      <w:start w:val="1"/>
    </w:lvl>
  </w:abstractNum>
  <w:abstractNum w:abstractNumId="57">
    <w:nsid w:val="73A1821B"/>
    <w:multiLevelType w:val="hybridMultilevel"/>
    <w:lvl w:ilvl="0">
      <w:lvlJc w:val="left"/>
      <w:lvlText w:val="(%1)"/>
      <w:numFmt w:val="lowerRoman"/>
      <w:start w:val="1"/>
    </w:lvl>
  </w:abstractNum>
  <w:abstractNum w:abstractNumId="58">
    <w:nsid w:val="7DE67713"/>
    <w:multiLevelType w:val="hybridMultilevel"/>
    <w:lvl w:ilvl="0">
      <w:lvlJc w:val="left"/>
      <w:lvlText w:val="(%1)"/>
      <w:numFmt w:val="lowerRoman"/>
      <w:start w:val="1"/>
    </w:lvl>
  </w:abstractNum>
  <w:abstractNum w:abstractNumId="59">
    <w:nsid w:val="555C55B5"/>
    <w:multiLevelType w:val="hybridMultilevel"/>
    <w:lvl w:ilvl="0">
      <w:lvlJc w:val="left"/>
      <w:lvlText w:val="(%1)"/>
      <w:numFmt w:val="lowerRoman"/>
      <w:start w:val="1"/>
    </w:lvl>
  </w:abstractNum>
  <w:abstractNum w:abstractNumId="60">
    <w:nsid w:val="3FA62ACA"/>
    <w:multiLevelType w:val="hybridMultilevel"/>
    <w:lvl w:ilvl="0">
      <w:lvlJc w:val="left"/>
      <w:lvlText w:val="%1."/>
      <w:numFmt w:val="decimal"/>
      <w:start w:val="1"/>
    </w:lvl>
  </w:abstractNum>
  <w:abstractNum w:abstractNumId="61">
    <w:nsid w:val="14FCE74E"/>
    <w:multiLevelType w:val="hybridMultilevel"/>
    <w:lvl w:ilvl="0">
      <w:lvlJc w:val="left"/>
      <w:lvlText w:val="%1."/>
      <w:numFmt w:val="decimal"/>
      <w:start w:val="2"/>
    </w:lvl>
  </w:abstractNum>
  <w:abstractNum w:abstractNumId="62">
    <w:nsid w:val="6A3DD3E8"/>
    <w:multiLevelType w:val="hybridMultilevel"/>
    <w:lvl w:ilvl="0">
      <w:lvlJc w:val="left"/>
      <w:lvlText w:val="%1."/>
      <w:numFmt w:val="decimal"/>
      <w:start w:val="3"/>
    </w:lvl>
  </w:abstractNum>
  <w:abstractNum w:abstractNumId="63">
    <w:nsid w:val="71C91298"/>
    <w:multiLevelType w:val="hybridMultilevel"/>
    <w:lvl w:ilvl="0">
      <w:lvlJc w:val="left"/>
      <w:lvlText w:val="%1."/>
      <w:numFmt w:val="decimal"/>
      <w:start w:val="4"/>
    </w:lvl>
  </w:abstractNum>
  <w:abstractNum w:abstractNumId="64">
    <w:nsid w:val="9DAF632"/>
    <w:multiLevelType w:val="hybridMultilevel"/>
    <w:lvl w:ilvl="0">
      <w:lvlJc w:val="left"/>
      <w:lvlText w:val="%1."/>
      <w:numFmt w:val="decimal"/>
      <w:start w:val="5"/>
    </w:lvl>
  </w:abstractNum>
  <w:abstractNum w:abstractNumId="65">
    <w:nsid w:val="53299938"/>
    <w:multiLevelType w:val="hybridMultilevel"/>
    <w:lvl w:ilvl="0">
      <w:lvlJc w:val="left"/>
      <w:lvlText w:val="%1."/>
      <w:numFmt w:val="decimal"/>
      <w:start w:val="6"/>
    </w:lvl>
  </w:abstractNum>
  <w:abstractNum w:abstractNumId="66">
    <w:nsid w:val="1FBFE8E0"/>
    <w:multiLevelType w:val="hybridMultilevel"/>
    <w:lvl w:ilvl="0">
      <w:lvlJc w:val="left"/>
      <w:lvlText w:val="%1."/>
      <w:numFmt w:val="decimal"/>
      <w:start w:val="7"/>
    </w:lvl>
  </w:abstractNum>
  <w:abstractNum w:abstractNumId="67">
    <w:nsid w:val="5092CA79"/>
    <w:multiLevelType w:val="hybridMultilevel"/>
    <w:lvl w:ilvl="0">
      <w:lvlJc w:val="left"/>
      <w:lvlText w:val="%1."/>
      <w:numFmt w:val="decimal"/>
      <w:start w:val="8"/>
    </w:lvl>
  </w:abstractNum>
  <w:abstractNum w:abstractNumId="68">
    <w:nsid w:val="1D545C4D"/>
    <w:multiLevelType w:val="hybridMultilevel"/>
    <w:lvl w:ilvl="0">
      <w:lvlJc w:val="left"/>
      <w:lvlText w:val="%1."/>
      <w:numFmt w:val="decimal"/>
      <w:start w:val="9"/>
    </w:lvl>
  </w:abstractNum>
  <w:abstractNum w:abstractNumId="69">
    <w:nsid w:val="59ADEA3D"/>
    <w:multiLevelType w:val="hybridMultilevel"/>
    <w:lvl w:ilvl="0">
      <w:lvlJc w:val="left"/>
      <w:lvlText w:val="%1."/>
      <w:numFmt w:val="decimal"/>
      <w:start w:val="10"/>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decimal"/>
      <w:start w:val="2"/>
    </w:lvl>
  </w:abstractNum>
  <w:abstractNum w:abstractNumId="72">
    <w:nsid w:val="1D9F6E5F"/>
    <w:multiLevelType w:val="hybridMultilevel"/>
    <w:lvl w:ilvl="0">
      <w:lvlJc w:val="left"/>
      <w:lvlText w:val="%1."/>
      <w:numFmt w:val="decimal"/>
      <w:start w:val="3"/>
    </w:lvl>
  </w:abstractNum>
  <w:abstractNum w:abstractNumId="73">
    <w:nsid w:val="97E1B4E"/>
    <w:multiLevelType w:val="hybridMultilevel"/>
    <w:lvl w:ilvl="0">
      <w:lvlJc w:val="left"/>
      <w:lvlText w:val="%1."/>
      <w:numFmt w:val="decimal"/>
      <w:start w:val="4"/>
    </w:lvl>
  </w:abstractNum>
  <w:abstractNum w:abstractNumId="74">
    <w:nsid w:val="51088277"/>
    <w:multiLevelType w:val="hybridMultilevel"/>
    <w:lvl w:ilvl="0">
      <w:lvlJc w:val="left"/>
      <w:lvlText w:val="%1."/>
      <w:numFmt w:val="decimal"/>
      <w:start w:val="5"/>
    </w:lvl>
  </w:abstractNum>
  <w:abstractNum w:abstractNumId="75">
    <w:nsid w:val="1CA0C5FA"/>
    <w:multiLevelType w:val="hybridMultilevel"/>
    <w:lvl w:ilvl="0">
      <w:lvlJc w:val="left"/>
      <w:lvlText w:val="%1."/>
      <w:numFmt w:val="decimal"/>
      <w:start w:val="6"/>
    </w:lvl>
  </w:abstractNum>
  <w:abstractNum w:abstractNumId="76">
    <w:nsid w:val="53584BCB"/>
    <w:multiLevelType w:val="hybridMultilevel"/>
    <w:lvl w:ilvl="0">
      <w:lvlJc w:val="left"/>
      <w:lvlText w:val="%1."/>
      <w:numFmt w:val="decimal"/>
      <w:start w:val="7"/>
    </w:lvl>
  </w:abstractNum>
  <w:abstractNum w:abstractNumId="77">
    <w:nsid w:val="415E286C"/>
    <w:multiLevelType w:val="hybridMultilevel"/>
    <w:lvl w:ilvl="0">
      <w:lvlJc w:val="left"/>
      <w:lvlText w:val="%1."/>
      <w:numFmt w:val="decimal"/>
      <w:start w:val="8"/>
    </w:lvl>
  </w:abstractNum>
  <w:abstractNum w:abstractNumId="78">
    <w:nsid w:val="7C58FD05"/>
    <w:multiLevelType w:val="hybridMultilevel"/>
    <w:lvl w:ilvl="0">
      <w:lvlJc w:val="left"/>
      <w:lvlText w:val="%1."/>
      <w:numFmt w:val="decimal"/>
      <w:start w:val="9"/>
    </w:lvl>
  </w:abstractNum>
  <w:abstractNum w:abstractNumId="79">
    <w:nsid w:val="23D86AAC"/>
    <w:multiLevelType w:val="hybridMultilevel"/>
    <w:lvl w:ilvl="0">
      <w:lvlJc w:val="left"/>
      <w:lvlText w:val="%1."/>
      <w:numFmt w:val="decimal"/>
      <w:start w:val="10"/>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1."/>
      <w:numFmt w:val="decimal"/>
      <w:start w:val="2"/>
    </w:lvl>
  </w:abstractNum>
  <w:abstractNum w:abstractNumId="82">
    <w:nsid w:val="E7FFA2B"/>
    <w:multiLevelType w:val="hybridMultilevel"/>
    <w:lvl w:ilvl="0">
      <w:lvlJc w:val="left"/>
      <w:lvlText w:val="%1."/>
      <w:numFmt w:val="decimal"/>
      <w:start w:val="3"/>
    </w:lvl>
  </w:abstractNum>
  <w:abstractNum w:abstractNumId="83">
    <w:nsid w:val="3C5991AA"/>
    <w:multiLevelType w:val="hybridMultilevel"/>
    <w:lvl w:ilvl="0">
      <w:lvlJc w:val="left"/>
      <w:lvlText w:val="%1."/>
      <w:numFmt w:val="decimal"/>
      <w:start w:val="4"/>
    </w:lvl>
  </w:abstractNum>
  <w:abstractNum w:abstractNumId="84">
    <w:nsid w:val="4BD8591A"/>
    <w:multiLevelType w:val="hybridMultilevel"/>
    <w:lvl w:ilvl="0">
      <w:lvlJc w:val="left"/>
      <w:lvlText w:val="%1."/>
      <w:numFmt w:val="decimal"/>
      <w:start w:val="5"/>
    </w:lvl>
  </w:abstractNum>
  <w:abstractNum w:abstractNumId="85">
    <w:nsid w:val="78DF6A55"/>
    <w:multiLevelType w:val="hybridMultilevel"/>
    <w:lvl w:ilvl="0">
      <w:lvlJc w:val="left"/>
      <w:lvlText w:val="%1."/>
      <w:numFmt w:val="decimal"/>
      <w:start w:val="6"/>
    </w:lvl>
  </w:abstractNum>
  <w:abstractNum w:abstractNumId="86">
    <w:nsid w:val="39B7AAA2"/>
    <w:multiLevelType w:val="hybridMultilevel"/>
    <w:lvl w:ilvl="0">
      <w:lvlJc w:val="left"/>
      <w:lvlText w:val="(%1)"/>
      <w:numFmt w:val="lowerRoman"/>
      <w:start w:val="1"/>
    </w:lvl>
  </w:abstractNum>
  <w:abstractNum w:abstractNumId="87">
    <w:nsid w:val="2B0D8DBE"/>
    <w:multiLevelType w:val="hybridMultilevel"/>
    <w:lvl w:ilvl="0">
      <w:lvlJc w:val="left"/>
      <w:lvlText w:val="%1."/>
      <w:numFmt w:val="decimal"/>
      <w:start w:val="7"/>
    </w:lvl>
  </w:abstractNum>
  <w:abstractNum w:abstractNumId="88">
    <w:nsid w:val="6C80EC70"/>
    <w:multiLevelType w:val="hybridMultilevel"/>
    <w:lvl w:ilvl="0">
      <w:lvlJc w:val="left"/>
      <w:lvlText w:val="%1."/>
      <w:numFmt w:val="decimal"/>
      <w:start w:val="8"/>
    </w:lvl>
  </w:abstractNum>
  <w:abstractNum w:abstractNumId="89">
    <w:nsid w:val="379E21B5"/>
    <w:multiLevelType w:val="hybridMultilevel"/>
    <w:lvl w:ilvl="0">
      <w:lvlJc w:val="left"/>
      <w:lvlText w:val="%1."/>
      <w:numFmt w:val="decimal"/>
      <w:start w:val="9"/>
    </w:lvl>
  </w:abstractNum>
  <w:abstractNum w:abstractNumId="90">
    <w:nsid w:val="69E373"/>
    <w:multiLevelType w:val="hybridMultilevel"/>
    <w:lvl w:ilvl="0">
      <w:lvlJc w:val="left"/>
      <w:lvlText w:val="%1."/>
      <w:numFmt w:val="decimal"/>
      <w:start w:val="10"/>
    </w:lvl>
  </w:abstractNum>
  <w:abstractNum w:abstractNumId="91">
    <w:nsid w:val="2C27173B"/>
    <w:multiLevelType w:val="hybridMultilevel"/>
    <w:lvl w:ilvl="0">
      <w:lvlJc w:val="left"/>
      <w:lvlText w:val="%1."/>
      <w:numFmt w:val="decimal"/>
      <w:start w:val="11"/>
    </w:lvl>
  </w:abstractNum>
  <w:abstractNum w:abstractNumId="92">
    <w:nsid w:val="4C9B0904"/>
    <w:multiLevelType w:val="hybridMultilevel"/>
    <w:lvl w:ilvl="0">
      <w:lvlJc w:val="left"/>
      <w:lvlText w:val="%1."/>
      <w:numFmt w:val="decimal"/>
      <w:start w:val="12"/>
    </w:lvl>
  </w:abstractNum>
  <w:abstractNum w:abstractNumId="93">
    <w:nsid w:val="6AA7B75C"/>
    <w:multiLevelType w:val="hybridMultilevel"/>
    <w:lvl w:ilvl="0">
      <w:lvlJc w:val="left"/>
      <w:lvlText w:val="%1."/>
      <w:numFmt w:val="decimal"/>
      <w:start w:val="1"/>
    </w:lvl>
  </w:abstractNum>
  <w:abstractNum w:abstractNumId="94">
    <w:nsid w:val="1DF029D3"/>
    <w:multiLevelType w:val="hybridMultilevel"/>
    <w:lvl w:ilvl="0">
      <w:lvlJc w:val="left"/>
      <w:lvlText w:val="%1."/>
      <w:numFmt w:val="decimal"/>
      <w:start w:val="2"/>
    </w:lvl>
  </w:abstractNum>
  <w:abstractNum w:abstractNumId="95">
    <w:nsid w:val="5675FF36"/>
    <w:multiLevelType w:val="hybridMultilevel"/>
    <w:lvl w:ilvl="0">
      <w:lvlJc w:val="left"/>
      <w:lvlText w:val="%1."/>
      <w:numFmt w:val="decimal"/>
      <w:start w:val="3"/>
    </w:lvl>
  </w:abstractNum>
  <w:abstractNum w:abstractNumId="96">
    <w:nsid w:val="3DD15094"/>
    <w:multiLevelType w:val="hybridMultilevel"/>
    <w:lvl w:ilvl="0">
      <w:lvlJc w:val="left"/>
      <w:lvlText w:val="%1."/>
      <w:numFmt w:val="decimal"/>
      <w:start w:val="4"/>
    </w:lvl>
  </w:abstractNum>
  <w:abstractNum w:abstractNumId="97">
    <w:nsid w:val="3DB012B3"/>
    <w:multiLevelType w:val="hybridMultilevel"/>
    <w:lvl w:ilvl="0">
      <w:lvlJc w:val="left"/>
      <w:lvlText w:val="%1."/>
      <w:numFmt w:val="decimal"/>
      <w:start w:val="5"/>
    </w:lvl>
  </w:abstractNum>
  <w:abstractNum w:abstractNumId="98">
    <w:nsid w:val="2708C9AF"/>
    <w:multiLevelType w:val="hybridMultilevel"/>
    <w:lvl w:ilvl="0">
      <w:lvlJc w:val="left"/>
      <w:lvlText w:val="%1."/>
      <w:numFmt w:val="decimal"/>
      <w:start w:val="6"/>
    </w:lvl>
  </w:abstractNum>
  <w:abstractNum w:abstractNumId="99">
    <w:nsid w:val="5B25ACE2"/>
    <w:multiLevelType w:val="hybridMultilevel"/>
    <w:lvl w:ilvl="0">
      <w:lvlJc w:val="left"/>
      <w:lvlText w:val="(%1)"/>
      <w:numFmt w:val="lowerRoman"/>
      <w:start w:val="1"/>
    </w:lvl>
  </w:abstractNum>
  <w:abstractNum w:abstractNumId="100">
    <w:nsid w:val="175DFCF0"/>
    <w:multiLevelType w:val="hybridMultilevel"/>
    <w:lvl w:ilvl="0">
      <w:lvlJc w:val="left"/>
      <w:lvlText w:val="%1."/>
      <w:numFmt w:val="decimal"/>
      <w:start w:val="7"/>
    </w:lvl>
  </w:abstractNum>
  <w:abstractNum w:abstractNumId="101">
    <w:nsid w:val="4F97E3E4"/>
    <w:multiLevelType w:val="hybridMultilevel"/>
    <w:lvl w:ilvl="0">
      <w:lvlJc w:val="left"/>
      <w:lvlText w:val="%1."/>
      <w:numFmt w:val="decimal"/>
      <w:start w:val="8"/>
    </w:lvl>
  </w:abstractNum>
  <w:abstractNum w:abstractNumId="102">
    <w:nsid w:val="53B0A9E"/>
    <w:multiLevelType w:val="hybridMultilevel"/>
    <w:lvl w:ilvl="0">
      <w:lvlJc w:val="left"/>
      <w:lvlText w:val="%1."/>
      <w:numFmt w:val="decimal"/>
      <w:start w:val="9"/>
    </w:lvl>
  </w:abstractNum>
  <w:abstractNum w:abstractNumId="103">
    <w:nsid w:val="34FD6B4F"/>
    <w:multiLevelType w:val="hybridMultilevel"/>
    <w:lvl w:ilvl="0">
      <w:lvlJc w:val="left"/>
      <w:lvlText w:val="%1."/>
      <w:numFmt w:val="decimal"/>
      <w:start w:val="10"/>
    </w:lvl>
  </w:abstractNum>
  <w:abstractNum w:abstractNumId="104">
    <w:nsid w:val="5915FF32"/>
    <w:multiLevelType w:val="hybridMultilevel"/>
    <w:lvl w:ilvl="0">
      <w:lvlJc w:val="left"/>
      <w:lvlText w:val="%1."/>
      <w:numFmt w:val="decimal"/>
      <w:start w:val="11"/>
    </w:lvl>
  </w:abstractNum>
  <w:abstractNum w:abstractNumId="105">
    <w:nsid w:val="56438D15"/>
    <w:multiLevelType w:val="hybridMultilevel"/>
    <w:lvl w:ilvl="0">
      <w:lvlJc w:val="left"/>
      <w:lvlText w:val="%1."/>
      <w:numFmt w:val="decimal"/>
      <w:start w:val="12"/>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1."/>
      <w:numFmt w:val="decimal"/>
      <w:start w:val="2"/>
    </w:lvl>
  </w:abstractNum>
  <w:abstractNum w:abstractNumId="108">
    <w:nsid w:val="17A1B582"/>
    <w:multiLevelType w:val="hybridMultilevel"/>
    <w:lvl w:ilvl="0">
      <w:lvlJc w:val="left"/>
      <w:lvlText w:val="%1."/>
      <w:numFmt w:val="decimal"/>
      <w:start w:val="3"/>
    </w:lvl>
  </w:abstractNum>
  <w:abstractNum w:abstractNumId="109">
    <w:nsid w:val="4DF72E4E"/>
    <w:multiLevelType w:val="hybridMultilevel"/>
    <w:lvl w:ilvl="0">
      <w:lvlJc w:val="left"/>
      <w:lvlText w:val="%1."/>
      <w:numFmt w:val="decimal"/>
      <w:start w:val="4"/>
    </w:lvl>
  </w:abstractNum>
  <w:abstractNum w:abstractNumId="110">
    <w:nsid w:val="5046B5A9"/>
    <w:multiLevelType w:val="hybridMultilevel"/>
    <w:lvl w:ilvl="0">
      <w:lvlJc w:val="left"/>
      <w:lvlText w:val="%1."/>
      <w:numFmt w:val="decimal"/>
      <w:start w:val="5"/>
    </w:lvl>
  </w:abstractNum>
  <w:abstractNum w:abstractNumId="111">
    <w:nsid w:val="5D888A08"/>
    <w:multiLevelType w:val="hybridMultilevel"/>
    <w:lvl w:ilvl="0">
      <w:lvlJc w:val="left"/>
      <w:lvlText w:val="%1."/>
      <w:numFmt w:val="decimal"/>
      <w:start w:val="6"/>
    </w:lvl>
  </w:abstractNum>
  <w:abstractNum w:abstractNumId="112">
    <w:nsid w:val="2A082C70"/>
    <w:multiLevelType w:val="hybridMultilevel"/>
    <w:lvl w:ilvl="0">
      <w:lvlJc w:val="left"/>
      <w:lvlText w:val="(%1)"/>
      <w:numFmt w:val="lowerRoman"/>
      <w:start w:val="1"/>
    </w:lvl>
  </w:abstractNum>
  <w:abstractNum w:abstractNumId="113">
    <w:nsid w:val="5EC6AFD4"/>
    <w:multiLevelType w:val="hybridMultilevel"/>
    <w:lvl w:ilvl="0">
      <w:lvlJc w:val="left"/>
      <w:lvlText w:val="%1."/>
      <w:numFmt w:val="decimal"/>
      <w:start w:val="7"/>
    </w:lvl>
  </w:abstractNum>
  <w:abstractNum w:abstractNumId="114">
    <w:nsid w:val="19E21BB2"/>
    <w:multiLevelType w:val="hybridMultilevel"/>
    <w:lvl w:ilvl="0">
      <w:lvlJc w:val="left"/>
      <w:lvlText w:val="%1."/>
      <w:numFmt w:val="decimal"/>
      <w:start w:val="8"/>
    </w:lvl>
  </w:abstractNum>
  <w:abstractNum w:abstractNumId="115">
    <w:nsid w:val="75E0858A"/>
    <w:multiLevelType w:val="hybridMultilevel"/>
    <w:lvl w:ilvl="0">
      <w:lvlJc w:val="left"/>
      <w:lvlText w:val="%1."/>
      <w:numFmt w:val="decimal"/>
      <w:start w:val="9"/>
    </w:lvl>
  </w:abstractNum>
  <w:abstractNum w:abstractNumId="116">
    <w:nsid w:val="57A61A29"/>
    <w:multiLevelType w:val="hybridMultilevel"/>
    <w:lvl w:ilvl="0">
      <w:lvlJc w:val="left"/>
      <w:lvlText w:val="%1."/>
      <w:numFmt w:val="decimal"/>
      <w:start w:val="10"/>
    </w:lvl>
  </w:abstractNum>
  <w:abstractNum w:abstractNumId="117">
    <w:nsid w:val="5399C654"/>
    <w:multiLevelType w:val="hybridMultilevel"/>
    <w:lvl w:ilvl="0">
      <w:lvlJc w:val="left"/>
      <w:lvlText w:val="%1."/>
      <w:numFmt w:val="decimal"/>
      <w:start w:val="11"/>
    </w:lvl>
  </w:abstractNum>
  <w:abstractNum w:abstractNumId="118">
    <w:nsid w:val="20EE1348"/>
    <w:multiLevelType w:val="hybridMultilevel"/>
    <w:lvl w:ilvl="0">
      <w:lvlJc w:val="left"/>
      <w:lvlText w:val="%1."/>
      <w:numFmt w:val="decimal"/>
      <w:start w:val="12"/>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1."/>
      <w:numFmt w:val="decimal"/>
      <w:start w:val="2"/>
    </w:lvl>
  </w:abstractNum>
  <w:abstractNum w:abstractNumId="121">
    <w:nsid w:val="2157F6BC"/>
    <w:multiLevelType w:val="hybridMultilevel"/>
    <w:lvl w:ilvl="0">
      <w:lvlJc w:val="left"/>
      <w:lvlText w:val="%1."/>
      <w:numFmt w:val="decimal"/>
      <w:start w:val="3"/>
    </w:lvl>
  </w:abstractNum>
  <w:abstractNum w:abstractNumId="122">
    <w:nsid w:val="704E1DD5"/>
    <w:multiLevelType w:val="hybridMultilevel"/>
    <w:lvl w:ilvl="0">
      <w:lvlJc w:val="left"/>
      <w:lvlText w:val="%1."/>
      <w:numFmt w:val="decimal"/>
      <w:start w:val="4"/>
    </w:lvl>
  </w:abstractNum>
  <w:abstractNum w:abstractNumId="123">
    <w:nsid w:val="57D2F10E"/>
    <w:multiLevelType w:val="hybridMultilevel"/>
    <w:lvl w:ilvl="0">
      <w:lvlJc w:val="left"/>
      <w:lvlText w:val="%1."/>
      <w:numFmt w:val="decimal"/>
      <w:start w:val="5"/>
    </w:lvl>
  </w:abstractNum>
  <w:abstractNum w:abstractNumId="124">
    <w:nsid w:val="BFFAE18"/>
    <w:multiLevelType w:val="hybridMultilevel"/>
    <w:lvl w:ilvl="0">
      <w:lvlJc w:val="left"/>
      <w:lvlText w:val="%1."/>
      <w:numFmt w:val="decimal"/>
      <w:start w:val="6"/>
    </w:lvl>
  </w:abstractNum>
  <w:abstractNum w:abstractNumId="125">
    <w:nsid w:val="E3E47A8"/>
    <w:multiLevelType w:val="hybridMultilevel"/>
    <w:lvl w:ilvl="0">
      <w:lvlJc w:val="left"/>
      <w:lvlText w:val="(%1)"/>
      <w:numFmt w:val="lowerRoman"/>
      <w:start w:val="1"/>
    </w:lvl>
  </w:abstractNum>
  <w:abstractNum w:abstractNumId="126">
    <w:nsid w:val="2E48F044"/>
    <w:multiLevelType w:val="hybridMultilevel"/>
    <w:lvl w:ilvl="0">
      <w:lvlJc w:val="left"/>
      <w:lvlText w:val="%1."/>
      <w:numFmt w:val="decimal"/>
      <w:start w:val="7"/>
    </w:lvl>
  </w:abstractNum>
  <w:abstractNum w:abstractNumId="127">
    <w:nsid w:val="49D0FEAC"/>
    <w:multiLevelType w:val="hybridMultilevel"/>
    <w:lvl w:ilvl="0">
      <w:lvlJc w:val="left"/>
      <w:lvlText w:val="%1."/>
      <w:numFmt w:val="decimal"/>
      <w:start w:val="8"/>
    </w:lvl>
  </w:abstractNum>
  <w:abstractNum w:abstractNumId="128">
    <w:nsid w:val="4BEE5A5B"/>
    <w:multiLevelType w:val="hybridMultilevel"/>
    <w:lvl w:ilvl="0">
      <w:lvlJc w:val="left"/>
      <w:lvlText w:val="%1."/>
      <w:numFmt w:val="decimal"/>
      <w:start w:val="9"/>
    </w:lvl>
  </w:abstractNum>
  <w:abstractNum w:abstractNumId="129">
    <w:nsid w:val="5551B9F3"/>
    <w:multiLevelType w:val="hybridMultilevel"/>
    <w:lvl w:ilvl="0">
      <w:lvlJc w:val="left"/>
      <w:lvlText w:val="%1."/>
      <w:numFmt w:val="decimal"/>
      <w:start w:val="10"/>
    </w:lvl>
  </w:abstractNum>
  <w:abstractNum w:abstractNumId="130">
    <w:nsid w:val="24F6AB8E"/>
    <w:multiLevelType w:val="hybridMultilevel"/>
    <w:lvl w:ilvl="0">
      <w:lvlJc w:val="left"/>
      <w:lvlText w:val="%1."/>
      <w:numFmt w:val="decimal"/>
      <w:start w:val="11"/>
    </w:lvl>
  </w:abstractNum>
  <w:abstractNum w:abstractNumId="131">
    <w:nsid w:val="634C574C"/>
    <w:multiLevelType w:val="hybridMultilevel"/>
    <w:lvl w:ilvl="0">
      <w:lvlJc w:val="left"/>
      <w:lvlText w:val="%1."/>
      <w:numFmt w:val="decimal"/>
      <w:start w:val="12"/>
    </w:lvl>
  </w:abstractNum>
  <w:abstractNum w:abstractNumId="132">
    <w:nsid w:val="24E99DD7"/>
    <w:multiLevelType w:val="hybridMultilevel"/>
    <w:lvl w:ilvl="0">
      <w:lvlJc w:val="left"/>
      <w:lvlText w:val="%1."/>
      <w:numFmt w:val="decimal"/>
      <w:start w:val="1"/>
    </w:lvl>
  </w:abstractNum>
  <w:abstractNum w:abstractNumId="133">
    <w:nsid w:val="2A31B62D"/>
    <w:multiLevelType w:val="hybridMultilevel"/>
    <w:lvl w:ilvl="0">
      <w:lvlJc w:val="left"/>
      <w:lvlText w:val="%1."/>
      <w:numFmt w:val="decimal"/>
      <w:start w:val="2"/>
    </w:lvl>
  </w:abstractNum>
  <w:abstractNum w:abstractNumId="134">
    <w:nsid w:val="1849C29B"/>
    <w:multiLevelType w:val="hybridMultilevel"/>
    <w:lvl w:ilvl="0">
      <w:lvlJc w:val="left"/>
      <w:lvlText w:val="%1."/>
      <w:numFmt w:val="decimal"/>
      <w:start w:val="3"/>
    </w:lvl>
  </w:abstractNum>
  <w:abstractNum w:abstractNumId="135">
    <w:nsid w:val="7DFF9D09"/>
    <w:multiLevelType w:val="hybridMultilevel"/>
    <w:lvl w:ilvl="0">
      <w:lvlJc w:val="left"/>
      <w:lvlText w:val="%1."/>
      <w:numFmt w:val="decimal"/>
      <w:start w:val="4"/>
    </w:lvl>
  </w:abstractNum>
  <w:abstractNum w:abstractNumId="136">
    <w:nsid w:val="754342"/>
    <w:multiLevelType w:val="hybridMultilevel"/>
    <w:lvl w:ilvl="0">
      <w:lvlJc w:val="left"/>
      <w:lvlText w:val="%1."/>
      <w:numFmt w:val="decimal"/>
      <w:start w:val="5"/>
    </w:lvl>
  </w:abstractNum>
  <w:abstractNum w:abstractNumId="137">
    <w:nsid w:val="69E7F3E5"/>
    <w:multiLevelType w:val="hybridMultilevel"/>
    <w:lvl w:ilvl="0">
      <w:lvlJc w:val="left"/>
      <w:lvlText w:val="%1."/>
      <w:numFmt w:val="decimal"/>
      <w:start w:val="6"/>
    </w:lvl>
  </w:abstractNum>
  <w:abstractNum w:abstractNumId="138">
    <w:nsid w:val="2A6DE806"/>
    <w:multiLevelType w:val="hybridMultilevel"/>
    <w:lvl w:ilvl="0">
      <w:lvlJc w:val="left"/>
      <w:lvlText w:val="(%1)"/>
      <w:numFmt w:val="lowerRoman"/>
      <w:start w:val="1"/>
    </w:lvl>
  </w:abstractNum>
  <w:abstractNum w:abstractNumId="139">
    <w:nsid w:val="1816F8C4"/>
    <w:multiLevelType w:val="hybridMultilevel"/>
    <w:lvl w:ilvl="0">
      <w:lvlJc w:val="left"/>
      <w:lvlText w:val="%1."/>
      <w:numFmt w:val="decimal"/>
      <w:start w:val="7"/>
    </w:lvl>
  </w:abstractNum>
  <w:abstractNum w:abstractNumId="140">
    <w:nsid w:val="37DF2233"/>
    <w:multiLevelType w:val="hybridMultilevel"/>
    <w:lvl w:ilvl="0">
      <w:lvlJc w:val="left"/>
      <w:lvlText w:val="%1."/>
      <w:numFmt w:val="decimal"/>
      <w:start w:val="8"/>
    </w:lvl>
  </w:abstractNum>
  <w:abstractNum w:abstractNumId="141">
    <w:nsid w:val="7AB49DAF"/>
    <w:multiLevelType w:val="hybridMultilevel"/>
    <w:lvl w:ilvl="0">
      <w:lvlJc w:val="left"/>
      <w:lvlText w:val="%1."/>
      <w:numFmt w:val="decimal"/>
      <w:start w:val="9"/>
    </w:lvl>
  </w:abstractNum>
  <w:abstractNum w:abstractNumId="142">
    <w:nsid w:val="759F82CD"/>
    <w:multiLevelType w:val="hybridMultilevel"/>
    <w:lvl w:ilvl="0">
      <w:lvlJc w:val="left"/>
      <w:lvlText w:val="%1."/>
      <w:numFmt w:val="decimal"/>
      <w:start w:val="10"/>
    </w:lvl>
  </w:abstractNum>
  <w:abstractNum w:abstractNumId="143">
    <w:nsid w:val="61E74EA3"/>
    <w:multiLevelType w:val="hybridMultilevel"/>
    <w:lvl w:ilvl="0">
      <w:lvlJc w:val="left"/>
      <w:lvlText w:val="%1."/>
      <w:numFmt w:val="decimal"/>
      <w:start w:val="11"/>
    </w:lvl>
  </w:abstractNum>
  <w:abstractNum w:abstractNumId="144">
    <w:nsid w:val="597B4D8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2019-12-10T04:01:57Z</dcterms:created>
  <dcterms:modified xsi:type="dcterms:W3CDTF">2019-12-10T04:01:57Z</dcterms:modified>
</cp:coreProperties>
</file>