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DATE OF REPORT (DATE OF EARLIEST EVENT REPORTED): January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9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January 24, 2017, regarding its fourth-quarter and 2016 results of operations and financial condition is attached hereto as Exhibit 99.</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40"/>
          </w:cols>
          <w:pgMar w:left="240" w:top="341" w:right="31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10060"/>
          </w:cols>
          <w:pgMar w:left="240" w:top="341" w:right="31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Dated January 24, 2017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380" w:type="dxa"/>
            <w:vAlign w:val="bottom"/>
            <w:gridSpan w:val="2"/>
          </w:tcPr>
          <w:p>
            <w:pPr>
              <w:ind w:left="23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January 24, 2017</w:t>
            </w:r>
          </w:p>
        </w:tc>
        <w:tc>
          <w:tcPr>
            <w:tcW w:w="7380" w:type="dxa"/>
            <w:vAlign w:val="bottom"/>
            <w:gridSpan w:val="2"/>
          </w:tcPr>
          <w:p>
            <w:pPr>
              <w:ind w:left="2360"/>
              <w:spacing w:after="0"/>
              <w:rPr>
                <w:sz w:val="20"/>
                <w:szCs w:val="20"/>
                <w:color w:val="auto"/>
              </w:rPr>
            </w:pPr>
            <w:r>
              <w:rPr>
                <w:rFonts w:ascii="Arial" w:cs="Arial" w:eastAsia="Arial" w:hAnsi="Arial"/>
                <w:sz w:val="18"/>
                <w:szCs w:val="18"/>
                <w:color w:val="auto"/>
              </w:rPr>
              <w:t>By:  /s/ KEVIN P. MARCH</w:t>
            </w:r>
          </w:p>
        </w:tc>
      </w:tr>
      <w:tr>
        <w:trPr>
          <w:trHeight w:val="195"/>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4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4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4Q16 and 2016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www.ti.com/ir</w:t>
      </w:r>
    </w:p>
    <w:p>
      <w:pPr>
        <w:spacing w:after="0" w:line="225"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DALLAS (Jan. 24, 2017) – Texas Instruments Incorporated (TI) (NASDAQ: TXN) today reported fourth-quarter revenue of $3.41 billion, net income of $1.05 billion and earnings per share of $1.02. Earnings per share include a 14-cent benefit for items that were not in the company’s original guidance for the quarter.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760" w:right="140" w:hanging="374"/>
        <w:spacing w:after="0" w:line="238"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“Revenue increased 7 percent from the same quarter a year ago, as demand for our products remained strong in the automotive market. The improvement we saw in the third quarter for the industrial market continued. Demand in the personal electronics market was down slightly from a year ago.</w:t>
      </w:r>
    </w:p>
    <w:p>
      <w:pPr>
        <w:spacing w:after="0" w:line="94" w:lineRule="exact"/>
        <w:rPr>
          <w:rFonts w:ascii="Arial" w:cs="Arial" w:eastAsia="Arial" w:hAnsi="Arial"/>
          <w:sz w:val="22"/>
          <w:szCs w:val="22"/>
          <w:color w:val="auto"/>
        </w:rPr>
      </w:pPr>
    </w:p>
    <w:p>
      <w:pPr>
        <w:ind w:left="760" w:right="260" w:hanging="374"/>
        <w:spacing w:after="0" w:line="232"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 our core businesses, Analog revenue grew 10 percent and Embedded Processing grew 6 percent from the same quarter a year ago. Operating margin increased in both businesses.</w:t>
      </w:r>
    </w:p>
    <w:p>
      <w:pPr>
        <w:spacing w:after="0" w:line="95" w:lineRule="exact"/>
        <w:rPr>
          <w:rFonts w:ascii="Arial" w:cs="Arial" w:eastAsia="Arial" w:hAnsi="Arial"/>
          <w:sz w:val="22"/>
          <w:szCs w:val="22"/>
          <w:color w:val="auto"/>
        </w:rPr>
      </w:pPr>
    </w:p>
    <w:p>
      <w:pPr>
        <w:ind w:left="760" w:right="360" w:hanging="374"/>
        <w:spacing w:after="0" w:line="232"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18"/>
          <w:szCs w:val="18"/>
          <w:color w:val="auto"/>
        </w:rPr>
        <w:t>“Gross margin of 62.5 percent in the fourth quarter reflected the quality of our product portfolio, as well as the efficiency of our manufacturing strategy, including the benefit of 300-millimeter Analog production.</w:t>
      </w:r>
    </w:p>
    <w:p>
      <w:pPr>
        <w:spacing w:after="0" w:line="95" w:lineRule="exact"/>
        <w:rPr>
          <w:rFonts w:ascii="Arial" w:cs="Arial" w:eastAsia="Arial" w:hAnsi="Arial"/>
          <w:sz w:val="22"/>
          <w:szCs w:val="22"/>
          <w:color w:val="auto"/>
        </w:rPr>
      </w:pPr>
    </w:p>
    <w:p>
      <w:pPr>
        <w:ind w:left="760" w:right="100" w:hanging="374"/>
        <w:spacing w:after="0" w:line="232"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cash flow from operations of $4.6 billion for the year again underscored the strength of our business model. Free cash flow for the year was up 6 percent from a year ago to $4.1 billion, and represents 30.5 percent of revenue, up from 29.6 percent a year ago.</w:t>
      </w:r>
    </w:p>
    <w:p>
      <w:pPr>
        <w:spacing w:after="0" w:line="95" w:lineRule="exact"/>
        <w:rPr>
          <w:rFonts w:ascii="Arial" w:cs="Arial" w:eastAsia="Arial" w:hAnsi="Arial"/>
          <w:sz w:val="22"/>
          <w:szCs w:val="22"/>
          <w:color w:val="auto"/>
        </w:rPr>
      </w:pPr>
    </w:p>
    <w:p>
      <w:pPr>
        <w:ind w:left="760" w:right="220" w:hanging="374"/>
        <w:spacing w:after="0" w:line="238"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have returned $3.8 billion to owners in 2016 through stock repurchases and dividends, consistent with our strategy to return all of our free cash flow plus proceeds from exercises of equity compensation minus net debt retirement. Over the last 12 months, our dividends represented 40 percent of free cash flow, underscoring their sustainability.</w:t>
      </w:r>
    </w:p>
    <w:p>
      <w:pPr>
        <w:spacing w:after="0" w:line="94" w:lineRule="exact"/>
        <w:rPr>
          <w:rFonts w:ascii="Arial" w:cs="Arial" w:eastAsia="Arial" w:hAnsi="Arial"/>
          <w:sz w:val="22"/>
          <w:szCs w:val="22"/>
          <w:color w:val="auto"/>
        </w:rPr>
      </w:pPr>
    </w:p>
    <w:p>
      <w:pPr>
        <w:ind w:left="760" w:right="320" w:hanging="374"/>
        <w:spacing w:after="0" w:line="232"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balance sheet remains strong with $3.5 billion of cash and short-term investments at the end of the quarter, about 80 percent of which was owned by the company’s U.S. entities. Inventory ended the quarter at 126 days.</w:t>
      </w:r>
    </w:p>
    <w:p>
      <w:pPr>
        <w:spacing w:after="0" w:line="95" w:lineRule="exact"/>
        <w:rPr>
          <w:rFonts w:ascii="Arial" w:cs="Arial" w:eastAsia="Arial" w:hAnsi="Arial"/>
          <w:sz w:val="22"/>
          <w:szCs w:val="22"/>
          <w:color w:val="auto"/>
        </w:rPr>
      </w:pPr>
    </w:p>
    <w:p>
      <w:pPr>
        <w:ind w:left="760" w:right="280" w:hanging="374"/>
        <w:spacing w:after="0" w:line="238"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“TI’s first-quarter outlook is for revenue in the range of $3.17 billion to $3.43 billion and earnings per share between 78 and 88 cents, which includes a 4-cent estimated tax benefit related to the new accounting standard for stock compensation. For 2017, TI’s annual effective tax rate is expected to be about 30 percent.”</w:t>
      </w:r>
    </w:p>
    <w:p>
      <w:pPr>
        <w:spacing w:after="0" w:line="2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noted in the first paragraph above, earnings per share for fourth-quarter 2016 include a 14-cent benefit for items not in the company’s prior outlook: a 14-cent benefit for several intellectual property agreements, a 1-cent tax benefit related to the adoption of an accounting standard for stock compensation and a 1-cent restructuring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right="360"/>
        <w:spacing w:after="0" w:line="264" w:lineRule="auto"/>
        <w:rPr>
          <w:sz w:val="20"/>
          <w:szCs w:val="20"/>
          <w:color w:val="auto"/>
        </w:rPr>
      </w:pPr>
      <w:r>
        <w:rPr>
          <w:rFonts w:ascii="Arial" w:cs="Arial" w:eastAsia="Arial" w:hAnsi="Arial"/>
          <w:sz w:val="18"/>
          <w:szCs w:val="18"/>
          <w:color w:val="auto"/>
        </w:rPr>
        <w:t>Also today, TI said Brian Crutcher has been promoted to chief operating officer. Crutcher, 44, is a 21-year veteran of the company and has been executive vice president responsible for all business and sales operations, as well as for Kilby Labs and information technology. As COO, he adds oversight of TI’s global technology and manufacturing operations to his current duties.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3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b w:val="1"/>
                <w:bCs w:val="1"/>
                <w:color w:val="auto"/>
              </w:rPr>
              <w:t>4Q16</w:t>
            </w:r>
          </w:p>
        </w:tc>
        <w:tc>
          <w:tcPr>
            <w:tcW w:w="28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Arial" w:cs="Arial" w:eastAsia="Arial" w:hAnsi="Arial"/>
                <w:sz w:val="16"/>
                <w:szCs w:val="16"/>
                <w:b w:val="1"/>
                <w:bCs w:val="1"/>
                <w:color w:val="auto"/>
              </w:rPr>
              <w:t>4Q15</w:t>
            </w: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13"/>
        </w:trPr>
        <w:tc>
          <w:tcPr>
            <w:tcW w:w="31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Revenue</w:t>
            </w:r>
          </w:p>
        </w:tc>
        <w:tc>
          <w:tcPr>
            <w:tcW w:w="1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3,189</w:t>
            </w:r>
          </w:p>
        </w:tc>
        <w:tc>
          <w:tcPr>
            <w:tcW w:w="2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31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1,142</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3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Net income</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312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Trailing 12 Months</w:t>
            </w:r>
          </w:p>
        </w:tc>
        <w:tc>
          <w:tcPr>
            <w:tcW w:w="1240" w:type="dxa"/>
            <w:vAlign w:val="bottom"/>
            <w:tcBorders>
              <w:bottom w:val="single" w:sz="8" w:color="auto"/>
            </w:tcBorders>
          </w:tcPr>
          <w:p>
            <w:pPr>
              <w:spacing w:after="0"/>
              <w:rPr>
                <w:sz w:val="18"/>
                <w:szCs w:val="18"/>
                <w:color w:val="auto"/>
              </w:rPr>
            </w:pPr>
          </w:p>
        </w:tc>
      </w:tr>
      <w:tr>
        <w:trPr>
          <w:trHeight w:val="213"/>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b w:val="1"/>
                <w:bCs w:val="1"/>
                <w:color w:val="auto"/>
              </w:rPr>
              <w:t>4Q16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b w:val="1"/>
                <w:bCs w:val="1"/>
                <w:color w:val="auto"/>
              </w:rPr>
              <w:t>4Q16</w:t>
            </w:r>
          </w:p>
        </w:tc>
        <w:tc>
          <w:tcPr>
            <w:tcW w:w="44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4Q15</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12"/>
        </w:trPr>
        <w:tc>
          <w:tcPr>
            <w:tcW w:w="334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Cash flow from operations</w:t>
            </w:r>
          </w:p>
        </w:tc>
        <w:tc>
          <w:tcPr>
            <w:tcW w:w="15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1,387</w:t>
            </w:r>
          </w:p>
        </w:tc>
        <w:tc>
          <w:tcPr>
            <w:tcW w:w="4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4,614</w:t>
            </w:r>
          </w:p>
        </w:tc>
        <w:tc>
          <w:tcPr>
            <w:tcW w:w="4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1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334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551</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3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Free cash flow</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4,083</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3340" w:type="dxa"/>
            <w:vAlign w:val="bottom"/>
          </w:tcPr>
          <w:p>
            <w:pPr>
              <w:ind w:left="60"/>
              <w:spacing w:after="0"/>
              <w:rPr>
                <w:sz w:val="20"/>
                <w:szCs w:val="20"/>
                <w:color w:val="auto"/>
              </w:rPr>
            </w:pPr>
            <w:r>
              <w:rPr>
                <w:rFonts w:ascii="Arial" w:cs="Arial" w:eastAsia="Arial" w:hAnsi="Arial"/>
                <w:sz w:val="16"/>
                <w:szCs w:val="16"/>
                <w:color w:val="auto"/>
              </w:rPr>
              <w:t>Free cash flow % of revenue</w:t>
            </w: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12 months were 4 percent of revenue, consistent with TI’s long-term expectations.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Trailing 12 Months</w:t>
            </w:r>
          </w:p>
        </w:tc>
        <w:tc>
          <w:tcPr>
            <w:tcW w:w="12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6"/>
                <w:szCs w:val="16"/>
                <w:b w:val="1"/>
                <w:bCs w:val="1"/>
                <w:color w:val="auto"/>
                <w:w w:val="96"/>
              </w:rPr>
              <w:t>4Q16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4Q16</w:t>
            </w:r>
          </w:p>
        </w:tc>
        <w:tc>
          <w:tcPr>
            <w:tcW w:w="44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b w:val="1"/>
                <w:bCs w:val="1"/>
                <w:color w:val="auto"/>
              </w:rPr>
              <w:t>4Q15</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58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06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Dividends paid</w:t>
            </w:r>
          </w:p>
        </w:tc>
        <w:tc>
          <w:tcPr>
            <w:tcW w:w="18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499</w:t>
            </w:r>
          </w:p>
        </w:tc>
        <w:tc>
          <w:tcPr>
            <w:tcW w:w="4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1,646</w:t>
            </w:r>
          </w:p>
        </w:tc>
        <w:tc>
          <w:tcPr>
            <w:tcW w:w="4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1,444</w:t>
            </w:r>
          </w:p>
        </w:tc>
        <w:tc>
          <w:tcPr>
            <w:tcW w:w="18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58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6"/>
                <w:szCs w:val="16"/>
                <w:color w:val="auto"/>
              </w:rPr>
              <w:t>Stock repurchases</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7"/>
              </w:rPr>
              <w:t>475</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2,132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2,741</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30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Total cash returned</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974</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3,778</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4,185</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580" w:type="dxa"/>
            <w:vAlign w:val="bottom"/>
          </w:tcPr>
          <w:p>
            <w:pPr>
              <w:spacing w:after="0"/>
              <w:rPr>
                <w:sz w:val="19"/>
                <w:szCs w:val="19"/>
                <w:color w:val="auto"/>
              </w:rPr>
            </w:pPr>
          </w:p>
        </w:tc>
      </w:tr>
      <w:tr>
        <w:trPr>
          <w:trHeight w:val="790"/>
        </w:trPr>
        <w:tc>
          <w:tcPr>
            <w:tcW w:w="5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For Three Months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For Years Ended</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w w:val="94"/>
              </w:rPr>
              <w:t>December 31,</w:t>
            </w:r>
          </w:p>
        </w:tc>
        <w:tc>
          <w:tcPr>
            <w:tcW w:w="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4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3,414</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3,189</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13,370</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60"/>
              <w:spacing w:after="0"/>
              <w:rPr>
                <w:sz w:val="20"/>
                <w:szCs w:val="20"/>
                <w:color w:val="auto"/>
              </w:rPr>
            </w:pPr>
            <w:r>
              <w:rPr>
                <w:rFonts w:ascii="Arial" w:cs="Arial" w:eastAsia="Arial" w:hAnsi="Arial"/>
                <w:sz w:val="16"/>
                <w:szCs w:val="16"/>
                <w:color w:val="auto"/>
              </w:rPr>
              <w:t>Cost of revenue (COR)</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5,130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5,440</w:t>
            </w:r>
          </w:p>
        </w:tc>
        <w:tc>
          <w:tcPr>
            <w:tcW w:w="0" w:type="dxa"/>
            <w:vAlign w:val="bottom"/>
          </w:tcPr>
          <w:p>
            <w:pPr>
              <w:spacing w:after="0"/>
              <w:rPr>
                <w:sz w:val="1"/>
                <w:szCs w:val="1"/>
                <w:color w:val="auto"/>
              </w:rPr>
            </w:pPr>
          </w:p>
        </w:tc>
      </w:tr>
      <w:tr>
        <w:trPr>
          <w:trHeight w:val="199"/>
        </w:trPr>
        <w:tc>
          <w:tcPr>
            <w:tcW w:w="548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2,133</w:t>
            </w:r>
          </w:p>
        </w:tc>
        <w:tc>
          <w:tcPr>
            <w:tcW w:w="1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1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8,240</w:t>
            </w:r>
          </w:p>
        </w:tc>
        <w:tc>
          <w:tcPr>
            <w:tcW w:w="16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60"/>
              <w:spacing w:after="0"/>
              <w:rPr>
                <w:sz w:val="20"/>
                <w:szCs w:val="20"/>
                <w:color w:val="auto"/>
              </w:rPr>
            </w:pPr>
            <w:r>
              <w:rPr>
                <w:rFonts w:ascii="Arial" w:cs="Arial" w:eastAsia="Arial" w:hAnsi="Arial"/>
                <w:sz w:val="16"/>
                <w:szCs w:val="16"/>
                <w:color w:val="auto"/>
              </w:rPr>
              <w:t>Research and development (R&amp;D)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343</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1,370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Selling, general and administrative (SG&amp;A)</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411</w:t>
            </w: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1,767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60"/>
              <w:spacing w:after="0"/>
              <w:rPr>
                <w:sz w:val="20"/>
                <w:szCs w:val="20"/>
                <w:color w:val="auto"/>
              </w:rPr>
            </w:pPr>
            <w:r>
              <w:rPr>
                <w:rFonts w:ascii="Arial" w:cs="Arial" w:eastAsia="Arial" w:hAnsi="Arial"/>
                <w:sz w:val="16"/>
                <w:szCs w:val="16"/>
                <w:color w:val="auto"/>
              </w:rPr>
              <w:t>Acquisition charges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9"/>
        </w:trPr>
        <w:tc>
          <w:tcPr>
            <w:tcW w:w="5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Restructuring charges/other</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(20)</w:t>
            </w: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(68)</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(15)</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80" w:type="dxa"/>
            <w:vAlign w:val="bottom"/>
          </w:tcPr>
          <w:p>
            <w:pPr>
              <w:ind w:left="60"/>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1,319</w:t>
            </w: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1,142</w:t>
            </w: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4,799</w:t>
            </w: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income (expense), net (OI&amp;E)</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197</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211</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60"/>
              <w:spacing w:after="0"/>
              <w:rPr>
                <w:sz w:val="20"/>
                <w:szCs w:val="20"/>
                <w:color w:val="auto"/>
              </w:rPr>
            </w:pPr>
            <w:r>
              <w:rPr>
                <w:rFonts w:ascii="Arial" w:cs="Arial" w:eastAsia="Arial" w:hAnsi="Arial"/>
                <w:sz w:val="16"/>
                <w:szCs w:val="16"/>
                <w:color w:val="auto"/>
              </w:rPr>
              <w:t>Interest and debt expense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9"/>
        </w:trPr>
        <w:tc>
          <w:tcPr>
            <w:tcW w:w="548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1,497</w:t>
            </w:r>
          </w:p>
        </w:tc>
        <w:tc>
          <w:tcPr>
            <w:tcW w:w="1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1,139</w:t>
            </w:r>
          </w:p>
        </w:tc>
        <w:tc>
          <w:tcPr>
            <w:tcW w:w="1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4,930</w:t>
            </w:r>
          </w:p>
        </w:tc>
        <w:tc>
          <w:tcPr>
            <w:tcW w:w="16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6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450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1,335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39"/>
        </w:trPr>
        <w:tc>
          <w:tcPr>
            <w:tcW w:w="548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1,047</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3,595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60"/>
              <w:spacing w:after="0"/>
              <w:rPr>
                <w:sz w:val="20"/>
                <w:szCs w:val="20"/>
                <w:color w:val="auto"/>
              </w:rPr>
            </w:pPr>
            <w:r>
              <w:rPr>
                <w:rFonts w:ascii="Arial" w:cs="Arial" w:eastAsia="Arial" w:hAnsi="Arial"/>
                <w:sz w:val="16"/>
                <w:szCs w:val="16"/>
                <w:color w:val="auto"/>
              </w:rPr>
              <w:t>Diluted earnings per common share</w:t>
            </w:r>
          </w:p>
        </w:tc>
        <w:tc>
          <w:tcPr>
            <w:tcW w:w="106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60" w:type="dxa"/>
            <w:vAlign w:val="bottom"/>
          </w:tcPr>
          <w:p>
            <w:pPr>
              <w:spacing w:after="0"/>
              <w:rPr>
                <w:sz w:val="17"/>
                <w:szCs w:val="17"/>
                <w:color w:val="auto"/>
              </w:rPr>
            </w:pPr>
          </w:p>
        </w:tc>
        <w:tc>
          <w:tcPr>
            <w:tcW w:w="8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3.48</w:t>
            </w:r>
          </w:p>
        </w:tc>
        <w:tc>
          <w:tcPr>
            <w:tcW w:w="160" w:type="dxa"/>
            <w:vAlign w:val="bottom"/>
          </w:tcPr>
          <w:p>
            <w:pPr>
              <w:spacing w:after="0"/>
              <w:rPr>
                <w:sz w:val="17"/>
                <w:szCs w:val="17"/>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Average diluted shares outstanding (millions)</w:t>
            </w: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1,018</w:t>
            </w: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1,027</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1,021</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60"/>
              <w:spacing w:after="0"/>
              <w:rPr>
                <w:sz w:val="20"/>
                <w:szCs w:val="20"/>
                <w:color w:val="auto"/>
              </w:rPr>
            </w:pPr>
            <w:r>
              <w:rPr>
                <w:rFonts w:ascii="Arial" w:cs="Arial" w:eastAsia="Arial" w:hAnsi="Arial"/>
                <w:sz w:val="16"/>
                <w:szCs w:val="16"/>
                <w:color w:val="auto"/>
              </w:rPr>
              <w:t>Cash dividends declared per common share</w:t>
            </w:r>
          </w:p>
        </w:tc>
        <w:tc>
          <w:tcPr>
            <w:tcW w:w="106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60" w:type="dxa"/>
            <w:vAlign w:val="bottom"/>
          </w:tcPr>
          <w:p>
            <w:pPr>
              <w:spacing w:after="0"/>
              <w:rPr>
                <w:sz w:val="17"/>
                <w:szCs w:val="17"/>
                <w:color w:val="auto"/>
              </w:rPr>
            </w:pPr>
          </w:p>
        </w:tc>
        <w:tc>
          <w:tcPr>
            <w:tcW w:w="8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160" w:type="dxa"/>
            <w:vAlign w:val="bottom"/>
          </w:tcPr>
          <w:p>
            <w:pPr>
              <w:spacing w:after="0"/>
              <w:rPr>
                <w:sz w:val="17"/>
                <w:szCs w:val="17"/>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0" w:right="74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CFF0FC"/>
          </w:tcPr>
          <w:p>
            <w:pPr>
              <w:ind w:left="6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FF0FC"/>
          </w:tcPr>
          <w:p>
            <w:pPr>
              <w:jc w:val="right"/>
              <w:ind w:right="31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1,047</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1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3,595</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r>
      <w:tr>
        <w:trPr>
          <w:trHeight w:val="213"/>
        </w:trPr>
        <w:tc>
          <w:tcPr>
            <w:tcW w:w="5660" w:type="dxa"/>
            <w:vAlign w:val="bottom"/>
          </w:tcPr>
          <w:p>
            <w:pPr>
              <w:ind w:left="60"/>
              <w:spacing w:after="0"/>
              <w:rPr>
                <w:sz w:val="20"/>
                <w:szCs w:val="20"/>
                <w:color w:val="auto"/>
              </w:rPr>
            </w:pPr>
            <w:r>
              <w:rPr>
                <w:rFonts w:ascii="Arial" w:cs="Arial" w:eastAsia="Arial" w:hAnsi="Arial"/>
                <w:sz w:val="16"/>
                <w:szCs w:val="16"/>
                <w:color w:val="auto"/>
              </w:rPr>
              <w:t>Income allocated to RSUs</w:t>
            </w:r>
          </w:p>
        </w:tc>
        <w:tc>
          <w:tcPr>
            <w:tcW w:w="5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w:t>
            </w:r>
          </w:p>
        </w:tc>
        <w:tc>
          <w:tcPr>
            <w:tcW w:w="6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5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(44)</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99"/>
        </w:trPr>
        <w:tc>
          <w:tcPr>
            <w:tcW w:w="566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Income allocated to common stock for diluted EPS</w:t>
            </w:r>
          </w:p>
        </w:tc>
        <w:tc>
          <w:tcPr>
            <w:tcW w:w="56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1,034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3,551</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2,944</w:t>
            </w:r>
          </w:p>
        </w:tc>
      </w:tr>
      <w:tr>
        <w:trPr>
          <w:trHeight w:val="20"/>
        </w:trPr>
        <w:tc>
          <w:tcPr>
            <w:tcW w:w="5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With the fourth-quarter 2016 adoption of ASU 2016-09 related to stock compensation, we were required to apply the new standard as of the beginning of 2016. As a result, the sum of the previously reported quarters and the fourth quarter of 2016 does not equal the full year 2016 amounts above. Recast amounts can be found in the Supplementary financial information section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0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7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Current assets:</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Cash and cash equivalents</w:t>
            </w:r>
          </w:p>
        </w:tc>
        <w:tc>
          <w:tcPr>
            <w:tcW w:w="2380" w:type="dxa"/>
            <w:vAlign w:val="bottom"/>
            <w:gridSpan w:val="2"/>
            <w:shd w:val="clear" w:color="auto" w:fill="CFF0FC"/>
          </w:tcPr>
          <w:p>
            <w:pPr>
              <w:jc w:val="right"/>
              <w:ind w:right="44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1,154</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240"/>
              <w:spacing w:after="0"/>
              <w:rPr>
                <w:sz w:val="20"/>
                <w:szCs w:val="20"/>
                <w:color w:val="auto"/>
              </w:rPr>
            </w:pPr>
            <w:r>
              <w:rPr>
                <w:rFonts w:ascii="Arial" w:cs="Arial" w:eastAsia="Arial" w:hAnsi="Arial"/>
                <w:sz w:val="14"/>
                <w:szCs w:val="14"/>
                <w:color w:val="auto"/>
              </w:rPr>
              <w:t>Short-term investments</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receivable, net of allowances of ($17) and ($7)</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1,267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1,165</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480"/>
              <w:spacing w:after="0"/>
              <w:rPr>
                <w:sz w:val="20"/>
                <w:szCs w:val="20"/>
                <w:color w:val="auto"/>
              </w:rPr>
            </w:pPr>
            <w:r>
              <w:rPr>
                <w:rFonts w:ascii="Arial" w:cs="Arial" w:eastAsia="Arial" w:hAnsi="Arial"/>
                <w:sz w:val="14"/>
                <w:szCs w:val="14"/>
                <w:color w:val="auto"/>
              </w:rPr>
              <w:t>Raw materials</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Work in process</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954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Finished goods</w:t>
            </w:r>
          </w:p>
        </w:tc>
        <w:tc>
          <w:tcPr>
            <w:tcW w:w="178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734</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Inventories</w:t>
            </w:r>
          </w:p>
        </w:tc>
        <w:tc>
          <w:tcPr>
            <w:tcW w:w="178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1,790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Prepaid expenses and other current assets</w:t>
            </w:r>
          </w:p>
        </w:tc>
        <w:tc>
          <w:tcPr>
            <w:tcW w:w="17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current assets</w:t>
            </w:r>
          </w:p>
        </w:tc>
        <w:tc>
          <w:tcPr>
            <w:tcW w:w="178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7,457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7,074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Property, plant and equipment at cost</w:t>
            </w:r>
          </w:p>
        </w:tc>
        <w:tc>
          <w:tcPr>
            <w:tcW w:w="1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4,923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5,465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Accumulated depreciation</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(2,411)</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Property, plant and equipment, net</w:t>
            </w:r>
          </w:p>
        </w:tc>
        <w:tc>
          <w:tcPr>
            <w:tcW w:w="178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2,512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Long-term investments</w:t>
            </w:r>
          </w:p>
        </w:tc>
        <w:tc>
          <w:tcPr>
            <w:tcW w:w="17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Goodwill, net</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4,362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4,362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4"/>
                <w:szCs w:val="14"/>
                <w:color w:val="auto"/>
              </w:rPr>
              <w:t>Acquisition-related intangibles, net</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1,264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1,583</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Deferred income taxes</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4"/>
                <w:szCs w:val="14"/>
                <w:color w:val="auto"/>
              </w:rPr>
              <w:t>Capitalized software licenses, net</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Overfunded retirement plans</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4"/>
                <w:szCs w:val="14"/>
                <w:color w:val="auto"/>
              </w:rPr>
              <w:t>Other assets</w:t>
            </w:r>
          </w:p>
        </w:tc>
        <w:tc>
          <w:tcPr>
            <w:tcW w:w="178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1780" w:type="dxa"/>
            <w:vAlign w:val="bottom"/>
          </w:tcPr>
          <w:p>
            <w:pPr>
              <w:spacing w:after="0"/>
              <w:rPr>
                <w:sz w:val="13"/>
                <w:szCs w:val="13"/>
                <w:color w:val="auto"/>
              </w:rPr>
            </w:pPr>
          </w:p>
        </w:tc>
        <w:tc>
          <w:tcPr>
            <w:tcW w:w="6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16,431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Current liabilities:</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Current portion of long-term debt</w:t>
            </w:r>
          </w:p>
        </w:tc>
        <w:tc>
          <w:tcPr>
            <w:tcW w:w="2380" w:type="dxa"/>
            <w:vAlign w:val="bottom"/>
            <w:gridSpan w:val="2"/>
            <w:shd w:val="clear" w:color="auto" w:fill="CFF0FC"/>
          </w:tcPr>
          <w:p>
            <w:pPr>
              <w:jc w:val="right"/>
              <w:ind w:right="44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631</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Accrued compensation</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710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240"/>
              <w:spacing w:after="0"/>
              <w:rPr>
                <w:sz w:val="20"/>
                <w:szCs w:val="20"/>
                <w:color w:val="auto"/>
              </w:rPr>
            </w:pPr>
            <w:r>
              <w:rPr>
                <w:rFonts w:ascii="Arial" w:cs="Arial" w:eastAsia="Arial" w:hAnsi="Arial"/>
                <w:sz w:val="14"/>
                <w:szCs w:val="14"/>
                <w:color w:val="auto"/>
              </w:rPr>
              <w:t>Income taxes payable</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178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444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Total current liabilities</w:t>
            </w:r>
          </w:p>
        </w:tc>
        <w:tc>
          <w:tcPr>
            <w:tcW w:w="17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2,264</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Long-term debt</w:t>
            </w:r>
          </w:p>
        </w:tc>
        <w:tc>
          <w:tcPr>
            <w:tcW w:w="17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2,978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3,120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Underfunded retirement plans</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4"/>
                <w:szCs w:val="14"/>
                <w:color w:val="auto"/>
              </w:rPr>
              <w:t>Deferred income taxes</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Deferred credits and other liabilities</w:t>
            </w:r>
          </w:p>
        </w:tc>
        <w:tc>
          <w:tcPr>
            <w:tcW w:w="178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liabilities</w:t>
            </w:r>
          </w:p>
        </w:tc>
        <w:tc>
          <w:tcPr>
            <w:tcW w:w="178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5,958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6,284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Stockholders’ equity:</w:t>
            </w:r>
          </w:p>
        </w:tc>
        <w:tc>
          <w:tcPr>
            <w:tcW w:w="1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Preferred stock, $25 par value. Authorized – 10,000,000 shares</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480"/>
              <w:spacing w:after="0"/>
              <w:rPr>
                <w:sz w:val="20"/>
                <w:szCs w:val="20"/>
                <w:color w:val="auto"/>
              </w:rPr>
            </w:pPr>
            <w:r>
              <w:rPr>
                <w:rFonts w:ascii="Arial" w:cs="Arial" w:eastAsia="Arial" w:hAnsi="Arial"/>
                <w:sz w:val="14"/>
                <w:szCs w:val="14"/>
                <w:color w:val="auto"/>
              </w:rPr>
              <w:t>Participating cumulative preferred – None issued</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Common stock, $1 par value. Authorized – 2,400,000,000 shares</w:t>
            </w:r>
          </w:p>
        </w:tc>
        <w:tc>
          <w:tcPr>
            <w:tcW w:w="17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480"/>
              <w:spacing w:after="0"/>
              <w:rPr>
                <w:sz w:val="20"/>
                <w:szCs w:val="20"/>
                <w:color w:val="auto"/>
              </w:rPr>
            </w:pPr>
            <w:r>
              <w:rPr>
                <w:rFonts w:ascii="Arial" w:cs="Arial" w:eastAsia="Arial" w:hAnsi="Arial"/>
                <w:sz w:val="14"/>
                <w:szCs w:val="14"/>
                <w:color w:val="auto"/>
              </w:rPr>
              <w:t>Shares issued – 1,740,815,939</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Paid-in capital</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1,674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240"/>
              <w:spacing w:after="0"/>
              <w:rPr>
                <w:sz w:val="20"/>
                <w:szCs w:val="20"/>
                <w:color w:val="auto"/>
              </w:rPr>
            </w:pPr>
            <w:r>
              <w:rPr>
                <w:rFonts w:ascii="Arial" w:cs="Arial" w:eastAsia="Arial" w:hAnsi="Arial"/>
                <w:sz w:val="14"/>
                <w:szCs w:val="14"/>
                <w:color w:val="auto"/>
              </w:rPr>
              <w:t>Retained earnings</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33,107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31,176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Treasury common stock at cost</w:t>
            </w:r>
          </w:p>
        </w:tc>
        <w:tc>
          <w:tcPr>
            <w:tcW w:w="17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480"/>
              <w:spacing w:after="0"/>
              <w:rPr>
                <w:sz w:val="20"/>
                <w:szCs w:val="20"/>
                <w:color w:val="auto"/>
              </w:rPr>
            </w:pPr>
            <w:r>
              <w:rPr>
                <w:rFonts w:ascii="Arial" w:cs="Arial" w:eastAsia="Arial" w:hAnsi="Arial"/>
                <w:sz w:val="14"/>
                <w:szCs w:val="14"/>
                <w:color w:val="auto"/>
              </w:rPr>
              <w:t>Shares: 2016 – 744,831,978; 2015 – 729,547,527</w:t>
            </w: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(25,523)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(24,068)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Accumulated other comprehensive income (loss), net of taxes (AOCI)</w:t>
            </w:r>
          </w:p>
        </w:tc>
        <w:tc>
          <w:tcPr>
            <w:tcW w:w="1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(526)</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Total stockholders’ equity</w:t>
            </w:r>
          </w:p>
        </w:tc>
        <w:tc>
          <w:tcPr>
            <w:tcW w:w="178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10,473</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9,946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7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48"/>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16,431</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5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16,230</w:t>
            </w:r>
          </w:p>
        </w:tc>
        <w:tc>
          <w:tcPr>
            <w:tcW w:w="12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5"/>
        </w:trPr>
        <w:tc>
          <w:tcPr>
            <w:tcW w:w="20" w:type="dxa"/>
            <w:vAlign w:val="bottom"/>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For Years Ended</w:t>
            </w:r>
          </w:p>
        </w:tc>
      </w:tr>
      <w:tr>
        <w:trPr>
          <w:trHeight w:val="216"/>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w w:val="97"/>
              </w:rPr>
              <w:t>December 31,</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55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7"/>
                <w:szCs w:val="17"/>
                <w:color w:val="auto"/>
              </w:rPr>
            </w:pPr>
          </w:p>
        </w:tc>
      </w:tr>
      <w:tr>
        <w:trPr>
          <w:trHeight w:val="196"/>
        </w:trPr>
        <w:tc>
          <w:tcPr>
            <w:tcW w:w="5500" w:type="dxa"/>
            <w:vAlign w:val="bottom"/>
            <w:shd w:val="clear" w:color="auto" w:fill="CFF0FC"/>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550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1,047</w:t>
            </w:r>
          </w:p>
        </w:tc>
        <w:tc>
          <w:tcPr>
            <w:tcW w:w="8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836</w:t>
            </w:r>
          </w:p>
        </w:tc>
        <w:tc>
          <w:tcPr>
            <w:tcW w:w="180" w:type="dxa"/>
            <w:vAlign w:val="bottom"/>
          </w:tcPr>
          <w:p>
            <w:pPr>
              <w:spacing w:after="0"/>
              <w:rPr>
                <w:sz w:val="18"/>
                <w:szCs w:val="18"/>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3,595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2,986</w:t>
            </w:r>
          </w:p>
        </w:tc>
      </w:tr>
      <w:tr>
        <w:trPr>
          <w:trHeight w:val="219"/>
        </w:trPr>
        <w:tc>
          <w:tcPr>
            <w:tcW w:w="5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Net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5500" w:type="dxa"/>
            <w:vAlign w:val="bottom"/>
          </w:tcPr>
          <w:p>
            <w:pPr>
              <w:ind w:left="4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139</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605</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766</w:t>
            </w:r>
          </w:p>
        </w:tc>
      </w:tr>
      <w:tr>
        <w:trPr>
          <w:trHeight w:val="219"/>
        </w:trPr>
        <w:tc>
          <w:tcPr>
            <w:tcW w:w="55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acquisition-related intangibles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80</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319</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0" w:type="dxa"/>
            <w:vAlign w:val="bottom"/>
          </w:tcPr>
          <w:p>
            <w:pPr>
              <w:spacing w:after="0"/>
              <w:rPr>
                <w:sz w:val="19"/>
                <w:szCs w:val="19"/>
                <w:color w:val="auto"/>
              </w:rPr>
            </w:pPr>
          </w:p>
        </w:tc>
      </w:tr>
      <w:tr>
        <w:trPr>
          <w:trHeight w:val="213"/>
        </w:trPr>
        <w:tc>
          <w:tcPr>
            <w:tcW w:w="5500" w:type="dxa"/>
            <w:vAlign w:val="bottom"/>
          </w:tcPr>
          <w:p>
            <w:pPr>
              <w:ind w:left="420"/>
              <w:spacing w:after="0"/>
              <w:rPr>
                <w:sz w:val="20"/>
                <w:szCs w:val="20"/>
                <w:color w:val="auto"/>
              </w:rPr>
            </w:pPr>
            <w:r>
              <w:rPr>
                <w:rFonts w:ascii="Arial" w:cs="Arial" w:eastAsia="Arial" w:hAnsi="Arial"/>
                <w:sz w:val="16"/>
                <w:szCs w:val="16"/>
                <w:color w:val="auto"/>
              </w:rPr>
              <w:t>Amortization of capitalized software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31</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48</w:t>
            </w:r>
          </w:p>
        </w:tc>
      </w:tr>
      <w:tr>
        <w:trPr>
          <w:trHeight w:val="219"/>
        </w:trPr>
        <w:tc>
          <w:tcPr>
            <w:tcW w:w="55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48</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252</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20" w:type="dxa"/>
            <w:vAlign w:val="bottom"/>
          </w:tcPr>
          <w:p>
            <w:pPr>
              <w:spacing w:after="0"/>
              <w:rPr>
                <w:sz w:val="19"/>
                <w:szCs w:val="19"/>
                <w:color w:val="auto"/>
              </w:rPr>
            </w:pPr>
          </w:p>
        </w:tc>
      </w:tr>
      <w:tr>
        <w:trPr>
          <w:trHeight w:val="213"/>
        </w:trPr>
        <w:tc>
          <w:tcPr>
            <w:tcW w:w="5500" w:type="dxa"/>
            <w:vAlign w:val="bottom"/>
          </w:tcPr>
          <w:p>
            <w:pPr>
              <w:ind w:left="420"/>
              <w:spacing w:after="0"/>
              <w:rPr>
                <w:sz w:val="20"/>
                <w:szCs w:val="20"/>
                <w:color w:val="auto"/>
              </w:rPr>
            </w:pPr>
            <w:r>
              <w:rPr>
                <w:rFonts w:ascii="Arial" w:cs="Arial" w:eastAsia="Arial" w:hAnsi="Arial"/>
                <w:sz w:val="16"/>
                <w:szCs w:val="16"/>
                <w:color w:val="auto"/>
              </w:rPr>
              <w:t>Gains on sales of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(40)</w:t>
            </w:r>
          </w:p>
        </w:tc>
        <w:tc>
          <w:tcPr>
            <w:tcW w:w="8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(40)</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r>
      <w:tr>
        <w:trPr>
          <w:trHeight w:val="219"/>
        </w:trPr>
        <w:tc>
          <w:tcPr>
            <w:tcW w:w="55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(42)</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(202)</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9"/>
                <w:szCs w:val="19"/>
                <w:color w:val="auto"/>
              </w:rPr>
            </w:pPr>
          </w:p>
        </w:tc>
      </w:tr>
      <w:tr>
        <w:trPr>
          <w:trHeight w:val="213"/>
        </w:trPr>
        <w:tc>
          <w:tcPr>
            <w:tcW w:w="5500" w:type="dxa"/>
            <w:vAlign w:val="bottom"/>
          </w:tcPr>
          <w:p>
            <w:pPr>
              <w:ind w:left="240"/>
              <w:spacing w:after="0"/>
              <w:rPr>
                <w:sz w:val="20"/>
                <w:szCs w:val="20"/>
                <w:color w:val="auto"/>
              </w:rPr>
            </w:pPr>
            <w:r>
              <w:rPr>
                <w:rFonts w:ascii="Arial" w:cs="Arial" w:eastAsia="Arial" w:hAnsi="Arial"/>
                <w:sz w:val="16"/>
                <w:szCs w:val="16"/>
                <w:color w:val="auto"/>
              </w:rPr>
              <w:t>Increase (decrease) from changes in: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5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166</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(108)</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9"/>
                <w:szCs w:val="19"/>
                <w:color w:val="auto"/>
              </w:rPr>
            </w:pPr>
          </w:p>
        </w:tc>
      </w:tr>
      <w:tr>
        <w:trPr>
          <w:trHeight w:val="213"/>
        </w:trPr>
        <w:tc>
          <w:tcPr>
            <w:tcW w:w="5500" w:type="dxa"/>
            <w:vAlign w:val="bottom"/>
          </w:tcPr>
          <w:p>
            <w:pPr>
              <w:ind w:left="4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(99)</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r>
      <w:tr>
        <w:trPr>
          <w:trHeight w:val="219"/>
        </w:trPr>
        <w:tc>
          <w:tcPr>
            <w:tcW w:w="55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(211)</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(81)</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9"/>
                <w:szCs w:val="19"/>
                <w:color w:val="auto"/>
              </w:rPr>
            </w:pPr>
          </w:p>
        </w:tc>
      </w:tr>
      <w:tr>
        <w:trPr>
          <w:trHeight w:val="213"/>
        </w:trPr>
        <w:tc>
          <w:tcPr>
            <w:tcW w:w="5500" w:type="dxa"/>
            <w:vAlign w:val="bottom"/>
          </w:tcPr>
          <w:p>
            <w:pPr>
              <w:ind w:left="42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59</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72</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(142)</w:t>
            </w:r>
          </w:p>
        </w:tc>
      </w:tr>
      <w:tr>
        <w:trPr>
          <w:trHeight w:val="219"/>
        </w:trPr>
        <w:tc>
          <w:tcPr>
            <w:tcW w:w="55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62</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36</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9"/>
                <w:szCs w:val="19"/>
                <w:color w:val="auto"/>
              </w:rPr>
            </w:pPr>
          </w:p>
        </w:tc>
      </w:tr>
      <w:tr>
        <w:trPr>
          <w:trHeight w:val="213"/>
        </w:trPr>
        <w:tc>
          <w:tcPr>
            <w:tcW w:w="5500" w:type="dxa"/>
            <w:vAlign w:val="bottom"/>
          </w:tcPr>
          <w:p>
            <w:pPr>
              <w:ind w:left="4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180</w:t>
            </w:r>
          </w:p>
        </w:tc>
        <w:tc>
          <w:tcPr>
            <w:tcW w:w="8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333</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19"/>
        </w:trPr>
        <w:tc>
          <w:tcPr>
            <w:tcW w:w="5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Changes in funded status of retirement plans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(129)</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(88)</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(73)</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9"/>
                <w:szCs w:val="19"/>
                <w:color w:val="auto"/>
              </w:rPr>
            </w:pPr>
          </w:p>
        </w:tc>
      </w:tr>
      <w:tr>
        <w:trPr>
          <w:trHeight w:val="213"/>
        </w:trPr>
        <w:tc>
          <w:tcPr>
            <w:tcW w:w="5500" w:type="dxa"/>
            <w:vAlign w:val="bottom"/>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w:t>
            </w:r>
          </w:p>
        </w:tc>
        <w:tc>
          <w:tcPr>
            <w:tcW w:w="8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(26)</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199"/>
        </w:trPr>
        <w:tc>
          <w:tcPr>
            <w:tcW w:w="550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1,387</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1,446</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4,614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20" w:type="dxa"/>
            <w:vAlign w:val="bottom"/>
          </w:tcPr>
          <w:p>
            <w:pPr>
              <w:spacing w:after="0"/>
              <w:rPr>
                <w:sz w:val="17"/>
                <w:szCs w:val="17"/>
                <w:color w:val="auto"/>
              </w:rPr>
            </w:pPr>
          </w:p>
        </w:tc>
      </w:tr>
      <w:tr>
        <w:trPr>
          <w:trHeight w:val="196"/>
        </w:trPr>
        <w:tc>
          <w:tcPr>
            <w:tcW w:w="5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5500" w:type="dxa"/>
            <w:vAlign w:val="bottom"/>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 expenditures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(110)</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(164)</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(531)</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20" w:type="dxa"/>
            <w:vAlign w:val="bottom"/>
          </w:tcPr>
          <w:p>
            <w:pPr>
              <w:spacing w:after="0"/>
              <w:rPr>
                <w:sz w:val="19"/>
                <w:szCs w:val="19"/>
                <w:color w:val="auto"/>
              </w:rPr>
            </w:pPr>
          </w:p>
        </w:tc>
      </w:tr>
      <w:tr>
        <w:trPr>
          <w:trHeight w:val="213"/>
        </w:trPr>
        <w:tc>
          <w:tcPr>
            <w:tcW w:w="5500" w:type="dxa"/>
            <w:vAlign w:val="bottom"/>
          </w:tcPr>
          <w:p>
            <w:pPr>
              <w:ind w:left="240"/>
              <w:spacing w:after="0"/>
              <w:rPr>
                <w:sz w:val="20"/>
                <w:szCs w:val="20"/>
                <w:color w:val="auto"/>
              </w:rPr>
            </w:pPr>
            <w:r>
              <w:rPr>
                <w:rFonts w:ascii="Arial" w:cs="Arial" w:eastAsia="Arial" w:hAnsi="Arial"/>
                <w:sz w:val="16"/>
                <w:szCs w:val="16"/>
                <w:color w:val="auto"/>
              </w:rPr>
              <w:t>Proceeds from asset sales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r>
      <w:tr>
        <w:trPr>
          <w:trHeight w:val="219"/>
        </w:trPr>
        <w:tc>
          <w:tcPr>
            <w:tcW w:w="5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Purchases of short-term investments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w w:val="90"/>
              </w:rPr>
              <w:t>(1,332)</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0"/>
              </w:rPr>
              <w:t>(1,054)</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(3,503)</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(2,767)</w:t>
            </w:r>
          </w:p>
        </w:tc>
        <w:tc>
          <w:tcPr>
            <w:tcW w:w="20" w:type="dxa"/>
            <w:vAlign w:val="bottom"/>
          </w:tcPr>
          <w:p>
            <w:pPr>
              <w:spacing w:after="0"/>
              <w:rPr>
                <w:sz w:val="19"/>
                <w:szCs w:val="19"/>
                <w:color w:val="auto"/>
              </w:rPr>
            </w:pPr>
          </w:p>
        </w:tc>
      </w:tr>
      <w:tr>
        <w:trPr>
          <w:trHeight w:val="213"/>
        </w:trPr>
        <w:tc>
          <w:tcPr>
            <w:tcW w:w="5500" w:type="dxa"/>
            <w:vAlign w:val="bottom"/>
          </w:tcPr>
          <w:p>
            <w:pPr>
              <w:ind w:left="240"/>
              <w:spacing w:after="0"/>
              <w:rPr>
                <w:sz w:val="20"/>
                <w:szCs w:val="20"/>
                <w:color w:val="auto"/>
              </w:rPr>
            </w:pPr>
            <w:r>
              <w:rPr>
                <w:rFonts w:ascii="Arial" w:cs="Arial" w:eastAsia="Arial" w:hAnsi="Arial"/>
                <w:sz w:val="16"/>
                <w:szCs w:val="16"/>
                <w:color w:val="auto"/>
              </w:rPr>
              <w:t>Proceeds from short-term investments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765</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3,390</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2,892</w:t>
            </w:r>
          </w:p>
        </w:tc>
      </w:tr>
      <w:tr>
        <w:trPr>
          <w:trHeight w:val="219"/>
        </w:trPr>
        <w:tc>
          <w:tcPr>
            <w:tcW w:w="5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(8)</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(6)</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9"/>
                <w:szCs w:val="19"/>
                <w:color w:val="auto"/>
              </w:rPr>
            </w:pPr>
          </w:p>
        </w:tc>
      </w:tr>
      <w:tr>
        <w:trPr>
          <w:trHeight w:val="196"/>
        </w:trPr>
        <w:tc>
          <w:tcPr>
            <w:tcW w:w="5500" w:type="dxa"/>
            <w:vAlign w:val="bottom"/>
          </w:tcPr>
          <w:p>
            <w:pPr>
              <w:ind w:left="6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(685)</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w:t>
            </w:r>
          </w:p>
        </w:tc>
        <w:tc>
          <w:tcPr>
            <w:tcW w:w="16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20" w:type="dxa"/>
            <w:vAlign w:val="bottom"/>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500" w:type="dxa"/>
            <w:vAlign w:val="bottom"/>
            <w:shd w:val="clear" w:color="auto" w:fill="CFF0FC"/>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500" w:type="dxa"/>
            <w:vAlign w:val="bottom"/>
          </w:tcPr>
          <w:p>
            <w:pPr>
              <w:ind w:left="240"/>
              <w:spacing w:after="0"/>
              <w:rPr>
                <w:sz w:val="20"/>
                <w:szCs w:val="20"/>
                <w:color w:val="auto"/>
              </w:rPr>
            </w:pPr>
            <w:r>
              <w:rPr>
                <w:rFonts w:ascii="Arial" w:cs="Arial" w:eastAsia="Arial" w:hAnsi="Arial"/>
                <w:sz w:val="16"/>
                <w:szCs w:val="16"/>
                <w:color w:val="auto"/>
              </w:rPr>
              <w:t>Proceeds from issuance of debt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499</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498</w:t>
            </w:r>
          </w:p>
        </w:tc>
      </w:tr>
      <w:tr>
        <w:trPr>
          <w:trHeight w:val="219"/>
        </w:trPr>
        <w:tc>
          <w:tcPr>
            <w:tcW w:w="5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Repayment of debt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(1,000)</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9"/>
                <w:szCs w:val="19"/>
                <w:color w:val="auto"/>
              </w:rPr>
            </w:pPr>
          </w:p>
        </w:tc>
      </w:tr>
      <w:tr>
        <w:trPr>
          <w:trHeight w:val="213"/>
        </w:trPr>
        <w:tc>
          <w:tcPr>
            <w:tcW w:w="5500" w:type="dxa"/>
            <w:vAlign w:val="bottom"/>
          </w:tcPr>
          <w:p>
            <w:pPr>
              <w:ind w:left="240"/>
              <w:spacing w:after="0"/>
              <w:rPr>
                <w:sz w:val="20"/>
                <w:szCs w:val="20"/>
                <w:color w:val="auto"/>
              </w:rPr>
            </w:pPr>
            <w:r>
              <w:rPr>
                <w:rFonts w:ascii="Arial" w:cs="Arial" w:eastAsia="Arial" w:hAnsi="Arial"/>
                <w:sz w:val="16"/>
                <w:szCs w:val="16"/>
                <w:color w:val="auto"/>
              </w:rPr>
              <w:t>Dividends paid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(499)</w:t>
            </w:r>
          </w:p>
        </w:tc>
        <w:tc>
          <w:tcPr>
            <w:tcW w:w="8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(386)</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(1,646)</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(1,444)</w:t>
            </w:r>
          </w:p>
        </w:tc>
      </w:tr>
      <w:tr>
        <w:trPr>
          <w:trHeight w:val="219"/>
        </w:trPr>
        <w:tc>
          <w:tcPr>
            <w:tcW w:w="5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 repurchases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(475)</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(627)</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(2,132)</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(2,741)</w:t>
            </w:r>
          </w:p>
        </w:tc>
        <w:tc>
          <w:tcPr>
            <w:tcW w:w="20" w:type="dxa"/>
            <w:vAlign w:val="bottom"/>
          </w:tcPr>
          <w:p>
            <w:pPr>
              <w:spacing w:after="0"/>
              <w:rPr>
                <w:sz w:val="19"/>
                <w:szCs w:val="19"/>
                <w:color w:val="auto"/>
              </w:rPr>
            </w:pPr>
          </w:p>
        </w:tc>
      </w:tr>
      <w:tr>
        <w:trPr>
          <w:trHeight w:val="213"/>
        </w:trPr>
        <w:tc>
          <w:tcPr>
            <w:tcW w:w="5500" w:type="dxa"/>
            <w:vAlign w:val="bottom"/>
          </w:tcPr>
          <w:p>
            <w:pPr>
              <w:ind w:left="240"/>
              <w:spacing w:after="0"/>
              <w:rPr>
                <w:sz w:val="20"/>
                <w:szCs w:val="20"/>
                <w:color w:val="auto"/>
              </w:rPr>
            </w:pPr>
            <w:r>
              <w:rPr>
                <w:rFonts w:ascii="Arial" w:cs="Arial" w:eastAsia="Arial" w:hAnsi="Arial"/>
                <w:sz w:val="16"/>
                <w:szCs w:val="16"/>
                <w:color w:val="auto"/>
              </w:rPr>
              <w:t>Proceeds from common stock transactions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57</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472</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396</w:t>
            </w:r>
          </w:p>
        </w:tc>
      </w:tr>
      <w:tr>
        <w:trPr>
          <w:trHeight w:val="219"/>
        </w:trPr>
        <w:tc>
          <w:tcPr>
            <w:tcW w:w="5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r>
      <w:tr>
        <w:trPr>
          <w:trHeight w:val="196"/>
        </w:trPr>
        <w:tc>
          <w:tcPr>
            <w:tcW w:w="5500" w:type="dxa"/>
            <w:vAlign w:val="bottom"/>
          </w:tcPr>
          <w:p>
            <w:pPr>
              <w:ind w:left="6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(3,810)</w:t>
            </w:r>
          </w:p>
        </w:tc>
        <w:tc>
          <w:tcPr>
            <w:tcW w:w="16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(4,294)</w:t>
            </w:r>
          </w:p>
        </w:tc>
        <w:tc>
          <w:tcPr>
            <w:tcW w:w="20" w:type="dxa"/>
            <w:vAlign w:val="bottom"/>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500" w:type="dxa"/>
            <w:vAlign w:val="bottom"/>
            <w:shd w:val="clear" w:color="auto" w:fill="CFF0FC"/>
          </w:tcPr>
          <w:p>
            <w:pPr>
              <w:ind w:left="60"/>
              <w:spacing w:after="0"/>
              <w:rPr>
                <w:sz w:val="20"/>
                <w:szCs w:val="20"/>
                <w:color w:val="auto"/>
              </w:rPr>
            </w:pPr>
            <w:r>
              <w:rPr>
                <w:rFonts w:ascii="Arial" w:cs="Arial" w:eastAsia="Arial" w:hAnsi="Arial"/>
                <w:sz w:val="16"/>
                <w:szCs w:val="16"/>
                <w:color w:val="auto"/>
              </w:rPr>
              <w:t>Net change in Cash and cash equivalents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(215)</w:t>
            </w:r>
          </w:p>
        </w:tc>
        <w:tc>
          <w:tcPr>
            <w:tcW w:w="8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(133)</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154</w:t>
            </w: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0" w:type="dxa"/>
            <w:vAlign w:val="bottom"/>
          </w:tcPr>
          <w:p>
            <w:pPr>
              <w:spacing w:after="0"/>
              <w:rPr>
                <w:sz w:val="18"/>
                <w:szCs w:val="18"/>
                <w:color w:val="auto"/>
              </w:rPr>
            </w:pPr>
          </w:p>
        </w:tc>
      </w:tr>
      <w:tr>
        <w:trPr>
          <w:trHeight w:val="213"/>
        </w:trPr>
        <w:tc>
          <w:tcPr>
            <w:tcW w:w="5500" w:type="dxa"/>
            <w:vAlign w:val="bottom"/>
          </w:tcPr>
          <w:p>
            <w:pPr>
              <w:ind w:left="6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1,369</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1,133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1,000</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1,199</w:t>
            </w:r>
          </w:p>
        </w:tc>
      </w:tr>
      <w:tr>
        <w:trPr>
          <w:trHeight w:val="199"/>
        </w:trPr>
        <w:tc>
          <w:tcPr>
            <w:tcW w:w="550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1,154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1,154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prior periods have been recast to conform to the current presentation. See Supplemental financial information section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Quarterly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4Q16</w:t>
            </w:r>
          </w:p>
        </w:tc>
        <w:tc>
          <w:tcPr>
            <w:tcW w:w="80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4Q15</w:t>
            </w: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199"/>
        </w:trPr>
        <w:tc>
          <w:tcPr>
            <w:tcW w:w="30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Analog:</w:t>
            </w:r>
          </w:p>
        </w:tc>
        <w:tc>
          <w:tcPr>
            <w:tcW w:w="16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r>
      <w:tr>
        <w:trPr>
          <w:trHeight w:val="213"/>
        </w:trPr>
        <w:tc>
          <w:tcPr>
            <w:tcW w:w="3080" w:type="dxa"/>
            <w:vAlign w:val="bottom"/>
          </w:tcPr>
          <w:p>
            <w:pPr>
              <w:ind w:left="400"/>
              <w:spacing w:after="0"/>
              <w:rPr>
                <w:sz w:val="20"/>
                <w:szCs w:val="20"/>
                <w:color w:val="auto"/>
              </w:rPr>
            </w:pPr>
            <w:r>
              <w:rPr>
                <w:rFonts w:ascii="Arial" w:cs="Arial" w:eastAsia="Arial" w:hAnsi="Arial"/>
                <w:sz w:val="16"/>
                <w:szCs w:val="16"/>
                <w:color w:val="auto"/>
              </w:rPr>
              <w:t>Revenue</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2,290</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2,073</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30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Operating profit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Embedded Processing:</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30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Revenue</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3080" w:type="dxa"/>
            <w:vAlign w:val="bottom"/>
          </w:tcPr>
          <w:p>
            <w:pPr>
              <w:ind w:left="400"/>
              <w:spacing w:after="0"/>
              <w:rPr>
                <w:sz w:val="20"/>
                <w:szCs w:val="20"/>
                <w:color w:val="auto"/>
              </w:rPr>
            </w:pPr>
            <w:r>
              <w:rPr>
                <w:rFonts w:ascii="Arial" w:cs="Arial" w:eastAsia="Arial" w:hAnsi="Arial"/>
                <w:sz w:val="16"/>
                <w:szCs w:val="16"/>
                <w:color w:val="auto"/>
              </w:rPr>
              <w:t>Operating profit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210</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164</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3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w:t>
            </w:r>
          </w:p>
        </w:tc>
        <w:tc>
          <w:tcPr>
            <w:tcW w:w="1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13"/>
        </w:trPr>
        <w:tc>
          <w:tcPr>
            <w:tcW w:w="3080" w:type="dxa"/>
            <w:vAlign w:val="bottom"/>
          </w:tcPr>
          <w:p>
            <w:pPr>
              <w:ind w:left="400"/>
              <w:spacing w:after="0"/>
              <w:rPr>
                <w:sz w:val="20"/>
                <w:szCs w:val="20"/>
                <w:color w:val="auto"/>
              </w:rPr>
            </w:pPr>
            <w:r>
              <w:rPr>
                <w:rFonts w:ascii="Arial" w:cs="Arial" w:eastAsia="Arial" w:hAnsi="Arial"/>
                <w:sz w:val="16"/>
                <w:szCs w:val="16"/>
                <w:color w:val="auto"/>
              </w:rPr>
              <w:t>Revenue</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380</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416</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30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Operating profit*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21" w:lineRule="exact"/>
        <w:rPr>
          <w:sz w:val="20"/>
          <w:szCs w:val="20"/>
          <w:color w:val="auto"/>
        </w:rPr>
      </w:pPr>
    </w:p>
    <w:p>
      <w:pPr>
        <w:ind w:left="760" w:hanging="374"/>
        <w:spacing w:after="0" w:line="232" w:lineRule="auto"/>
        <w:tabs>
          <w:tab w:leader="none" w:pos="7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Revenue increased due to Power Management, High Performance Analog and Silicon Valley Analog. High Volume Analog &amp; Logic was about even.</w:t>
      </w:r>
    </w:p>
    <w:p>
      <w:pPr>
        <w:spacing w:after="0" w:line="73" w:lineRule="exact"/>
        <w:rPr>
          <w:rFonts w:ascii="Arial" w:cs="Arial" w:eastAsia="Arial" w:hAnsi="Arial"/>
          <w:sz w:val="22"/>
          <w:szCs w:val="22"/>
          <w:color w:val="auto"/>
        </w:rPr>
      </w:pPr>
    </w:p>
    <w:p>
      <w:pPr>
        <w:ind w:left="760" w:hanging="374"/>
        <w:spacing w:after="0"/>
        <w:tabs>
          <w:tab w:leader="none" w:pos="7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Operating profit increased primarily due to higher revenue and associated gross profit.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Processors, Microcontrollers and Connectivity)</w:t>
      </w:r>
    </w:p>
    <w:p>
      <w:pPr>
        <w:spacing w:after="0" w:line="99" w:lineRule="exact"/>
        <w:rPr>
          <w:sz w:val="20"/>
          <w:szCs w:val="20"/>
          <w:color w:val="auto"/>
        </w:rPr>
      </w:pPr>
    </w:p>
    <w:p>
      <w:pPr>
        <w:ind w:left="760" w:hanging="374"/>
        <w:spacing w:after="0"/>
        <w:tabs>
          <w:tab w:leader="none" w:pos="760" w:val="left"/>
        </w:tabs>
        <w:numPr>
          <w:ilvl w:val="0"/>
          <w:numId w:val="5"/>
        </w:numPr>
        <w:rPr>
          <w:rFonts w:ascii="Arial" w:cs="Arial" w:eastAsia="Arial" w:hAnsi="Arial"/>
          <w:sz w:val="22"/>
          <w:szCs w:val="22"/>
          <w:color w:val="auto"/>
        </w:rPr>
      </w:pPr>
      <w:r>
        <w:rPr>
          <w:rFonts w:ascii="Arial" w:cs="Arial" w:eastAsia="Arial" w:hAnsi="Arial"/>
          <w:sz w:val="18"/>
          <w:szCs w:val="18"/>
          <w:color w:val="auto"/>
        </w:rPr>
        <w:t>Revenue increased due to Processors and Microcontrollers. Connectivity also grew.</w:t>
      </w:r>
    </w:p>
    <w:p>
      <w:pPr>
        <w:spacing w:after="0" w:line="98" w:lineRule="exact"/>
        <w:rPr>
          <w:rFonts w:ascii="Arial" w:cs="Arial" w:eastAsia="Arial" w:hAnsi="Arial"/>
          <w:sz w:val="22"/>
          <w:szCs w:val="22"/>
          <w:color w:val="auto"/>
        </w:rPr>
      </w:pPr>
    </w:p>
    <w:p>
      <w:pPr>
        <w:ind w:left="760" w:hanging="374"/>
        <w:spacing w:after="0"/>
        <w:tabs>
          <w:tab w:leader="none" w:pos="7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Operating profit increased due to higher gross profit.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custom ASIC products and royalties)</w:t>
      </w:r>
    </w:p>
    <w:p>
      <w:pPr>
        <w:spacing w:after="0" w:line="99" w:lineRule="exact"/>
        <w:rPr>
          <w:sz w:val="20"/>
          <w:szCs w:val="20"/>
          <w:color w:val="auto"/>
        </w:rPr>
      </w:pPr>
    </w:p>
    <w:p>
      <w:pPr>
        <w:ind w:left="760" w:hanging="374"/>
        <w:spacing w:after="0"/>
        <w:tabs>
          <w:tab w:leader="none" w:pos="760" w:val="left"/>
        </w:tabs>
        <w:numPr>
          <w:ilvl w:val="0"/>
          <w:numId w:val="6"/>
        </w:numPr>
        <w:rPr>
          <w:rFonts w:ascii="Arial" w:cs="Arial" w:eastAsia="Arial" w:hAnsi="Arial"/>
          <w:sz w:val="22"/>
          <w:szCs w:val="22"/>
          <w:color w:val="auto"/>
        </w:rPr>
      </w:pPr>
      <w:r>
        <w:rPr>
          <w:rFonts w:ascii="Arial" w:cs="Arial" w:eastAsia="Arial" w:hAnsi="Arial"/>
          <w:sz w:val="18"/>
          <w:szCs w:val="18"/>
          <w:color w:val="auto"/>
        </w:rPr>
        <w:t>Revenue declined due to royalties and custom ASIC products. DLP products and calculators were about even.</w:t>
      </w:r>
    </w:p>
    <w:p>
      <w:pPr>
        <w:spacing w:after="0" w:line="125" w:lineRule="exact"/>
        <w:rPr>
          <w:rFonts w:ascii="Arial" w:cs="Arial" w:eastAsia="Arial" w:hAnsi="Arial"/>
          <w:sz w:val="22"/>
          <w:szCs w:val="22"/>
          <w:color w:val="auto"/>
        </w:rPr>
      </w:pPr>
    </w:p>
    <w:p>
      <w:pPr>
        <w:ind w:left="760" w:hanging="374"/>
        <w:spacing w:after="0"/>
        <w:tabs>
          <w:tab w:leader="none" w:pos="7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Operating profit decreased due to gains on sales of assets in the year-ago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364" w:right="5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Annual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308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7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199"/>
        </w:trPr>
        <w:tc>
          <w:tcPr>
            <w:tcW w:w="3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Analog:</w:t>
            </w:r>
          </w:p>
        </w:tc>
        <w:tc>
          <w:tcPr>
            <w:tcW w:w="1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13"/>
        </w:trPr>
        <w:tc>
          <w:tcPr>
            <w:tcW w:w="3080" w:type="dxa"/>
            <w:vAlign w:val="bottom"/>
          </w:tcPr>
          <w:p>
            <w:pPr>
              <w:ind w:left="400"/>
              <w:spacing w:after="0"/>
              <w:rPr>
                <w:sz w:val="20"/>
                <w:szCs w:val="20"/>
                <w:color w:val="auto"/>
              </w:rPr>
            </w:pPr>
            <w:r>
              <w:rPr>
                <w:rFonts w:ascii="Arial" w:cs="Arial" w:eastAsia="Arial" w:hAnsi="Arial"/>
                <w:sz w:val="16"/>
                <w:szCs w:val="16"/>
                <w:color w:val="auto"/>
              </w:rPr>
              <w:t>Revenue</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8,536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8,339</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30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Operating profit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3,048</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Embedded Processing:</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30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Revenue</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3,023</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2,787</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3080" w:type="dxa"/>
            <w:vAlign w:val="bottom"/>
          </w:tcPr>
          <w:p>
            <w:pPr>
              <w:ind w:left="400"/>
              <w:spacing w:after="0"/>
              <w:rPr>
                <w:sz w:val="20"/>
                <w:szCs w:val="20"/>
                <w:color w:val="auto"/>
              </w:rPr>
            </w:pPr>
            <w:r>
              <w:rPr>
                <w:rFonts w:ascii="Arial" w:cs="Arial" w:eastAsia="Arial" w:hAnsi="Arial"/>
                <w:sz w:val="16"/>
                <w:szCs w:val="16"/>
                <w:color w:val="auto"/>
              </w:rPr>
              <w:t>Operating profit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596</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3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w:t>
            </w:r>
          </w:p>
        </w:tc>
        <w:tc>
          <w:tcPr>
            <w:tcW w:w="1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13"/>
        </w:trPr>
        <w:tc>
          <w:tcPr>
            <w:tcW w:w="3080" w:type="dxa"/>
            <w:vAlign w:val="bottom"/>
          </w:tcPr>
          <w:p>
            <w:pPr>
              <w:ind w:left="400"/>
              <w:spacing w:after="0"/>
              <w:rPr>
                <w:sz w:val="20"/>
                <w:szCs w:val="20"/>
                <w:color w:val="auto"/>
              </w:rPr>
            </w:pPr>
            <w:r>
              <w:rPr>
                <w:rFonts w:ascii="Arial" w:cs="Arial" w:eastAsia="Arial" w:hAnsi="Arial"/>
                <w:sz w:val="16"/>
                <w:szCs w:val="16"/>
                <w:color w:val="auto"/>
              </w:rPr>
              <w:t>Revenue</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1,811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1,874</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30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Operating profit*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prior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w:t>
      </w:r>
    </w:p>
    <w:p>
      <w:pPr>
        <w:spacing w:after="0" w:line="121" w:lineRule="exact"/>
        <w:rPr>
          <w:sz w:val="20"/>
          <w:szCs w:val="20"/>
          <w:color w:val="auto"/>
        </w:rPr>
      </w:pPr>
    </w:p>
    <w:p>
      <w:pPr>
        <w:ind w:left="760" w:hanging="374"/>
        <w:spacing w:after="0" w:line="232" w:lineRule="auto"/>
        <w:tabs>
          <w:tab w:leader="none" w:pos="7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Revenue increased due to Silicon Valley Analog and High Performance Analog. Power Management also grew, while High Volume Analog &amp; Logic declined.</w:t>
      </w:r>
    </w:p>
    <w:p>
      <w:pPr>
        <w:spacing w:after="0" w:line="73" w:lineRule="exact"/>
        <w:rPr>
          <w:rFonts w:ascii="Arial" w:cs="Arial" w:eastAsia="Arial" w:hAnsi="Arial"/>
          <w:sz w:val="22"/>
          <w:szCs w:val="22"/>
          <w:color w:val="auto"/>
        </w:rPr>
      </w:pPr>
    </w:p>
    <w:p>
      <w:pPr>
        <w:ind w:left="760" w:hanging="374"/>
        <w:spacing w:after="0"/>
        <w:tabs>
          <w:tab w:leader="none" w:pos="760" w:val="left"/>
        </w:tabs>
        <w:numPr>
          <w:ilvl w:val="0"/>
          <w:numId w:val="7"/>
        </w:numPr>
        <w:rPr>
          <w:rFonts w:ascii="Arial" w:cs="Arial" w:eastAsia="Arial" w:hAnsi="Arial"/>
          <w:sz w:val="22"/>
          <w:szCs w:val="22"/>
          <w:color w:val="auto"/>
        </w:rPr>
      </w:pPr>
      <w:r>
        <w:rPr>
          <w:rFonts w:ascii="Arial" w:cs="Arial" w:eastAsia="Arial" w:hAnsi="Arial"/>
          <w:sz w:val="18"/>
          <w:szCs w:val="18"/>
          <w:color w:val="auto"/>
        </w:rPr>
        <w:t>Operating profit increased due to higher gross profit, which benefited from lower manufacturing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Processing:</w:t>
      </w:r>
    </w:p>
    <w:p>
      <w:pPr>
        <w:spacing w:after="0" w:line="99" w:lineRule="exact"/>
        <w:rPr>
          <w:sz w:val="20"/>
          <w:szCs w:val="20"/>
          <w:color w:val="auto"/>
        </w:rPr>
      </w:pPr>
    </w:p>
    <w:p>
      <w:pPr>
        <w:ind w:left="760" w:hanging="374"/>
        <w:spacing w:after="0"/>
        <w:tabs>
          <w:tab w:leader="none" w:pos="76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Revenue increased due to growth in all three product lines, led by Processors.</w:t>
      </w:r>
    </w:p>
    <w:p>
      <w:pPr>
        <w:spacing w:after="0" w:line="98" w:lineRule="exact"/>
        <w:rPr>
          <w:rFonts w:ascii="Arial" w:cs="Arial" w:eastAsia="Arial" w:hAnsi="Arial"/>
          <w:sz w:val="22"/>
          <w:szCs w:val="22"/>
          <w:color w:val="auto"/>
        </w:rPr>
      </w:pPr>
    </w:p>
    <w:p>
      <w:pPr>
        <w:ind w:left="760" w:hanging="374"/>
        <w:spacing w:after="0"/>
        <w:tabs>
          <w:tab w:leader="none" w:pos="7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Operating profit increased primarily due to higher revenue and associated gross profit.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9" w:lineRule="exact"/>
        <w:rPr>
          <w:sz w:val="20"/>
          <w:szCs w:val="20"/>
          <w:color w:val="auto"/>
        </w:rPr>
      </w:pPr>
    </w:p>
    <w:p>
      <w:pPr>
        <w:ind w:left="760" w:hanging="374"/>
        <w:spacing w:after="0"/>
        <w:tabs>
          <w:tab w:leader="none" w:pos="760" w:val="left"/>
        </w:tabs>
        <w:numPr>
          <w:ilvl w:val="0"/>
          <w:numId w:val="9"/>
        </w:numPr>
        <w:rPr>
          <w:rFonts w:ascii="Arial" w:cs="Arial" w:eastAsia="Arial" w:hAnsi="Arial"/>
          <w:sz w:val="22"/>
          <w:szCs w:val="22"/>
          <w:color w:val="auto"/>
        </w:rPr>
      </w:pPr>
      <w:r>
        <w:rPr>
          <w:rFonts w:ascii="Arial" w:cs="Arial" w:eastAsia="Arial" w:hAnsi="Arial"/>
          <w:sz w:val="18"/>
          <w:szCs w:val="18"/>
          <w:color w:val="auto"/>
        </w:rPr>
        <w:t>Revenue declined due to royalties, custom ASIC products and calculators. This was partially offset by growth in DLP products.</w:t>
      </w:r>
    </w:p>
    <w:p>
      <w:pPr>
        <w:spacing w:after="0" w:line="98" w:lineRule="exact"/>
        <w:rPr>
          <w:rFonts w:ascii="Arial" w:cs="Arial" w:eastAsia="Arial" w:hAnsi="Arial"/>
          <w:sz w:val="22"/>
          <w:szCs w:val="22"/>
          <w:color w:val="auto"/>
        </w:rPr>
      </w:pPr>
    </w:p>
    <w:p>
      <w:pPr>
        <w:ind w:left="760" w:hanging="374"/>
        <w:spacing w:after="0"/>
        <w:tabs>
          <w:tab w:leader="none" w:pos="7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Operating profit decreased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4"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shareholders,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Arial" w:cs="Arial" w:eastAsia="Arial" w:hAnsi="Arial"/>
                <w:sz w:val="16"/>
                <w:szCs w:val="16"/>
                <w:b w:val="1"/>
                <w:bCs w:val="1"/>
                <w:color w:val="auto"/>
              </w:rPr>
              <w:t>For Years Ended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74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7"/>
                <w:szCs w:val="17"/>
                <w:color w:val="auto"/>
              </w:rPr>
            </w:pPr>
          </w:p>
        </w:tc>
      </w:tr>
      <w:tr>
        <w:trPr>
          <w:trHeight w:val="196"/>
        </w:trPr>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Cash flow from operations (GAAP)</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4,614</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20" w:type="dxa"/>
            <w:vAlign w:val="bottom"/>
          </w:tcPr>
          <w:p>
            <w:pPr>
              <w:spacing w:after="0"/>
              <w:rPr>
                <w:sz w:val="17"/>
                <w:szCs w:val="17"/>
                <w:color w:val="auto"/>
              </w:rPr>
            </w:pPr>
          </w:p>
        </w:tc>
      </w:tr>
      <w:tr>
        <w:trPr>
          <w:trHeight w:val="213"/>
        </w:trPr>
        <w:tc>
          <w:tcPr>
            <w:tcW w:w="746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(531)</w:t>
            </w: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(551)</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746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Free cash flow (non-GAAP)</w:t>
            </w:r>
          </w:p>
        </w:tc>
        <w:tc>
          <w:tcPr>
            <w:tcW w:w="32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4,083</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3,846</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20" w:type="dxa"/>
            <w:vAlign w:val="bottom"/>
          </w:tcPr>
          <w:p>
            <w:pPr>
              <w:spacing w:after="0"/>
              <w:rPr>
                <w:sz w:val="20"/>
                <w:szCs w:val="20"/>
                <w:color w:val="auto"/>
              </w:rPr>
            </w:pPr>
          </w:p>
        </w:tc>
      </w:tr>
      <w:tr>
        <w:trPr>
          <w:trHeight w:val="183"/>
        </w:trPr>
        <w:tc>
          <w:tcPr>
            <w:tcW w:w="74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7460" w:type="dxa"/>
            <w:vAlign w:val="bottom"/>
          </w:tcPr>
          <w:p>
            <w:pPr>
              <w:ind w:left="6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13,370</w:t>
            </w:r>
          </w:p>
        </w:tc>
        <w:tc>
          <w:tcPr>
            <w:tcW w:w="220" w:type="dxa"/>
            <w:vAlign w:val="bottom"/>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13,000</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Cash flow from operations as a percent of revenue (GAAP)</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460" w:type="dxa"/>
            <w:vAlign w:val="bottom"/>
          </w:tcPr>
          <w:p>
            <w:pPr>
              <w:ind w:left="60"/>
              <w:spacing w:after="0"/>
              <w:rPr>
                <w:sz w:val="20"/>
                <w:szCs w:val="20"/>
                <w:color w:val="auto"/>
              </w:rPr>
            </w:pPr>
            <w:r>
              <w:rPr>
                <w:rFonts w:ascii="Arial" w:cs="Arial" w:eastAsia="Arial" w:hAnsi="Arial"/>
                <w:sz w:val="16"/>
                <w:szCs w:val="16"/>
                <w:color w:val="auto"/>
              </w:rPr>
              <w:t>Free cash flow as a percent of revenue (non-GAAP)</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53"/>
        </w:trPr>
        <w:tc>
          <w:tcPr>
            <w:tcW w:w="7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the fourth-quarter 2016 adoption of ASU 2016-09 related to stock compensation, we were required to apply the new standard only as of the beginning of 2016 for the Consolidated Statements of Income and on a full retrospective basis for all periods in the Consolidated Statements of Cash Flows. The recast amounts can be found in the chart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98"/>
              </w:rPr>
              <w:t>4Q16 (a)</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6"/>
                <w:szCs w:val="16"/>
                <w:b w:val="1"/>
                <w:bCs w:val="1"/>
                <w:color w:val="auto"/>
              </w:rPr>
              <w:t>3Q16</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2Q16</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1Q16</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Reported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3"/>
              </w:rPr>
              <w:t>Reported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Recast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Recast</w:t>
            </w:r>
          </w:p>
        </w:tc>
        <w:tc>
          <w:tcPr>
            <w:tcW w:w="20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9"/>
                <w:szCs w:val="19"/>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Recast</w:t>
            </w:r>
          </w:p>
        </w:tc>
        <w:tc>
          <w:tcPr>
            <w:tcW w:w="0" w:type="dxa"/>
            <w:vAlign w:val="bottom"/>
          </w:tcPr>
          <w:p>
            <w:pPr>
              <w:spacing w:after="0"/>
              <w:rPr>
                <w:sz w:val="1"/>
                <w:szCs w:val="1"/>
                <w:color w:val="auto"/>
              </w:rPr>
            </w:pPr>
          </w:p>
        </w:tc>
      </w:tr>
      <w:tr>
        <w:trPr>
          <w:trHeight w:val="213"/>
        </w:trPr>
        <w:tc>
          <w:tcPr>
            <w:tcW w:w="26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450</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413</w:t>
            </w:r>
          </w:p>
        </w:tc>
        <w:tc>
          <w:tcPr>
            <w:tcW w:w="4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363</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283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0" w:type="dxa"/>
            <w:vAlign w:val="bottom"/>
          </w:tcPr>
          <w:p>
            <w:pPr>
              <w:spacing w:after="0"/>
              <w:rPr>
                <w:sz w:val="1"/>
                <w:szCs w:val="1"/>
                <w:color w:val="auto"/>
              </w:rPr>
            </w:pPr>
          </w:p>
        </w:tc>
      </w:tr>
      <w:tr>
        <w:trPr>
          <w:trHeight w:val="233"/>
        </w:trPr>
        <w:tc>
          <w:tcPr>
            <w:tcW w:w="27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1,047</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968</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1,018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819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711</w:t>
            </w:r>
          </w:p>
        </w:tc>
        <w:tc>
          <w:tcPr>
            <w:tcW w:w="0" w:type="dxa"/>
            <w:vAlign w:val="bottom"/>
          </w:tcPr>
          <w:p>
            <w:pPr>
              <w:spacing w:after="0"/>
              <w:rPr>
                <w:sz w:val="1"/>
                <w:szCs w:val="1"/>
                <w:color w:val="auto"/>
              </w:rPr>
            </w:pPr>
          </w:p>
        </w:tc>
      </w:tr>
      <w:tr>
        <w:trPr>
          <w:trHeight w:val="449"/>
        </w:trPr>
        <w:tc>
          <w:tcPr>
            <w:tcW w:w="2780" w:type="dxa"/>
            <w:vAlign w:val="bottom"/>
            <w:gridSpan w:val="2"/>
          </w:tcPr>
          <w:p>
            <w:pPr>
              <w:ind w:left="40"/>
              <w:spacing w:after="0"/>
              <w:rPr>
                <w:sz w:val="20"/>
                <w:szCs w:val="20"/>
                <w:color w:val="auto"/>
              </w:rPr>
            </w:pPr>
            <w:r>
              <w:rPr>
                <w:rFonts w:ascii="Arial" w:cs="Arial" w:eastAsia="Arial" w:hAnsi="Arial"/>
                <w:sz w:val="16"/>
                <w:szCs w:val="16"/>
                <w:color w:val="auto"/>
                <w:w w:val="99"/>
              </w:rPr>
              <w:t>Average diluted shares outstanding, in</w:t>
            </w:r>
          </w:p>
        </w:tc>
        <w:tc>
          <w:tcPr>
            <w:tcW w:w="240" w:type="dxa"/>
            <w:vAlign w:val="bottom"/>
          </w:tcPr>
          <w:p>
            <w:pPr>
              <w:spacing w:after="0"/>
              <w:rPr>
                <w:sz w:val="24"/>
                <w:szCs w:val="2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1,018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6"/>
                <w:szCs w:val="16"/>
                <w:b w:val="1"/>
                <w:bCs w:val="1"/>
                <w:color w:val="auto"/>
              </w:rPr>
              <w:t>1,023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1,022</w:t>
            </w:r>
          </w:p>
        </w:tc>
        <w:tc>
          <w:tcPr>
            <w:tcW w:w="0" w:type="dxa"/>
            <w:vAlign w:val="bottom"/>
          </w:tcPr>
          <w:p>
            <w:pPr>
              <w:spacing w:after="0"/>
              <w:rPr>
                <w:sz w:val="1"/>
                <w:szCs w:val="1"/>
                <w:color w:val="auto"/>
              </w:rPr>
            </w:pPr>
          </w:p>
        </w:tc>
      </w:tr>
      <w:tr>
        <w:trPr>
          <w:trHeight w:val="209"/>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1,017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7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Basic EPS</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1.04</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89"/>
              </w:rPr>
              <w:t>0.95</w:t>
            </w:r>
          </w:p>
        </w:tc>
        <w:tc>
          <w:tcPr>
            <w:tcW w:w="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1.00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0.81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0.70</w:t>
            </w:r>
          </w:p>
        </w:tc>
        <w:tc>
          <w:tcPr>
            <w:tcW w:w="0" w:type="dxa"/>
            <w:vAlign w:val="bottom"/>
          </w:tcPr>
          <w:p>
            <w:pPr>
              <w:spacing w:after="0"/>
              <w:rPr>
                <w:sz w:val="1"/>
                <w:szCs w:val="1"/>
                <w:color w:val="auto"/>
              </w:rPr>
            </w:pPr>
          </w:p>
        </w:tc>
      </w:tr>
      <w:tr>
        <w:trPr>
          <w:trHeight w:val="224"/>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Diluted EPS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1.02</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0.94</w:t>
            </w:r>
          </w:p>
        </w:tc>
        <w:tc>
          <w:tcPr>
            <w:tcW w:w="4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0.98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0.79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0.69</w:t>
            </w: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FF0FC"/>
          </w:tcPr>
          <w:p>
            <w:pPr>
              <w:ind w:left="40"/>
              <w:spacing w:after="0"/>
              <w:rPr>
                <w:sz w:val="20"/>
                <w:szCs w:val="20"/>
                <w:color w:val="auto"/>
              </w:rPr>
            </w:pPr>
            <w:r>
              <w:rPr>
                <w:rFonts w:ascii="Arial" w:cs="Arial" w:eastAsia="Arial" w:hAnsi="Arial"/>
                <w:sz w:val="16"/>
                <w:szCs w:val="16"/>
                <w:b w:val="1"/>
                <w:bCs w:val="1"/>
                <w:color w:val="auto"/>
              </w:rPr>
              <w:t>Cash flow data:</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21"/>
                <w:szCs w:val="2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1,387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6"/>
                <w:szCs w:val="16"/>
                <w:b w:val="1"/>
                <w:bCs w:val="1"/>
                <w:color w:val="auto"/>
              </w:rPr>
              <w:t>1,465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653</w:t>
            </w:r>
          </w:p>
        </w:tc>
        <w:tc>
          <w:tcPr>
            <w:tcW w:w="0" w:type="dxa"/>
            <w:vAlign w:val="bottom"/>
          </w:tcPr>
          <w:p>
            <w:pPr>
              <w:spacing w:after="0"/>
              <w:rPr>
                <w:sz w:val="1"/>
                <w:szCs w:val="1"/>
                <w:color w:val="auto"/>
              </w:rPr>
            </w:pPr>
          </w:p>
        </w:tc>
      </w:tr>
      <w:tr>
        <w:trPr>
          <w:trHeight w:val="209"/>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(GAAP)</w:t>
            </w:r>
          </w:p>
        </w:tc>
        <w:tc>
          <w:tcPr>
            <w:tcW w:w="2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1,413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7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(110)</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(139)</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(139)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r>
        <w:trPr>
          <w:trHeight w:val="224"/>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Free cash flow (non-GAAP) (c)</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1,277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1,274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1,326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529</w:t>
            </w: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7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FF0FC"/>
          </w:tcPr>
          <w:p>
            <w:pPr>
              <w:spacing w:after="0"/>
              <w:rPr>
                <w:sz w:val="24"/>
                <w:szCs w:val="2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(917)</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(676)</w:t>
            </w:r>
          </w:p>
        </w:tc>
        <w:tc>
          <w:tcPr>
            <w:tcW w:w="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(728)</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(1,220)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(945)</w:t>
            </w:r>
          </w:p>
        </w:tc>
        <w:tc>
          <w:tcPr>
            <w:tcW w:w="0" w:type="dxa"/>
            <w:vAlign w:val="bottom"/>
          </w:tcPr>
          <w:p>
            <w:pPr>
              <w:spacing w:after="0"/>
              <w:rPr>
                <w:sz w:val="1"/>
                <w:szCs w:val="1"/>
                <w:color w:val="auto"/>
              </w:rPr>
            </w:pPr>
          </w:p>
        </w:tc>
      </w:tr>
      <w:tr>
        <w:trPr>
          <w:trHeight w:val="443"/>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 (b)</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5"/>
          </w:tcPr>
          <w:p>
            <w:pPr>
              <w:jc w:val="right"/>
              <w:ind w:right="560"/>
              <w:spacing w:after="0"/>
              <w:rPr>
                <w:sz w:val="20"/>
                <w:szCs w:val="20"/>
                <w:color w:val="auto"/>
              </w:rPr>
            </w:pPr>
            <w:r>
              <w:rPr>
                <w:rFonts w:ascii="Arial" w:cs="Arial" w:eastAsia="Arial" w:hAnsi="Arial"/>
                <w:sz w:val="16"/>
                <w:szCs w:val="16"/>
                <w:b w:val="1"/>
                <w:bCs w:val="1"/>
                <w:color w:val="auto"/>
                <w:w w:val="91"/>
              </w:rPr>
              <w:t>Reported</w:t>
            </w:r>
          </w:p>
        </w:tc>
        <w:tc>
          <w:tcPr>
            <w:tcW w:w="740" w:type="dxa"/>
            <w:vAlign w:val="bottom"/>
            <w:tcBorders>
              <w:top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w w:val="95"/>
              </w:rPr>
              <w:t>Recast</w:t>
            </w:r>
          </w:p>
        </w:tc>
        <w:tc>
          <w:tcPr>
            <w:tcW w:w="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Borders>
              <w:top w:val="single" w:sz="8" w:color="auto"/>
            </w:tcBorders>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Income statement data:</w:t>
            </w:r>
          </w:p>
        </w:tc>
        <w:tc>
          <w:tcPr>
            <w:tcW w:w="2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80" w:type="dxa"/>
            <w:vAlign w:val="bottom"/>
            <w:gridSpan w:val="2"/>
          </w:tcPr>
          <w:p>
            <w:pPr>
              <w:ind w:left="6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1,335</w:t>
            </w:r>
          </w:p>
        </w:tc>
        <w:tc>
          <w:tcPr>
            <w:tcW w:w="20" w:type="dxa"/>
            <w:vAlign w:val="bottom"/>
          </w:tcPr>
          <w:p>
            <w:pPr>
              <w:spacing w:after="0"/>
              <w:rPr>
                <w:sz w:val="19"/>
                <w:szCs w:val="19"/>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3,595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gridSpan w:val="4"/>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3900" w:type="dxa"/>
            <w:vAlign w:val="bottom"/>
            <w:gridSpan w:val="5"/>
          </w:tcPr>
          <w:p>
            <w:pPr>
              <w:ind w:left="60"/>
              <w:spacing w:after="0"/>
              <w:rPr>
                <w:sz w:val="20"/>
                <w:szCs w:val="20"/>
                <w:color w:val="auto"/>
              </w:rPr>
            </w:pPr>
            <w:r>
              <w:rPr>
                <w:rFonts w:ascii="Arial" w:cs="Arial" w:eastAsia="Arial" w:hAnsi="Arial"/>
                <w:sz w:val="16"/>
                <w:szCs w:val="16"/>
                <w:color w:val="auto"/>
              </w:rPr>
              <w:t>Average diluted shares outstanding, 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1,021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7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Basic EPS</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3.54</w:t>
            </w:r>
          </w:p>
        </w:tc>
        <w:tc>
          <w:tcPr>
            <w:tcW w:w="20" w:type="dxa"/>
            <w:vAlign w:val="bottom"/>
            <w:shd w:val="clear" w:color="auto" w:fill="CFF0FC"/>
          </w:tcPr>
          <w:p>
            <w:pPr>
              <w:spacing w:after="0"/>
              <w:rPr>
                <w:sz w:val="20"/>
                <w:szCs w:val="20"/>
                <w:color w:val="auto"/>
              </w:rPr>
            </w:pP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80" w:type="dxa"/>
            <w:vAlign w:val="bottom"/>
            <w:gridSpan w:val="2"/>
          </w:tcPr>
          <w:p>
            <w:pPr>
              <w:ind w:left="60"/>
              <w:spacing w:after="0"/>
              <w:rPr>
                <w:sz w:val="20"/>
                <w:szCs w:val="20"/>
                <w:color w:val="auto"/>
              </w:rPr>
            </w:pPr>
            <w:r>
              <w:rPr>
                <w:rFonts w:ascii="Arial" w:cs="Arial" w:eastAsia="Arial" w:hAnsi="Arial"/>
                <w:sz w:val="16"/>
                <w:szCs w:val="16"/>
                <w:color w:val="auto"/>
              </w:rPr>
              <w:t>Diluted EPS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3.48</w:t>
            </w:r>
          </w:p>
        </w:tc>
        <w:tc>
          <w:tcPr>
            <w:tcW w:w="20" w:type="dxa"/>
            <w:vAlign w:val="bottom"/>
          </w:tcPr>
          <w:p>
            <w:pPr>
              <w:spacing w:after="0"/>
              <w:rPr>
                <w:sz w:val="19"/>
                <w:szCs w:val="19"/>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Cash flow data:</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3020" w:type="dxa"/>
            <w:vAlign w:val="bottom"/>
            <w:gridSpan w:val="3"/>
          </w:tcPr>
          <w:p>
            <w:pPr>
              <w:ind w:left="60"/>
              <w:spacing w:after="0"/>
              <w:rPr>
                <w:sz w:val="20"/>
                <w:szCs w:val="20"/>
                <w:color w:val="auto"/>
              </w:rPr>
            </w:pPr>
            <w:r>
              <w:rPr>
                <w:rFonts w:ascii="Arial" w:cs="Arial" w:eastAsia="Arial" w:hAnsi="Arial"/>
                <w:sz w:val="16"/>
                <w:szCs w:val="16"/>
                <w:color w:val="auto"/>
                <w:w w:val="94"/>
              </w:rPr>
              <w:t>Cash flows from operating activities (GAAP)</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4,614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4,268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9"/>
              </w:rPr>
              <w:t>4,397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7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(531)</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(551)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80" w:type="dxa"/>
            <w:vAlign w:val="bottom"/>
            <w:gridSpan w:val="2"/>
          </w:tcPr>
          <w:p>
            <w:pPr>
              <w:ind w:left="60"/>
              <w:spacing w:after="0"/>
              <w:rPr>
                <w:sz w:val="20"/>
                <w:szCs w:val="20"/>
                <w:color w:val="auto"/>
              </w:rPr>
            </w:pPr>
            <w:r>
              <w:rPr>
                <w:rFonts w:ascii="Arial" w:cs="Arial" w:eastAsia="Arial" w:hAnsi="Arial"/>
                <w:sz w:val="16"/>
                <w:szCs w:val="16"/>
                <w:color w:val="auto"/>
              </w:rPr>
              <w:t>Free cash flow (non-GAAP) (c)</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4,083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3,717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9"/>
              </w:rPr>
              <w:t>3,846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7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(3,810)</w:t>
            </w:r>
          </w:p>
        </w:tc>
        <w:tc>
          <w:tcPr>
            <w:tcW w:w="2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w w:val="94"/>
              </w:rPr>
              <w:t>(4,165)</w:t>
            </w:r>
          </w:p>
        </w:tc>
        <w:tc>
          <w:tcPr>
            <w:tcW w:w="140" w:type="dxa"/>
            <w:vAlign w:val="bottom"/>
            <w:shd w:val="clear" w:color="auto" w:fill="CFF0FC"/>
          </w:tcPr>
          <w:p>
            <w:pPr>
              <w:spacing w:after="0"/>
              <w:rPr>
                <w:sz w:val="24"/>
                <w:szCs w:val="24"/>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(4,294)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4Q16 amounts reflect adoption of ASU 2016-09.</w:t>
      </w:r>
    </w:p>
    <w:p>
      <w:pPr>
        <w:spacing w:after="0" w:line="22"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2016 total is the sum of recast 1Q16, 2Q16 and 3Q16, and reported 4Q16.</w:t>
      </w:r>
    </w:p>
    <w:p>
      <w:pPr>
        <w:spacing w:after="0" w:line="18" w:lineRule="exact"/>
        <w:rPr>
          <w:rFonts w:ascii="Arial" w:cs="Arial" w:eastAsia="Arial" w:hAnsi="Arial"/>
          <w:sz w:val="16"/>
          <w:szCs w:val="16"/>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Free cash flow is Cash flow from operating activities less Capital expenditures.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Accounting standard ASU 2016-09 allowed only prospective adoption for the income statement, therefore the prior annual periods were not 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40" w:lineRule="exact"/>
        <w:rPr>
          <w:sz w:val="20"/>
          <w:szCs w:val="20"/>
          <w:color w:val="auto"/>
        </w:rPr>
      </w:pPr>
    </w:p>
    <w:p>
      <w:pPr>
        <w:ind w:left="760" w:hanging="374"/>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Market demand for semiconductors, particularly in TI’s end markets;</w:t>
      </w:r>
    </w:p>
    <w:p>
      <w:pPr>
        <w:spacing w:after="0" w:line="98" w:lineRule="exact"/>
        <w:rPr>
          <w:rFonts w:ascii="Arial" w:cs="Arial" w:eastAsia="Arial" w:hAnsi="Arial"/>
          <w:sz w:val="22"/>
          <w:szCs w:val="22"/>
          <w:color w:val="auto"/>
        </w:rPr>
      </w:pPr>
    </w:p>
    <w:p>
      <w:pPr>
        <w:ind w:left="760" w:hanging="374"/>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TI’s ability to compete in products and prices in an intensely competitive industry;</w:t>
      </w:r>
    </w:p>
    <w:p>
      <w:pPr>
        <w:spacing w:after="0" w:line="109" w:lineRule="exact"/>
        <w:rPr>
          <w:rFonts w:ascii="Arial" w:cs="Arial" w:eastAsia="Arial" w:hAnsi="Arial"/>
          <w:sz w:val="22"/>
          <w:szCs w:val="22"/>
          <w:color w:val="auto"/>
        </w:rPr>
      </w:pPr>
    </w:p>
    <w:p>
      <w:pPr>
        <w:ind w:left="760" w:hanging="374"/>
        <w:spacing w:after="0"/>
        <w:tabs>
          <w:tab w:leader="none" w:pos="7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20" w:lineRule="exact"/>
        <w:rPr>
          <w:rFonts w:ascii="Arial" w:cs="Arial" w:eastAsia="Arial" w:hAnsi="Arial"/>
          <w:sz w:val="21"/>
          <w:szCs w:val="21"/>
          <w:color w:val="auto"/>
        </w:rPr>
      </w:pPr>
    </w:p>
    <w:p>
      <w:pPr>
        <w:ind w:left="760" w:right="220" w:hanging="374"/>
        <w:spacing w:after="0" w:line="232"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95" w:lineRule="exact"/>
        <w:rPr>
          <w:rFonts w:ascii="Arial" w:cs="Arial" w:eastAsia="Arial" w:hAnsi="Arial"/>
          <w:sz w:val="22"/>
          <w:szCs w:val="22"/>
          <w:color w:val="auto"/>
        </w:rPr>
      </w:pPr>
    </w:p>
    <w:p>
      <w:pPr>
        <w:ind w:left="760" w:right="220" w:hanging="374"/>
        <w:spacing w:after="0" w:line="232"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73" w:lineRule="exact"/>
        <w:rPr>
          <w:rFonts w:ascii="Arial" w:cs="Arial" w:eastAsia="Arial" w:hAnsi="Arial"/>
          <w:sz w:val="22"/>
          <w:szCs w:val="22"/>
          <w:color w:val="auto"/>
        </w:rPr>
      </w:pPr>
    </w:p>
    <w:p>
      <w:pPr>
        <w:ind w:left="760" w:hanging="374"/>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20" w:lineRule="exact"/>
        <w:rPr>
          <w:rFonts w:ascii="Arial" w:cs="Arial" w:eastAsia="Arial" w:hAnsi="Arial"/>
          <w:sz w:val="22"/>
          <w:szCs w:val="22"/>
          <w:color w:val="auto"/>
        </w:rPr>
      </w:pPr>
    </w:p>
    <w:p>
      <w:pPr>
        <w:ind w:left="760" w:right="400" w:hanging="374"/>
        <w:spacing w:after="0" w:line="238"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94" w:lineRule="exact"/>
        <w:rPr>
          <w:rFonts w:ascii="Arial" w:cs="Arial" w:eastAsia="Arial" w:hAnsi="Arial"/>
          <w:sz w:val="22"/>
          <w:szCs w:val="22"/>
          <w:color w:val="auto"/>
        </w:rPr>
      </w:pPr>
    </w:p>
    <w:p>
      <w:pPr>
        <w:ind w:left="760" w:hanging="374"/>
        <w:spacing w:after="0"/>
        <w:tabs>
          <w:tab w:leader="none" w:pos="760" w:val="left"/>
        </w:tabs>
        <w:numPr>
          <w:ilvl w:val="0"/>
          <w:numId w:val="11"/>
        </w:numPr>
        <w:rPr>
          <w:rFonts w:ascii="Arial" w:cs="Arial" w:eastAsia="Arial" w:hAnsi="Arial"/>
          <w:sz w:val="19"/>
          <w:szCs w:val="19"/>
          <w:color w:val="auto"/>
        </w:rPr>
      </w:pPr>
      <w:r>
        <w:rPr>
          <w:rFonts w:ascii="Arial" w:cs="Arial" w:eastAsia="Arial" w:hAnsi="Arial"/>
          <w:sz w:val="16"/>
          <w:szCs w:val="16"/>
          <w:color w:val="auto"/>
        </w:rPr>
        <w:t>Natural events such as severe weather, geological events or health epidemics in the locations in which TI, its customers or its suppliers operate;</w:t>
      </w:r>
    </w:p>
    <w:p>
      <w:pPr>
        <w:spacing w:after="0" w:line="110" w:lineRule="exact"/>
        <w:rPr>
          <w:rFonts w:ascii="Arial" w:cs="Arial" w:eastAsia="Arial" w:hAnsi="Arial"/>
          <w:sz w:val="19"/>
          <w:szCs w:val="19"/>
          <w:color w:val="auto"/>
        </w:rPr>
      </w:pPr>
    </w:p>
    <w:p>
      <w:pPr>
        <w:ind w:left="760" w:hanging="374"/>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Breaches of TI’s information technology systems or those of its customers or suppliers;</w:t>
      </w:r>
    </w:p>
    <w:p>
      <w:pPr>
        <w:spacing w:after="0" w:line="109" w:lineRule="exact"/>
        <w:rPr>
          <w:rFonts w:ascii="Arial" w:cs="Arial" w:eastAsia="Arial" w:hAnsi="Arial"/>
          <w:sz w:val="22"/>
          <w:szCs w:val="22"/>
          <w:color w:val="auto"/>
        </w:rPr>
      </w:pPr>
    </w:p>
    <w:p>
      <w:pPr>
        <w:ind w:left="760" w:hanging="374"/>
        <w:spacing w:after="0"/>
        <w:tabs>
          <w:tab w:leader="none" w:pos="7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0" w:lineRule="exact"/>
        <w:rPr>
          <w:rFonts w:ascii="Arial" w:cs="Arial" w:eastAsia="Arial" w:hAnsi="Arial"/>
          <w:sz w:val="21"/>
          <w:szCs w:val="21"/>
          <w:color w:val="auto"/>
        </w:rPr>
      </w:pPr>
    </w:p>
    <w:p>
      <w:pPr>
        <w:ind w:left="760" w:right="240" w:hanging="374"/>
        <w:spacing w:after="0" w:line="232"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95" w:lineRule="exact"/>
        <w:rPr>
          <w:rFonts w:ascii="Arial" w:cs="Arial" w:eastAsia="Arial" w:hAnsi="Arial"/>
          <w:sz w:val="22"/>
          <w:szCs w:val="22"/>
          <w:color w:val="auto"/>
        </w:rPr>
      </w:pPr>
    </w:p>
    <w:p>
      <w:pPr>
        <w:ind w:left="760" w:right="380" w:hanging="374"/>
        <w:spacing w:after="0" w:line="232"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spacing w:after="0" w:line="95" w:lineRule="exact"/>
        <w:rPr>
          <w:rFonts w:ascii="Arial" w:cs="Arial" w:eastAsia="Arial" w:hAnsi="Arial"/>
          <w:sz w:val="22"/>
          <w:szCs w:val="22"/>
          <w:color w:val="auto"/>
        </w:rPr>
      </w:pPr>
    </w:p>
    <w:p>
      <w:pPr>
        <w:ind w:left="760" w:right="380" w:hanging="374"/>
        <w:spacing w:after="0" w:line="297" w:lineRule="auto"/>
        <w:tabs>
          <w:tab w:leader="none" w:pos="760" w:val="left"/>
        </w:tabs>
        <w:numPr>
          <w:ilvl w:val="0"/>
          <w:numId w:val="11"/>
        </w:numPr>
        <w:rPr>
          <w:rFonts w:ascii="Arial" w:cs="Arial" w:eastAsia="Arial" w:hAnsi="Arial"/>
          <w:sz w:val="19"/>
          <w:szCs w:val="19"/>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TI’s ability to manufacture its products or operate its business, or subject us to fines, penalties, or other legal liability;</w:t>
      </w:r>
    </w:p>
    <w:p>
      <w:pPr>
        <w:spacing w:after="0" w:line="42" w:lineRule="exact"/>
        <w:rPr>
          <w:rFonts w:ascii="Arial" w:cs="Arial" w:eastAsia="Arial" w:hAnsi="Arial"/>
          <w:sz w:val="19"/>
          <w:szCs w:val="19"/>
          <w:color w:val="auto"/>
        </w:rPr>
      </w:pPr>
    </w:p>
    <w:p>
      <w:pPr>
        <w:ind w:left="760" w:right="20" w:hanging="374"/>
        <w:spacing w:after="0" w:line="232"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95" w:lineRule="exact"/>
        <w:rPr>
          <w:rFonts w:ascii="Arial" w:cs="Arial" w:eastAsia="Arial" w:hAnsi="Arial"/>
          <w:sz w:val="22"/>
          <w:szCs w:val="22"/>
          <w:color w:val="auto"/>
        </w:rPr>
      </w:pPr>
    </w:p>
    <w:p>
      <w:pPr>
        <w:ind w:left="760" w:hanging="374"/>
        <w:spacing w:after="0" w:line="232"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and the ability to realize deferred tax assets;</w:t>
      </w:r>
    </w:p>
    <w:p>
      <w:pPr>
        <w:spacing w:after="0" w:line="73" w:lineRule="exact"/>
        <w:rPr>
          <w:rFonts w:ascii="Arial" w:cs="Arial" w:eastAsia="Arial" w:hAnsi="Arial"/>
          <w:sz w:val="22"/>
          <w:szCs w:val="22"/>
          <w:color w:val="auto"/>
        </w:rPr>
      </w:pPr>
    </w:p>
    <w:p>
      <w:pPr>
        <w:ind w:left="760" w:hanging="374"/>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Financial difficulties of distributors or their promotion of competing product lines to TI’s detriment;</w:t>
      </w:r>
    </w:p>
    <w:p>
      <w:pPr>
        <w:spacing w:after="0" w:line="98" w:lineRule="exact"/>
        <w:rPr>
          <w:rFonts w:ascii="Arial" w:cs="Arial" w:eastAsia="Arial" w:hAnsi="Arial"/>
          <w:sz w:val="22"/>
          <w:szCs w:val="22"/>
          <w:color w:val="auto"/>
        </w:rPr>
      </w:pPr>
    </w:p>
    <w:p>
      <w:pPr>
        <w:ind w:left="760" w:hanging="374"/>
        <w:spacing w:after="0"/>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 loss suffered by a customer or distributor of TI with respect to TI-consigned inventory;</w:t>
      </w:r>
    </w:p>
    <w:p>
      <w:pPr>
        <w:spacing w:after="0" w:line="120" w:lineRule="exact"/>
        <w:rPr>
          <w:rFonts w:ascii="Arial" w:cs="Arial" w:eastAsia="Arial" w:hAnsi="Arial"/>
          <w:sz w:val="22"/>
          <w:szCs w:val="22"/>
          <w:color w:val="auto"/>
        </w:rPr>
      </w:pPr>
    </w:p>
    <w:p>
      <w:pPr>
        <w:ind w:left="760" w:right="420" w:hanging="374"/>
        <w:spacing w:after="0" w:line="232"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Instability in the global credit and financial markets that affects TI’s ability to fund its daily operations, invest in the business, make strategic acquisitions, or make principal and interest payments on its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3" w:name="page14"/>
    <w:bookmarkEnd w:id="13"/>
    <w:p>
      <w:pPr>
        <w:ind w:left="760" w:hanging="374"/>
        <w:spacing w:after="0"/>
        <w:tabs>
          <w:tab w:leader="none" w:pos="7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Increases in health care and pension benefit costs;</w:t>
      </w:r>
    </w:p>
    <w:p>
      <w:pPr>
        <w:spacing w:after="0" w:line="98" w:lineRule="exact"/>
        <w:rPr>
          <w:rFonts w:ascii="Arial" w:cs="Arial" w:eastAsia="Arial" w:hAnsi="Arial"/>
          <w:sz w:val="22"/>
          <w:szCs w:val="22"/>
          <w:color w:val="auto"/>
        </w:rPr>
      </w:pPr>
    </w:p>
    <w:p>
      <w:pPr>
        <w:ind w:left="760" w:hanging="374"/>
        <w:spacing w:after="0"/>
        <w:tabs>
          <w:tab w:leader="none" w:pos="7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TI’s ability to recruit and retain skilled personnel;</w:t>
      </w:r>
    </w:p>
    <w:p>
      <w:pPr>
        <w:spacing w:after="0" w:line="120" w:lineRule="exact"/>
        <w:rPr>
          <w:rFonts w:ascii="Arial" w:cs="Arial" w:eastAsia="Arial" w:hAnsi="Arial"/>
          <w:sz w:val="22"/>
          <w:szCs w:val="22"/>
          <w:color w:val="auto"/>
        </w:rPr>
      </w:pPr>
    </w:p>
    <w:p>
      <w:pPr>
        <w:ind w:left="760" w:hanging="374"/>
        <w:spacing w:after="0" w:line="232" w:lineRule="auto"/>
        <w:tabs>
          <w:tab w:leader="none" w:pos="7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TI’s ability to successfully integrate and realize opportunities for growth from acquisitions, and its ability to realize its expectations regarding the amount and timing of restructuring charges and associated cost savings; and</w:t>
      </w:r>
    </w:p>
    <w:p>
      <w:pPr>
        <w:spacing w:after="0" w:line="73" w:lineRule="exact"/>
        <w:rPr>
          <w:rFonts w:ascii="Arial" w:cs="Arial" w:eastAsia="Arial" w:hAnsi="Arial"/>
          <w:sz w:val="22"/>
          <w:szCs w:val="22"/>
          <w:color w:val="auto"/>
        </w:rPr>
      </w:pPr>
    </w:p>
    <w:p>
      <w:pPr>
        <w:ind w:left="760" w:hanging="374"/>
        <w:spacing w:after="0"/>
        <w:tabs>
          <w:tab w:leader="none" w:pos="7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Impairments of TI’s non-financial assets.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t>
      </w:r>
      <w:r>
        <w:rPr>
          <w:rFonts w:ascii="Arial" w:cs="Arial" w:eastAsia="Arial" w:hAnsi="Arial"/>
          <w:sz w:val="18"/>
          <w:szCs w:val="18"/>
          <w:u w:val="single" w:color="auto"/>
          <w:color w:val="0000FF"/>
        </w:rPr>
        <w:t>www.ti.com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220"/>
      </w:cols>
      <w:pgMar w:left="240" w:top="45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9"/>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2019-12-05T07:31:12Z</dcterms:created>
  <dcterms:modified xsi:type="dcterms:W3CDTF">2019-12-05T07:31:12Z</dcterms:modified>
</cp:coreProperties>
</file>