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6440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401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73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ADAMS JAMES R</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01/29/2009</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38" w:orient="portrait"/>
          <w:cols w:equalWidth="0" w:num="3">
            <w:col w:w="3360" w:space="720"/>
            <w:col w:w="3340" w:space="637"/>
            <w:col w:w="3463"/>
          </w:cols>
          <w:pgMar w:left="240" w:top="220" w:right="139" w:bottom="731"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0000FF"/>
              </w:rPr>
              <w:t>DALLAS</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38" w:orient="portrait"/>
          <w:cols w:equalWidth="0" w:num="2">
            <w:col w:w="3920" w:space="160"/>
            <w:col w:w="7440"/>
          </w:cols>
          <w:pgMar w:left="240" w:top="220" w:right="139" w:bottom="731"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8"/>
                <w:szCs w:val="18"/>
                <w:color w:val="0000FF"/>
              </w:rPr>
              <w:t>01/29/2009</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27"/>
                <w:szCs w:val="27"/>
                <w:color w:val="0000FF"/>
                <w:w w:val="92"/>
                <w:vertAlign w:val="subscript"/>
              </w:rPr>
              <w:t>A</w:t>
            </w:r>
            <w:r>
              <w:rPr>
                <w:rFonts w:ascii="Times New Roman" w:cs="Times New Roman" w:eastAsia="Times New Roman" w:hAnsi="Times New Roman"/>
                <w:sz w:val="11"/>
                <w:szCs w:val="11"/>
                <w:color w:val="008000"/>
                <w:w w:val="92"/>
              </w:rPr>
              <w:t>(1)</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8"/>
                <w:szCs w:val="18"/>
                <w:color w:val="0000FF"/>
              </w:rPr>
              <w:t>2,500</w:t>
            </w:r>
          </w:p>
        </w:tc>
        <w:tc>
          <w:tcPr>
            <w:tcW w:w="700" w:type="dxa"/>
            <w:vAlign w:val="bottom"/>
            <w:tcBorders>
              <w:bottom w:val="single" w:sz="8" w:color="2C2C2C"/>
            </w:tcBorders>
          </w:tcPr>
          <w:p>
            <w:pPr>
              <w:jc w:val="right"/>
              <w:ind w:right="156"/>
              <w:spacing w:after="0"/>
              <w:rPr>
                <w:sz w:val="20"/>
                <w:szCs w:val="20"/>
                <w:color w:val="auto"/>
              </w:rPr>
            </w:pPr>
            <w:r>
              <w:rPr>
                <w:rFonts w:ascii="Times New Roman" w:cs="Times New Roman" w:eastAsia="Times New Roman" w:hAnsi="Times New Roman"/>
                <w:sz w:val="18"/>
                <w:szCs w:val="18"/>
                <w:color w:val="0000FF"/>
              </w:rPr>
              <w:t>A</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317,911</w:t>
            </w: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3"/>
              </w:rPr>
              <w:t>1,450</w:t>
            </w:r>
            <w:r>
              <w:rPr>
                <w:rFonts w:ascii="Times New Roman" w:cs="Times New Roman" w:eastAsia="Times New Roman" w:hAnsi="Times New Roman"/>
                <w:sz w:val="22"/>
                <w:szCs w:val="22"/>
                <w:color w:val="008000"/>
                <w:w w:val="93"/>
                <w:vertAlign w:val="superscript"/>
              </w:rPr>
              <w:t>(2)</w:t>
            </w:r>
          </w:p>
        </w:tc>
        <w:tc>
          <w:tcPr>
            <w:tcW w:w="34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2"/>
              </w:rPr>
              <w:t>271,550</w:t>
            </w:r>
            <w:r>
              <w:rPr>
                <w:rFonts w:ascii="Times New Roman" w:cs="Times New Roman" w:eastAsia="Times New Roman" w:hAnsi="Times New Roman"/>
                <w:sz w:val="22"/>
                <w:szCs w:val="22"/>
                <w:color w:val="008000"/>
                <w:w w:val="92"/>
                <w:vertAlign w:val="superscript"/>
              </w:rPr>
              <w:t>(3)</w:t>
            </w: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9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2"/>
              </w:rPr>
              <w:t>2,954.46</w:t>
            </w:r>
            <w:r>
              <w:rPr>
                <w:rFonts w:ascii="Times New Roman" w:cs="Times New Roman" w:eastAsia="Times New Roman" w:hAnsi="Times New Roman"/>
                <w:sz w:val="22"/>
                <w:szCs w:val="22"/>
                <w:color w:val="008000"/>
                <w:w w:val="92"/>
                <w:vertAlign w:val="superscript"/>
              </w:rPr>
              <w:t>(4)</w:t>
            </w:r>
          </w:p>
        </w:tc>
        <w:tc>
          <w:tcPr>
            <w:tcW w:w="34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rPr>
              <w:t>By Trust-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8"/>
                <w:szCs w:val="18"/>
                <w:color w:val="0000FF"/>
                <w:w w:val="96"/>
              </w:rPr>
              <w:t>476.01</w:t>
            </w:r>
          </w:p>
        </w:tc>
        <w:tc>
          <w:tcPr>
            <w:tcW w:w="34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rPr>
              <w:t>By Trust--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60" w:type="dxa"/>
            <w:vAlign w:val="bottom"/>
            <w:gridSpan w:val="4"/>
            <w:vMerge w:val="restart"/>
          </w:tcPr>
          <w:p>
            <w:pPr>
              <w:ind w:left="60"/>
              <w:spacing w:after="0" w:line="284" w:lineRule="exact"/>
              <w:rPr>
                <w:sz w:val="20"/>
                <w:szCs w:val="20"/>
                <w:color w:val="auto"/>
              </w:rPr>
            </w:pPr>
            <w:r>
              <w:rPr>
                <w:rFonts w:ascii="Times New Roman" w:cs="Times New Roman" w:eastAsia="Times New Roman" w:hAnsi="Times New Roman"/>
                <w:sz w:val="32"/>
                <w:szCs w:val="32"/>
                <w:color w:val="0000FF"/>
                <w:vertAlign w:val="subscript"/>
              </w:rPr>
              <w:t>PS</w:t>
            </w:r>
            <w:r>
              <w:rPr>
                <w:rFonts w:ascii="Times New Roman" w:cs="Times New Roman" w:eastAsia="Times New Roman" w:hAnsi="Times New Roman"/>
                <w:sz w:val="11"/>
                <w:szCs w:val="11"/>
                <w:color w:val="008000"/>
              </w:rPr>
              <w:t>(5)</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500" w:type="dxa"/>
            <w:vAlign w:val="bottom"/>
            <w:gridSpan w:val="13"/>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14.95</w:t>
            </w: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0000FF"/>
              </w:rPr>
              <w:t>01/29/2009</w:t>
            </w:r>
          </w:p>
        </w:tc>
        <w:tc>
          <w:tcPr>
            <w:tcW w:w="1140" w:type="dxa"/>
            <w:vAlign w:val="bottom"/>
          </w:tcPr>
          <w:p>
            <w:pPr>
              <w:spacing w:after="0"/>
              <w:rPr>
                <w:sz w:val="17"/>
                <w:szCs w:val="17"/>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A</w:t>
            </w:r>
          </w:p>
        </w:tc>
        <w:tc>
          <w:tcPr>
            <w:tcW w:w="22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7,000</w:t>
            </w:r>
          </w:p>
        </w:tc>
        <w:tc>
          <w:tcPr>
            <w:tcW w:w="300" w:type="dxa"/>
            <w:vAlign w:val="bottom"/>
          </w:tcPr>
          <w:p>
            <w:pPr>
              <w:spacing w:after="0"/>
              <w:rPr>
                <w:sz w:val="17"/>
                <w:szCs w:val="17"/>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01/29/2019</w:t>
            </w: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0000FF"/>
              </w:rPr>
              <w:t>7,000</w:t>
            </w:r>
          </w:p>
        </w:tc>
        <w:tc>
          <w:tcPr>
            <w:tcW w:w="40" w:type="dxa"/>
            <w:vAlign w:val="bottom"/>
          </w:tcPr>
          <w:p>
            <w:pPr>
              <w:spacing w:after="0"/>
              <w:rPr>
                <w:sz w:val="17"/>
                <w:szCs w:val="17"/>
                <w:color w:val="auto"/>
              </w:rPr>
            </w:pPr>
          </w:p>
        </w:tc>
        <w:tc>
          <w:tcPr>
            <w:tcW w:w="7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00FF"/>
              </w:rPr>
              <w:t>7,000</w:t>
            </w:r>
          </w:p>
        </w:tc>
        <w:tc>
          <w:tcPr>
            <w:tcW w:w="560" w:type="dxa"/>
            <w:vAlign w:val="bottom"/>
          </w:tcPr>
          <w:p>
            <w:pPr>
              <w:ind w:left="420"/>
              <w:spacing w:after="0"/>
              <w:rPr>
                <w:sz w:val="20"/>
                <w:szCs w:val="20"/>
                <w:color w:val="auto"/>
              </w:rPr>
            </w:pPr>
            <w:r>
              <w:rPr>
                <w:rFonts w:ascii="Times New Roman" w:cs="Times New Roman" w:eastAsia="Times New Roman" w:hAnsi="Times New Roman"/>
                <w:sz w:val="14"/>
                <w:szCs w:val="14"/>
                <w:color w:val="0000FF"/>
              </w:rPr>
              <w:t>D</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(Right to</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jc w:val="right"/>
              <w:ind w:right="156"/>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Award of restricted stock units granted under the Texas Instruments 2003 Director Compensation Plan.</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4" w:lineRule="exact"/>
        <w:rPr>
          <w:rFonts w:ascii="Times New Roman" w:cs="Times New Roman" w:eastAsia="Times New Roman" w:hAnsi="Times New Roman"/>
          <w:sz w:val="12"/>
          <w:szCs w:val="12"/>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held in trust for the benefit of family members of which reporting person is trustee. Beneficial ownership by reporting person disclaimed.</w:t>
      </w:r>
    </w:p>
    <w:p>
      <w:pPr>
        <w:spacing w:after="0" w:line="41" w:lineRule="exact"/>
        <w:rPr>
          <w:rFonts w:ascii="Times New Roman" w:cs="Times New Roman" w:eastAsia="Times New Roman" w:hAnsi="Times New Roman"/>
          <w:sz w:val="14"/>
          <w:szCs w:val="14"/>
          <w:color w:val="008000"/>
        </w:rPr>
      </w:pPr>
    </w:p>
    <w:p>
      <w:pPr>
        <w:ind w:left="40" w:right="4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401(k) Account as of 12-31-08. (Interests in this account are denominated in units. Consequently, share amount shown is an estimate.) This statement does not include changes in beneficial ownership of shares held in this account occurring after 12-31-08 that are eligible for deferred reporting on Form 5.</w:t>
      </w:r>
    </w:p>
    <w:p>
      <w:pPr>
        <w:spacing w:after="0" w:line="27" w:lineRule="exact"/>
        <w:rPr>
          <w:rFonts w:ascii="Times New Roman" w:cs="Times New Roman" w:eastAsia="Times New Roman" w:hAnsi="Times New Roman"/>
          <w:sz w:val="14"/>
          <w:szCs w:val="14"/>
          <w:color w:val="008000"/>
        </w:rPr>
      </w:pPr>
    </w:p>
    <w:p>
      <w:pPr>
        <w:ind w:left="40" w:right="4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Universal Profit Sharing Account as of 12-31-08. (Interests in this account are denominated in units. Consequently, share amount shown is an estimate.) This statement does not include changes in beneficial ownership of shares held in such account occurring after 12-31-08 that are eligible for deferred reporting on Form 5.</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option becomes exercisable in four equal annual installments beginning on January 29, 2010.</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Daniel M. Drory,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01/30/2009</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7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2019-12-16T23:11:02Z</dcterms:created>
  <dcterms:modified xsi:type="dcterms:W3CDTF">2019-12-16T23:11:02Z</dcterms:modified>
</cp:coreProperties>
</file>