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229235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SCHEDULE 14A</w:t>
      </w:r>
    </w:p>
    <w:p>
      <w:pPr>
        <w:spacing w:after="0" w:line="230"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6"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99"/>
        <w:spacing w:after="0"/>
        <w:tabs>
          <w:tab w:leader="none" w:pos="28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220980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120"/>
        <w:spacing w:after="0" w:line="184" w:lineRule="exact"/>
        <w:tabs>
          <w:tab w:leader="none" w:pos="318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76" w:lineRule="exact"/>
        <w:rPr>
          <w:sz w:val="24"/>
          <w:szCs w:val="24"/>
          <w:color w:val="auto"/>
        </w:rPr>
      </w:pPr>
    </w:p>
    <w:p>
      <w:pPr>
        <w:ind w:left="220"/>
        <w:spacing w:after="0"/>
        <w:rPr>
          <w:sz w:val="20"/>
          <w:szCs w:val="20"/>
          <w:color w:val="auto"/>
        </w:rPr>
      </w:pPr>
      <w:r>
        <w:rPr>
          <w:rFonts w:ascii="Arial" w:cs="Arial" w:eastAsia="Arial" w:hAnsi="Arial"/>
          <w:sz w:val="16"/>
          <w:szCs w:val="16"/>
          <w:color w:val="auto"/>
        </w:rPr>
        <w:t>Check the appropriate box:</w:t>
      </w:r>
    </w:p>
    <w:p>
      <w:pPr>
        <w:spacing w:after="0" w:line="262"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06" w:lineRule="exact"/>
        <w:rPr>
          <w:rFonts w:ascii="MS PGothic" w:cs="MS PGothic" w:eastAsia="MS PGothic" w:hAnsi="MS PGothic"/>
          <w:sz w:val="16"/>
          <w:szCs w:val="16"/>
          <w:color w:val="auto"/>
        </w:rPr>
      </w:pPr>
    </w:p>
    <w:p>
      <w:pPr>
        <w:ind w:left="660" w:hanging="54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47"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27"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26" w:lineRule="exact"/>
        <w:rPr>
          <w:rFonts w:ascii="MS PGothic" w:cs="MS PGothic" w:eastAsia="MS PGothic" w:hAnsi="MS PGothic"/>
          <w:sz w:val="16"/>
          <w:szCs w:val="16"/>
          <w:color w:val="auto"/>
        </w:rPr>
      </w:pPr>
    </w:p>
    <w:p>
      <w:pPr>
        <w:ind w:left="660" w:hanging="544"/>
        <w:spacing w:after="0"/>
        <w:tabs>
          <w:tab w:leader="none" w:pos="6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 240.14a-12</w:t>
      </w:r>
    </w:p>
    <w:p>
      <w:pPr>
        <w:spacing w:after="0" w:line="175" w:lineRule="exact"/>
        <w:rPr>
          <w:sz w:val="24"/>
          <w:szCs w:val="24"/>
          <w:color w:val="auto"/>
        </w:rPr>
      </w:pPr>
    </w:p>
    <w:p>
      <w:pPr>
        <w:jc w:val="center"/>
        <w:ind w:right="-299"/>
        <w:spacing w:after="0"/>
        <w:rPr>
          <w:sz w:val="20"/>
          <w:szCs w:val="20"/>
          <w:color w:val="auto"/>
        </w:rPr>
      </w:pPr>
      <w:r>
        <w:rPr>
          <w:rFonts w:ascii="Arial" w:cs="Arial" w:eastAsia="Arial" w:hAnsi="Arial"/>
          <w:sz w:val="40"/>
          <w:szCs w:val="40"/>
          <w:b w:val="1"/>
          <w:bCs w:val="1"/>
          <w:color w:val="auto"/>
        </w:rPr>
        <w:t>Texas Instruments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9"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469265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ind w:left="31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32" w:lineRule="exact"/>
        <w:rPr>
          <w:sz w:val="24"/>
          <w:szCs w:val="24"/>
          <w:color w:val="auto"/>
        </w:rPr>
      </w:pPr>
    </w:p>
    <w:p>
      <w:pPr>
        <w:ind w:left="120"/>
        <w:spacing w:after="0"/>
        <w:rPr>
          <w:sz w:val="20"/>
          <w:szCs w:val="20"/>
          <w:color w:val="auto"/>
        </w:rPr>
      </w:pPr>
      <w:r>
        <w:rPr>
          <w:rFonts w:ascii="Arial" w:cs="Arial" w:eastAsia="Arial" w:hAnsi="Arial"/>
          <w:sz w:val="16"/>
          <w:szCs w:val="16"/>
          <w:color w:val="auto"/>
        </w:rPr>
        <w:t>Payment of Filing Fee (Check the appropriate box):</w:t>
      </w:r>
    </w:p>
    <w:p>
      <w:pPr>
        <w:spacing w:after="0" w:line="221"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35"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234" w:lineRule="exact"/>
        <w:rPr>
          <w:rFonts w:ascii="MS PGothic" w:cs="MS PGothic" w:eastAsia="MS PGothic" w:hAnsi="MS PGothic"/>
          <w:sz w:val="16"/>
          <w:szCs w:val="16"/>
          <w:color w:val="auto"/>
        </w:rPr>
      </w:pPr>
    </w:p>
    <w:p>
      <w:pPr>
        <w:ind w:left="1220" w:hanging="537"/>
        <w:spacing w:after="0"/>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the transaction applies:</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220" w:hanging="537"/>
        <w:spacing w:after="0"/>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the transaction applies:</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220" w:right="40" w:hanging="537"/>
        <w:spacing w:after="0" w:line="260" w:lineRule="auto"/>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Arial" w:cs="Arial" w:eastAsia="Arial" w:hAnsi="Arial"/>
          <w:sz w:val="16"/>
          <w:szCs w:val="16"/>
          <w:color w:val="auto"/>
        </w:rPr>
      </w:pPr>
    </w:p>
    <w:p>
      <w:pPr>
        <w:spacing w:after="0" w:line="305" w:lineRule="exact"/>
        <w:rPr>
          <w:rFonts w:ascii="Arial" w:cs="Arial" w:eastAsia="Arial" w:hAnsi="Arial"/>
          <w:sz w:val="16"/>
          <w:szCs w:val="16"/>
          <w:color w:val="auto"/>
        </w:rPr>
      </w:pPr>
    </w:p>
    <w:p>
      <w:pPr>
        <w:ind w:left="1220" w:hanging="537"/>
        <w:spacing w:after="0"/>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the transaction:</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220" w:hanging="537"/>
        <w:spacing w:after="0"/>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61" w:lineRule="exact"/>
        <w:rPr>
          <w:rFonts w:ascii="Arial" w:cs="Arial" w:eastAsia="Arial" w:hAnsi="Arial"/>
          <w:sz w:val="16"/>
          <w:szCs w:val="16"/>
          <w:color w:val="auto"/>
        </w:rPr>
      </w:pPr>
    </w:p>
    <w:p>
      <w:pPr>
        <w:ind w:left="680" w:hanging="564"/>
        <w:spacing w:after="0"/>
        <w:tabs>
          <w:tab w:leader="none" w:pos="6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342" w:lineRule="exact"/>
        <w:rPr>
          <w:rFonts w:ascii="MS PGothic" w:cs="MS PGothic" w:eastAsia="MS PGothic" w:hAnsi="MS PGothic"/>
          <w:sz w:val="16"/>
          <w:szCs w:val="16"/>
          <w:color w:val="auto"/>
        </w:rPr>
      </w:pPr>
    </w:p>
    <w:p>
      <w:pPr>
        <w:ind w:left="680" w:hanging="564"/>
        <w:spacing w:after="0" w:line="260" w:lineRule="auto"/>
        <w:tabs>
          <w:tab w:leader="none" w:pos="6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5" w:lineRule="exact"/>
        <w:rPr>
          <w:rFonts w:ascii="MS PGothic" w:cs="MS PGothic" w:eastAsia="MS PGothic" w:hAnsi="MS PGothic"/>
          <w:sz w:val="16"/>
          <w:szCs w:val="16"/>
          <w:color w:val="auto"/>
        </w:rPr>
      </w:pPr>
    </w:p>
    <w:p>
      <w:pPr>
        <w:ind w:left="1220" w:hanging="537"/>
        <w:spacing w:after="0"/>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-2929255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-2474595</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-1900555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-1445895</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-1051560</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319405</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960"/>
          </w:cols>
          <w:pgMar w:left="320" w:top="230" w:right="619" w:bottom="761"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537" w:hanging="537"/>
        <w:spacing w:after="0"/>
        <w:tabs>
          <w:tab w:leader="none" w:pos="537" w:val="left"/>
        </w:tabs>
        <w:numPr>
          <w:ilvl w:val="0"/>
          <w:numId w:val="6"/>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537" w:hanging="537"/>
        <w:spacing w:after="0"/>
        <w:tabs>
          <w:tab w:leader="none" w:pos="537"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-588645</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-134620</wp:posOffset>
            </wp:positionV>
            <wp:extent cx="62922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319405</wp:posOffset>
            </wp:positionV>
            <wp:extent cx="62922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499110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542290</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41"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April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7003415" cy="5829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341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Stockholder:</w:t>
      </w:r>
    </w:p>
    <w:p>
      <w:pPr>
        <w:spacing w:after="0" w:line="212"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You are cordially invited to attend the 2020 annual meeting of stockholders on Thursday, April 23, 2020, in the auditorium on our property at 12500 TI Boulevard, Dallas, Texas, at 8:30 a.m. (Central time). See “Attendance requirements” for important information about attending the annual meeting. At the meeting we will consider and act upon the following matters:</w:t>
      </w:r>
    </w:p>
    <w:p>
      <w:pPr>
        <w:spacing w:after="0" w:line="225" w:lineRule="exact"/>
        <w:rPr>
          <w:sz w:val="20"/>
          <w:szCs w:val="20"/>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directors for the next year,</w:t>
      </w:r>
    </w:p>
    <w:p>
      <w:pPr>
        <w:ind w:left="760" w:hanging="320"/>
        <w:spacing w:after="0" w:line="234"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advisory approval of the company’s executive compensation,</w:t>
      </w:r>
    </w:p>
    <w:p>
      <w:pPr>
        <w:ind w:left="760" w:hanging="320"/>
        <w:spacing w:after="0"/>
        <w:tabs>
          <w:tab w:leader="none" w:pos="7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ratification of the appointment of Ernst &amp; Young LLP as the company’s independent registered public accounting firm for 2020, and</w:t>
      </w:r>
    </w:p>
    <w:p>
      <w:pPr>
        <w:spacing w:after="0" w:line="7" w:lineRule="exact"/>
        <w:rPr>
          <w:rFonts w:ascii="Arial" w:cs="Arial" w:eastAsia="Arial" w:hAnsi="Arial"/>
          <w:sz w:val="17"/>
          <w:szCs w:val="17"/>
          <w:color w:val="auto"/>
        </w:rPr>
      </w:pPr>
    </w:p>
    <w:p>
      <w:pPr>
        <w:ind w:left="760" w:hanging="320"/>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such other matters as may properly come before the meeting.</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Stockholders of record at the close of business on February 24, 2020, are entitled to vote at the annual meeting.</w:t>
      </w:r>
    </w:p>
    <w:p>
      <w:pPr>
        <w:spacing w:after="0" w:line="190"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b w:val="1"/>
          <w:bCs w:val="1"/>
          <w:color w:val="auto"/>
        </w:rPr>
        <w:t>We urge you to vote your shares as promptly as possible by: (1) accessing the voting website, (2) calling the toll-free number or (3) signing, dating and mailing the enclosed proxy.</w:t>
      </w:r>
    </w:p>
    <w:p>
      <w:pPr>
        <w:spacing w:after="0" w:line="17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151765</wp:posOffset>
            </wp:positionV>
            <wp:extent cx="2065655" cy="6000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6565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Cynthia Hoff Trochu</w:t>
      </w:r>
    </w:p>
    <w:p>
      <w:pPr>
        <w:ind w:left="6080"/>
        <w:spacing w:after="0" w:line="234" w:lineRule="auto"/>
        <w:rPr>
          <w:sz w:val="20"/>
          <w:szCs w:val="20"/>
          <w:color w:val="auto"/>
        </w:rPr>
      </w:pPr>
      <w:r>
        <w:rPr>
          <w:rFonts w:ascii="Arial" w:cs="Arial" w:eastAsia="Arial" w:hAnsi="Arial"/>
          <w:sz w:val="18"/>
          <w:szCs w:val="18"/>
          <w:color w:val="auto"/>
        </w:rPr>
        <w:t>Senior Vice President,</w:t>
      </w:r>
    </w:p>
    <w:p>
      <w:pPr>
        <w:ind w:left="6080"/>
        <w:spacing w:after="0" w:line="235" w:lineRule="auto"/>
        <w:rPr>
          <w:sz w:val="20"/>
          <w:szCs w:val="20"/>
          <w:color w:val="auto"/>
        </w:rPr>
      </w:pPr>
      <w:r>
        <w:rPr>
          <w:rFonts w:ascii="Arial" w:cs="Arial" w:eastAsia="Arial" w:hAnsi="Arial"/>
          <w:sz w:val="18"/>
          <w:szCs w:val="18"/>
          <w:color w:val="auto"/>
        </w:rPr>
        <w:t>Secretary and</w:t>
      </w:r>
    </w:p>
    <w:p>
      <w:pPr>
        <w:ind w:left="6080"/>
        <w:spacing w:after="0" w:line="235" w:lineRule="auto"/>
        <w:rPr>
          <w:sz w:val="20"/>
          <w:szCs w:val="20"/>
          <w:color w:val="auto"/>
        </w:rPr>
      </w:pPr>
      <w:r>
        <w:rPr>
          <w:rFonts w:ascii="Arial" w:cs="Arial" w:eastAsia="Arial" w:hAnsi="Arial"/>
          <w:sz w:val="18"/>
          <w:szCs w:val="18"/>
          <w:color w:val="auto"/>
        </w:rPr>
        <w:t>General Counsel</w:t>
      </w:r>
    </w:p>
    <w:p>
      <w:pPr>
        <w:ind w:left="120"/>
        <w:spacing w:after="0" w:line="235" w:lineRule="auto"/>
        <w:rPr>
          <w:sz w:val="20"/>
          <w:szCs w:val="20"/>
          <w:color w:val="auto"/>
        </w:rPr>
      </w:pPr>
      <w:r>
        <w:rPr>
          <w:rFonts w:ascii="Arial" w:cs="Arial" w:eastAsia="Arial" w:hAnsi="Arial"/>
          <w:sz w:val="18"/>
          <w:szCs w:val="18"/>
          <w:color w:val="auto"/>
        </w:rPr>
        <w:t>Dallas, Texas</w:t>
      </w:r>
    </w:p>
    <w:p>
      <w:pPr>
        <w:ind w:left="120"/>
        <w:spacing w:after="0"/>
        <w:rPr>
          <w:sz w:val="20"/>
          <w:szCs w:val="20"/>
          <w:color w:val="auto"/>
        </w:rPr>
      </w:pPr>
      <w:r>
        <w:rPr>
          <w:rFonts w:ascii="Arial" w:cs="Arial" w:eastAsia="Arial" w:hAnsi="Arial"/>
          <w:sz w:val="18"/>
          <w:szCs w:val="18"/>
          <w:color w:val="auto"/>
        </w:rPr>
        <w:t>March 10, 2020</w:t>
      </w:r>
    </w:p>
    <w:p>
      <w:pPr>
        <w:spacing w:after="0" w:line="139" w:lineRule="exact"/>
        <w:rPr>
          <w:sz w:val="20"/>
          <w:szCs w:val="20"/>
          <w:color w:val="auto"/>
        </w:rPr>
      </w:pPr>
    </w:p>
    <w:tbl>
      <w:tblPr>
        <w:tblLayout w:type="fixed"/>
        <w:tblInd w:w="4040" w:type="dxa"/>
        <w:tblCellMar>
          <w:top w:w="0" w:type="dxa"/>
          <w:left w:w="0" w:type="dxa"/>
          <w:bottom w:w="0" w:type="dxa"/>
          <w:right w:w="0" w:type="dxa"/>
        </w:tblCellMar>
      </w:tblPr>
      <w:tr>
        <w:trPr>
          <w:trHeight w:val="152"/>
        </w:trPr>
        <w:tc>
          <w:tcPr>
            <w:tcW w:w="5100" w:type="dxa"/>
            <w:vAlign w:val="bottom"/>
          </w:tcPr>
          <w:p>
            <w:pPr>
              <w:spacing w:after="0"/>
              <w:rPr>
                <w:sz w:val="20"/>
                <w:szCs w:val="20"/>
                <w:color w:val="auto"/>
              </w:rPr>
            </w:pPr>
            <w:r>
              <w:rPr>
                <w:rFonts w:ascii="Arial" w:cs="Arial" w:eastAsia="Arial" w:hAnsi="Arial"/>
                <w:sz w:val="13"/>
                <w:szCs w:val="13"/>
                <w:color w:val="666666"/>
              </w:rPr>
              <w:t>TEXAS INSTRUMENTS  •  2020 PROXY STATEMENT</w:t>
            </w:r>
          </w:p>
        </w:tc>
        <w:tc>
          <w:tcPr>
            <w:tcW w:w="1980" w:type="dxa"/>
            <w:vAlign w:val="bottom"/>
          </w:tcPr>
          <w:p>
            <w:pPr>
              <w:jc w:val="right"/>
              <w:spacing w:after="0"/>
              <w:rPr>
                <w:sz w:val="20"/>
                <w:szCs w:val="20"/>
                <w:color w:val="auto"/>
              </w:rPr>
            </w:pPr>
            <w:r>
              <w:rPr>
                <w:rFonts w:ascii="Arial" w:cs="Arial" w:eastAsia="Arial" w:hAnsi="Arial"/>
                <w:sz w:val="13"/>
                <w:szCs w:val="13"/>
                <w:color w:val="666666"/>
              </w:rPr>
              <w:t>1</w:t>
            </w:r>
          </w:p>
        </w:tc>
      </w:tr>
    </w:tbl>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TABLE OF CONTENTS</w:t>
      </w:r>
    </w:p>
    <w:p>
      <w:pPr>
        <w:spacing w:after="0" w:line="28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560" w:type="dxa"/>
            <w:vAlign w:val="bottom"/>
            <w:tcBorders>
              <w:bottom w:val="single" w:sz="8" w:color="0000EE"/>
            </w:tcBorders>
            <w:gridSpan w:val="26"/>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Voting procedures, quorum and attendance requirements</w:t>
              </w:r>
            </w:hyperlink>
          </w:p>
        </w:tc>
        <w:tc>
          <w:tcPr>
            <w:tcW w:w="260" w:type="dxa"/>
            <w:vAlign w:val="bottom"/>
            <w:gridSpan w:val="3"/>
          </w:tcPr>
          <w:p>
            <w:pPr>
              <w:spacing w:after="0"/>
              <w:rPr>
                <w:sz w:val="17"/>
                <w:szCs w:val="17"/>
                <w:color w:val="auto"/>
              </w:rPr>
            </w:pPr>
          </w:p>
        </w:tc>
        <w:tc>
          <w:tcPr>
            <w:tcW w:w="700" w:type="dxa"/>
            <w:vAlign w:val="bottom"/>
          </w:tcPr>
          <w:p>
            <w:pPr>
              <w:jc w:val="right"/>
              <w:ind w:right="2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33">
              <w:r>
                <w:rPr>
                  <w:rFonts w:ascii="Arial" w:cs="Arial" w:eastAsia="Arial" w:hAnsi="Arial"/>
                  <w:sz w:val="18"/>
                  <w:szCs w:val="18"/>
                  <w:color w:val="0000EE"/>
                  <w:w w:val="99"/>
                </w:rPr>
                <w:t>Compensation Committee report</w:t>
              </w:r>
            </w:hyperlink>
          </w:p>
        </w:tc>
        <w:tc>
          <w:tcPr>
            <w:tcW w:w="2120" w:type="dxa"/>
            <w:vAlign w:val="bottom"/>
            <w:gridSpan w:val="14"/>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183"/>
        </w:trPr>
        <w:tc>
          <w:tcPr>
            <w:tcW w:w="4820" w:type="dxa"/>
            <w:vAlign w:val="bottom"/>
            <w:gridSpan w:val="29"/>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Election of directors</w:t>
              </w:r>
            </w:hyperlink>
          </w:p>
        </w:tc>
        <w:tc>
          <w:tcPr>
            <w:tcW w:w="70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20" w:type="dxa"/>
            <w:vAlign w:val="bottom"/>
            <w:gridSpan w:val="27"/>
          </w:tcPr>
          <w:p>
            <w:pPr>
              <w:spacing w:after="0" w:line="182" w:lineRule="exact"/>
              <w:rPr>
                <w:rFonts w:ascii="Arial" w:cs="Arial" w:eastAsia="Arial" w:hAnsi="Arial"/>
                <w:sz w:val="18"/>
                <w:szCs w:val="18"/>
                <w:color w:val="0000EE"/>
              </w:rPr>
            </w:pPr>
            <w:hyperlink w:anchor="page34">
              <w:r>
                <w:rPr>
                  <w:rFonts w:ascii="Arial" w:cs="Arial" w:eastAsia="Arial" w:hAnsi="Arial"/>
                  <w:sz w:val="18"/>
                  <w:szCs w:val="18"/>
                  <w:color w:val="0000EE"/>
                </w:rPr>
                <w:t>2019 summary compensation table</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r>
      <w:tr>
        <w:trPr>
          <w:trHeight w:val="20"/>
        </w:trPr>
        <w:tc>
          <w:tcPr>
            <w:tcW w:w="1580" w:type="dxa"/>
            <w:vAlign w:val="bottom"/>
            <w:tcBorders>
              <w:right w:val="single" w:sz="8" w:color="0000EE"/>
            </w:tcBorders>
            <w:gridSpan w:val="7"/>
            <w:shd w:val="clear" w:color="auto" w:fill="0000EE"/>
          </w:tcPr>
          <w:p>
            <w:pPr>
              <w:spacing w:after="0" w:line="20" w:lineRule="exact"/>
              <w:rPr>
                <w:sz w:val="1"/>
                <w:szCs w:val="1"/>
                <w:color w:val="auto"/>
              </w:rPr>
            </w:pPr>
          </w:p>
        </w:tc>
        <w:tc>
          <w:tcPr>
            <w:tcW w:w="5700" w:type="dxa"/>
            <w:vAlign w:val="bottom"/>
            <w:tcBorders>
              <w:right w:val="single" w:sz="8" w:color="0000EE"/>
            </w:tcBorders>
            <w:gridSpan w:val="32"/>
          </w:tcPr>
          <w:p>
            <w:pPr>
              <w:spacing w:after="0" w:line="20" w:lineRule="exact"/>
              <w:rPr>
                <w:sz w:val="1"/>
                <w:szCs w:val="1"/>
                <w:color w:val="auto"/>
              </w:rPr>
            </w:pPr>
          </w:p>
        </w:tc>
        <w:tc>
          <w:tcPr>
            <w:tcW w:w="3680" w:type="dxa"/>
            <w:vAlign w:val="bottom"/>
            <w:tcBorders>
              <w:left w:val="single" w:sz="8" w:color="0000EE"/>
            </w:tcBorders>
            <w:gridSpan w:val="21"/>
            <w:shd w:val="clear" w:color="auto" w:fill="0000EE"/>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4640" w:type="dxa"/>
            <w:vAlign w:val="bottom"/>
            <w:gridSpan w:val="28"/>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Director nominees, qualifications and experience</w:t>
              </w:r>
            </w:hyperlink>
          </w:p>
        </w:tc>
        <w:tc>
          <w:tcPr>
            <w:tcW w:w="70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20" w:type="dxa"/>
            <w:vAlign w:val="bottom"/>
            <w:gridSpan w:val="27"/>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Grants of plan-based awards in 2019</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r>
      <w:tr>
        <w:trPr>
          <w:trHeight w:val="20"/>
        </w:trPr>
        <w:tc>
          <w:tcPr>
            <w:tcW w:w="1580" w:type="dxa"/>
            <w:vAlign w:val="bottom"/>
            <w:tcBorders>
              <w:right w:val="single" w:sz="8" w:color="0000EE"/>
            </w:tcBorders>
            <w:gridSpan w:val="7"/>
          </w:tcPr>
          <w:p>
            <w:pPr>
              <w:spacing w:after="0" w:line="20" w:lineRule="exact"/>
              <w:rPr>
                <w:sz w:val="1"/>
                <w:szCs w:val="1"/>
                <w:color w:val="auto"/>
              </w:rPr>
            </w:pPr>
          </w:p>
        </w:tc>
        <w:tc>
          <w:tcPr>
            <w:tcW w:w="3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600" w:type="dxa"/>
            <w:vAlign w:val="bottom"/>
            <w:tcBorders>
              <w:left w:val="single" w:sz="8" w:color="0000EE"/>
              <w:right w:val="single" w:sz="8" w:color="0000EE"/>
            </w:tcBorders>
            <w:gridSpan w:val="20"/>
            <w:shd w:val="clear" w:color="auto" w:fill="0000EE"/>
          </w:tcPr>
          <w:p>
            <w:pPr>
              <w:spacing w:after="0" w:line="20" w:lineRule="exact"/>
              <w:rPr>
                <w:sz w:val="1"/>
                <w:szCs w:val="1"/>
                <w:color w:val="auto"/>
              </w:rPr>
            </w:pPr>
          </w:p>
        </w:tc>
        <w:tc>
          <w:tcPr>
            <w:tcW w:w="3680" w:type="dxa"/>
            <w:vAlign w:val="bottom"/>
            <w:tcBorders>
              <w:left w:val="single" w:sz="8" w:color="0000EE"/>
            </w:tcBorders>
            <w:gridSpan w:val="21"/>
            <w:shd w:val="clear" w:color="auto" w:fill="0000EE"/>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3880" w:type="dxa"/>
            <w:vAlign w:val="bottom"/>
            <w:gridSpan w:val="22"/>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Director nomination process</w:t>
              </w:r>
            </w:hyperlink>
          </w:p>
        </w:tc>
        <w:tc>
          <w:tcPr>
            <w:tcW w:w="760" w:type="dxa"/>
            <w:vAlign w:val="bottom"/>
            <w:gridSpan w:val="6"/>
          </w:tcPr>
          <w:p>
            <w:pPr>
              <w:spacing w:after="0"/>
              <w:rPr>
                <w:sz w:val="15"/>
                <w:szCs w:val="15"/>
                <w:color w:val="auto"/>
              </w:rPr>
            </w:pPr>
          </w:p>
        </w:tc>
        <w:tc>
          <w:tcPr>
            <w:tcW w:w="70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20" w:type="dxa"/>
            <w:vAlign w:val="bottom"/>
            <w:gridSpan w:val="27"/>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Outstanding equity awards at fiscal year-end</w:t>
              </w:r>
            </w:hyperlink>
          </w:p>
        </w:tc>
        <w:tc>
          <w:tcPr>
            <w:tcW w:w="440" w:type="dxa"/>
            <w:vAlign w:val="bottom"/>
          </w:tcPr>
          <w:p>
            <w:pPr>
              <w:spacing w:after="0"/>
              <w:rPr>
                <w:sz w:val="15"/>
                <w:szCs w:val="15"/>
                <w:color w:val="auto"/>
              </w:rPr>
            </w:pPr>
          </w:p>
        </w:tc>
      </w:tr>
      <w:tr>
        <w:trPr>
          <w:trHeight w:val="20"/>
        </w:trPr>
        <w:tc>
          <w:tcPr>
            <w:tcW w:w="1580" w:type="dxa"/>
            <w:vAlign w:val="bottom"/>
            <w:tcBorders>
              <w:right w:val="single" w:sz="8" w:color="0000EE"/>
            </w:tcBorders>
            <w:gridSpan w:val="7"/>
          </w:tcPr>
          <w:p>
            <w:pPr>
              <w:spacing w:after="0" w:line="20" w:lineRule="exact"/>
              <w:rPr>
                <w:sz w:val="1"/>
                <w:szCs w:val="1"/>
                <w:color w:val="auto"/>
              </w:rPr>
            </w:pPr>
          </w:p>
        </w:tc>
        <w:tc>
          <w:tcPr>
            <w:tcW w:w="3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4860" w:type="dxa"/>
            <w:vAlign w:val="bottom"/>
            <w:tcBorders>
              <w:right w:val="single" w:sz="8" w:color="0000EE"/>
            </w:tcBorders>
            <w:gridSpan w:val="22"/>
          </w:tcPr>
          <w:p>
            <w:pPr>
              <w:spacing w:after="0" w:line="20" w:lineRule="exact"/>
              <w:rPr>
                <w:sz w:val="1"/>
                <w:szCs w:val="1"/>
                <w:color w:val="auto"/>
              </w:rPr>
            </w:pPr>
          </w:p>
        </w:tc>
        <w:tc>
          <w:tcPr>
            <w:tcW w:w="1460" w:type="dxa"/>
            <w:vAlign w:val="bottom"/>
            <w:tcBorders>
              <w:left w:val="single" w:sz="8" w:color="0000EE"/>
            </w:tcBorders>
            <w:gridSpan w:val="8"/>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20" w:type="dxa"/>
            <w:vAlign w:val="bottom"/>
            <w:tcBorders>
              <w:left w:val="single" w:sz="8" w:color="0000EE"/>
            </w:tcBorders>
            <w:gridSpan w:val="11"/>
            <w:shd w:val="clear" w:color="auto" w:fill="0000EE"/>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4640" w:type="dxa"/>
            <w:vAlign w:val="bottom"/>
            <w:gridSpan w:val="28"/>
          </w:tcPr>
          <w:p>
            <w:pPr>
              <w:spacing w:after="0" w:line="182" w:lineRule="exact"/>
              <w:rPr>
                <w:rFonts w:ascii="Arial" w:cs="Arial" w:eastAsia="Arial" w:hAnsi="Arial"/>
                <w:sz w:val="18"/>
                <w:szCs w:val="18"/>
                <w:color w:val="0000EE"/>
              </w:rPr>
            </w:pPr>
            <w:hyperlink w:anchor="page13">
              <w:r>
                <w:rPr>
                  <w:rFonts w:ascii="Arial" w:cs="Arial" w:eastAsia="Arial" w:hAnsi="Arial"/>
                  <w:sz w:val="18"/>
                  <w:szCs w:val="18"/>
                  <w:color w:val="0000EE"/>
                </w:rPr>
                <w:t>Communications with the board</w:t>
              </w:r>
            </w:hyperlink>
          </w:p>
        </w:tc>
        <w:tc>
          <w:tcPr>
            <w:tcW w:w="70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11</w:t>
            </w:r>
          </w:p>
        </w:tc>
        <w:tc>
          <w:tcPr>
            <w:tcW w:w="980" w:type="dxa"/>
            <w:vAlign w:val="bottom"/>
            <w:gridSpan w:val="5"/>
          </w:tcPr>
          <w:p>
            <w:pPr>
              <w:ind w:left="460"/>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2019</w:t>
              </w:r>
            </w:hyperlink>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r>
      <w:tr>
        <w:trPr>
          <w:trHeight w:val="20"/>
        </w:trPr>
        <w:tc>
          <w:tcPr>
            <w:tcW w:w="1580" w:type="dxa"/>
            <w:vAlign w:val="bottom"/>
            <w:tcBorders>
              <w:right w:val="single" w:sz="8" w:color="0000EE"/>
            </w:tcBorders>
            <w:gridSpan w:val="7"/>
          </w:tcPr>
          <w:p>
            <w:pPr>
              <w:spacing w:after="0" w:line="20" w:lineRule="exact"/>
              <w:rPr>
                <w:sz w:val="1"/>
                <w:szCs w:val="1"/>
                <w:color w:val="auto"/>
              </w:rPr>
            </w:pPr>
          </w:p>
        </w:tc>
        <w:tc>
          <w:tcPr>
            <w:tcW w:w="3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280" w:type="dxa"/>
            <w:vAlign w:val="bottom"/>
            <w:tcBorders>
              <w:left w:val="single" w:sz="8" w:color="0000EE"/>
            </w:tcBorders>
            <w:gridSpan w:val="41"/>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760" w:type="dxa"/>
            <w:vAlign w:val="bottom"/>
            <w:gridSpan w:val="10"/>
          </w:tcPr>
          <w:p>
            <w:pPr>
              <w:spacing w:after="0" w:line="182" w:lineRule="exact"/>
              <w:rPr>
                <w:rFonts w:ascii="Arial" w:cs="Arial" w:eastAsia="Arial" w:hAnsi="Arial"/>
                <w:sz w:val="18"/>
                <w:szCs w:val="18"/>
                <w:color w:val="0000EE"/>
                <w:w w:val="96"/>
              </w:rPr>
            </w:pPr>
            <w:hyperlink w:anchor="page13">
              <w:r>
                <w:rPr>
                  <w:rFonts w:ascii="Arial" w:cs="Arial" w:eastAsia="Arial" w:hAnsi="Arial"/>
                  <w:sz w:val="18"/>
                  <w:szCs w:val="18"/>
                  <w:color w:val="0000EE"/>
                  <w:w w:val="96"/>
                </w:rPr>
                <w:t>Corporate governance</w:t>
              </w:r>
            </w:hyperlink>
          </w:p>
        </w:tc>
        <w:tc>
          <w:tcPr>
            <w:tcW w:w="740" w:type="dxa"/>
            <w:vAlign w:val="bottom"/>
            <w:gridSpan w:val="8"/>
          </w:tcPr>
          <w:p>
            <w:pPr>
              <w:spacing w:after="0"/>
              <w:rPr>
                <w:sz w:val="15"/>
                <w:szCs w:val="15"/>
                <w:color w:val="auto"/>
              </w:rPr>
            </w:pPr>
          </w:p>
        </w:tc>
        <w:tc>
          <w:tcPr>
            <w:tcW w:w="2140" w:type="dxa"/>
            <w:vAlign w:val="bottom"/>
            <w:gridSpan w:val="10"/>
          </w:tcPr>
          <w:p>
            <w:pPr>
              <w:spacing w:after="0"/>
              <w:rPr>
                <w:sz w:val="15"/>
                <w:szCs w:val="15"/>
                <w:color w:val="auto"/>
              </w:rPr>
            </w:pPr>
          </w:p>
        </w:tc>
        <w:tc>
          <w:tcPr>
            <w:tcW w:w="70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11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20" w:type="dxa"/>
            <w:vAlign w:val="bottom"/>
            <w:gridSpan w:val="27"/>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2019 option exercises and stock vested</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r>
      <w:tr>
        <w:trPr>
          <w:trHeight w:val="20"/>
        </w:trPr>
        <w:tc>
          <w:tcPr>
            <w:tcW w:w="1580" w:type="dxa"/>
            <w:vAlign w:val="bottom"/>
            <w:tcBorders>
              <w:right w:val="single" w:sz="8" w:color="0000EE"/>
            </w:tcBorders>
            <w:gridSpan w:val="7"/>
          </w:tcPr>
          <w:p>
            <w:pPr>
              <w:spacing w:after="0" w:line="20" w:lineRule="exact"/>
              <w:rPr>
                <w:sz w:val="1"/>
                <w:szCs w:val="1"/>
                <w:color w:val="auto"/>
              </w:rPr>
            </w:pPr>
          </w:p>
        </w:tc>
        <w:tc>
          <w:tcPr>
            <w:tcW w:w="360" w:type="dxa"/>
            <w:vAlign w:val="bottom"/>
            <w:tcBorders>
              <w:right w:val="single" w:sz="8" w:color="0000EE"/>
            </w:tcBorders>
            <w:gridSpan w:val="4"/>
            <w:shd w:val="clear" w:color="auto" w:fill="0000EE"/>
          </w:tcPr>
          <w:p>
            <w:pPr>
              <w:spacing w:after="0" w:line="20" w:lineRule="exact"/>
              <w:rPr>
                <w:sz w:val="1"/>
                <w:szCs w:val="1"/>
                <w:color w:val="auto"/>
              </w:rPr>
            </w:pPr>
          </w:p>
        </w:tc>
        <w:tc>
          <w:tcPr>
            <w:tcW w:w="5340" w:type="dxa"/>
            <w:vAlign w:val="bottom"/>
            <w:tcBorders>
              <w:right w:val="single" w:sz="8" w:color="0000EE"/>
            </w:tcBorders>
            <w:gridSpan w:val="28"/>
          </w:tcPr>
          <w:p>
            <w:pPr>
              <w:spacing w:after="0" w:line="20" w:lineRule="exact"/>
              <w:rPr>
                <w:sz w:val="1"/>
                <w:szCs w:val="1"/>
                <w:color w:val="auto"/>
              </w:rPr>
            </w:pPr>
          </w:p>
        </w:tc>
        <w:tc>
          <w:tcPr>
            <w:tcW w:w="1460" w:type="dxa"/>
            <w:vAlign w:val="bottom"/>
            <w:tcBorders>
              <w:left w:val="single" w:sz="8" w:color="0000EE"/>
            </w:tcBorders>
            <w:gridSpan w:val="8"/>
            <w:shd w:val="clear" w:color="auto" w:fill="0000EE"/>
          </w:tcPr>
          <w:p>
            <w:pPr>
              <w:spacing w:after="0" w:line="20" w:lineRule="exact"/>
              <w:rPr>
                <w:sz w:val="1"/>
                <w:szCs w:val="1"/>
                <w:color w:val="auto"/>
              </w:rPr>
            </w:pPr>
          </w:p>
        </w:tc>
        <w:tc>
          <w:tcPr>
            <w:tcW w:w="2220" w:type="dxa"/>
            <w:vAlign w:val="bottom"/>
            <w:tcBorders>
              <w:left w:val="single" w:sz="8" w:color="0000EE"/>
            </w:tcBorders>
            <w:gridSpan w:val="13"/>
            <w:shd w:val="clear" w:color="auto" w:fill="0000EE"/>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2240" w:type="dxa"/>
            <w:vAlign w:val="bottom"/>
            <w:tcBorders>
              <w:bottom w:val="single" w:sz="8" w:color="0000EE"/>
            </w:tcBorders>
            <w:gridSpan w:val="16"/>
          </w:tcPr>
          <w:p>
            <w:pPr>
              <w:spacing w:after="0" w:line="182" w:lineRule="exact"/>
              <w:rPr>
                <w:rFonts w:ascii="Arial" w:cs="Arial" w:eastAsia="Arial" w:hAnsi="Arial"/>
                <w:sz w:val="18"/>
                <w:szCs w:val="18"/>
                <w:color w:val="0000EE"/>
              </w:rPr>
            </w:pPr>
            <w:hyperlink w:anchor="page13">
              <w:r>
                <w:rPr>
                  <w:rFonts w:ascii="Arial" w:cs="Arial" w:eastAsia="Arial" w:hAnsi="Arial"/>
                  <w:sz w:val="18"/>
                  <w:szCs w:val="18"/>
                  <w:color w:val="0000EE"/>
                </w:rPr>
                <w:t>Annual meeting attendance</w:t>
              </w:r>
            </w:hyperlink>
          </w:p>
        </w:tc>
        <w:tc>
          <w:tcPr>
            <w:tcW w:w="2400" w:type="dxa"/>
            <w:vAlign w:val="bottom"/>
            <w:gridSpan w:val="12"/>
          </w:tcPr>
          <w:p>
            <w:pPr>
              <w:spacing w:after="0"/>
              <w:rPr>
                <w:sz w:val="15"/>
                <w:szCs w:val="15"/>
                <w:color w:val="auto"/>
              </w:rPr>
            </w:pPr>
          </w:p>
        </w:tc>
        <w:tc>
          <w:tcPr>
            <w:tcW w:w="70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11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Borders>
              <w:bottom w:val="single" w:sz="8" w:color="0000EE"/>
            </w:tcBorders>
            <w:gridSpan w:val="10"/>
          </w:tcPr>
          <w:p>
            <w:pPr>
              <w:spacing w:after="0" w:line="182" w:lineRule="exact"/>
              <w:rPr>
                <w:rFonts w:ascii="Arial" w:cs="Arial" w:eastAsia="Arial" w:hAnsi="Arial"/>
                <w:sz w:val="18"/>
                <w:szCs w:val="18"/>
                <w:color w:val="0000EE"/>
                <w:w w:val="98"/>
              </w:rPr>
            </w:pPr>
            <w:hyperlink w:anchor="page38">
              <w:r>
                <w:rPr>
                  <w:rFonts w:ascii="Arial" w:cs="Arial" w:eastAsia="Arial" w:hAnsi="Arial"/>
                  <w:sz w:val="18"/>
                  <w:szCs w:val="18"/>
                  <w:color w:val="0000EE"/>
                  <w:w w:val="98"/>
                </w:rPr>
                <w:t>2019 pension benefits</w:t>
              </w:r>
            </w:hyperlink>
          </w:p>
        </w:tc>
        <w:tc>
          <w:tcPr>
            <w:tcW w:w="2960" w:type="dxa"/>
            <w:vAlign w:val="bottom"/>
            <w:gridSpan w:val="17"/>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r>
      <w:tr>
        <w:trPr>
          <w:trHeight w:val="183"/>
        </w:trPr>
        <w:tc>
          <w:tcPr>
            <w:tcW w:w="180" w:type="dxa"/>
            <w:vAlign w:val="bottom"/>
          </w:tcPr>
          <w:p>
            <w:pPr>
              <w:spacing w:after="0"/>
              <w:rPr>
                <w:sz w:val="15"/>
                <w:szCs w:val="15"/>
                <w:color w:val="auto"/>
              </w:rPr>
            </w:pPr>
          </w:p>
        </w:tc>
        <w:tc>
          <w:tcPr>
            <w:tcW w:w="1760" w:type="dxa"/>
            <w:vAlign w:val="bottom"/>
            <w:gridSpan w:val="10"/>
          </w:tcPr>
          <w:p>
            <w:pPr>
              <w:spacing w:after="0" w:line="182" w:lineRule="exact"/>
              <w:rPr>
                <w:rFonts w:ascii="Arial" w:cs="Arial" w:eastAsia="Arial" w:hAnsi="Arial"/>
                <w:sz w:val="18"/>
                <w:szCs w:val="18"/>
                <w:color w:val="0000EE"/>
                <w:w w:val="94"/>
              </w:rPr>
            </w:pPr>
            <w:hyperlink w:anchor="page13">
              <w:r>
                <w:rPr>
                  <w:rFonts w:ascii="Arial" w:cs="Arial" w:eastAsia="Arial" w:hAnsi="Arial"/>
                  <w:sz w:val="18"/>
                  <w:szCs w:val="18"/>
                  <w:color w:val="0000EE"/>
                  <w:w w:val="94"/>
                </w:rPr>
                <w:t>Director independence</w:t>
              </w:r>
            </w:hyperlink>
          </w:p>
        </w:tc>
        <w:tc>
          <w:tcPr>
            <w:tcW w:w="2880" w:type="dxa"/>
            <w:vAlign w:val="bottom"/>
            <w:gridSpan w:val="18"/>
          </w:tcPr>
          <w:p>
            <w:pPr>
              <w:spacing w:after="0"/>
              <w:rPr>
                <w:sz w:val="15"/>
                <w:szCs w:val="15"/>
                <w:color w:val="auto"/>
              </w:rPr>
            </w:pPr>
          </w:p>
        </w:tc>
        <w:tc>
          <w:tcPr>
            <w:tcW w:w="70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11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20" w:type="dxa"/>
            <w:vAlign w:val="bottom"/>
            <w:gridSpan w:val="27"/>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2019 non-qualified deferred compensation</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r>
      <w:tr>
        <w:trPr>
          <w:trHeight w:val="20"/>
        </w:trPr>
        <w:tc>
          <w:tcPr>
            <w:tcW w:w="1580" w:type="dxa"/>
            <w:vAlign w:val="bottom"/>
            <w:tcBorders>
              <w:right w:val="single" w:sz="8" w:color="0000EE"/>
            </w:tcBorders>
            <w:gridSpan w:val="7"/>
          </w:tcPr>
          <w:p>
            <w:pPr>
              <w:spacing w:after="0" w:line="20" w:lineRule="exact"/>
              <w:rPr>
                <w:sz w:val="1"/>
                <w:szCs w:val="1"/>
                <w:color w:val="auto"/>
              </w:rPr>
            </w:pPr>
          </w:p>
        </w:tc>
        <w:tc>
          <w:tcPr>
            <w:tcW w:w="360" w:type="dxa"/>
            <w:vAlign w:val="bottom"/>
            <w:tcBorders>
              <w:right w:val="single" w:sz="8" w:color="0000EE"/>
            </w:tcBorders>
            <w:gridSpan w:val="4"/>
            <w:shd w:val="clear" w:color="auto" w:fill="0000EE"/>
          </w:tcPr>
          <w:p>
            <w:pPr>
              <w:spacing w:after="0" w:line="20" w:lineRule="exact"/>
              <w:rPr>
                <w:sz w:val="1"/>
                <w:szCs w:val="1"/>
                <w:color w:val="auto"/>
              </w:rPr>
            </w:pPr>
          </w:p>
        </w:tc>
        <w:tc>
          <w:tcPr>
            <w:tcW w:w="5340" w:type="dxa"/>
            <w:vAlign w:val="bottom"/>
            <w:tcBorders>
              <w:left w:val="single" w:sz="8" w:color="0000EE"/>
              <w:right w:val="single" w:sz="8" w:color="0000EE"/>
            </w:tcBorders>
            <w:gridSpan w:val="28"/>
          </w:tcPr>
          <w:p>
            <w:pPr>
              <w:spacing w:after="0" w:line="20" w:lineRule="exact"/>
              <w:rPr>
                <w:sz w:val="1"/>
                <w:szCs w:val="1"/>
                <w:color w:val="auto"/>
              </w:rPr>
            </w:pPr>
          </w:p>
        </w:tc>
        <w:tc>
          <w:tcPr>
            <w:tcW w:w="1460" w:type="dxa"/>
            <w:vAlign w:val="bottom"/>
            <w:tcBorders>
              <w:left w:val="single" w:sz="8" w:color="0000EE"/>
            </w:tcBorders>
            <w:gridSpan w:val="8"/>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20" w:type="dxa"/>
            <w:vAlign w:val="bottom"/>
            <w:tcBorders>
              <w:left w:val="single" w:sz="8" w:color="0000EE"/>
            </w:tcBorders>
            <w:gridSpan w:val="11"/>
          </w:tcPr>
          <w:p>
            <w:pPr>
              <w:spacing w:after="0" w:line="20" w:lineRule="exact"/>
              <w:rPr>
                <w:sz w:val="1"/>
                <w:szCs w:val="1"/>
                <w:color w:val="auto"/>
              </w:rPr>
            </w:pPr>
          </w:p>
        </w:tc>
      </w:tr>
      <w:tr>
        <w:trPr>
          <w:trHeight w:val="183"/>
        </w:trPr>
        <w:tc>
          <w:tcPr>
            <w:tcW w:w="1580" w:type="dxa"/>
            <w:vAlign w:val="bottom"/>
            <w:tcBorders>
              <w:bottom w:val="single" w:sz="8" w:color="0000EE"/>
            </w:tcBorders>
            <w:gridSpan w:val="7"/>
          </w:tcPr>
          <w:p>
            <w:pPr>
              <w:spacing w:after="0" w:line="182" w:lineRule="exact"/>
              <w:rPr>
                <w:rFonts w:ascii="Arial" w:cs="Arial" w:eastAsia="Arial" w:hAnsi="Arial"/>
                <w:sz w:val="18"/>
                <w:szCs w:val="18"/>
                <w:color w:val="0000EE"/>
              </w:rPr>
            </w:pPr>
            <w:hyperlink w:anchor="page14">
              <w:r>
                <w:rPr>
                  <w:rFonts w:ascii="Arial" w:cs="Arial" w:eastAsia="Arial" w:hAnsi="Arial"/>
                  <w:sz w:val="18"/>
                  <w:szCs w:val="18"/>
                  <w:color w:val="0000EE"/>
                </w:rPr>
                <w:t>Board organization</w:t>
              </w:r>
            </w:hyperlink>
          </w:p>
        </w:tc>
        <w:tc>
          <w:tcPr>
            <w:tcW w:w="3240" w:type="dxa"/>
            <w:vAlign w:val="bottom"/>
            <w:gridSpan w:val="22"/>
          </w:tcPr>
          <w:p>
            <w:pPr>
              <w:spacing w:after="0"/>
              <w:rPr>
                <w:sz w:val="15"/>
                <w:szCs w:val="15"/>
                <w:color w:val="auto"/>
              </w:rPr>
            </w:pPr>
          </w:p>
        </w:tc>
        <w:tc>
          <w:tcPr>
            <w:tcW w:w="70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560" w:type="dxa"/>
            <w:vAlign w:val="bottom"/>
            <w:tcBorders>
              <w:bottom w:val="single" w:sz="8" w:color="0000EE"/>
            </w:tcBorders>
            <w:gridSpan w:val="26"/>
          </w:tcPr>
          <w:p>
            <w:pPr>
              <w:spacing w:after="0" w:line="182" w:lineRule="exact"/>
              <w:rPr>
                <w:rFonts w:ascii="Arial" w:cs="Arial" w:eastAsia="Arial" w:hAnsi="Arial"/>
                <w:sz w:val="18"/>
                <w:szCs w:val="18"/>
                <w:color w:val="0000EE"/>
                <w:w w:val="99"/>
              </w:rPr>
            </w:pPr>
            <w:hyperlink w:anchor="page42">
              <w:r>
                <w:rPr>
                  <w:rFonts w:ascii="Arial" w:cs="Arial" w:eastAsia="Arial" w:hAnsi="Arial"/>
                  <w:sz w:val="18"/>
                  <w:szCs w:val="18"/>
                  <w:color w:val="0000EE"/>
                  <w:w w:val="99"/>
                </w:rPr>
                <w:t>Potential payments upon termination or change in control</w:t>
              </w:r>
            </w:hyperlink>
          </w:p>
        </w:tc>
        <w:tc>
          <w:tcPr>
            <w:tcW w:w="160" w:type="dxa"/>
            <w:vAlign w:val="bottom"/>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r>
      <w:tr>
        <w:trPr>
          <w:trHeight w:val="183"/>
        </w:trPr>
        <w:tc>
          <w:tcPr>
            <w:tcW w:w="180" w:type="dxa"/>
            <w:vAlign w:val="bottom"/>
          </w:tcPr>
          <w:p>
            <w:pPr>
              <w:spacing w:after="0"/>
              <w:rPr>
                <w:sz w:val="15"/>
                <w:szCs w:val="15"/>
                <w:color w:val="auto"/>
              </w:rPr>
            </w:pPr>
          </w:p>
        </w:tc>
        <w:tc>
          <w:tcPr>
            <w:tcW w:w="2500" w:type="dxa"/>
            <w:vAlign w:val="bottom"/>
            <w:gridSpan w:val="18"/>
          </w:tcPr>
          <w:p>
            <w:pPr>
              <w:spacing w:after="0" w:line="182" w:lineRule="exact"/>
              <w:rPr>
                <w:rFonts w:ascii="Arial" w:cs="Arial" w:eastAsia="Arial" w:hAnsi="Arial"/>
                <w:sz w:val="18"/>
                <w:szCs w:val="18"/>
                <w:color w:val="0000EE"/>
                <w:w w:val="98"/>
              </w:rPr>
            </w:pPr>
            <w:hyperlink w:anchor="page14">
              <w:r>
                <w:rPr>
                  <w:rFonts w:ascii="Arial" w:cs="Arial" w:eastAsia="Arial" w:hAnsi="Arial"/>
                  <w:sz w:val="18"/>
                  <w:szCs w:val="18"/>
                  <w:color w:val="0000EE"/>
                  <w:w w:val="98"/>
                </w:rPr>
                <w:t>Board and committee meetings</w:t>
              </w:r>
            </w:hyperlink>
          </w:p>
        </w:tc>
        <w:tc>
          <w:tcPr>
            <w:tcW w:w="2140" w:type="dxa"/>
            <w:vAlign w:val="bottom"/>
            <w:gridSpan w:val="10"/>
          </w:tcPr>
          <w:p>
            <w:pPr>
              <w:spacing w:after="0"/>
              <w:rPr>
                <w:sz w:val="15"/>
                <w:szCs w:val="15"/>
                <w:color w:val="auto"/>
              </w:rPr>
            </w:pPr>
          </w:p>
        </w:tc>
        <w:tc>
          <w:tcPr>
            <w:tcW w:w="70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20" w:type="dxa"/>
            <w:vAlign w:val="bottom"/>
            <w:gridSpan w:val="27"/>
          </w:tcPr>
          <w:p>
            <w:pPr>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Pay ratio</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r>
      <w:tr>
        <w:trPr>
          <w:trHeight w:val="20"/>
        </w:trPr>
        <w:tc>
          <w:tcPr>
            <w:tcW w:w="1940" w:type="dxa"/>
            <w:vAlign w:val="bottom"/>
            <w:tcBorders>
              <w:right w:val="single" w:sz="8" w:color="0000EE"/>
            </w:tcBorders>
            <w:gridSpan w:val="11"/>
          </w:tcPr>
          <w:p>
            <w:pPr>
              <w:spacing w:after="0" w:line="20" w:lineRule="exact"/>
              <w:rPr>
                <w:sz w:val="1"/>
                <w:szCs w:val="1"/>
                <w:color w:val="auto"/>
              </w:rPr>
            </w:pPr>
          </w:p>
        </w:tc>
        <w:tc>
          <w:tcPr>
            <w:tcW w:w="2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800" w:type="dxa"/>
            <w:vAlign w:val="bottom"/>
            <w:tcBorders>
              <w:left w:val="single" w:sz="8" w:color="0000EE"/>
            </w:tcBorders>
            <w:gridSpan w:val="47"/>
            <w:shd w:val="clear" w:color="auto" w:fill="0000EE"/>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980" w:type="dxa"/>
            <w:vAlign w:val="bottom"/>
            <w:gridSpan w:val="12"/>
          </w:tcPr>
          <w:p>
            <w:pPr>
              <w:spacing w:after="0" w:line="182" w:lineRule="exact"/>
              <w:rPr>
                <w:rFonts w:ascii="Arial" w:cs="Arial" w:eastAsia="Arial" w:hAnsi="Arial"/>
                <w:sz w:val="18"/>
                <w:szCs w:val="18"/>
                <w:color w:val="0000EE"/>
                <w:w w:val="98"/>
              </w:rPr>
            </w:pPr>
            <w:hyperlink w:anchor="page15">
              <w:r>
                <w:rPr>
                  <w:rFonts w:ascii="Arial" w:cs="Arial" w:eastAsia="Arial" w:hAnsi="Arial"/>
                  <w:sz w:val="18"/>
                  <w:szCs w:val="18"/>
                  <w:color w:val="0000EE"/>
                  <w:w w:val="98"/>
                </w:rPr>
                <w:t>Committees of the board</w:t>
              </w:r>
            </w:hyperlink>
          </w:p>
        </w:tc>
        <w:tc>
          <w:tcPr>
            <w:tcW w:w="520" w:type="dxa"/>
            <w:vAlign w:val="bottom"/>
            <w:gridSpan w:val="6"/>
          </w:tcPr>
          <w:p>
            <w:pPr>
              <w:spacing w:after="0"/>
              <w:rPr>
                <w:sz w:val="15"/>
                <w:szCs w:val="15"/>
                <w:color w:val="auto"/>
              </w:rPr>
            </w:pPr>
          </w:p>
        </w:tc>
        <w:tc>
          <w:tcPr>
            <w:tcW w:w="2140" w:type="dxa"/>
            <w:vAlign w:val="bottom"/>
            <w:gridSpan w:val="10"/>
          </w:tcPr>
          <w:p>
            <w:pPr>
              <w:spacing w:after="0"/>
              <w:rPr>
                <w:sz w:val="15"/>
                <w:szCs w:val="15"/>
                <w:color w:val="auto"/>
              </w:rPr>
            </w:pPr>
          </w:p>
        </w:tc>
        <w:tc>
          <w:tcPr>
            <w:tcW w:w="70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13</w:t>
            </w:r>
          </w:p>
        </w:tc>
        <w:tc>
          <w:tcPr>
            <w:tcW w:w="100" w:type="dxa"/>
            <w:vAlign w:val="bottom"/>
          </w:tcPr>
          <w:p>
            <w:pPr>
              <w:spacing w:after="0"/>
              <w:rPr>
                <w:sz w:val="15"/>
                <w:szCs w:val="15"/>
                <w:color w:val="auto"/>
              </w:rPr>
            </w:pPr>
          </w:p>
        </w:tc>
        <w:tc>
          <w:tcPr>
            <w:tcW w:w="4900" w:type="dxa"/>
            <w:vAlign w:val="bottom"/>
            <w:gridSpan w:val="28"/>
          </w:tcPr>
          <w:p>
            <w:pPr>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Audit Committee report</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r>
      <w:tr>
        <w:trPr>
          <w:trHeight w:val="20"/>
        </w:trPr>
        <w:tc>
          <w:tcPr>
            <w:tcW w:w="1940" w:type="dxa"/>
            <w:vAlign w:val="bottom"/>
            <w:tcBorders>
              <w:right w:val="single" w:sz="8" w:color="0000EE"/>
            </w:tcBorders>
            <w:gridSpan w:val="11"/>
          </w:tcPr>
          <w:p>
            <w:pPr>
              <w:spacing w:after="0" w:line="20" w:lineRule="exact"/>
              <w:rPr>
                <w:sz w:val="1"/>
                <w:szCs w:val="1"/>
                <w:color w:val="auto"/>
              </w:rPr>
            </w:pPr>
          </w:p>
        </w:tc>
        <w:tc>
          <w:tcPr>
            <w:tcW w:w="2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120" w:type="dxa"/>
            <w:vAlign w:val="bottom"/>
            <w:tcBorders>
              <w:right w:val="single" w:sz="8" w:color="0000EE"/>
            </w:tcBorders>
            <w:gridSpan w:val="26"/>
          </w:tcPr>
          <w:p>
            <w:pPr>
              <w:spacing w:after="0" w:line="20" w:lineRule="exact"/>
              <w:rPr>
                <w:sz w:val="1"/>
                <w:szCs w:val="1"/>
                <w:color w:val="auto"/>
              </w:rPr>
            </w:pPr>
          </w:p>
        </w:tc>
        <w:tc>
          <w:tcPr>
            <w:tcW w:w="3680" w:type="dxa"/>
            <w:vAlign w:val="bottom"/>
            <w:tcBorders>
              <w:left w:val="single" w:sz="8" w:color="0000EE"/>
            </w:tcBorders>
            <w:gridSpan w:val="21"/>
            <w:shd w:val="clear" w:color="auto" w:fill="0000EE"/>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980" w:type="dxa"/>
            <w:vAlign w:val="bottom"/>
            <w:gridSpan w:val="12"/>
          </w:tcPr>
          <w:p>
            <w:pPr>
              <w:spacing w:after="0" w:line="182" w:lineRule="exact"/>
              <w:rPr>
                <w:rFonts w:ascii="Arial" w:cs="Arial" w:eastAsia="Arial" w:hAnsi="Arial"/>
                <w:sz w:val="18"/>
                <w:szCs w:val="18"/>
                <w:color w:val="0000EE"/>
                <w:w w:val="95"/>
              </w:rPr>
            </w:pPr>
            <w:hyperlink w:anchor="page17">
              <w:r>
                <w:rPr>
                  <w:rFonts w:ascii="Arial" w:cs="Arial" w:eastAsia="Arial" w:hAnsi="Arial"/>
                  <w:sz w:val="18"/>
                  <w:szCs w:val="18"/>
                  <w:color w:val="0000EE"/>
                  <w:w w:val="95"/>
                </w:rPr>
                <w:t>Board evaluation process</w:t>
              </w:r>
            </w:hyperlink>
          </w:p>
        </w:tc>
        <w:tc>
          <w:tcPr>
            <w:tcW w:w="2660" w:type="dxa"/>
            <w:vAlign w:val="bottom"/>
            <w:gridSpan w:val="16"/>
          </w:tcPr>
          <w:p>
            <w:pPr>
              <w:spacing w:after="0"/>
              <w:rPr>
                <w:sz w:val="15"/>
                <w:szCs w:val="15"/>
                <w:color w:val="auto"/>
              </w:rPr>
            </w:pPr>
          </w:p>
        </w:tc>
        <w:tc>
          <w:tcPr>
            <w:tcW w:w="70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15</w:t>
            </w:r>
          </w:p>
        </w:tc>
        <w:tc>
          <w:tcPr>
            <w:tcW w:w="100" w:type="dxa"/>
            <w:vAlign w:val="bottom"/>
          </w:tcPr>
          <w:p>
            <w:pPr>
              <w:spacing w:after="0"/>
              <w:rPr>
                <w:sz w:val="15"/>
                <w:szCs w:val="15"/>
                <w:color w:val="auto"/>
              </w:rPr>
            </w:pPr>
          </w:p>
        </w:tc>
        <w:tc>
          <w:tcPr>
            <w:tcW w:w="4900" w:type="dxa"/>
            <w:vAlign w:val="bottom"/>
            <w:gridSpan w:val="28"/>
          </w:tcPr>
          <w:p>
            <w:pPr>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Proposal to ratify appointment of independent registered</w:t>
              </w:r>
            </w:hyperlink>
          </w:p>
        </w:tc>
        <w:tc>
          <w:tcPr>
            <w:tcW w:w="440" w:type="dxa"/>
            <w:vAlign w:val="bottom"/>
          </w:tcPr>
          <w:p>
            <w:pPr>
              <w:spacing w:after="0"/>
              <w:rPr>
                <w:sz w:val="15"/>
                <w:szCs w:val="15"/>
                <w:color w:val="auto"/>
              </w:rPr>
            </w:pPr>
          </w:p>
        </w:tc>
      </w:tr>
      <w:tr>
        <w:trPr>
          <w:trHeight w:val="20"/>
        </w:trPr>
        <w:tc>
          <w:tcPr>
            <w:tcW w:w="1940" w:type="dxa"/>
            <w:vAlign w:val="bottom"/>
            <w:tcBorders>
              <w:right w:val="single" w:sz="8" w:color="0000EE"/>
            </w:tcBorders>
            <w:gridSpan w:val="11"/>
          </w:tcPr>
          <w:p>
            <w:pPr>
              <w:spacing w:after="0" w:line="20" w:lineRule="exact"/>
              <w:rPr>
                <w:sz w:val="1"/>
                <w:szCs w:val="1"/>
                <w:color w:val="auto"/>
              </w:rPr>
            </w:pPr>
          </w:p>
        </w:tc>
        <w:tc>
          <w:tcPr>
            <w:tcW w:w="2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120" w:type="dxa"/>
            <w:vAlign w:val="bottom"/>
            <w:tcBorders>
              <w:left w:val="single" w:sz="8" w:color="0000EE"/>
              <w:right w:val="single" w:sz="8" w:color="0000EE"/>
            </w:tcBorders>
            <w:gridSpan w:val="26"/>
          </w:tcPr>
          <w:p>
            <w:pPr>
              <w:spacing w:after="0" w:line="20" w:lineRule="exact"/>
              <w:rPr>
                <w:sz w:val="1"/>
                <w:szCs w:val="1"/>
                <w:color w:val="auto"/>
              </w:rPr>
            </w:pPr>
          </w:p>
        </w:tc>
        <w:tc>
          <w:tcPr>
            <w:tcW w:w="1460" w:type="dxa"/>
            <w:vAlign w:val="bottom"/>
            <w:tcBorders>
              <w:left w:val="single" w:sz="8" w:color="0000EE"/>
            </w:tcBorders>
            <w:gridSpan w:val="8"/>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20" w:type="dxa"/>
            <w:vAlign w:val="bottom"/>
            <w:tcBorders>
              <w:left w:val="single" w:sz="8" w:color="0000EE"/>
            </w:tcBorders>
            <w:gridSpan w:val="11"/>
            <w:shd w:val="clear" w:color="auto" w:fill="0000EE"/>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2140" w:type="dxa"/>
            <w:vAlign w:val="bottom"/>
            <w:tcBorders>
              <w:bottom w:val="single" w:sz="8" w:color="0000EE"/>
            </w:tcBorders>
            <w:gridSpan w:val="14"/>
          </w:tcPr>
          <w:p>
            <w:pPr>
              <w:spacing w:after="0" w:line="182" w:lineRule="exact"/>
              <w:rPr>
                <w:rFonts w:ascii="Arial" w:cs="Arial" w:eastAsia="Arial" w:hAnsi="Arial"/>
                <w:sz w:val="18"/>
                <w:szCs w:val="18"/>
                <w:color w:val="0000EE"/>
              </w:rPr>
            </w:pPr>
            <w:hyperlink w:anchor="page17">
              <w:r>
                <w:rPr>
                  <w:rFonts w:ascii="Arial" w:cs="Arial" w:eastAsia="Arial" w:hAnsi="Arial"/>
                  <w:sz w:val="18"/>
                  <w:szCs w:val="18"/>
                  <w:color w:val="0000EE"/>
                </w:rPr>
                <w:t>Board leadership structure</w:t>
              </w:r>
            </w:hyperlink>
          </w:p>
        </w:tc>
        <w:tc>
          <w:tcPr>
            <w:tcW w:w="2500" w:type="dxa"/>
            <w:vAlign w:val="bottom"/>
            <w:gridSpan w:val="14"/>
          </w:tcPr>
          <w:p>
            <w:pPr>
              <w:spacing w:after="0"/>
              <w:rPr>
                <w:sz w:val="15"/>
                <w:szCs w:val="15"/>
                <w:color w:val="auto"/>
              </w:rPr>
            </w:pPr>
          </w:p>
        </w:tc>
        <w:tc>
          <w:tcPr>
            <w:tcW w:w="70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15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Borders>
              <w:bottom w:val="single" w:sz="8" w:color="0000EE"/>
            </w:tcBorders>
            <w:gridSpan w:val="9"/>
          </w:tcPr>
          <w:p>
            <w:pPr>
              <w:spacing w:after="0" w:line="182" w:lineRule="exact"/>
              <w:rPr>
                <w:rFonts w:ascii="Arial" w:cs="Arial" w:eastAsia="Arial" w:hAnsi="Arial"/>
                <w:sz w:val="18"/>
                <w:szCs w:val="18"/>
                <w:color w:val="0000EE"/>
                <w:w w:val="98"/>
              </w:rPr>
            </w:pPr>
            <w:hyperlink w:anchor="page46">
              <w:r>
                <w:rPr>
                  <w:rFonts w:ascii="Arial" w:cs="Arial" w:eastAsia="Arial" w:hAnsi="Arial"/>
                  <w:sz w:val="18"/>
                  <w:szCs w:val="18"/>
                  <w:color w:val="0000EE"/>
                  <w:w w:val="98"/>
                </w:rPr>
                <w:t>public accounting firm</w:t>
              </w:r>
            </w:hyperlink>
          </w:p>
        </w:tc>
        <w:tc>
          <w:tcPr>
            <w:tcW w:w="2980" w:type="dxa"/>
            <w:vAlign w:val="bottom"/>
            <w:gridSpan w:val="18"/>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r>
      <w:tr>
        <w:trPr>
          <w:trHeight w:val="183"/>
        </w:trPr>
        <w:tc>
          <w:tcPr>
            <w:tcW w:w="180" w:type="dxa"/>
            <w:vAlign w:val="bottom"/>
          </w:tcPr>
          <w:p>
            <w:pPr>
              <w:spacing w:after="0"/>
              <w:rPr>
                <w:sz w:val="15"/>
                <w:szCs w:val="15"/>
                <w:color w:val="auto"/>
              </w:rPr>
            </w:pPr>
          </w:p>
        </w:tc>
        <w:tc>
          <w:tcPr>
            <w:tcW w:w="4640" w:type="dxa"/>
            <w:vAlign w:val="bottom"/>
            <w:gridSpan w:val="28"/>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Risk oversight by the board</w:t>
              </w:r>
            </w:hyperlink>
          </w:p>
        </w:tc>
        <w:tc>
          <w:tcPr>
            <w:tcW w:w="70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16</w:t>
            </w:r>
          </w:p>
        </w:tc>
        <w:tc>
          <w:tcPr>
            <w:tcW w:w="100" w:type="dxa"/>
            <w:vAlign w:val="bottom"/>
          </w:tcPr>
          <w:p>
            <w:pPr>
              <w:spacing w:after="0"/>
              <w:rPr>
                <w:sz w:val="15"/>
                <w:szCs w:val="15"/>
                <w:color w:val="auto"/>
              </w:rPr>
            </w:pPr>
          </w:p>
        </w:tc>
        <w:tc>
          <w:tcPr>
            <w:tcW w:w="4900" w:type="dxa"/>
            <w:vAlign w:val="bottom"/>
            <w:gridSpan w:val="28"/>
          </w:tcPr>
          <w:p>
            <w:pPr>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Additional information</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3"/>
        </w:trPr>
        <w:tc>
          <w:tcPr>
            <w:tcW w:w="4820" w:type="dxa"/>
            <w:vAlign w:val="bottom"/>
            <w:gridSpan w:val="29"/>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Director compensation</w:t>
              </w:r>
            </w:hyperlink>
          </w:p>
        </w:tc>
        <w:tc>
          <w:tcPr>
            <w:tcW w:w="70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16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20" w:type="dxa"/>
            <w:vAlign w:val="bottom"/>
            <w:gridSpan w:val="27"/>
          </w:tcPr>
          <w:p>
            <w:pPr>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Voting securities</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r>
      <w:tr>
        <w:trPr>
          <w:trHeight w:val="20"/>
        </w:trPr>
        <w:tc>
          <w:tcPr>
            <w:tcW w:w="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3"/>
        </w:trPr>
        <w:tc>
          <w:tcPr>
            <w:tcW w:w="1940" w:type="dxa"/>
            <w:vAlign w:val="bottom"/>
            <w:gridSpan w:val="11"/>
          </w:tcPr>
          <w:p>
            <w:pPr>
              <w:spacing w:after="0" w:line="182" w:lineRule="exact"/>
              <w:rPr>
                <w:rFonts w:ascii="Arial" w:cs="Arial" w:eastAsia="Arial" w:hAnsi="Arial"/>
                <w:sz w:val="18"/>
                <w:szCs w:val="18"/>
                <w:color w:val="0000EE"/>
                <w:w w:val="97"/>
              </w:rPr>
            </w:pPr>
            <w:hyperlink w:anchor="page21">
              <w:r>
                <w:rPr>
                  <w:rFonts w:ascii="Arial" w:cs="Arial" w:eastAsia="Arial" w:hAnsi="Arial"/>
                  <w:sz w:val="18"/>
                  <w:szCs w:val="18"/>
                  <w:color w:val="0000EE"/>
                  <w:w w:val="97"/>
                </w:rPr>
                <w:t>Executive compensation</w:t>
              </w:r>
            </w:hyperlink>
          </w:p>
        </w:tc>
        <w:tc>
          <w:tcPr>
            <w:tcW w:w="2880" w:type="dxa"/>
            <w:vAlign w:val="bottom"/>
            <w:gridSpan w:val="18"/>
          </w:tcPr>
          <w:p>
            <w:pPr>
              <w:spacing w:after="0"/>
              <w:rPr>
                <w:sz w:val="15"/>
                <w:szCs w:val="15"/>
                <w:color w:val="auto"/>
              </w:rPr>
            </w:pPr>
          </w:p>
        </w:tc>
        <w:tc>
          <w:tcPr>
            <w:tcW w:w="70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20" w:type="dxa"/>
            <w:vAlign w:val="bottom"/>
            <w:gridSpan w:val="27"/>
          </w:tcPr>
          <w:p>
            <w:pPr>
              <w:spacing w:after="0" w:line="182" w:lineRule="exact"/>
              <w:rPr>
                <w:rFonts w:ascii="Arial" w:cs="Arial" w:eastAsia="Arial" w:hAnsi="Arial"/>
                <w:sz w:val="18"/>
                <w:szCs w:val="18"/>
                <w:color w:val="0000EE"/>
              </w:rPr>
            </w:pPr>
            <w:hyperlink w:anchor="page48">
              <w:r>
                <w:rPr>
                  <w:rFonts w:ascii="Arial" w:cs="Arial" w:eastAsia="Arial" w:hAnsi="Arial"/>
                  <w:sz w:val="18"/>
                  <w:szCs w:val="18"/>
                  <w:color w:val="0000EE"/>
                </w:rPr>
                <w:t>Security ownership of certain beneficial owners</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46</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4640" w:type="dxa"/>
            <w:vAlign w:val="bottom"/>
            <w:gridSpan w:val="28"/>
          </w:tcPr>
          <w:p>
            <w:pPr>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Proposal regarding advisory approval of the company’s</w:t>
              </w:r>
            </w:hyperlink>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20" w:type="dxa"/>
            <w:vAlign w:val="bottom"/>
            <w:gridSpan w:val="27"/>
          </w:tcPr>
          <w:p>
            <w:pPr>
              <w:spacing w:after="0" w:line="182" w:lineRule="exact"/>
              <w:rPr>
                <w:rFonts w:ascii="Arial" w:cs="Arial" w:eastAsia="Arial" w:hAnsi="Arial"/>
                <w:sz w:val="18"/>
                <w:szCs w:val="18"/>
                <w:color w:val="0000EE"/>
              </w:rPr>
            </w:pPr>
            <w:hyperlink w:anchor="page48">
              <w:r>
                <w:rPr>
                  <w:rFonts w:ascii="Arial" w:cs="Arial" w:eastAsia="Arial" w:hAnsi="Arial"/>
                  <w:sz w:val="18"/>
                  <w:szCs w:val="18"/>
                  <w:color w:val="0000EE"/>
                </w:rPr>
                <w:t>Security ownership of directors and management</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46</w:t>
            </w:r>
          </w:p>
        </w:tc>
      </w:tr>
      <w:tr>
        <w:trPr>
          <w:trHeight w:val="183"/>
        </w:trPr>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94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9"/>
              </w:rPr>
            </w:pPr>
            <w:hyperlink w:anchor="page21">
              <w:r>
                <w:rPr>
                  <w:rFonts w:ascii="Arial" w:cs="Arial" w:eastAsia="Arial" w:hAnsi="Arial"/>
                  <w:sz w:val="18"/>
                  <w:szCs w:val="18"/>
                  <w:color w:val="0000EE"/>
                  <w:w w:val="99"/>
                </w:rPr>
                <w:t>executive compensation</w:t>
              </w:r>
            </w:hyperlink>
          </w:p>
        </w:tc>
        <w:tc>
          <w:tcPr>
            <w:tcW w:w="2260" w:type="dxa"/>
            <w:vAlign w:val="bottom"/>
            <w:tcBorders>
              <w:top w:val="single" w:sz="8" w:color="0000EE"/>
            </w:tcBorders>
            <w:gridSpan w:val="12"/>
          </w:tcPr>
          <w:p>
            <w:pPr>
              <w:spacing w:after="0"/>
              <w:rPr>
                <w:sz w:val="15"/>
                <w:szCs w:val="15"/>
                <w:color w:val="auto"/>
              </w:rPr>
            </w:pPr>
          </w:p>
        </w:tc>
        <w:tc>
          <w:tcPr>
            <w:tcW w:w="260" w:type="dxa"/>
            <w:vAlign w:val="bottom"/>
            <w:gridSpan w:val="3"/>
          </w:tcPr>
          <w:p>
            <w:pPr>
              <w:spacing w:after="0"/>
              <w:rPr>
                <w:sz w:val="15"/>
                <w:szCs w:val="15"/>
                <w:color w:val="auto"/>
              </w:rPr>
            </w:pPr>
          </w:p>
        </w:tc>
        <w:tc>
          <w:tcPr>
            <w:tcW w:w="70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4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9"/>
              </w:rPr>
            </w:pPr>
            <w:hyperlink w:anchor="page49">
              <w:r>
                <w:rPr>
                  <w:rFonts w:ascii="Arial" w:cs="Arial" w:eastAsia="Arial" w:hAnsi="Arial"/>
                  <w:sz w:val="18"/>
                  <w:szCs w:val="18"/>
                  <w:color w:val="0000EE"/>
                  <w:w w:val="99"/>
                </w:rPr>
                <w:t>Related person transactions</w:t>
              </w:r>
            </w:hyperlink>
          </w:p>
        </w:tc>
        <w:tc>
          <w:tcPr>
            <w:tcW w:w="1660" w:type="dxa"/>
            <w:vAlign w:val="bottom"/>
            <w:tcBorders>
              <w:top w:val="single" w:sz="8" w:color="0000EE"/>
            </w:tcBorders>
            <w:gridSpan w:val="12"/>
          </w:tcPr>
          <w:p>
            <w:pPr>
              <w:spacing w:after="0"/>
              <w:rPr>
                <w:sz w:val="15"/>
                <w:szCs w:val="15"/>
                <w:color w:val="auto"/>
              </w:rPr>
            </w:pPr>
          </w:p>
        </w:tc>
        <w:tc>
          <w:tcPr>
            <w:tcW w:w="820" w:type="dxa"/>
            <w:vAlign w:val="bottom"/>
            <w:gridSpan w:val="4"/>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47</w:t>
            </w:r>
          </w:p>
        </w:tc>
      </w:tr>
      <w:tr>
        <w:trPr>
          <w:trHeight w:val="183"/>
        </w:trPr>
        <w:tc>
          <w:tcPr>
            <w:tcW w:w="180" w:type="dxa"/>
            <w:vAlign w:val="bottom"/>
          </w:tcPr>
          <w:p>
            <w:pPr>
              <w:spacing w:after="0"/>
              <w:rPr>
                <w:sz w:val="15"/>
                <w:szCs w:val="15"/>
                <w:color w:val="auto"/>
              </w:rPr>
            </w:pPr>
          </w:p>
        </w:tc>
        <w:tc>
          <w:tcPr>
            <w:tcW w:w="316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w:anchor="page22">
              <w:r>
                <w:rPr>
                  <w:rFonts w:ascii="Arial" w:cs="Arial" w:eastAsia="Arial" w:hAnsi="Arial"/>
                  <w:sz w:val="18"/>
                  <w:szCs w:val="18"/>
                  <w:color w:val="0000EE"/>
                  <w:w w:val="99"/>
                </w:rPr>
                <w:t>Compensation Discussion and Analysis</w:t>
              </w:r>
            </w:hyperlink>
          </w:p>
        </w:tc>
        <w:tc>
          <w:tcPr>
            <w:tcW w:w="1480" w:type="dxa"/>
            <w:vAlign w:val="bottom"/>
            <w:gridSpan w:val="9"/>
          </w:tcPr>
          <w:p>
            <w:pPr>
              <w:spacing w:after="0"/>
              <w:rPr>
                <w:sz w:val="15"/>
                <w:szCs w:val="15"/>
                <w:color w:val="auto"/>
              </w:rPr>
            </w:pPr>
          </w:p>
        </w:tc>
        <w:tc>
          <w:tcPr>
            <w:tcW w:w="70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8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w:anchor="page51">
              <w:r>
                <w:rPr>
                  <w:rFonts w:ascii="Arial" w:cs="Arial" w:eastAsia="Arial" w:hAnsi="Arial"/>
                  <w:sz w:val="18"/>
                  <w:szCs w:val="18"/>
                  <w:color w:val="0000EE"/>
                  <w:w w:val="99"/>
                </w:rPr>
                <w:t>Compensation committee interlocks and insider</w:t>
              </w:r>
            </w:hyperlink>
          </w:p>
        </w:tc>
        <w:tc>
          <w:tcPr>
            <w:tcW w:w="940" w:type="dxa"/>
            <w:vAlign w:val="bottom"/>
            <w:gridSpan w:val="6"/>
          </w:tcPr>
          <w:p>
            <w:pPr>
              <w:spacing w:after="0"/>
              <w:rPr>
                <w:sz w:val="15"/>
                <w:szCs w:val="15"/>
                <w:color w:val="auto"/>
              </w:rPr>
            </w:pPr>
          </w:p>
        </w:tc>
        <w:tc>
          <w:tcPr>
            <w:tcW w:w="440" w:type="dxa"/>
            <w:vAlign w:val="bottom"/>
          </w:tcPr>
          <w:p>
            <w:pPr>
              <w:spacing w:after="0"/>
              <w:rPr>
                <w:sz w:val="15"/>
                <w:szCs w:val="15"/>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9"/>
          </w:tcPr>
          <w:p>
            <w:pPr>
              <w:spacing w:after="0" w:line="182" w:lineRule="exact"/>
              <w:rPr>
                <w:rFonts w:ascii="Arial" w:cs="Arial" w:eastAsia="Arial" w:hAnsi="Arial"/>
                <w:sz w:val="18"/>
                <w:szCs w:val="18"/>
                <w:color w:val="0000EE"/>
                <w:w w:val="98"/>
              </w:rPr>
            </w:pPr>
            <w:hyperlink w:anchor="page22">
              <w:r>
                <w:rPr>
                  <w:rFonts w:ascii="Arial" w:cs="Arial" w:eastAsia="Arial" w:hAnsi="Arial"/>
                  <w:sz w:val="18"/>
                  <w:szCs w:val="18"/>
                  <w:color w:val="0000EE"/>
                  <w:w w:val="98"/>
                </w:rPr>
                <w:t>Executive summary</w:t>
              </w:r>
            </w:hyperlink>
          </w:p>
        </w:tc>
        <w:tc>
          <w:tcPr>
            <w:tcW w:w="2880" w:type="dxa"/>
            <w:vAlign w:val="bottom"/>
            <w:gridSpan w:val="18"/>
          </w:tcPr>
          <w:p>
            <w:pPr>
              <w:spacing w:after="0"/>
              <w:rPr>
                <w:sz w:val="15"/>
                <w:szCs w:val="15"/>
                <w:color w:val="auto"/>
              </w:rPr>
            </w:pPr>
          </w:p>
        </w:tc>
        <w:tc>
          <w:tcPr>
            <w:tcW w:w="70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20" w:type="dxa"/>
            <w:vAlign w:val="bottom"/>
            <w:gridSpan w:val="27"/>
          </w:tcPr>
          <w:p>
            <w:pPr>
              <w:ind w:left="180"/>
              <w:spacing w:after="0" w:line="182" w:lineRule="exact"/>
              <w:rPr>
                <w:rFonts w:ascii="Arial" w:cs="Arial" w:eastAsia="Arial" w:hAnsi="Arial"/>
                <w:sz w:val="18"/>
                <w:szCs w:val="18"/>
                <w:color w:val="0000EE"/>
              </w:rPr>
            </w:pPr>
            <w:hyperlink w:anchor="page51">
              <w:r>
                <w:rPr>
                  <w:rFonts w:ascii="Arial" w:cs="Arial" w:eastAsia="Arial" w:hAnsi="Arial"/>
                  <w:sz w:val="18"/>
                  <w:szCs w:val="18"/>
                  <w:color w:val="0000EE"/>
                </w:rPr>
                <w:t>participation</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23">
              <w:r>
                <w:rPr>
                  <w:rFonts w:ascii="Arial" w:cs="Arial" w:eastAsia="Arial" w:hAnsi="Arial"/>
                  <w:sz w:val="18"/>
                  <w:szCs w:val="18"/>
                  <w:color w:val="0000EE"/>
                  <w:w w:val="99"/>
                </w:rPr>
                <w:t>Detailed discussion</w:t>
              </w:r>
            </w:hyperlink>
          </w:p>
        </w:tc>
        <w:tc>
          <w:tcPr>
            <w:tcW w:w="2880" w:type="dxa"/>
            <w:vAlign w:val="bottom"/>
            <w:gridSpan w:val="18"/>
          </w:tcPr>
          <w:p>
            <w:pPr>
              <w:spacing w:after="0"/>
              <w:rPr>
                <w:sz w:val="15"/>
                <w:szCs w:val="15"/>
                <w:color w:val="auto"/>
              </w:rPr>
            </w:pPr>
          </w:p>
        </w:tc>
        <w:tc>
          <w:tcPr>
            <w:tcW w:w="70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Borders>
              <w:bottom w:val="single" w:sz="8" w:color="0000EE"/>
            </w:tcBorders>
            <w:gridSpan w:val="7"/>
          </w:tcPr>
          <w:p>
            <w:pPr>
              <w:spacing w:after="0" w:line="182" w:lineRule="exact"/>
              <w:rPr>
                <w:rFonts w:ascii="Arial" w:cs="Arial" w:eastAsia="Arial" w:hAnsi="Arial"/>
                <w:sz w:val="18"/>
                <w:szCs w:val="18"/>
                <w:color w:val="0000EE"/>
                <w:w w:val="98"/>
              </w:rPr>
            </w:pPr>
            <w:hyperlink w:anchor="page51">
              <w:r>
                <w:rPr>
                  <w:rFonts w:ascii="Arial" w:cs="Arial" w:eastAsia="Arial" w:hAnsi="Arial"/>
                  <w:sz w:val="18"/>
                  <w:szCs w:val="18"/>
                  <w:color w:val="0000EE"/>
                  <w:w w:val="98"/>
                </w:rPr>
                <w:t>Cost of solicitation</w:t>
              </w:r>
            </w:hyperlink>
          </w:p>
        </w:tc>
        <w:tc>
          <w:tcPr>
            <w:tcW w:w="3240" w:type="dxa"/>
            <w:vAlign w:val="bottom"/>
            <w:gridSpan w:val="20"/>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80" w:type="dxa"/>
            <w:vAlign w:val="bottom"/>
            <w:gridSpan w:val="26"/>
          </w:tcPr>
          <w:p>
            <w:pPr>
              <w:spacing w:after="0" w:line="182" w:lineRule="exact"/>
              <w:rPr>
                <w:rFonts w:ascii="Arial" w:cs="Arial" w:eastAsia="Arial" w:hAnsi="Arial"/>
                <w:sz w:val="18"/>
                <w:szCs w:val="18"/>
                <w:color w:val="0000EE"/>
              </w:rPr>
            </w:pPr>
            <w:hyperlink w:anchor="page23">
              <w:r>
                <w:rPr>
                  <w:rFonts w:ascii="Arial" w:cs="Arial" w:eastAsia="Arial" w:hAnsi="Arial"/>
                  <w:sz w:val="18"/>
                  <w:szCs w:val="18"/>
                  <w:color w:val="0000EE"/>
                </w:rPr>
                <w:t>Compensation philosophy and elements</w:t>
              </w:r>
            </w:hyperlink>
          </w:p>
        </w:tc>
        <w:tc>
          <w:tcPr>
            <w:tcW w:w="70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20" w:type="dxa"/>
            <w:vAlign w:val="bottom"/>
            <w:gridSpan w:val="27"/>
          </w:tcPr>
          <w:p>
            <w:pPr>
              <w:spacing w:after="0" w:line="182" w:lineRule="exact"/>
              <w:rPr>
                <w:rFonts w:ascii="Arial" w:cs="Arial" w:eastAsia="Arial" w:hAnsi="Arial"/>
                <w:sz w:val="18"/>
                <w:szCs w:val="18"/>
                <w:color w:val="0000EE"/>
              </w:rPr>
            </w:pPr>
            <w:hyperlink w:anchor="page52">
              <w:r>
                <w:rPr>
                  <w:rFonts w:ascii="Arial" w:cs="Arial" w:eastAsia="Arial" w:hAnsi="Arial"/>
                  <w:sz w:val="18"/>
                  <w:szCs w:val="18"/>
                  <w:color w:val="0000EE"/>
                </w:rPr>
                <w:t>Stockholder proposals and nominations for 2021</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Comparator group</w:t>
              </w:r>
            </w:hyperlink>
          </w:p>
        </w:tc>
        <w:tc>
          <w:tcPr>
            <w:tcW w:w="1080" w:type="dxa"/>
            <w:vAlign w:val="bottom"/>
            <w:gridSpan w:val="8"/>
          </w:tcPr>
          <w:p>
            <w:pPr>
              <w:spacing w:after="0"/>
              <w:rPr>
                <w:sz w:val="15"/>
                <w:szCs w:val="15"/>
                <w:color w:val="auto"/>
              </w:rPr>
            </w:pPr>
          </w:p>
        </w:tc>
        <w:tc>
          <w:tcPr>
            <w:tcW w:w="70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6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w:anchor="page52">
              <w:r>
                <w:rPr>
                  <w:rFonts w:ascii="Arial" w:cs="Arial" w:eastAsia="Arial" w:hAnsi="Arial"/>
                  <w:sz w:val="18"/>
                  <w:szCs w:val="18"/>
                  <w:color w:val="0000EE"/>
                </w:rPr>
                <w:t>Benefit plan voting</w:t>
              </w:r>
            </w:hyperlink>
          </w:p>
        </w:tc>
        <w:tc>
          <w:tcPr>
            <w:tcW w:w="860" w:type="dxa"/>
            <w:vAlign w:val="bottom"/>
            <w:gridSpan w:val="5"/>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80" w:type="dxa"/>
            <w:vAlign w:val="bottom"/>
            <w:gridSpan w:val="19"/>
          </w:tcPr>
          <w:p>
            <w:pPr>
              <w:spacing w:after="0" w:line="182" w:lineRule="exact"/>
              <w:rPr>
                <w:rFonts w:ascii="Arial" w:cs="Arial" w:eastAsia="Arial" w:hAnsi="Arial"/>
                <w:sz w:val="18"/>
                <w:szCs w:val="18"/>
                <w:color w:val="0000EE"/>
                <w:w w:val="99"/>
              </w:rPr>
            </w:pPr>
            <w:hyperlink w:anchor="page25">
              <w:r>
                <w:rPr>
                  <w:rFonts w:ascii="Arial" w:cs="Arial" w:eastAsia="Arial" w:hAnsi="Arial"/>
                  <w:sz w:val="18"/>
                  <w:szCs w:val="18"/>
                  <w:color w:val="0000EE"/>
                  <w:w w:val="99"/>
                </w:rPr>
                <w:t>Analysis of compensation determinations</w:t>
              </w:r>
            </w:hyperlink>
          </w:p>
        </w:tc>
        <w:tc>
          <w:tcPr>
            <w:tcW w:w="1000" w:type="dxa"/>
            <w:vAlign w:val="bottom"/>
            <w:gridSpan w:val="7"/>
          </w:tcPr>
          <w:p>
            <w:pPr>
              <w:spacing w:after="0"/>
              <w:rPr>
                <w:sz w:val="15"/>
                <w:szCs w:val="15"/>
                <w:color w:val="auto"/>
              </w:rPr>
            </w:pPr>
          </w:p>
        </w:tc>
        <w:tc>
          <w:tcPr>
            <w:tcW w:w="70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20" w:type="dxa"/>
            <w:vAlign w:val="bottom"/>
            <w:gridSpan w:val="27"/>
          </w:tcPr>
          <w:p>
            <w:pPr>
              <w:spacing w:after="0" w:line="182" w:lineRule="exact"/>
              <w:rPr>
                <w:rFonts w:ascii="Arial" w:cs="Arial" w:eastAsia="Arial" w:hAnsi="Arial"/>
                <w:sz w:val="18"/>
                <w:szCs w:val="18"/>
                <w:color w:val="0000EE"/>
              </w:rPr>
            </w:pPr>
            <w:hyperlink w:anchor="page52">
              <w:r>
                <w:rPr>
                  <w:rFonts w:ascii="Arial" w:cs="Arial" w:eastAsia="Arial" w:hAnsi="Arial"/>
                  <w:sz w:val="18"/>
                  <w:szCs w:val="18"/>
                  <w:color w:val="0000EE"/>
                </w:rPr>
                <w:t>Telephone and internet voting</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5"/>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80" w:type="dxa"/>
            <w:vAlign w:val="bottom"/>
            <w:gridSpan w:val="19"/>
          </w:tcPr>
          <w:p>
            <w:pPr>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Equity dilution</w:t>
              </w:r>
            </w:hyperlink>
          </w:p>
        </w:tc>
        <w:tc>
          <w:tcPr>
            <w:tcW w:w="1000" w:type="dxa"/>
            <w:vAlign w:val="bottom"/>
            <w:gridSpan w:val="7"/>
          </w:tcPr>
          <w:p>
            <w:pPr>
              <w:spacing w:after="0"/>
              <w:rPr>
                <w:sz w:val="15"/>
                <w:szCs w:val="15"/>
                <w:color w:val="auto"/>
              </w:rPr>
            </w:pPr>
          </w:p>
        </w:tc>
        <w:tc>
          <w:tcPr>
            <w:tcW w:w="70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20" w:type="dxa"/>
            <w:vAlign w:val="bottom"/>
            <w:gridSpan w:val="27"/>
          </w:tcPr>
          <w:p>
            <w:pPr>
              <w:spacing w:after="0" w:line="182" w:lineRule="exact"/>
              <w:rPr>
                <w:rFonts w:ascii="Arial" w:cs="Arial" w:eastAsia="Arial" w:hAnsi="Arial"/>
                <w:sz w:val="18"/>
                <w:szCs w:val="18"/>
                <w:color w:val="0000EE"/>
              </w:rPr>
            </w:pPr>
            <w:hyperlink w:anchor="page52">
              <w:r>
                <w:rPr>
                  <w:rFonts w:ascii="Arial" w:cs="Arial" w:eastAsia="Arial" w:hAnsi="Arial"/>
                  <w:sz w:val="18"/>
                  <w:szCs w:val="18"/>
                  <w:color w:val="0000EE"/>
                </w:rPr>
                <w:t>Stockholders sharing the same address</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68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31">
              <w:r>
                <w:rPr>
                  <w:rFonts w:ascii="Arial" w:cs="Arial" w:eastAsia="Arial" w:hAnsi="Arial"/>
                  <w:sz w:val="18"/>
                  <w:szCs w:val="18"/>
                  <w:color w:val="0000EE"/>
                  <w:w w:val="99"/>
                </w:rPr>
                <w:t>Process for equity grants</w:t>
              </w:r>
            </w:hyperlink>
          </w:p>
        </w:tc>
        <w:tc>
          <w:tcPr>
            <w:tcW w:w="2280" w:type="dxa"/>
            <w:vAlign w:val="bottom"/>
            <w:gridSpan w:val="11"/>
          </w:tcPr>
          <w:p>
            <w:pPr>
              <w:spacing w:after="0"/>
              <w:rPr>
                <w:sz w:val="15"/>
                <w:szCs w:val="15"/>
                <w:color w:val="auto"/>
              </w:rPr>
            </w:pPr>
          </w:p>
        </w:tc>
        <w:tc>
          <w:tcPr>
            <w:tcW w:w="70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360" w:type="dxa"/>
            <w:vAlign w:val="bottom"/>
            <w:tcBorders>
              <w:bottom w:val="single" w:sz="8" w:color="0000EE"/>
            </w:tcBorders>
            <w:gridSpan w:val="25"/>
          </w:tcPr>
          <w:p>
            <w:pPr>
              <w:spacing w:after="0" w:line="182" w:lineRule="exact"/>
              <w:rPr>
                <w:rFonts w:ascii="Arial" w:cs="Arial" w:eastAsia="Arial" w:hAnsi="Arial"/>
                <w:sz w:val="18"/>
                <w:szCs w:val="18"/>
                <w:color w:val="0000EE"/>
                <w:w w:val="99"/>
              </w:rPr>
            </w:pPr>
            <w:hyperlink w:anchor="page53">
              <w:r>
                <w:rPr>
                  <w:rFonts w:ascii="Arial" w:cs="Arial" w:eastAsia="Arial" w:hAnsi="Arial"/>
                  <w:sz w:val="18"/>
                  <w:szCs w:val="18"/>
                  <w:color w:val="0000EE"/>
                  <w:w w:val="99"/>
                </w:rPr>
                <w:t>Electronic delivery of proxy materials and copies of our</w:t>
              </w:r>
            </w:hyperlink>
          </w:p>
        </w:tc>
        <w:tc>
          <w:tcPr>
            <w:tcW w:w="360" w:type="dxa"/>
            <w:vAlign w:val="bottom"/>
            <w:gridSpan w:val="2"/>
          </w:tcPr>
          <w:p>
            <w:pPr>
              <w:spacing w:after="0"/>
              <w:rPr>
                <w:sz w:val="15"/>
                <w:szCs w:val="15"/>
                <w:color w:val="auto"/>
              </w:rPr>
            </w:pPr>
          </w:p>
        </w:tc>
        <w:tc>
          <w:tcPr>
            <w:tcW w:w="440" w:type="dxa"/>
            <w:vAlign w:val="bottom"/>
          </w:tcPr>
          <w:p>
            <w:pPr>
              <w:spacing w:after="0"/>
              <w:rPr>
                <w:sz w:val="15"/>
                <w:szCs w:val="15"/>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9"/>
          </w:tcPr>
          <w:p>
            <w:pPr>
              <w:spacing w:after="0" w:line="182" w:lineRule="exact"/>
              <w:rPr>
                <w:rFonts w:ascii="Arial" w:cs="Arial" w:eastAsia="Arial" w:hAnsi="Arial"/>
                <w:sz w:val="18"/>
                <w:szCs w:val="18"/>
                <w:color w:val="0000EE"/>
                <w:w w:val="99"/>
              </w:rPr>
            </w:pPr>
            <w:hyperlink w:anchor="page31">
              <w:r>
                <w:rPr>
                  <w:rFonts w:ascii="Arial" w:cs="Arial" w:eastAsia="Arial" w:hAnsi="Arial"/>
                  <w:sz w:val="18"/>
                  <w:szCs w:val="18"/>
                  <w:color w:val="0000EE"/>
                  <w:w w:val="99"/>
                </w:rPr>
                <w:t>Recoupment policy</w:t>
              </w:r>
            </w:hyperlink>
          </w:p>
        </w:tc>
        <w:tc>
          <w:tcPr>
            <w:tcW w:w="2740" w:type="dxa"/>
            <w:vAlign w:val="bottom"/>
            <w:gridSpan w:val="17"/>
          </w:tcPr>
          <w:p>
            <w:pPr>
              <w:spacing w:after="0"/>
              <w:rPr>
                <w:sz w:val="15"/>
                <w:szCs w:val="15"/>
                <w:color w:val="auto"/>
              </w:rPr>
            </w:pPr>
          </w:p>
        </w:tc>
        <w:tc>
          <w:tcPr>
            <w:tcW w:w="70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20" w:type="dxa"/>
            <w:vAlign w:val="bottom"/>
            <w:gridSpan w:val="27"/>
          </w:tcPr>
          <w:p>
            <w:pPr>
              <w:ind w:left="180"/>
              <w:spacing w:after="0" w:line="182" w:lineRule="exact"/>
              <w:rPr>
                <w:rFonts w:ascii="Arial" w:cs="Arial" w:eastAsia="Arial" w:hAnsi="Arial"/>
                <w:sz w:val="18"/>
                <w:szCs w:val="18"/>
                <w:color w:val="0000EE"/>
              </w:rPr>
            </w:pPr>
            <w:hyperlink w:anchor="page53">
              <w:r>
                <w:rPr>
                  <w:rFonts w:ascii="Arial" w:cs="Arial" w:eastAsia="Arial" w:hAnsi="Arial"/>
                  <w:sz w:val="18"/>
                  <w:szCs w:val="18"/>
                  <w:color w:val="0000EE"/>
                </w:rPr>
                <w:t>Form 10-K</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1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80" w:type="dxa"/>
            <w:vAlign w:val="bottom"/>
            <w:gridSpan w:val="26"/>
          </w:tcPr>
          <w:p>
            <w:pPr>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Most recent stockholder advisory vote on executive</w:t>
              </w:r>
            </w:hyperlink>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00" w:type="dxa"/>
            <w:vAlign w:val="bottom"/>
            <w:gridSpan w:val="28"/>
          </w:tcPr>
          <w:p>
            <w:pPr>
              <w:spacing w:after="0" w:line="182" w:lineRule="exact"/>
              <w:rPr>
                <w:rFonts w:ascii="Arial" w:cs="Arial" w:eastAsia="Arial" w:hAnsi="Arial"/>
                <w:sz w:val="18"/>
                <w:szCs w:val="18"/>
                <w:color w:val="0000EE"/>
              </w:rPr>
            </w:pPr>
            <w:hyperlink w:anchor="page53">
              <w:r>
                <w:rPr>
                  <w:rFonts w:ascii="Arial" w:cs="Arial" w:eastAsia="Arial" w:hAnsi="Arial"/>
                  <w:sz w:val="18"/>
                  <w:szCs w:val="18"/>
                  <w:color w:val="0000EE"/>
                </w:rPr>
                <w:t>Notice regarding forward-looking statements</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2060" w:type="dxa"/>
            <w:vAlign w:val="bottom"/>
            <w:tcBorders>
              <w:left w:val="single" w:sz="8" w:color="0000EE"/>
            </w:tcBorders>
            <w:gridSpan w:val="11"/>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900" w:type="dxa"/>
            <w:vAlign w:val="bottom"/>
            <w:gridSpan w:val="23"/>
          </w:tcPr>
          <w:p>
            <w:pPr>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compensation</w:t>
              </w:r>
            </w:hyperlink>
          </w:p>
        </w:tc>
        <w:tc>
          <w:tcPr>
            <w:tcW w:w="200" w:type="dxa"/>
            <w:vAlign w:val="bottom"/>
            <w:gridSpan w:val="2"/>
          </w:tcPr>
          <w:p>
            <w:pPr>
              <w:spacing w:after="0"/>
              <w:rPr>
                <w:sz w:val="15"/>
                <w:szCs w:val="15"/>
                <w:color w:val="auto"/>
              </w:rPr>
            </w:pPr>
          </w:p>
        </w:tc>
        <w:tc>
          <w:tcPr>
            <w:tcW w:w="70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29</w:t>
            </w:r>
          </w:p>
        </w:tc>
        <w:tc>
          <w:tcPr>
            <w:tcW w:w="100" w:type="dxa"/>
            <w:vAlign w:val="bottom"/>
          </w:tcPr>
          <w:p>
            <w:pPr>
              <w:spacing w:after="0"/>
              <w:rPr>
                <w:sz w:val="15"/>
                <w:szCs w:val="15"/>
                <w:color w:val="auto"/>
              </w:rPr>
            </w:pPr>
          </w:p>
        </w:tc>
        <w:tc>
          <w:tcPr>
            <w:tcW w:w="4900" w:type="dxa"/>
            <w:vAlign w:val="bottom"/>
            <w:gridSpan w:val="28"/>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Directions and other annual meeting information</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60" w:type="dxa"/>
            <w:vAlign w:val="bottom"/>
            <w:gridSpan w:val="1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spacing w:after="0" w:line="182" w:lineRule="exact"/>
              <w:rPr>
                <w:rFonts w:ascii="Arial" w:cs="Arial" w:eastAsia="Arial" w:hAnsi="Arial"/>
                <w:sz w:val="18"/>
                <w:szCs w:val="18"/>
                <w:color w:val="0000EE"/>
                <w:w w:val="98"/>
              </w:rPr>
            </w:pPr>
            <w:hyperlink w:anchor="page31">
              <w:r>
                <w:rPr>
                  <w:rFonts w:ascii="Arial" w:cs="Arial" w:eastAsia="Arial" w:hAnsi="Arial"/>
                  <w:sz w:val="18"/>
                  <w:szCs w:val="18"/>
                  <w:color w:val="0000EE"/>
                  <w:w w:val="98"/>
                </w:rPr>
                <w:t>Benefits</w:t>
              </w:r>
            </w:hyperlink>
          </w:p>
        </w:tc>
        <w:tc>
          <w:tcPr>
            <w:tcW w:w="3620" w:type="dxa"/>
            <w:vAlign w:val="bottom"/>
            <w:gridSpan w:val="24"/>
          </w:tcPr>
          <w:p>
            <w:pPr>
              <w:spacing w:after="0"/>
              <w:rPr>
                <w:sz w:val="15"/>
                <w:szCs w:val="15"/>
                <w:color w:val="auto"/>
              </w:rPr>
            </w:pPr>
          </w:p>
        </w:tc>
        <w:tc>
          <w:tcPr>
            <w:tcW w:w="70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29</w:t>
            </w:r>
          </w:p>
        </w:tc>
        <w:tc>
          <w:tcPr>
            <w:tcW w:w="100" w:type="dxa"/>
            <w:vAlign w:val="bottom"/>
          </w:tcPr>
          <w:p>
            <w:pPr>
              <w:spacing w:after="0"/>
              <w:rPr>
                <w:sz w:val="15"/>
                <w:szCs w:val="15"/>
                <w:color w:val="auto"/>
              </w:rPr>
            </w:pPr>
          </w:p>
        </w:tc>
        <w:tc>
          <w:tcPr>
            <w:tcW w:w="4900" w:type="dxa"/>
            <w:vAlign w:val="bottom"/>
            <w:gridSpan w:val="28"/>
          </w:tcPr>
          <w:p>
            <w:pPr>
              <w:spacing w:after="0" w:line="182" w:lineRule="exact"/>
              <w:rPr>
                <w:rFonts w:ascii="Arial" w:cs="Arial" w:eastAsia="Arial" w:hAnsi="Arial"/>
                <w:sz w:val="18"/>
                <w:szCs w:val="18"/>
                <w:color w:val="0000EE"/>
              </w:rPr>
            </w:pPr>
            <w:hyperlink w:anchor="page55">
              <w:r>
                <w:rPr>
                  <w:rFonts w:ascii="Arial" w:cs="Arial" w:eastAsia="Arial" w:hAnsi="Arial"/>
                  <w:sz w:val="18"/>
                  <w:szCs w:val="18"/>
                  <w:color w:val="0000EE"/>
                </w:rPr>
                <w:t>Appendix A (Non-GAAP reconciliations)</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A-1</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2060" w:type="dxa"/>
            <w:vAlign w:val="bottom"/>
            <w:gridSpan w:val="1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100" w:type="dxa"/>
            <w:vAlign w:val="bottom"/>
            <w:tcBorders>
              <w:bottom w:val="single" w:sz="8" w:color="0000EE"/>
            </w:tcBorders>
            <w:gridSpan w:val="25"/>
          </w:tcPr>
          <w:p>
            <w:pPr>
              <w:spacing w:after="0" w:line="182" w:lineRule="exact"/>
              <w:rPr>
                <w:rFonts w:ascii="Arial" w:cs="Arial" w:eastAsia="Arial" w:hAnsi="Arial"/>
                <w:sz w:val="18"/>
                <w:szCs w:val="18"/>
                <w:color w:val="0000EE"/>
                <w:w w:val="99"/>
              </w:rPr>
            </w:pPr>
            <w:hyperlink w:anchor="page33">
              <w:r>
                <w:rPr>
                  <w:rFonts w:ascii="Arial" w:cs="Arial" w:eastAsia="Arial" w:hAnsi="Arial"/>
                  <w:sz w:val="18"/>
                  <w:szCs w:val="18"/>
                  <w:color w:val="0000EE"/>
                  <w:w w:val="99"/>
                </w:rPr>
                <w:t>Compensation following employment termination or</w:t>
              </w:r>
            </w:hyperlink>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Borders>
              <w:bottom w:val="single" w:sz="8" w:color="0000EE"/>
            </w:tcBorders>
            <w:gridSpan w:val="9"/>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change in control</w:t>
              </w:r>
            </w:hyperlink>
          </w:p>
        </w:tc>
        <w:tc>
          <w:tcPr>
            <w:tcW w:w="2660" w:type="dxa"/>
            <w:vAlign w:val="bottom"/>
            <w:gridSpan w:val="16"/>
          </w:tcPr>
          <w:p>
            <w:pPr>
              <w:spacing w:after="0"/>
              <w:rPr>
                <w:sz w:val="15"/>
                <w:szCs w:val="15"/>
                <w:color w:val="auto"/>
              </w:rPr>
            </w:pPr>
          </w:p>
        </w:tc>
        <w:tc>
          <w:tcPr>
            <w:tcW w:w="70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8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w:anchor="page33">
              <w:r>
                <w:rPr>
                  <w:rFonts w:ascii="Arial" w:cs="Arial" w:eastAsia="Arial" w:hAnsi="Arial"/>
                  <w:sz w:val="18"/>
                  <w:szCs w:val="18"/>
                  <w:color w:val="0000EE"/>
                  <w:w w:val="99"/>
                </w:rPr>
                <w:t>Stock ownership guidelines and policy against</w:t>
              </w:r>
            </w:hyperlink>
          </w:p>
        </w:tc>
        <w:tc>
          <w:tcPr>
            <w:tcW w:w="600" w:type="dxa"/>
            <w:vAlign w:val="bottom"/>
            <w:gridSpan w:val="5"/>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100" w:type="dxa"/>
            <w:vAlign w:val="bottom"/>
            <w:gridSpan w:val="25"/>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hedging</w:t>
              </w:r>
            </w:hyperlink>
          </w:p>
        </w:tc>
        <w:tc>
          <w:tcPr>
            <w:tcW w:w="70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60" w:type="dxa"/>
            <w:vAlign w:val="bottom"/>
            <w:gridSpan w:val="19"/>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80" w:type="dxa"/>
            <w:vAlign w:val="bottom"/>
            <w:gridSpan w:val="26"/>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Consideration of tax and accounting treatment of</w:t>
              </w:r>
            </w:hyperlink>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370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compensation</w:t>
              </w:r>
            </w:hyperlink>
          </w:p>
        </w:tc>
        <w:tc>
          <w:tcPr>
            <w:tcW w:w="400" w:type="dxa"/>
            <w:vAlign w:val="bottom"/>
            <w:gridSpan w:val="4"/>
          </w:tcPr>
          <w:p>
            <w:pPr>
              <w:spacing w:after="0"/>
              <w:rPr>
                <w:sz w:val="15"/>
                <w:szCs w:val="15"/>
                <w:color w:val="auto"/>
              </w:rPr>
            </w:pPr>
          </w:p>
        </w:tc>
        <w:tc>
          <w:tcPr>
            <w:tcW w:w="70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450"/>
        </w:trPr>
        <w:tc>
          <w:tcPr>
            <w:tcW w:w="180" w:type="dxa"/>
            <w:vAlign w:val="bottom"/>
          </w:tcPr>
          <w:p>
            <w:pPr>
              <w:spacing w:after="0"/>
              <w:rPr>
                <w:sz w:val="20"/>
                <w:szCs w:val="20"/>
                <w:color w:val="auto"/>
              </w:rPr>
            </w:pPr>
            <w:r>
              <w:rPr>
                <w:rFonts w:ascii="Arial" w:cs="Arial" w:eastAsia="Arial" w:hAnsi="Arial"/>
                <w:sz w:val="13"/>
                <w:szCs w:val="13"/>
                <w:color w:val="666666"/>
              </w:rPr>
              <w:t>2</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8"/>
          </w:tcPr>
          <w:p>
            <w:pPr>
              <w:jc w:val="right"/>
              <w:spacing w:after="0"/>
              <w:rPr>
                <w:sz w:val="20"/>
                <w:szCs w:val="20"/>
                <w:color w:val="auto"/>
              </w:rPr>
            </w:pPr>
            <w:r>
              <w:rPr>
                <w:rFonts w:ascii="Arial" w:cs="Arial" w:eastAsia="Arial" w:hAnsi="Arial"/>
                <w:sz w:val="13"/>
                <w:szCs w:val="13"/>
                <w:color w:val="666666"/>
              </w:rPr>
              <w:t>TEXAS INSTRUMENTS  •</w:t>
            </w:r>
          </w:p>
        </w:tc>
        <w:tc>
          <w:tcPr>
            <w:tcW w:w="5000" w:type="dxa"/>
            <w:vAlign w:val="bottom"/>
            <w:gridSpan w:val="29"/>
          </w:tcPr>
          <w:p>
            <w:pPr>
              <w:ind w:left="80"/>
              <w:spacing w:after="0"/>
              <w:rPr>
                <w:sz w:val="20"/>
                <w:szCs w:val="20"/>
                <w:color w:val="auto"/>
              </w:rPr>
            </w:pPr>
            <w:r>
              <w:rPr>
                <w:rFonts w:ascii="Arial" w:cs="Arial" w:eastAsia="Arial" w:hAnsi="Arial"/>
                <w:sz w:val="13"/>
                <w:szCs w:val="13"/>
                <w:color w:val="666666"/>
              </w:rPr>
              <w:t>2020 PROXY STATEMENT</w:t>
            </w:r>
          </w:p>
        </w:tc>
        <w:tc>
          <w:tcPr>
            <w:tcW w:w="44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PROXY STATEMENT – MARCH 10, 2020</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OFFICES</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12500 TI BOULEVARD, DALLAS, TX 75243</w:t>
      </w:r>
    </w:p>
    <w:p>
      <w:pPr>
        <w:ind w:left="120"/>
        <w:spacing w:after="0"/>
        <w:rPr>
          <w:sz w:val="20"/>
          <w:szCs w:val="20"/>
          <w:color w:val="auto"/>
        </w:rPr>
      </w:pPr>
      <w:r>
        <w:rPr>
          <w:rFonts w:ascii="Arial" w:cs="Arial" w:eastAsia="Arial" w:hAnsi="Arial"/>
          <w:sz w:val="18"/>
          <w:szCs w:val="18"/>
          <w:color w:val="auto"/>
        </w:rPr>
        <w:t>MAILING ADDRESS: P.O. BOX 660199, DALLAS, TX 75266-0199</w:t>
      </w:r>
    </w:p>
    <w:p>
      <w:pPr>
        <w:spacing w:after="0" w:line="39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Voting procedures, quorum and attendance requirements</w:t>
      </w:r>
    </w:p>
    <w:p>
      <w:pPr>
        <w:spacing w:after="0" w:line="238"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TI’s board of directors requests your proxy for the annual meeting of stockholders on April 23, 2020. If you sign and return the enclosed proxy, or vote by telephone or on the internet, you authorize the persons named in the proxy to represent you and vote your shares for the purposes mentioned in the notice of annual meeting. This proxy statement and related proxy are being distributed on or about March 10, 2020. If you come to the meeting, you can vote in person. If you do not come to the meeting, your shares can be voted only if you have returned a properly signed proxy or followed the telephone or internet voting instructions, which can be found on the enclosed proxy. If you sign and return your proxy but do not give voting instructions, the shares represented by that proxy will be voted as recommended by the board of directors. You can revoke your authorization at any time before the shares are voted at the meeting.</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quorum of stockholders is necessary to hold a valid meeting. If at least a majority of the shares of TI common stock issued</w:t>
      </w:r>
    </w:p>
    <w:p>
      <w:pPr>
        <w:ind w:left="120" w:right="120"/>
        <w:spacing w:after="0" w:line="238" w:lineRule="auto"/>
        <w:rPr>
          <w:sz w:val="20"/>
          <w:szCs w:val="20"/>
          <w:color w:val="auto"/>
        </w:rPr>
      </w:pPr>
      <w:r>
        <w:rPr>
          <w:rFonts w:ascii="Arial" w:cs="Arial" w:eastAsia="Arial" w:hAnsi="Arial"/>
          <w:sz w:val="18"/>
          <w:szCs w:val="18"/>
          <w:color w:val="auto"/>
        </w:rPr>
        <w:t>and outstanding and entitled to vote are present in person or by proxy, a quorum will exist. Abstentions and broker non-votes are counted as present for purposes of establishing a quorum. Broker non -votes occur when a beneficial owner who holds company stock through a broker does not provide the broker with voting instructions as to any matter on which the broker is not permitted to exercise its discretion and vote without specific instruction.</w:t>
      </w:r>
    </w:p>
    <w:p>
      <w:pPr>
        <w:spacing w:after="0" w:line="205" w:lineRule="exact"/>
        <w:rPr>
          <w:sz w:val="20"/>
          <w:szCs w:val="20"/>
          <w:color w:val="auto"/>
        </w:rPr>
      </w:pPr>
    </w:p>
    <w:p>
      <w:pPr>
        <w:ind w:left="120" w:right="220"/>
        <w:spacing w:after="0" w:line="246" w:lineRule="auto"/>
        <w:rPr>
          <w:sz w:val="20"/>
          <w:szCs w:val="20"/>
          <w:color w:val="auto"/>
        </w:rPr>
      </w:pPr>
      <w:r>
        <w:rPr>
          <w:rFonts w:ascii="Arial" w:cs="Arial" w:eastAsia="Arial" w:hAnsi="Arial"/>
          <w:sz w:val="18"/>
          <w:szCs w:val="18"/>
          <w:color w:val="auto"/>
        </w:rPr>
        <w:t>Shown below is a list of the matters to be considered at the meeting (each of which is discussed elsewhere in this proxy statement), and the vote required for election or approval, as the case may be.</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780" w:type="dxa"/>
            <w:vAlign w:val="bottom"/>
          </w:tcPr>
          <w:p>
            <w:pPr>
              <w:ind w:left="80"/>
              <w:spacing w:after="0"/>
              <w:rPr>
                <w:sz w:val="20"/>
                <w:szCs w:val="20"/>
                <w:color w:val="auto"/>
              </w:rPr>
            </w:pPr>
            <w:r>
              <w:rPr>
                <w:rFonts w:ascii="Arial" w:cs="Arial" w:eastAsia="Arial" w:hAnsi="Arial"/>
                <w:sz w:val="14"/>
                <w:szCs w:val="14"/>
                <w:b w:val="1"/>
                <w:bCs w:val="1"/>
                <w:color w:val="auto"/>
              </w:rPr>
              <w:t>Matter</w:t>
            </w:r>
          </w:p>
        </w:tc>
        <w:tc>
          <w:tcPr>
            <w:tcW w:w="3780" w:type="dxa"/>
            <w:vAlign w:val="bottom"/>
          </w:tcPr>
          <w:p>
            <w:pPr>
              <w:ind w:left="220"/>
              <w:spacing w:after="0"/>
              <w:rPr>
                <w:sz w:val="20"/>
                <w:szCs w:val="20"/>
                <w:color w:val="auto"/>
              </w:rPr>
            </w:pPr>
            <w:r>
              <w:rPr>
                <w:rFonts w:ascii="Arial" w:cs="Arial" w:eastAsia="Arial" w:hAnsi="Arial"/>
                <w:sz w:val="14"/>
                <w:szCs w:val="14"/>
                <w:b w:val="1"/>
                <w:bCs w:val="1"/>
                <w:color w:val="auto"/>
              </w:rPr>
              <w:t>Required Vote for Election or Approval</w:t>
            </w:r>
          </w:p>
        </w:tc>
        <w:tc>
          <w:tcPr>
            <w:tcW w:w="3460" w:type="dxa"/>
            <w:vAlign w:val="bottom"/>
          </w:tcPr>
          <w:p>
            <w:pPr>
              <w:ind w:left="100"/>
              <w:spacing w:after="0"/>
              <w:rPr>
                <w:sz w:val="20"/>
                <w:szCs w:val="20"/>
                <w:color w:val="auto"/>
              </w:rPr>
            </w:pPr>
            <w:r>
              <w:rPr>
                <w:rFonts w:ascii="Arial" w:cs="Arial" w:eastAsia="Arial" w:hAnsi="Arial"/>
                <w:sz w:val="14"/>
                <w:szCs w:val="14"/>
                <w:b w:val="1"/>
                <w:bCs w:val="1"/>
                <w:color w:val="auto"/>
              </w:rPr>
              <w:t>Impact of Abstentions or Broker Non-Votes</w:t>
            </w:r>
          </w:p>
        </w:tc>
      </w:tr>
      <w:tr>
        <w:trPr>
          <w:trHeight w:val="39"/>
        </w:trPr>
        <w:tc>
          <w:tcPr>
            <w:tcW w:w="3780" w:type="dxa"/>
            <w:vAlign w:val="bottom"/>
            <w:tcBorders>
              <w:bottom w:val="single" w:sz="8" w:color="auto"/>
            </w:tcBorders>
          </w:tcPr>
          <w:p>
            <w:pPr>
              <w:spacing w:after="0"/>
              <w:rPr>
                <w:sz w:val="3"/>
                <w:szCs w:val="3"/>
                <w:color w:val="auto"/>
              </w:rPr>
            </w:pPr>
          </w:p>
        </w:tc>
        <w:tc>
          <w:tcPr>
            <w:tcW w:w="3780" w:type="dxa"/>
            <w:vAlign w:val="bottom"/>
            <w:tcBorders>
              <w:bottom w:val="single" w:sz="8" w:color="auto"/>
            </w:tcBorders>
          </w:tcPr>
          <w:p>
            <w:pPr>
              <w:spacing w:after="0"/>
              <w:rPr>
                <w:sz w:val="3"/>
                <w:szCs w:val="3"/>
                <w:color w:val="auto"/>
              </w:rPr>
            </w:pPr>
          </w:p>
        </w:tc>
        <w:tc>
          <w:tcPr>
            <w:tcW w:w="3460" w:type="dxa"/>
            <w:vAlign w:val="bottom"/>
            <w:tcBorders>
              <w:bottom w:val="single" w:sz="8" w:color="auto"/>
            </w:tcBorders>
          </w:tcPr>
          <w:p>
            <w:pPr>
              <w:spacing w:after="0"/>
              <w:rPr>
                <w:sz w:val="3"/>
                <w:szCs w:val="3"/>
                <w:color w:val="auto"/>
              </w:rPr>
            </w:pPr>
          </w:p>
        </w:tc>
      </w:tr>
      <w:tr>
        <w:trPr>
          <w:trHeight w:val="209"/>
        </w:trPr>
        <w:tc>
          <w:tcPr>
            <w:tcW w:w="3780" w:type="dxa"/>
            <w:vAlign w:val="bottom"/>
            <w:shd w:val="clear" w:color="auto" w:fill="E5E5E5"/>
          </w:tcPr>
          <w:p>
            <w:pPr>
              <w:ind w:left="80"/>
              <w:spacing w:after="0"/>
              <w:rPr>
                <w:sz w:val="20"/>
                <w:szCs w:val="20"/>
                <w:color w:val="auto"/>
              </w:rPr>
            </w:pPr>
            <w:r>
              <w:rPr>
                <w:rFonts w:ascii="Arial" w:cs="Arial" w:eastAsia="Arial" w:hAnsi="Arial"/>
                <w:sz w:val="18"/>
                <w:szCs w:val="18"/>
                <w:color w:val="auto"/>
              </w:rPr>
              <w:t>Election of directors.</w:t>
            </w:r>
          </w:p>
        </w:tc>
        <w:tc>
          <w:tcPr>
            <w:tcW w:w="3780" w:type="dxa"/>
            <w:vAlign w:val="bottom"/>
            <w:shd w:val="clear" w:color="auto" w:fill="E5E5E5"/>
          </w:tcPr>
          <w:p>
            <w:pPr>
              <w:ind w:left="220"/>
              <w:spacing w:after="0"/>
              <w:rPr>
                <w:sz w:val="20"/>
                <w:szCs w:val="20"/>
                <w:color w:val="auto"/>
              </w:rPr>
            </w:pPr>
            <w:r>
              <w:rPr>
                <w:rFonts w:ascii="Arial" w:cs="Arial" w:eastAsia="Arial" w:hAnsi="Arial"/>
                <w:sz w:val="18"/>
                <w:szCs w:val="18"/>
                <w:color w:val="auto"/>
              </w:rPr>
              <w:t>Majority of votes present in person or by</w:t>
            </w:r>
          </w:p>
        </w:tc>
        <w:tc>
          <w:tcPr>
            <w:tcW w:w="3460" w:type="dxa"/>
            <w:vAlign w:val="bottom"/>
            <w:shd w:val="clear" w:color="auto" w:fill="E5E5E5"/>
          </w:tcPr>
          <w:p>
            <w:pPr>
              <w:ind w:left="100"/>
              <w:spacing w:after="0"/>
              <w:rPr>
                <w:sz w:val="20"/>
                <w:szCs w:val="20"/>
                <w:color w:val="auto"/>
              </w:rPr>
            </w:pPr>
            <w:r>
              <w:rPr>
                <w:rFonts w:ascii="Arial" w:cs="Arial" w:eastAsia="Arial" w:hAnsi="Arial"/>
                <w:sz w:val="18"/>
                <w:szCs w:val="18"/>
                <w:color w:val="auto"/>
              </w:rPr>
              <w:t>Abstentions have the same effect as</w:t>
            </w:r>
          </w:p>
        </w:tc>
      </w:tr>
      <w:tr>
        <w:trPr>
          <w:trHeight w:val="203"/>
        </w:trPr>
        <w:tc>
          <w:tcPr>
            <w:tcW w:w="3780" w:type="dxa"/>
            <w:vAlign w:val="bottom"/>
            <w:shd w:val="clear" w:color="auto" w:fill="E5E5E5"/>
          </w:tcPr>
          <w:p>
            <w:pPr>
              <w:spacing w:after="0"/>
              <w:rPr>
                <w:sz w:val="17"/>
                <w:szCs w:val="17"/>
                <w:color w:val="auto"/>
              </w:rPr>
            </w:pPr>
          </w:p>
        </w:tc>
        <w:tc>
          <w:tcPr>
            <w:tcW w:w="378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proxy at the meeting and entitled to be cast</w:t>
            </w:r>
          </w:p>
        </w:tc>
        <w:tc>
          <w:tcPr>
            <w:tcW w:w="346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votes against. Broker non-votes are not</w:t>
            </w:r>
          </w:p>
        </w:tc>
      </w:tr>
      <w:tr>
        <w:trPr>
          <w:trHeight w:val="203"/>
        </w:trPr>
        <w:tc>
          <w:tcPr>
            <w:tcW w:w="3780" w:type="dxa"/>
            <w:vAlign w:val="bottom"/>
            <w:shd w:val="clear" w:color="auto" w:fill="E5E5E5"/>
          </w:tcPr>
          <w:p>
            <w:pPr>
              <w:spacing w:after="0"/>
              <w:rPr>
                <w:sz w:val="17"/>
                <w:szCs w:val="17"/>
                <w:color w:val="auto"/>
              </w:rPr>
            </w:pPr>
          </w:p>
        </w:tc>
        <w:tc>
          <w:tcPr>
            <w:tcW w:w="378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in the election with respect to a nominee</w:t>
            </w:r>
          </w:p>
        </w:tc>
        <w:tc>
          <w:tcPr>
            <w:tcW w:w="346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counted as votes for or against.</w:t>
            </w:r>
          </w:p>
        </w:tc>
      </w:tr>
      <w:tr>
        <w:trPr>
          <w:trHeight w:val="217"/>
        </w:trPr>
        <w:tc>
          <w:tcPr>
            <w:tcW w:w="3780" w:type="dxa"/>
            <w:vAlign w:val="bottom"/>
            <w:shd w:val="clear" w:color="auto" w:fill="E5E5E5"/>
          </w:tcPr>
          <w:p>
            <w:pPr>
              <w:spacing w:after="0"/>
              <w:rPr>
                <w:sz w:val="18"/>
                <w:szCs w:val="18"/>
                <w:color w:val="auto"/>
              </w:rPr>
            </w:pPr>
          </w:p>
        </w:tc>
        <w:tc>
          <w:tcPr>
            <w:tcW w:w="3780" w:type="dxa"/>
            <w:vAlign w:val="bottom"/>
            <w:shd w:val="clear" w:color="auto" w:fill="E5E5E5"/>
          </w:tcPr>
          <w:p>
            <w:pPr>
              <w:ind w:left="220"/>
              <w:spacing w:after="0"/>
              <w:rPr>
                <w:sz w:val="20"/>
                <w:szCs w:val="20"/>
                <w:color w:val="auto"/>
              </w:rPr>
            </w:pPr>
            <w:r>
              <w:rPr>
                <w:rFonts w:ascii="Arial" w:cs="Arial" w:eastAsia="Arial" w:hAnsi="Arial"/>
                <w:sz w:val="18"/>
                <w:szCs w:val="18"/>
                <w:color w:val="auto"/>
              </w:rPr>
              <w:t>must be cast for that nominee.</w:t>
            </w:r>
          </w:p>
        </w:tc>
        <w:tc>
          <w:tcPr>
            <w:tcW w:w="3460" w:type="dxa"/>
            <w:vAlign w:val="bottom"/>
            <w:shd w:val="clear" w:color="auto" w:fill="E5E5E5"/>
          </w:tcPr>
          <w:p>
            <w:pPr>
              <w:spacing w:after="0"/>
              <w:rPr>
                <w:sz w:val="18"/>
                <w:szCs w:val="18"/>
                <w:color w:val="auto"/>
              </w:rPr>
            </w:pPr>
          </w:p>
        </w:tc>
      </w:tr>
      <w:tr>
        <w:trPr>
          <w:trHeight w:val="94"/>
        </w:trPr>
        <w:tc>
          <w:tcPr>
            <w:tcW w:w="3780" w:type="dxa"/>
            <w:vAlign w:val="bottom"/>
            <w:shd w:val="clear" w:color="auto" w:fill="E5E5E5"/>
          </w:tcPr>
          <w:p>
            <w:pPr>
              <w:spacing w:after="0"/>
              <w:rPr>
                <w:sz w:val="8"/>
                <w:szCs w:val="8"/>
                <w:color w:val="auto"/>
              </w:rPr>
            </w:pPr>
          </w:p>
        </w:tc>
        <w:tc>
          <w:tcPr>
            <w:tcW w:w="3780" w:type="dxa"/>
            <w:vAlign w:val="bottom"/>
            <w:shd w:val="clear" w:color="auto" w:fill="E5E5E5"/>
          </w:tcPr>
          <w:p>
            <w:pPr>
              <w:spacing w:after="0"/>
              <w:rPr>
                <w:sz w:val="8"/>
                <w:szCs w:val="8"/>
                <w:color w:val="auto"/>
              </w:rPr>
            </w:pPr>
          </w:p>
        </w:tc>
        <w:tc>
          <w:tcPr>
            <w:tcW w:w="3460" w:type="dxa"/>
            <w:vAlign w:val="bottom"/>
            <w:shd w:val="clear" w:color="auto" w:fill="E5E5E5"/>
          </w:tcPr>
          <w:p>
            <w:pPr>
              <w:spacing w:after="0"/>
              <w:rPr>
                <w:sz w:val="8"/>
                <w:szCs w:val="8"/>
                <w:color w:val="auto"/>
              </w:rPr>
            </w:pPr>
          </w:p>
        </w:tc>
      </w:tr>
    </w:tbl>
    <w:p>
      <w:pPr>
        <w:spacing w:after="0" w:line="26" w:lineRule="exact"/>
        <w:rPr>
          <w:sz w:val="20"/>
          <w:szCs w:val="20"/>
          <w:color w:val="auto"/>
        </w:rPr>
      </w:pPr>
    </w:p>
    <w:p>
      <w:pPr>
        <w:sectPr>
          <w:pgSz w:w="11900" w:h="16838" w:orient="portrait"/>
          <w:cols w:equalWidth="0" w:num="1">
            <w:col w:w="11140"/>
          </w:cols>
          <w:pgMar w:left="320" w:top="459" w:right="439" w:bottom="1440" w:gutter="0" w:footer="0" w:header="0"/>
        </w:sectPr>
      </w:pPr>
    </w:p>
    <w:p>
      <w:pPr>
        <w:ind w:left="200"/>
        <w:spacing w:after="0" w:line="246" w:lineRule="auto"/>
        <w:rPr>
          <w:sz w:val="20"/>
          <w:szCs w:val="20"/>
          <w:color w:val="auto"/>
        </w:rPr>
      </w:pPr>
      <w:r>
        <w:rPr>
          <w:rFonts w:ascii="Arial" w:cs="Arial" w:eastAsia="Arial" w:hAnsi="Arial"/>
          <w:sz w:val="18"/>
          <w:szCs w:val="18"/>
          <w:color w:val="auto"/>
        </w:rPr>
        <w:t>Advisory vote to approve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185420</wp:posOffset>
            </wp:positionV>
            <wp:extent cx="2408555" cy="8572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08555" cy="8572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rPr>
          <w:sz w:val="20"/>
          <w:szCs w:val="20"/>
          <w:color w:val="auto"/>
        </w:rPr>
      </w:pPr>
      <w:r>
        <w:rPr>
          <w:rFonts w:ascii="Arial" w:cs="Arial" w:eastAsia="Arial" w:hAnsi="Arial"/>
          <w:sz w:val="18"/>
          <w:szCs w:val="18"/>
          <w:color w:val="auto"/>
        </w:rPr>
        <w:t>Majority of votes present in person or by proxy at the meeting must be cast for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60325</wp:posOffset>
            </wp:positionV>
            <wp:extent cx="45859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8597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20"/>
        <w:spacing w:after="0" w:line="246" w:lineRule="auto"/>
        <w:rPr>
          <w:sz w:val="20"/>
          <w:szCs w:val="20"/>
          <w:color w:val="auto"/>
        </w:rPr>
      </w:pPr>
      <w:r>
        <w:rPr>
          <w:rFonts w:ascii="Arial" w:cs="Arial" w:eastAsia="Arial" w:hAnsi="Arial"/>
          <w:sz w:val="18"/>
          <w:szCs w:val="18"/>
          <w:color w:val="auto"/>
        </w:rPr>
        <w:t>Abstentions and broker non-votes have the same effect as votes against.</w:t>
      </w:r>
    </w:p>
    <w:p>
      <w:pPr>
        <w:spacing w:after="0" w:line="318" w:lineRule="exact"/>
        <w:rPr>
          <w:sz w:val="20"/>
          <w:szCs w:val="20"/>
          <w:color w:val="auto"/>
        </w:rPr>
      </w:pPr>
    </w:p>
    <w:p>
      <w:pPr>
        <w:sectPr>
          <w:pgSz w:w="11900" w:h="16838" w:orient="portrait"/>
          <w:cols w:equalWidth="0" w:num="3">
            <w:col w:w="3600" w:space="520"/>
            <w:col w:w="3260" w:space="400"/>
            <w:col w:w="3360"/>
          </w:cols>
          <w:pgMar w:left="320" w:top="459" w:right="439" w:bottom="1440" w:gutter="0" w:footer="0" w:header="0"/>
          <w:type w:val="continuous"/>
        </w:sectPr>
      </w:pPr>
    </w:p>
    <w:p>
      <w:pPr>
        <w:ind w:left="200"/>
        <w:spacing w:after="0" w:line="246" w:lineRule="auto"/>
        <w:rPr>
          <w:sz w:val="20"/>
          <w:szCs w:val="20"/>
          <w:color w:val="auto"/>
        </w:rPr>
      </w:pPr>
      <w:r>
        <w:rPr>
          <w:rFonts w:ascii="Arial" w:cs="Arial" w:eastAsia="Arial" w:hAnsi="Arial"/>
          <w:sz w:val="18"/>
          <w:szCs w:val="18"/>
          <w:color w:val="auto"/>
        </w:rPr>
        <w:t>Proposal to ratify appointment of independent registered public accounting firm.</w:t>
      </w:r>
    </w:p>
    <w:p>
      <w:pPr>
        <w:spacing w:after="0" w:line="20" w:lineRule="exact"/>
        <w:rPr>
          <w:sz w:val="20"/>
          <w:szCs w:val="20"/>
          <w:color w:val="auto"/>
        </w:rPr>
      </w:pPr>
      <w:r>
        <w:rPr>
          <w:sz w:val="20"/>
          <w:szCs w:val="20"/>
          <w:color w:val="auto"/>
        </w:rPr>
        <w:br w:type="column"/>
      </w:r>
    </w:p>
    <w:p>
      <w:pPr>
        <w:jc w:val="both"/>
        <w:spacing w:after="0"/>
        <w:rPr>
          <w:sz w:val="20"/>
          <w:szCs w:val="20"/>
          <w:color w:val="auto"/>
        </w:rPr>
      </w:pPr>
      <w:r>
        <w:rPr>
          <w:rFonts w:ascii="Arial" w:cs="Arial" w:eastAsia="Arial" w:hAnsi="Arial"/>
          <w:sz w:val="18"/>
          <w:szCs w:val="18"/>
          <w:color w:val="auto"/>
        </w:rPr>
        <w:t>Majority of votes present in person or by proxy at the meeting must be cast for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-393065</wp:posOffset>
            </wp:positionV>
            <wp:extent cx="4585970" cy="8401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85970" cy="8401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0"/>
        <w:spacing w:after="0" w:line="237" w:lineRule="auto"/>
        <w:rPr>
          <w:sz w:val="20"/>
          <w:szCs w:val="20"/>
          <w:color w:val="auto"/>
        </w:rPr>
      </w:pPr>
      <w:r>
        <w:rPr>
          <w:rFonts w:ascii="Arial" w:cs="Arial" w:eastAsia="Arial" w:hAnsi="Arial"/>
          <w:sz w:val="18"/>
          <w:szCs w:val="18"/>
          <w:color w:val="auto"/>
        </w:rPr>
        <w:t>Abstentions have the same effect as votes against. (Brokers are permitted to exercise their discretion and vote without specific instruction on this matter. Accordingly, there are no broker non-votes.)</w:t>
      </w:r>
    </w:p>
    <w:p>
      <w:pPr>
        <w:spacing w:after="0" w:line="124" w:lineRule="exact"/>
        <w:rPr>
          <w:sz w:val="20"/>
          <w:szCs w:val="20"/>
          <w:color w:val="auto"/>
        </w:rPr>
      </w:pPr>
    </w:p>
    <w:p>
      <w:pPr>
        <w:sectPr>
          <w:pgSz w:w="11900" w:h="16838" w:orient="portrait"/>
          <w:cols w:equalWidth="0" w:num="3">
            <w:col w:w="3840" w:space="280"/>
            <w:col w:w="3260" w:space="400"/>
            <w:col w:w="3360"/>
          </w:cols>
          <w:pgMar w:left="320" w:top="459" w:right="439" w:bottom="1440" w:gutter="0" w:footer="0" w:header="0"/>
          <w:type w:val="continuous"/>
        </w:sectPr>
      </w:pPr>
    </w:p>
    <w:p>
      <w:pPr>
        <w:ind w:left="200" w:right="420"/>
        <w:spacing w:after="0" w:line="246" w:lineRule="auto"/>
        <w:rPr>
          <w:sz w:val="20"/>
          <w:szCs w:val="20"/>
          <w:color w:val="auto"/>
        </w:rPr>
      </w:pPr>
      <w:r>
        <w:rPr>
          <w:rFonts w:ascii="Arial" w:cs="Arial" w:eastAsia="Arial" w:hAnsi="Arial"/>
          <w:sz w:val="18"/>
          <w:szCs w:val="18"/>
          <w:color w:val="auto"/>
        </w:rPr>
        <w:t>Any other matter that may properly be submitted at the meeting.</w:t>
      </w:r>
    </w:p>
    <w:p>
      <w:pPr>
        <w:spacing w:after="0" w:line="20" w:lineRule="exact"/>
        <w:rPr>
          <w:sz w:val="20"/>
          <w:szCs w:val="20"/>
          <w:color w:val="auto"/>
        </w:rPr>
      </w:pPr>
      <w:r>
        <w:rPr>
          <w:sz w:val="20"/>
          <w:szCs w:val="20"/>
          <w:color w:val="auto"/>
        </w:rPr>
        <w:br w:type="column"/>
      </w:r>
    </w:p>
    <w:p>
      <w:pPr>
        <w:jc w:val="both"/>
        <w:spacing w:after="0"/>
        <w:rPr>
          <w:sz w:val="20"/>
          <w:szCs w:val="20"/>
          <w:color w:val="auto"/>
        </w:rPr>
      </w:pPr>
      <w:r>
        <w:rPr>
          <w:rFonts w:ascii="Arial" w:cs="Arial" w:eastAsia="Arial" w:hAnsi="Arial"/>
          <w:sz w:val="18"/>
          <w:szCs w:val="18"/>
          <w:color w:val="auto"/>
        </w:rPr>
        <w:t>Majority of votes present in person or by proxy at the meeting must be cast for the proposal.</w:t>
      </w:r>
    </w:p>
    <w:p>
      <w:pPr>
        <w:spacing w:after="0" w:line="20" w:lineRule="exact"/>
        <w:rPr>
          <w:sz w:val="20"/>
          <w:szCs w:val="20"/>
          <w:color w:val="auto"/>
        </w:rPr>
      </w:pPr>
      <w:r>
        <w:rPr>
          <w:sz w:val="20"/>
          <w:szCs w:val="20"/>
          <w:color w:val="auto"/>
        </w:rPr>
        <w:br w:type="column"/>
      </w:r>
    </w:p>
    <w:p>
      <w:pPr>
        <w:ind w:right="220"/>
        <w:spacing w:after="0" w:line="246" w:lineRule="auto"/>
        <w:rPr>
          <w:sz w:val="20"/>
          <w:szCs w:val="20"/>
          <w:color w:val="auto"/>
        </w:rPr>
      </w:pPr>
      <w:r>
        <w:rPr>
          <w:rFonts w:ascii="Arial" w:cs="Arial" w:eastAsia="Arial" w:hAnsi="Arial"/>
          <w:sz w:val="18"/>
          <w:szCs w:val="18"/>
          <w:color w:val="auto"/>
        </w:rPr>
        <w:t>Abstentions and broker non-votes have the same effect as votes against.</w:t>
      </w:r>
    </w:p>
    <w:p>
      <w:pPr>
        <w:spacing w:after="0" w:line="396" w:lineRule="exact"/>
        <w:rPr>
          <w:sz w:val="20"/>
          <w:szCs w:val="20"/>
          <w:color w:val="auto"/>
        </w:rPr>
      </w:pPr>
    </w:p>
    <w:p>
      <w:pPr>
        <w:sectPr>
          <w:pgSz w:w="11900" w:h="16838" w:orient="portrait"/>
          <w:cols w:equalWidth="0" w:num="3">
            <w:col w:w="3400" w:space="720"/>
            <w:col w:w="3260" w:space="400"/>
            <w:col w:w="3360"/>
          </w:cols>
          <w:pgMar w:left="320" w:top="459" w:right="439" w:bottom="1440" w:gutter="0" w:footer="0" w:header="0"/>
          <w:type w:val="continuous"/>
        </w:sectPr>
      </w:pPr>
    </w:p>
    <w:p>
      <w:pPr>
        <w:spacing w:after="0" w:line="38" w:lineRule="exact"/>
        <w:rPr>
          <w:sz w:val="20"/>
          <w:szCs w:val="20"/>
          <w:color w:val="auto"/>
        </w:rPr>
      </w:pPr>
    </w:p>
    <w:tbl>
      <w:tblPr>
        <w:tblLayout w:type="fixed"/>
        <w:tblInd w:w="4040" w:type="dxa"/>
        <w:tblCellMar>
          <w:top w:w="0" w:type="dxa"/>
          <w:left w:w="0" w:type="dxa"/>
          <w:bottom w:w="0" w:type="dxa"/>
          <w:right w:w="0" w:type="dxa"/>
        </w:tblCellMar>
      </w:tblPr>
      <w:tr>
        <w:trPr>
          <w:trHeight w:val="152"/>
        </w:trPr>
        <w:tc>
          <w:tcPr>
            <w:tcW w:w="5100" w:type="dxa"/>
            <w:vAlign w:val="bottom"/>
          </w:tcPr>
          <w:p>
            <w:pPr>
              <w:spacing w:after="0"/>
              <w:rPr>
                <w:sz w:val="20"/>
                <w:szCs w:val="20"/>
                <w:color w:val="auto"/>
              </w:rPr>
            </w:pPr>
            <w:r>
              <w:rPr>
                <w:rFonts w:ascii="Arial" w:cs="Arial" w:eastAsia="Arial" w:hAnsi="Arial"/>
                <w:sz w:val="13"/>
                <w:szCs w:val="13"/>
                <w:color w:val="666666"/>
              </w:rPr>
              <w:t>TEXAS INSTRUMENTS  •  2020 PROXY STATEMENT</w:t>
            </w:r>
          </w:p>
        </w:tc>
        <w:tc>
          <w:tcPr>
            <w:tcW w:w="1980" w:type="dxa"/>
            <w:vAlign w:val="bottom"/>
          </w:tcPr>
          <w:p>
            <w:pPr>
              <w:jc w:val="right"/>
              <w:spacing w:after="0"/>
              <w:rPr>
                <w:sz w:val="20"/>
                <w:szCs w:val="20"/>
                <w:color w:val="auto"/>
              </w:rPr>
            </w:pPr>
            <w:r>
              <w:rPr>
                <w:rFonts w:ascii="Arial" w:cs="Arial" w:eastAsia="Arial" w:hAnsi="Arial"/>
                <w:sz w:val="13"/>
                <w:szCs w:val="13"/>
                <w:color w:val="666666"/>
              </w:rPr>
              <w:t>3</w:t>
            </w:r>
          </w:p>
        </w:tc>
      </w:tr>
    </w:tbl>
    <w:p>
      <w:pPr>
        <w:sectPr>
          <w:pgSz w:w="11900" w:h="16838" w:orient="portrait"/>
          <w:cols w:equalWidth="0" w:num="1">
            <w:col w:w="11140"/>
          </w:cols>
          <w:pgMar w:left="320" w:top="459" w:right="4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Attendance requirements</w:t>
      </w:r>
    </w:p>
    <w:p>
      <w:pPr>
        <w:spacing w:after="0" w:line="229"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Attendance at the meeting is limited to stockholders or their legal proxy holders. Each attendee must present a government-issued photo ID and an advance registration form.</w:t>
      </w:r>
    </w:p>
    <w:p>
      <w:pPr>
        <w:spacing w:after="0" w:line="197" w:lineRule="exact"/>
        <w:rPr>
          <w:sz w:val="20"/>
          <w:szCs w:val="20"/>
          <w:color w:val="auto"/>
        </w:rPr>
      </w:pPr>
    </w:p>
    <w:p>
      <w:pPr>
        <w:ind w:left="120" w:right="160"/>
        <w:spacing w:after="0" w:line="246" w:lineRule="auto"/>
        <w:rPr>
          <w:sz w:val="20"/>
          <w:szCs w:val="20"/>
          <w:color w:val="auto"/>
        </w:rPr>
      </w:pPr>
      <w:r>
        <w:rPr>
          <w:rFonts w:ascii="Arial" w:cs="Arial" w:eastAsia="Arial" w:hAnsi="Arial"/>
          <w:sz w:val="18"/>
          <w:szCs w:val="18"/>
          <w:color w:val="auto"/>
        </w:rPr>
        <w:t>If you plan to attend the annual meeting in person, you must print your own advance registration form and bring it to the meeting to gain access.</w:t>
      </w:r>
    </w:p>
    <w:p>
      <w:pPr>
        <w:spacing w:after="0" w:line="224" w:lineRule="exact"/>
        <w:rPr>
          <w:sz w:val="20"/>
          <w:szCs w:val="20"/>
          <w:color w:val="auto"/>
        </w:rPr>
      </w:pPr>
    </w:p>
    <w:p>
      <w:pPr>
        <w:ind w:left="760" w:right="480" w:hanging="320"/>
        <w:spacing w:after="0" w:line="234"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Advance registration forms can be printed by clicking on the “Register for Meeting” button found at www.proxyvote.com and following the instructions provided. You will need the 16-digit control number included on your notice, proxy card or voting instruction form. You must request your advance registration form by 11:59 p.m. April 22, 2020.</w:t>
      </w:r>
    </w:p>
    <w:p>
      <w:pPr>
        <w:spacing w:after="0" w:line="2" w:lineRule="exact"/>
        <w:rPr>
          <w:rFonts w:ascii="Arial" w:cs="Arial" w:eastAsia="Arial" w:hAnsi="Arial"/>
          <w:sz w:val="18"/>
          <w:szCs w:val="18"/>
          <w:color w:val="auto"/>
        </w:rPr>
      </w:pPr>
    </w:p>
    <w:p>
      <w:pPr>
        <w:ind w:left="760" w:hanging="320"/>
        <w:spacing w:after="0" w:line="234"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you are unable to print your advance registration form, please call Stockholder Meeting Registration Phone Support (toll free) at 1-844-318-0137 or (international toll call) at 1-925-331-6070 for assistance.</w:t>
      </w:r>
    </w:p>
    <w:p>
      <w:pPr>
        <w:spacing w:after="0" w:line="1" w:lineRule="exact"/>
        <w:rPr>
          <w:rFonts w:ascii="Arial" w:cs="Arial" w:eastAsia="Arial" w:hAnsi="Arial"/>
          <w:sz w:val="18"/>
          <w:szCs w:val="18"/>
          <w:color w:val="auto"/>
        </w:rPr>
      </w:pPr>
    </w:p>
    <w:p>
      <w:pPr>
        <w:ind w:left="760" w:right="6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the day of the meeting, you will be required to present valid government-issued photo ID, such as a driver’s license or passport, with your advance registration form. You may be denied entrance if the required identification and form are not presented.</w:t>
      </w:r>
    </w:p>
    <w:p>
      <w:pPr>
        <w:spacing w:after="0" w:line="203" w:lineRule="exact"/>
        <w:rPr>
          <w:sz w:val="20"/>
          <w:szCs w:val="20"/>
          <w:color w:val="auto"/>
        </w:rPr>
      </w:pPr>
    </w:p>
    <w:p>
      <w:pPr>
        <w:ind w:left="120" w:right="440"/>
        <w:spacing w:after="0" w:line="246" w:lineRule="auto"/>
        <w:rPr>
          <w:sz w:val="20"/>
          <w:szCs w:val="20"/>
          <w:color w:val="auto"/>
        </w:rPr>
      </w:pPr>
      <w:r>
        <w:rPr>
          <w:rFonts w:ascii="Arial" w:cs="Arial" w:eastAsia="Arial" w:hAnsi="Arial"/>
          <w:sz w:val="18"/>
          <w:szCs w:val="18"/>
          <w:color w:val="auto"/>
        </w:rPr>
        <w:t>Guest advance registration forms are not available. Exceptions may be granted to stockholders who require a companion in order to facilitate their own attendance (for example, due to a physical disability) by contacting Investor Relations.</w:t>
      </w:r>
    </w:p>
    <w:p>
      <w:pPr>
        <w:spacing w:after="0" w:line="197"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Additionally, if you plan to attend as proxy for a stockholder of record, you must present a valid legal proxy from the stockholder of record to you. If you plan to attend as proxy for a street name stockholder, you must present a valid legal proxy from the stockholder of record (i.e., the bank, broker or other holder of record) to the street name stockholder that is assignable and a valid legal proxy from the street name stockholder to you. Stockholders may appoint only one proxy holder to attend on their behalf.</w:t>
      </w:r>
    </w:p>
    <w:p>
      <w:pPr>
        <w:spacing w:after="0" w:line="132" w:lineRule="exact"/>
        <w:rPr>
          <w:sz w:val="20"/>
          <w:szCs w:val="20"/>
          <w:color w:val="auto"/>
        </w:rPr>
      </w:pPr>
    </w:p>
    <w:p>
      <w:pPr>
        <w:ind w:left="120"/>
        <w:spacing w:after="0"/>
        <w:tabs>
          <w:tab w:leader="none" w:pos="4020" w:val="left"/>
          <w:tab w:leader="none" w:pos="5500" w:val="left"/>
          <w:tab w:leader="none" w:pos="5700" w:val="left"/>
        </w:tabs>
        <w:rPr>
          <w:sz w:val="20"/>
          <w:szCs w:val="20"/>
          <w:color w:val="auto"/>
        </w:rPr>
      </w:pPr>
      <w:r>
        <w:rPr>
          <w:rFonts w:ascii="Arial" w:cs="Arial" w:eastAsia="Arial" w:hAnsi="Arial"/>
          <w:sz w:val="13"/>
          <w:szCs w:val="13"/>
          <w:color w:val="666666"/>
        </w:rPr>
        <w:t>4</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2020 PROXY STATEMENT</w:t>
      </w:r>
    </w:p>
    <w:p>
      <w:pPr>
        <w:sectPr>
          <w:pgSz w:w="11900" w:h="16838" w:orient="portrait"/>
          <w:cols w:equalWidth="0" w:num="1">
            <w:col w:w="11040"/>
          </w:cols>
          <w:pgMar w:left="320" w:top="459" w:right="5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Election of directors</w:t>
      </w:r>
    </w:p>
    <w:p>
      <w:pPr>
        <w:spacing w:after="0" w:line="238" w:lineRule="exact"/>
        <w:rPr>
          <w:sz w:val="20"/>
          <w:szCs w:val="20"/>
          <w:color w:val="auto"/>
        </w:rPr>
      </w:pPr>
    </w:p>
    <w:p>
      <w:pPr>
        <w:jc w:val="both"/>
        <w:ind w:left="120" w:right="20"/>
        <w:spacing w:after="0" w:line="261" w:lineRule="auto"/>
        <w:rPr>
          <w:sz w:val="20"/>
          <w:szCs w:val="20"/>
          <w:color w:val="auto"/>
        </w:rPr>
      </w:pPr>
      <w:r>
        <w:rPr>
          <w:rFonts w:ascii="Arial" w:cs="Arial" w:eastAsia="Arial" w:hAnsi="Arial"/>
          <w:sz w:val="17"/>
          <w:szCs w:val="17"/>
          <w:color w:val="auto"/>
        </w:rPr>
        <w:t>Directors are elected at the annual meeting to hold office until the next annual meeting and until their successors are elected and qualified. The board of directors has designated the following persons as nominees: Mark A. Blinn, Todd M. Bluedorn, Janet F. Clark, Carrie S. Cox, Martin S. Craighead, Jean M. Hobby, Michael D. Hsu, Ronald Kirk, Pamela H. Patsley, Robert E. Sanchez and Richard K. Templeton.</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you return a proxy that is not otherwise marked, your shares will be voted FOR each of the nominees.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Director nominees, qualifications and experience</w:t>
      </w:r>
    </w:p>
    <w:p>
      <w:pPr>
        <w:spacing w:after="0" w:line="229" w:lineRule="exact"/>
        <w:rPr>
          <w:sz w:val="20"/>
          <w:szCs w:val="20"/>
          <w:color w:val="auto"/>
        </w:rPr>
      </w:pPr>
    </w:p>
    <w:p>
      <w:pPr>
        <w:jc w:val="both"/>
        <w:ind w:left="120" w:right="160"/>
        <w:spacing w:after="0" w:line="274" w:lineRule="auto"/>
        <w:rPr>
          <w:sz w:val="20"/>
          <w:szCs w:val="20"/>
          <w:color w:val="auto"/>
        </w:rPr>
      </w:pPr>
      <w:r>
        <w:rPr>
          <w:rFonts w:ascii="Arial" w:cs="Arial" w:eastAsia="Arial" w:hAnsi="Arial"/>
          <w:sz w:val="17"/>
          <w:szCs w:val="17"/>
          <w:color w:val="auto"/>
        </w:rPr>
        <w:t>All of the nominees for directorship will be directors of the company at the time of the annual meeting. If any nominee becomes unable to serve before the meeting, the persons named as proxies may vote for a substitute or the number of directors will be reduced accordingly.</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Summary</w:t>
      </w:r>
    </w:p>
    <w:p>
      <w:pPr>
        <w:spacing w:after="0" w:line="212" w:lineRule="exact"/>
        <w:rPr>
          <w:sz w:val="20"/>
          <w:szCs w:val="20"/>
          <w:color w:val="auto"/>
        </w:rPr>
      </w:pPr>
    </w:p>
    <w:p>
      <w:pPr>
        <w:ind w:left="120" w:right="800"/>
        <w:spacing w:after="0" w:line="246" w:lineRule="auto"/>
        <w:rPr>
          <w:sz w:val="20"/>
          <w:szCs w:val="20"/>
          <w:color w:val="auto"/>
        </w:rPr>
      </w:pPr>
      <w:r>
        <w:rPr>
          <w:rFonts w:ascii="Arial" w:cs="Arial" w:eastAsia="Arial" w:hAnsi="Arial"/>
          <w:sz w:val="18"/>
          <w:szCs w:val="18"/>
          <w:color w:val="auto"/>
        </w:rPr>
        <w:t>This table provides a summary view of the qualifications, experience and demographics of each director nominee as of the proxy statement 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142875</wp:posOffset>
            </wp:positionV>
            <wp:extent cx="94615" cy="7289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4615" cy="72898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142875</wp:posOffset>
            </wp:positionV>
            <wp:extent cx="93980" cy="7289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980" cy="728980"/>
                    </a:xfrm>
                    <a:prstGeom prst="rect">
                      <a:avLst/>
                    </a:prstGeom>
                    <a:noFill/>
                  </pic:spPr>
                </pic:pic>
              </a:graphicData>
            </a:graphic>
          </wp:anchor>
        </w:drawing>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175"/>
        </w:trPr>
        <w:tc>
          <w:tcPr>
            <w:tcW w:w="6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Qualifications and experience</w:t>
            </w:r>
          </w:p>
        </w:tc>
        <w:tc>
          <w:tcPr>
            <w:tcW w:w="420" w:type="dxa"/>
            <w:vAlign w:val="bottom"/>
            <w:tcBorders>
              <w:bottom w:val="single" w:sz="8" w:color="auto"/>
            </w:tcBorders>
            <w:shd w:val="clear" w:color="auto" w:fill="E5E5E5"/>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shd w:val="clear" w:color="auto" w:fill="E5E5E5"/>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shd w:val="clear" w:color="auto" w:fill="E5E5E5"/>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shd w:val="clear" w:color="auto" w:fill="E5E5E5"/>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shd w:val="clear" w:color="auto" w:fill="E5E5E5"/>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shd w:val="clear" w:color="auto" w:fill="E5E5E5"/>
          </w:tcPr>
          <w:p>
            <w:pPr>
              <w:spacing w:after="0"/>
              <w:rPr>
                <w:sz w:val="24"/>
                <w:szCs w:val="24"/>
                <w:color w:val="auto"/>
              </w:rPr>
            </w:pPr>
          </w:p>
        </w:tc>
      </w:tr>
      <w:tr>
        <w:trPr>
          <w:trHeight w:val="195"/>
        </w:trPr>
        <w:tc>
          <w:tcPr>
            <w:tcW w:w="6280" w:type="dxa"/>
            <w:vAlign w:val="bottom"/>
          </w:tcPr>
          <w:p>
            <w:pPr>
              <w:spacing w:after="0" w:line="195" w:lineRule="exact"/>
              <w:rPr>
                <w:sz w:val="20"/>
                <w:szCs w:val="20"/>
                <w:color w:val="auto"/>
              </w:rPr>
            </w:pPr>
            <w:r>
              <w:rPr>
                <w:rFonts w:ascii="Arial" w:cs="Arial" w:eastAsia="Arial" w:hAnsi="Arial"/>
                <w:sz w:val="18"/>
                <w:szCs w:val="18"/>
                <w:color w:val="auto"/>
              </w:rPr>
              <w:t>Independence</w:t>
            </w:r>
          </w:p>
        </w:tc>
        <w:tc>
          <w:tcPr>
            <w:tcW w:w="420" w:type="dxa"/>
            <w:vAlign w:val="bottom"/>
            <w:shd w:val="clear" w:color="auto" w:fill="E5E5E5"/>
          </w:tcPr>
          <w:p>
            <w:pPr>
              <w:jc w:val="center"/>
              <w:spacing w:after="0" w:line="195" w:lineRule="exact"/>
              <w:rPr>
                <w:sz w:val="20"/>
                <w:szCs w:val="20"/>
                <w:color w:val="auto"/>
              </w:rPr>
            </w:pPr>
            <w:r>
              <w:rPr>
                <w:rFonts w:ascii="Arial" w:cs="Arial" w:eastAsia="Arial" w:hAnsi="Arial"/>
                <w:sz w:val="18"/>
                <w:szCs w:val="18"/>
                <w:color w:val="auto"/>
                <w:w w:val="91"/>
              </w:rPr>
              <w:t>●</w:t>
            </w:r>
          </w:p>
        </w:tc>
        <w:tc>
          <w:tcPr>
            <w:tcW w:w="420" w:type="dxa"/>
            <w:vAlign w:val="bottom"/>
          </w:tcPr>
          <w:p>
            <w:pPr>
              <w:jc w:val="center"/>
              <w:spacing w:after="0" w:line="195" w:lineRule="exact"/>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jc w:val="center"/>
              <w:spacing w:after="0" w:line="195" w:lineRule="exact"/>
              <w:rPr>
                <w:sz w:val="20"/>
                <w:szCs w:val="20"/>
                <w:color w:val="auto"/>
              </w:rPr>
            </w:pPr>
            <w:r>
              <w:rPr>
                <w:rFonts w:ascii="Arial" w:cs="Arial" w:eastAsia="Arial" w:hAnsi="Arial"/>
                <w:sz w:val="18"/>
                <w:szCs w:val="18"/>
                <w:color w:val="auto"/>
                <w:w w:val="91"/>
              </w:rPr>
              <w:t>●</w:t>
            </w:r>
          </w:p>
        </w:tc>
        <w:tc>
          <w:tcPr>
            <w:tcW w:w="420" w:type="dxa"/>
            <w:vAlign w:val="bottom"/>
          </w:tcPr>
          <w:p>
            <w:pPr>
              <w:jc w:val="center"/>
              <w:spacing w:after="0" w:line="195" w:lineRule="exact"/>
              <w:rPr>
                <w:sz w:val="20"/>
                <w:szCs w:val="20"/>
                <w:color w:val="auto"/>
              </w:rPr>
            </w:pPr>
            <w:r>
              <w:rPr>
                <w:rFonts w:ascii="Arial" w:cs="Arial" w:eastAsia="Arial" w:hAnsi="Arial"/>
                <w:sz w:val="18"/>
                <w:szCs w:val="18"/>
                <w:color w:val="auto"/>
                <w:w w:val="91"/>
              </w:rPr>
              <w:t>●</w:t>
            </w:r>
          </w:p>
        </w:tc>
        <w:tc>
          <w:tcPr>
            <w:tcW w:w="440" w:type="dxa"/>
            <w:vAlign w:val="bottom"/>
            <w:shd w:val="clear" w:color="auto" w:fill="E5E5E5"/>
          </w:tcPr>
          <w:p>
            <w:pPr>
              <w:jc w:val="center"/>
              <w:spacing w:after="0" w:line="195" w:lineRule="exact"/>
              <w:rPr>
                <w:sz w:val="20"/>
                <w:szCs w:val="20"/>
                <w:color w:val="auto"/>
              </w:rPr>
            </w:pPr>
            <w:r>
              <w:rPr>
                <w:rFonts w:ascii="Arial" w:cs="Arial" w:eastAsia="Arial" w:hAnsi="Arial"/>
                <w:sz w:val="18"/>
                <w:szCs w:val="18"/>
                <w:color w:val="auto"/>
              </w:rPr>
              <w:t>●</w:t>
            </w:r>
          </w:p>
        </w:tc>
        <w:tc>
          <w:tcPr>
            <w:tcW w:w="440" w:type="dxa"/>
            <w:vAlign w:val="bottom"/>
          </w:tcPr>
          <w:p>
            <w:pPr>
              <w:jc w:val="center"/>
              <w:spacing w:after="0" w:line="195" w:lineRule="exact"/>
              <w:rPr>
                <w:sz w:val="20"/>
                <w:szCs w:val="20"/>
                <w:color w:val="auto"/>
              </w:rPr>
            </w:pPr>
            <w:r>
              <w:rPr>
                <w:rFonts w:ascii="Arial" w:cs="Arial" w:eastAsia="Arial" w:hAnsi="Arial"/>
                <w:sz w:val="18"/>
                <w:szCs w:val="18"/>
                <w:color w:val="auto"/>
                <w:w w:val="91"/>
              </w:rPr>
              <w:t>●</w:t>
            </w:r>
          </w:p>
        </w:tc>
        <w:tc>
          <w:tcPr>
            <w:tcW w:w="420" w:type="dxa"/>
            <w:vAlign w:val="bottom"/>
            <w:shd w:val="clear" w:color="auto" w:fill="E5E5E5"/>
          </w:tcPr>
          <w:p>
            <w:pPr>
              <w:jc w:val="center"/>
              <w:spacing w:after="0" w:line="195" w:lineRule="exact"/>
              <w:rPr>
                <w:sz w:val="20"/>
                <w:szCs w:val="20"/>
                <w:color w:val="auto"/>
              </w:rPr>
            </w:pPr>
            <w:r>
              <w:rPr>
                <w:rFonts w:ascii="Arial" w:cs="Arial" w:eastAsia="Arial" w:hAnsi="Arial"/>
                <w:sz w:val="18"/>
                <w:szCs w:val="18"/>
                <w:color w:val="auto"/>
              </w:rPr>
              <w:t>●</w:t>
            </w:r>
          </w:p>
        </w:tc>
        <w:tc>
          <w:tcPr>
            <w:tcW w:w="440" w:type="dxa"/>
            <w:vAlign w:val="bottom"/>
          </w:tcPr>
          <w:p>
            <w:pPr>
              <w:jc w:val="center"/>
              <w:spacing w:after="0" w:line="195" w:lineRule="exact"/>
              <w:rPr>
                <w:sz w:val="20"/>
                <w:szCs w:val="20"/>
                <w:color w:val="auto"/>
              </w:rPr>
            </w:pPr>
            <w:r>
              <w:rPr>
                <w:rFonts w:ascii="Arial" w:cs="Arial" w:eastAsia="Arial" w:hAnsi="Arial"/>
                <w:sz w:val="18"/>
                <w:szCs w:val="18"/>
                <w:color w:val="auto"/>
                <w:w w:val="91"/>
              </w:rPr>
              <w:t>●</w:t>
            </w:r>
          </w:p>
        </w:tc>
        <w:tc>
          <w:tcPr>
            <w:tcW w:w="420" w:type="dxa"/>
            <w:vAlign w:val="bottom"/>
            <w:shd w:val="clear" w:color="auto" w:fill="E5E5E5"/>
          </w:tcPr>
          <w:p>
            <w:pPr>
              <w:jc w:val="center"/>
              <w:spacing w:after="0" w:line="195" w:lineRule="exact"/>
              <w:rPr>
                <w:sz w:val="20"/>
                <w:szCs w:val="20"/>
                <w:color w:val="auto"/>
              </w:rPr>
            </w:pPr>
            <w:r>
              <w:rPr>
                <w:rFonts w:ascii="Arial" w:cs="Arial" w:eastAsia="Arial" w:hAnsi="Arial"/>
                <w:sz w:val="18"/>
                <w:szCs w:val="18"/>
                <w:color w:val="auto"/>
                <w:w w:val="91"/>
              </w:rPr>
              <w:t>●</w:t>
            </w:r>
          </w:p>
        </w:tc>
        <w:tc>
          <w:tcPr>
            <w:tcW w:w="440" w:type="dxa"/>
            <w:vAlign w:val="bottom"/>
          </w:tcPr>
          <w:p>
            <w:pPr>
              <w:jc w:val="center"/>
              <w:spacing w:after="0" w:line="195" w:lineRule="exact"/>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6"/>
                <w:szCs w:val="16"/>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Multinational experience</w:t>
            </w:r>
          </w:p>
        </w:tc>
        <w:tc>
          <w:tcPr>
            <w:tcW w:w="4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1"/>
              </w:rPr>
              <w:t>●</w:t>
            </w:r>
          </w:p>
        </w:tc>
        <w:tc>
          <w:tcPr>
            <w:tcW w:w="420" w:type="dxa"/>
            <w:vAlign w:val="bottom"/>
          </w:tcPr>
          <w:p>
            <w:pPr>
              <w:jc w:val="center"/>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1"/>
              </w:rPr>
              <w:t>●</w:t>
            </w:r>
          </w:p>
        </w:tc>
        <w:tc>
          <w:tcPr>
            <w:tcW w:w="42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440" w:type="dxa"/>
            <w:vAlign w:val="bottom"/>
            <w:shd w:val="clear" w:color="auto" w:fill="E5E5E5"/>
          </w:tcPr>
          <w:p>
            <w:pPr>
              <w:jc w:val="center"/>
              <w:spacing w:after="0"/>
              <w:rPr>
                <w:sz w:val="20"/>
                <w:szCs w:val="20"/>
                <w:color w:val="auto"/>
              </w:rPr>
            </w:pPr>
            <w:r>
              <w:rPr>
                <w:rFonts w:ascii="Arial" w:cs="Arial" w:eastAsia="Arial" w:hAnsi="Arial"/>
                <w:sz w:val="18"/>
                <w:szCs w:val="18"/>
                <w:color w:val="auto"/>
              </w:rPr>
              <w:t>●</w:t>
            </w:r>
          </w:p>
        </w:tc>
        <w:tc>
          <w:tcPr>
            <w:tcW w:w="44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420" w:type="dxa"/>
            <w:vAlign w:val="bottom"/>
            <w:shd w:val="clear" w:color="auto" w:fill="E5E5E5"/>
          </w:tcPr>
          <w:p>
            <w:pPr>
              <w:jc w:val="center"/>
              <w:spacing w:after="0"/>
              <w:rPr>
                <w:sz w:val="20"/>
                <w:szCs w:val="20"/>
                <w:color w:val="auto"/>
              </w:rPr>
            </w:pPr>
            <w:r>
              <w:rPr>
                <w:rFonts w:ascii="Arial" w:cs="Arial" w:eastAsia="Arial" w:hAnsi="Arial"/>
                <w:sz w:val="18"/>
                <w:szCs w:val="18"/>
                <w:color w:val="auto"/>
              </w:rPr>
              <w:t>●</w:t>
            </w:r>
          </w:p>
        </w:tc>
        <w:tc>
          <w:tcPr>
            <w:tcW w:w="44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4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1"/>
              </w:rPr>
              <w:t>●</w:t>
            </w: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1"/>
              </w:rPr>
              <w:t>●</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Executive leadership (public or private)</w:t>
            </w:r>
          </w:p>
        </w:tc>
        <w:tc>
          <w:tcPr>
            <w:tcW w:w="4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1"/>
              </w:rPr>
              <w:t>●</w:t>
            </w:r>
          </w:p>
        </w:tc>
        <w:tc>
          <w:tcPr>
            <w:tcW w:w="420" w:type="dxa"/>
            <w:vAlign w:val="bottom"/>
          </w:tcPr>
          <w:p>
            <w:pPr>
              <w:jc w:val="center"/>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1"/>
              </w:rPr>
              <w:t>●</w:t>
            </w:r>
          </w:p>
        </w:tc>
        <w:tc>
          <w:tcPr>
            <w:tcW w:w="42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440" w:type="dxa"/>
            <w:vAlign w:val="bottom"/>
            <w:shd w:val="clear" w:color="auto" w:fill="E5E5E5"/>
          </w:tcPr>
          <w:p>
            <w:pPr>
              <w:jc w:val="center"/>
              <w:spacing w:after="0"/>
              <w:rPr>
                <w:sz w:val="20"/>
                <w:szCs w:val="20"/>
                <w:color w:val="auto"/>
              </w:rPr>
            </w:pPr>
            <w:r>
              <w:rPr>
                <w:rFonts w:ascii="Arial" w:cs="Arial" w:eastAsia="Arial" w:hAnsi="Arial"/>
                <w:sz w:val="18"/>
                <w:szCs w:val="18"/>
                <w:color w:val="auto"/>
              </w:rPr>
              <w:t>●</w:t>
            </w:r>
          </w:p>
        </w:tc>
        <w:tc>
          <w:tcPr>
            <w:tcW w:w="44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420" w:type="dxa"/>
            <w:vAlign w:val="bottom"/>
            <w:shd w:val="clear" w:color="auto" w:fill="E5E5E5"/>
          </w:tcPr>
          <w:p>
            <w:pPr>
              <w:jc w:val="center"/>
              <w:spacing w:after="0"/>
              <w:rPr>
                <w:sz w:val="20"/>
                <w:szCs w:val="20"/>
                <w:color w:val="auto"/>
              </w:rPr>
            </w:pPr>
            <w:r>
              <w:rPr>
                <w:rFonts w:ascii="Arial" w:cs="Arial" w:eastAsia="Arial" w:hAnsi="Arial"/>
                <w:sz w:val="18"/>
                <w:szCs w:val="18"/>
                <w:color w:val="auto"/>
              </w:rPr>
              <w:t>●</w:t>
            </w:r>
          </w:p>
        </w:tc>
        <w:tc>
          <w:tcPr>
            <w:tcW w:w="44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4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1"/>
              </w:rPr>
              <w:t>●</w:t>
            </w: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1"/>
              </w:rPr>
              <w:t>●</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Technology, research and development</w:t>
            </w:r>
          </w:p>
        </w:tc>
        <w:tc>
          <w:tcPr>
            <w:tcW w:w="4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1"/>
              </w:rPr>
              <w:t>●</w:t>
            </w:r>
          </w:p>
        </w:tc>
        <w:tc>
          <w:tcPr>
            <w:tcW w:w="420" w:type="dxa"/>
            <w:vAlign w:val="bottom"/>
          </w:tcPr>
          <w:p>
            <w:pPr>
              <w:jc w:val="center"/>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1"/>
              </w:rPr>
              <w:t>●</w:t>
            </w:r>
          </w:p>
        </w:tc>
        <w:tc>
          <w:tcPr>
            <w:tcW w:w="42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440" w:type="dxa"/>
            <w:vAlign w:val="bottom"/>
            <w:shd w:val="clear" w:color="auto" w:fill="E5E5E5"/>
          </w:tcPr>
          <w:p>
            <w:pPr>
              <w:jc w:val="center"/>
              <w:spacing w:after="0"/>
              <w:rPr>
                <w:sz w:val="20"/>
                <w:szCs w:val="20"/>
                <w:color w:val="auto"/>
              </w:rPr>
            </w:pPr>
            <w:r>
              <w:rPr>
                <w:rFonts w:ascii="Arial" w:cs="Arial" w:eastAsia="Arial" w:hAnsi="Arial"/>
                <w:sz w:val="18"/>
                <w:szCs w:val="18"/>
                <w:color w:val="auto"/>
              </w:rPr>
              <w:t>●</w:t>
            </w:r>
          </w:p>
        </w:tc>
        <w:tc>
          <w:tcPr>
            <w:tcW w:w="44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420" w:type="dxa"/>
            <w:vAlign w:val="bottom"/>
            <w:shd w:val="clear" w:color="auto" w:fill="E5E5E5"/>
          </w:tcPr>
          <w:p>
            <w:pPr>
              <w:jc w:val="cente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4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1"/>
              </w:rPr>
              <w:t>●</w:t>
            </w: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1"/>
              </w:rPr>
              <w:t>●</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Manufacturing</w:t>
            </w:r>
          </w:p>
        </w:tc>
        <w:tc>
          <w:tcPr>
            <w:tcW w:w="4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1"/>
              </w:rPr>
              <w:t>●</w:t>
            </w:r>
          </w:p>
        </w:tc>
        <w:tc>
          <w:tcPr>
            <w:tcW w:w="420" w:type="dxa"/>
            <w:vAlign w:val="bottom"/>
          </w:tcPr>
          <w:p>
            <w:pPr>
              <w:jc w:val="center"/>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440" w:type="dxa"/>
            <w:vAlign w:val="bottom"/>
            <w:shd w:val="clear" w:color="auto" w:fill="E5E5E5"/>
          </w:tcPr>
          <w:p>
            <w:pPr>
              <w:jc w:val="cente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420" w:type="dxa"/>
            <w:vAlign w:val="bottom"/>
            <w:shd w:val="clear" w:color="auto" w:fill="E5E5E5"/>
          </w:tcPr>
          <w:p>
            <w:pPr>
              <w:jc w:val="cente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1"/>
              </w:rPr>
              <w:t>●</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End-market knowledge</w:t>
            </w:r>
          </w:p>
        </w:tc>
        <w:tc>
          <w:tcPr>
            <w:tcW w:w="4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1"/>
              </w:rPr>
              <w:t>●</w:t>
            </w:r>
          </w:p>
        </w:tc>
        <w:tc>
          <w:tcPr>
            <w:tcW w:w="420" w:type="dxa"/>
            <w:vAlign w:val="bottom"/>
          </w:tcPr>
          <w:p>
            <w:pPr>
              <w:jc w:val="center"/>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1"/>
              </w:rPr>
              <w:t>●</w:t>
            </w:r>
          </w:p>
        </w:tc>
        <w:tc>
          <w:tcPr>
            <w:tcW w:w="42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440" w:type="dxa"/>
            <w:vAlign w:val="bottom"/>
            <w:shd w:val="clear" w:color="auto" w:fill="E5E5E5"/>
          </w:tcPr>
          <w:p>
            <w:pPr>
              <w:jc w:val="center"/>
              <w:spacing w:after="0"/>
              <w:rPr>
                <w:sz w:val="20"/>
                <w:szCs w:val="20"/>
                <w:color w:val="auto"/>
              </w:rPr>
            </w:pPr>
            <w:r>
              <w:rPr>
                <w:rFonts w:ascii="Arial" w:cs="Arial" w:eastAsia="Arial" w:hAnsi="Arial"/>
                <w:sz w:val="18"/>
                <w:szCs w:val="18"/>
                <w:color w:val="auto"/>
              </w:rPr>
              <w:t>●</w:t>
            </w:r>
          </w:p>
        </w:tc>
        <w:tc>
          <w:tcPr>
            <w:tcW w:w="44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420" w:type="dxa"/>
            <w:vAlign w:val="bottom"/>
            <w:shd w:val="clear" w:color="auto" w:fill="E5E5E5"/>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420" w:type="dxa"/>
            <w:vAlign w:val="bottom"/>
            <w:shd w:val="clear" w:color="auto" w:fill="E5E5E5"/>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1"/>
              </w:rPr>
              <w:t>●</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Regulatory, public policy or legal</w:t>
            </w:r>
          </w:p>
        </w:tc>
        <w:tc>
          <w:tcPr>
            <w:tcW w:w="4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1"/>
              </w:rPr>
              <w:t>●</w:t>
            </w:r>
          </w:p>
        </w:tc>
        <w:tc>
          <w:tcPr>
            <w:tcW w:w="420" w:type="dxa"/>
            <w:vAlign w:val="bottom"/>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440" w:type="dxa"/>
            <w:vAlign w:val="bottom"/>
            <w:shd w:val="clear" w:color="auto" w:fill="E5E5E5"/>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420" w:type="dxa"/>
            <w:vAlign w:val="bottom"/>
            <w:shd w:val="clear" w:color="auto" w:fill="E5E5E5"/>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4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1"/>
              </w:rPr>
              <w:t>●</w:t>
            </w:r>
          </w:p>
        </w:tc>
        <w:tc>
          <w:tcPr>
            <w:tcW w:w="440" w:type="dxa"/>
            <w:vAlign w:val="bottom"/>
          </w:tcPr>
          <w:p>
            <w:pPr>
              <w:spacing w:after="0"/>
              <w:rPr>
                <w:sz w:val="18"/>
                <w:szCs w:val="18"/>
                <w:color w:val="auto"/>
              </w:rPr>
            </w:pPr>
          </w:p>
        </w:tc>
        <w:tc>
          <w:tcPr>
            <w:tcW w:w="440" w:type="dxa"/>
            <w:vAlign w:val="bottom"/>
            <w:shd w:val="clear" w:color="auto" w:fill="E5E5E5"/>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Other public board service</w:t>
            </w:r>
          </w:p>
        </w:tc>
        <w:tc>
          <w:tcPr>
            <w:tcW w:w="4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1"/>
              </w:rPr>
              <w:t>●</w:t>
            </w:r>
          </w:p>
        </w:tc>
        <w:tc>
          <w:tcPr>
            <w:tcW w:w="420" w:type="dxa"/>
            <w:vAlign w:val="bottom"/>
          </w:tcPr>
          <w:p>
            <w:pPr>
              <w:jc w:val="center"/>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1"/>
              </w:rPr>
              <w:t>●</w:t>
            </w:r>
          </w:p>
        </w:tc>
        <w:tc>
          <w:tcPr>
            <w:tcW w:w="42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440" w:type="dxa"/>
            <w:vAlign w:val="bottom"/>
            <w:shd w:val="clear" w:color="auto" w:fill="E5E5E5"/>
          </w:tcPr>
          <w:p>
            <w:pPr>
              <w:jc w:val="center"/>
              <w:spacing w:after="0"/>
              <w:rPr>
                <w:sz w:val="20"/>
                <w:szCs w:val="20"/>
                <w:color w:val="auto"/>
              </w:rPr>
            </w:pPr>
            <w:r>
              <w:rPr>
                <w:rFonts w:ascii="Arial" w:cs="Arial" w:eastAsia="Arial" w:hAnsi="Arial"/>
                <w:sz w:val="18"/>
                <w:szCs w:val="18"/>
                <w:color w:val="auto"/>
              </w:rPr>
              <w:t>●</w:t>
            </w:r>
          </w:p>
        </w:tc>
        <w:tc>
          <w:tcPr>
            <w:tcW w:w="44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420" w:type="dxa"/>
            <w:vAlign w:val="bottom"/>
            <w:shd w:val="clear" w:color="auto" w:fill="E5E5E5"/>
          </w:tcPr>
          <w:p>
            <w:pPr>
              <w:jc w:val="center"/>
              <w:spacing w:after="0"/>
              <w:rPr>
                <w:sz w:val="20"/>
                <w:szCs w:val="20"/>
                <w:color w:val="auto"/>
              </w:rPr>
            </w:pPr>
            <w:r>
              <w:rPr>
                <w:rFonts w:ascii="Arial" w:cs="Arial" w:eastAsia="Arial" w:hAnsi="Arial"/>
                <w:sz w:val="18"/>
                <w:szCs w:val="18"/>
                <w:color w:val="auto"/>
              </w:rPr>
              <w:t>●</w:t>
            </w:r>
          </w:p>
        </w:tc>
        <w:tc>
          <w:tcPr>
            <w:tcW w:w="44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4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1"/>
              </w:rPr>
              <w:t>●</w:t>
            </w: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Financial acumen</w:t>
            </w:r>
          </w:p>
        </w:tc>
        <w:tc>
          <w:tcPr>
            <w:tcW w:w="4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1"/>
              </w:rPr>
              <w:t>●</w:t>
            </w:r>
          </w:p>
        </w:tc>
        <w:tc>
          <w:tcPr>
            <w:tcW w:w="420" w:type="dxa"/>
            <w:vAlign w:val="bottom"/>
          </w:tcPr>
          <w:p>
            <w:pPr>
              <w:jc w:val="center"/>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1"/>
              </w:rPr>
              <w:t>●</w:t>
            </w:r>
          </w:p>
        </w:tc>
        <w:tc>
          <w:tcPr>
            <w:tcW w:w="42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440" w:type="dxa"/>
            <w:vAlign w:val="bottom"/>
            <w:shd w:val="clear" w:color="auto" w:fill="E5E5E5"/>
          </w:tcPr>
          <w:p>
            <w:pPr>
              <w:jc w:val="center"/>
              <w:spacing w:after="0"/>
              <w:rPr>
                <w:sz w:val="20"/>
                <w:szCs w:val="20"/>
                <w:color w:val="auto"/>
              </w:rPr>
            </w:pPr>
            <w:r>
              <w:rPr>
                <w:rFonts w:ascii="Arial" w:cs="Arial" w:eastAsia="Arial" w:hAnsi="Arial"/>
                <w:sz w:val="18"/>
                <w:szCs w:val="18"/>
                <w:color w:val="auto"/>
              </w:rPr>
              <w:t>●</w:t>
            </w:r>
          </w:p>
        </w:tc>
        <w:tc>
          <w:tcPr>
            <w:tcW w:w="44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420" w:type="dxa"/>
            <w:vAlign w:val="bottom"/>
            <w:shd w:val="clear" w:color="auto" w:fill="E5E5E5"/>
          </w:tcPr>
          <w:p>
            <w:pPr>
              <w:jc w:val="center"/>
              <w:spacing w:after="0"/>
              <w:rPr>
                <w:sz w:val="20"/>
                <w:szCs w:val="20"/>
                <w:color w:val="auto"/>
              </w:rPr>
            </w:pPr>
            <w:r>
              <w:rPr>
                <w:rFonts w:ascii="Arial" w:cs="Arial" w:eastAsia="Arial" w:hAnsi="Arial"/>
                <w:sz w:val="18"/>
                <w:szCs w:val="18"/>
                <w:color w:val="auto"/>
              </w:rPr>
              <w:t>●</w:t>
            </w:r>
          </w:p>
        </w:tc>
        <w:tc>
          <w:tcPr>
            <w:tcW w:w="44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4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1"/>
              </w:rPr>
              <w:t>●</w:t>
            </w: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1"/>
              </w:rPr>
              <w:t>●</w:t>
            </w: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Auditing/accounting</w:t>
            </w:r>
          </w:p>
        </w:tc>
        <w:tc>
          <w:tcPr>
            <w:tcW w:w="4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1"/>
              </w:rPr>
              <w:t>●</w:t>
            </w:r>
          </w:p>
        </w:tc>
        <w:tc>
          <w:tcPr>
            <w:tcW w:w="420" w:type="dxa"/>
            <w:vAlign w:val="bottom"/>
          </w:tcPr>
          <w:p>
            <w:pPr>
              <w:spacing w:after="0"/>
              <w:rPr>
                <w:sz w:val="20"/>
                <w:szCs w:val="20"/>
                <w:color w:val="auto"/>
              </w:rPr>
            </w:pPr>
          </w:p>
        </w:tc>
        <w:tc>
          <w:tcPr>
            <w:tcW w:w="4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1"/>
              </w:rPr>
              <w:t>●</w:t>
            </w:r>
          </w:p>
        </w:tc>
        <w:tc>
          <w:tcPr>
            <w:tcW w:w="420" w:type="dxa"/>
            <w:vAlign w:val="bottom"/>
          </w:tcPr>
          <w:p>
            <w:pPr>
              <w:spacing w:after="0"/>
              <w:rPr>
                <w:sz w:val="20"/>
                <w:szCs w:val="20"/>
                <w:color w:val="auto"/>
              </w:rPr>
            </w:pPr>
          </w:p>
        </w:tc>
        <w:tc>
          <w:tcPr>
            <w:tcW w:w="440" w:type="dxa"/>
            <w:vAlign w:val="bottom"/>
            <w:shd w:val="clear" w:color="auto" w:fill="E5E5E5"/>
          </w:tcPr>
          <w:p>
            <w:pPr>
              <w:spacing w:after="0"/>
              <w:rPr>
                <w:sz w:val="20"/>
                <w:szCs w:val="20"/>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420" w:type="dxa"/>
            <w:vAlign w:val="bottom"/>
            <w:shd w:val="clear" w:color="auto" w:fill="E5E5E5"/>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1"/>
              </w:rPr>
              <w:t>●</w:t>
            </w: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20"/>
                <w:szCs w:val="20"/>
                <w:color w:val="auto"/>
              </w:rPr>
            </w:pPr>
          </w:p>
        </w:tc>
      </w:tr>
      <w:tr>
        <w:trPr>
          <w:trHeight w:val="378"/>
        </w:trPr>
        <w:tc>
          <w:tcPr>
            <w:tcW w:w="6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Demographic background</w:t>
            </w:r>
          </w:p>
        </w:tc>
        <w:tc>
          <w:tcPr>
            <w:tcW w:w="420" w:type="dxa"/>
            <w:vAlign w:val="bottom"/>
            <w:tcBorders>
              <w:bottom w:val="single" w:sz="8" w:color="auto"/>
            </w:tcBorders>
            <w:shd w:val="clear" w:color="auto" w:fill="E5E5E5"/>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shd w:val="clear" w:color="auto" w:fill="E5E5E5"/>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shd w:val="clear" w:color="auto" w:fill="E5E5E5"/>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shd w:val="clear" w:color="auto" w:fill="E5E5E5"/>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shd w:val="clear" w:color="auto" w:fill="E5E5E5"/>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shd w:val="clear" w:color="auto" w:fill="E5E5E5"/>
          </w:tcPr>
          <w:p>
            <w:pPr>
              <w:spacing w:after="0"/>
              <w:rPr>
                <w:sz w:val="24"/>
                <w:szCs w:val="24"/>
                <w:color w:val="auto"/>
              </w:rPr>
            </w:pPr>
          </w:p>
        </w:tc>
      </w:tr>
      <w:tr>
        <w:trPr>
          <w:trHeight w:val="195"/>
        </w:trPr>
        <w:tc>
          <w:tcPr>
            <w:tcW w:w="6280" w:type="dxa"/>
            <w:vAlign w:val="bottom"/>
          </w:tcPr>
          <w:p>
            <w:pPr>
              <w:spacing w:after="0" w:line="195" w:lineRule="exact"/>
              <w:rPr>
                <w:sz w:val="20"/>
                <w:szCs w:val="20"/>
                <w:color w:val="auto"/>
              </w:rPr>
            </w:pPr>
            <w:r>
              <w:rPr>
                <w:rFonts w:ascii="Arial" w:cs="Arial" w:eastAsia="Arial" w:hAnsi="Arial"/>
                <w:sz w:val="18"/>
                <w:szCs w:val="18"/>
                <w:color w:val="auto"/>
              </w:rPr>
              <w:t>Tenure (Years)</w:t>
            </w:r>
          </w:p>
        </w:tc>
        <w:tc>
          <w:tcPr>
            <w:tcW w:w="420" w:type="dxa"/>
            <w:vAlign w:val="bottom"/>
            <w:shd w:val="clear" w:color="auto" w:fill="E5E5E5"/>
          </w:tcPr>
          <w:p>
            <w:pPr>
              <w:jc w:val="center"/>
              <w:spacing w:after="0" w:line="195" w:lineRule="exact"/>
              <w:rPr>
                <w:sz w:val="20"/>
                <w:szCs w:val="20"/>
                <w:color w:val="auto"/>
              </w:rPr>
            </w:pPr>
            <w:r>
              <w:rPr>
                <w:rFonts w:ascii="Arial" w:cs="Arial" w:eastAsia="Arial" w:hAnsi="Arial"/>
                <w:sz w:val="18"/>
                <w:szCs w:val="18"/>
                <w:color w:val="auto"/>
                <w:w w:val="99"/>
              </w:rPr>
              <w:t>7</w:t>
            </w:r>
          </w:p>
        </w:tc>
        <w:tc>
          <w:tcPr>
            <w:tcW w:w="420" w:type="dxa"/>
            <w:vAlign w:val="bottom"/>
          </w:tcPr>
          <w:p>
            <w:pPr>
              <w:jc w:val="center"/>
              <w:spacing w:after="0" w:line="195" w:lineRule="exact"/>
              <w:rPr>
                <w:sz w:val="20"/>
                <w:szCs w:val="20"/>
                <w:color w:val="auto"/>
              </w:rPr>
            </w:pPr>
            <w:r>
              <w:rPr>
                <w:rFonts w:ascii="Arial" w:cs="Arial" w:eastAsia="Arial" w:hAnsi="Arial"/>
                <w:sz w:val="18"/>
                <w:szCs w:val="18"/>
                <w:color w:val="auto"/>
                <w:w w:val="99"/>
              </w:rPr>
              <w:t>3</w:t>
            </w:r>
          </w:p>
        </w:tc>
        <w:tc>
          <w:tcPr>
            <w:tcW w:w="440" w:type="dxa"/>
            <w:vAlign w:val="bottom"/>
            <w:shd w:val="clear" w:color="auto" w:fill="E5E5E5"/>
          </w:tcPr>
          <w:p>
            <w:pPr>
              <w:jc w:val="center"/>
              <w:spacing w:after="0" w:line="195" w:lineRule="exact"/>
              <w:rPr>
                <w:sz w:val="20"/>
                <w:szCs w:val="20"/>
                <w:color w:val="auto"/>
              </w:rPr>
            </w:pPr>
            <w:r>
              <w:rPr>
                <w:rFonts w:ascii="Arial" w:cs="Arial" w:eastAsia="Arial" w:hAnsi="Arial"/>
                <w:sz w:val="18"/>
                <w:szCs w:val="18"/>
                <w:color w:val="auto"/>
                <w:w w:val="99"/>
              </w:rPr>
              <w:t>5</w:t>
            </w:r>
          </w:p>
        </w:tc>
        <w:tc>
          <w:tcPr>
            <w:tcW w:w="420" w:type="dxa"/>
            <w:vAlign w:val="bottom"/>
          </w:tcPr>
          <w:p>
            <w:pPr>
              <w:jc w:val="center"/>
              <w:spacing w:after="0" w:line="195" w:lineRule="exact"/>
              <w:rPr>
                <w:sz w:val="20"/>
                <w:szCs w:val="20"/>
                <w:color w:val="auto"/>
              </w:rPr>
            </w:pPr>
            <w:r>
              <w:rPr>
                <w:rFonts w:ascii="Arial" w:cs="Arial" w:eastAsia="Arial" w:hAnsi="Arial"/>
                <w:sz w:val="18"/>
                <w:szCs w:val="18"/>
                <w:color w:val="auto"/>
                <w:w w:val="99"/>
              </w:rPr>
              <w:t>16</w:t>
            </w:r>
          </w:p>
        </w:tc>
        <w:tc>
          <w:tcPr>
            <w:tcW w:w="440" w:type="dxa"/>
            <w:vAlign w:val="bottom"/>
            <w:shd w:val="clear" w:color="auto" w:fill="E5E5E5"/>
          </w:tcPr>
          <w:p>
            <w:pPr>
              <w:jc w:val="center"/>
              <w:spacing w:after="0" w:line="195" w:lineRule="exact"/>
              <w:rPr>
                <w:sz w:val="20"/>
                <w:szCs w:val="20"/>
                <w:color w:val="auto"/>
              </w:rPr>
            </w:pPr>
            <w:r>
              <w:rPr>
                <w:rFonts w:ascii="Arial" w:cs="Arial" w:eastAsia="Arial" w:hAnsi="Arial"/>
                <w:sz w:val="18"/>
                <w:szCs w:val="18"/>
                <w:color w:val="auto"/>
                <w:w w:val="99"/>
              </w:rPr>
              <w:t>2</w:t>
            </w:r>
          </w:p>
        </w:tc>
        <w:tc>
          <w:tcPr>
            <w:tcW w:w="440" w:type="dxa"/>
            <w:vAlign w:val="bottom"/>
          </w:tcPr>
          <w:p>
            <w:pPr>
              <w:jc w:val="center"/>
              <w:spacing w:after="0" w:line="195" w:lineRule="exact"/>
              <w:rPr>
                <w:sz w:val="20"/>
                <w:szCs w:val="20"/>
                <w:color w:val="auto"/>
              </w:rPr>
            </w:pPr>
            <w:r>
              <w:rPr>
                <w:rFonts w:ascii="Arial" w:cs="Arial" w:eastAsia="Arial" w:hAnsi="Arial"/>
                <w:sz w:val="18"/>
                <w:szCs w:val="18"/>
                <w:color w:val="auto"/>
                <w:w w:val="99"/>
              </w:rPr>
              <w:t>4</w:t>
            </w:r>
          </w:p>
        </w:tc>
        <w:tc>
          <w:tcPr>
            <w:tcW w:w="420" w:type="dxa"/>
            <w:vAlign w:val="bottom"/>
            <w:shd w:val="clear" w:color="auto" w:fill="E5E5E5"/>
          </w:tcPr>
          <w:p>
            <w:pPr>
              <w:jc w:val="center"/>
              <w:spacing w:after="0" w:line="195" w:lineRule="exact"/>
              <w:rPr>
                <w:sz w:val="20"/>
                <w:szCs w:val="20"/>
                <w:color w:val="auto"/>
              </w:rPr>
            </w:pPr>
            <w:r>
              <w:rPr>
                <w:rFonts w:ascii="Arial" w:cs="Arial" w:eastAsia="Arial" w:hAnsi="Arial"/>
                <w:sz w:val="18"/>
                <w:szCs w:val="18"/>
                <w:color w:val="auto"/>
              </w:rPr>
              <w:t>*</w:t>
            </w:r>
          </w:p>
        </w:tc>
        <w:tc>
          <w:tcPr>
            <w:tcW w:w="440" w:type="dxa"/>
            <w:vAlign w:val="bottom"/>
          </w:tcPr>
          <w:p>
            <w:pPr>
              <w:jc w:val="center"/>
              <w:spacing w:after="0" w:line="195" w:lineRule="exact"/>
              <w:rPr>
                <w:sz w:val="20"/>
                <w:szCs w:val="20"/>
                <w:color w:val="auto"/>
              </w:rPr>
            </w:pPr>
            <w:r>
              <w:rPr>
                <w:rFonts w:ascii="Arial" w:cs="Arial" w:eastAsia="Arial" w:hAnsi="Arial"/>
                <w:sz w:val="18"/>
                <w:szCs w:val="18"/>
                <w:color w:val="auto"/>
                <w:w w:val="99"/>
              </w:rPr>
              <w:t>7</w:t>
            </w:r>
          </w:p>
        </w:tc>
        <w:tc>
          <w:tcPr>
            <w:tcW w:w="420" w:type="dxa"/>
            <w:vAlign w:val="bottom"/>
            <w:shd w:val="clear" w:color="auto" w:fill="E5E5E5"/>
          </w:tcPr>
          <w:p>
            <w:pPr>
              <w:jc w:val="center"/>
              <w:spacing w:after="0" w:line="195" w:lineRule="exact"/>
              <w:rPr>
                <w:sz w:val="20"/>
                <w:szCs w:val="20"/>
                <w:color w:val="auto"/>
              </w:rPr>
            </w:pPr>
            <w:r>
              <w:rPr>
                <w:rFonts w:ascii="Arial" w:cs="Arial" w:eastAsia="Arial" w:hAnsi="Arial"/>
                <w:sz w:val="18"/>
                <w:szCs w:val="18"/>
                <w:color w:val="auto"/>
                <w:w w:val="99"/>
              </w:rPr>
              <w:t>16</w:t>
            </w:r>
          </w:p>
        </w:tc>
        <w:tc>
          <w:tcPr>
            <w:tcW w:w="440" w:type="dxa"/>
            <w:vAlign w:val="bottom"/>
          </w:tcPr>
          <w:p>
            <w:pPr>
              <w:jc w:val="center"/>
              <w:spacing w:after="0" w:line="195" w:lineRule="exact"/>
              <w:rPr>
                <w:sz w:val="20"/>
                <w:szCs w:val="20"/>
                <w:color w:val="auto"/>
              </w:rPr>
            </w:pPr>
            <w:r>
              <w:rPr>
                <w:rFonts w:ascii="Arial" w:cs="Arial" w:eastAsia="Arial" w:hAnsi="Arial"/>
                <w:sz w:val="18"/>
                <w:szCs w:val="18"/>
                <w:color w:val="auto"/>
                <w:w w:val="99"/>
              </w:rPr>
              <w:t>9</w:t>
            </w:r>
          </w:p>
        </w:tc>
        <w:tc>
          <w:tcPr>
            <w:tcW w:w="440" w:type="dxa"/>
            <w:vAlign w:val="bottom"/>
            <w:shd w:val="clear" w:color="auto" w:fill="E5E5E5"/>
          </w:tcPr>
          <w:p>
            <w:pPr>
              <w:jc w:val="center"/>
              <w:spacing w:after="0" w:line="195" w:lineRule="exact"/>
              <w:rPr>
                <w:sz w:val="20"/>
                <w:szCs w:val="20"/>
                <w:color w:val="auto"/>
              </w:rPr>
            </w:pPr>
            <w:r>
              <w:rPr>
                <w:rFonts w:ascii="Arial" w:cs="Arial" w:eastAsia="Arial" w:hAnsi="Arial"/>
                <w:sz w:val="18"/>
                <w:szCs w:val="18"/>
                <w:color w:val="auto"/>
                <w:w w:val="99"/>
              </w:rPr>
              <w:t>17</w:t>
            </w: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Age (Years)</w:t>
            </w:r>
          </w:p>
        </w:tc>
        <w:tc>
          <w:tcPr>
            <w:tcW w:w="42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58</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9"/>
              </w:rPr>
              <w:t>56</w:t>
            </w:r>
          </w:p>
        </w:tc>
        <w:tc>
          <w:tcPr>
            <w:tcW w:w="44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65</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9"/>
              </w:rPr>
              <w:t>62</w:t>
            </w:r>
          </w:p>
        </w:tc>
        <w:tc>
          <w:tcPr>
            <w:tcW w:w="44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60</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59</w:t>
            </w:r>
          </w:p>
        </w:tc>
        <w:tc>
          <w:tcPr>
            <w:tcW w:w="42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55</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65</w:t>
            </w:r>
          </w:p>
        </w:tc>
        <w:tc>
          <w:tcPr>
            <w:tcW w:w="42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63</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54</w:t>
            </w:r>
          </w:p>
        </w:tc>
        <w:tc>
          <w:tcPr>
            <w:tcW w:w="44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61</w:t>
            </w: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Gender</w:t>
            </w:r>
          </w:p>
        </w:tc>
        <w:tc>
          <w:tcPr>
            <w:tcW w:w="420" w:type="dxa"/>
            <w:vAlign w:val="bottom"/>
            <w:shd w:val="clear" w:color="auto" w:fill="E5E5E5"/>
          </w:tcPr>
          <w:p>
            <w:pPr>
              <w:ind w:left="140"/>
              <w:spacing w:after="0" w:line="202" w:lineRule="exact"/>
              <w:rPr>
                <w:sz w:val="20"/>
                <w:szCs w:val="20"/>
                <w:color w:val="auto"/>
              </w:rPr>
            </w:pPr>
            <w:r>
              <w:rPr>
                <w:rFonts w:ascii="Arial" w:cs="Arial" w:eastAsia="Arial" w:hAnsi="Arial"/>
                <w:sz w:val="18"/>
                <w:szCs w:val="18"/>
                <w:color w:val="auto"/>
              </w:rPr>
              <w:t>M</w:t>
            </w:r>
          </w:p>
        </w:tc>
        <w:tc>
          <w:tcPr>
            <w:tcW w:w="420" w:type="dxa"/>
            <w:vAlign w:val="bottom"/>
          </w:tcPr>
          <w:p>
            <w:pPr>
              <w:ind w:left="140"/>
              <w:spacing w:after="0" w:line="202" w:lineRule="exact"/>
              <w:rPr>
                <w:sz w:val="20"/>
                <w:szCs w:val="20"/>
                <w:color w:val="auto"/>
              </w:rPr>
            </w:pPr>
            <w:r>
              <w:rPr>
                <w:rFonts w:ascii="Arial" w:cs="Arial" w:eastAsia="Arial" w:hAnsi="Arial"/>
                <w:sz w:val="18"/>
                <w:szCs w:val="18"/>
                <w:color w:val="auto"/>
              </w:rPr>
              <w:t>M</w:t>
            </w:r>
          </w:p>
        </w:tc>
        <w:tc>
          <w:tcPr>
            <w:tcW w:w="44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F</w:t>
            </w:r>
          </w:p>
        </w:tc>
        <w:tc>
          <w:tcPr>
            <w:tcW w:w="420" w:type="dxa"/>
            <w:vAlign w:val="bottom"/>
          </w:tcPr>
          <w:p>
            <w:pPr>
              <w:ind w:left="180"/>
              <w:spacing w:after="0" w:line="202" w:lineRule="exact"/>
              <w:rPr>
                <w:sz w:val="20"/>
                <w:szCs w:val="20"/>
                <w:color w:val="auto"/>
              </w:rPr>
            </w:pPr>
            <w:r>
              <w:rPr>
                <w:rFonts w:ascii="Arial" w:cs="Arial" w:eastAsia="Arial" w:hAnsi="Arial"/>
                <w:sz w:val="18"/>
                <w:szCs w:val="18"/>
                <w:color w:val="auto"/>
              </w:rPr>
              <w:t>F</w:t>
            </w:r>
          </w:p>
        </w:tc>
        <w:tc>
          <w:tcPr>
            <w:tcW w:w="440" w:type="dxa"/>
            <w:vAlign w:val="bottom"/>
            <w:shd w:val="clear" w:color="auto" w:fill="E5E5E5"/>
          </w:tcPr>
          <w:p>
            <w:pPr>
              <w:ind w:left="160"/>
              <w:spacing w:after="0" w:line="202" w:lineRule="exact"/>
              <w:rPr>
                <w:sz w:val="20"/>
                <w:szCs w:val="20"/>
                <w:color w:val="auto"/>
              </w:rPr>
            </w:pPr>
            <w:r>
              <w:rPr>
                <w:rFonts w:ascii="Arial" w:cs="Arial" w:eastAsia="Arial" w:hAnsi="Arial"/>
                <w:sz w:val="18"/>
                <w:szCs w:val="18"/>
                <w:color w:val="auto"/>
              </w:rPr>
              <w:t>M</w:t>
            </w:r>
          </w:p>
        </w:tc>
        <w:tc>
          <w:tcPr>
            <w:tcW w:w="440" w:type="dxa"/>
            <w:vAlign w:val="bottom"/>
          </w:tcPr>
          <w:p>
            <w:pPr>
              <w:ind w:left="180"/>
              <w:spacing w:after="0" w:line="202" w:lineRule="exact"/>
              <w:rPr>
                <w:sz w:val="20"/>
                <w:szCs w:val="20"/>
                <w:color w:val="auto"/>
              </w:rPr>
            </w:pPr>
            <w:r>
              <w:rPr>
                <w:rFonts w:ascii="Arial" w:cs="Arial" w:eastAsia="Arial" w:hAnsi="Arial"/>
                <w:sz w:val="18"/>
                <w:szCs w:val="18"/>
                <w:color w:val="auto"/>
              </w:rPr>
              <w:t>F</w:t>
            </w:r>
          </w:p>
        </w:tc>
        <w:tc>
          <w:tcPr>
            <w:tcW w:w="420" w:type="dxa"/>
            <w:vAlign w:val="bottom"/>
            <w:shd w:val="clear" w:color="auto" w:fill="E5E5E5"/>
          </w:tcPr>
          <w:p>
            <w:pPr>
              <w:ind w:left="140"/>
              <w:spacing w:after="0" w:line="202" w:lineRule="exact"/>
              <w:rPr>
                <w:sz w:val="20"/>
                <w:szCs w:val="20"/>
                <w:color w:val="auto"/>
              </w:rPr>
            </w:pPr>
            <w:r>
              <w:rPr>
                <w:rFonts w:ascii="Arial" w:cs="Arial" w:eastAsia="Arial" w:hAnsi="Arial"/>
                <w:sz w:val="18"/>
                <w:szCs w:val="18"/>
                <w:color w:val="auto"/>
              </w:rPr>
              <w:t>M</w:t>
            </w:r>
          </w:p>
        </w:tc>
        <w:tc>
          <w:tcPr>
            <w:tcW w:w="440" w:type="dxa"/>
            <w:vAlign w:val="bottom"/>
          </w:tcPr>
          <w:p>
            <w:pPr>
              <w:ind w:left="160"/>
              <w:spacing w:after="0" w:line="202" w:lineRule="exact"/>
              <w:rPr>
                <w:sz w:val="20"/>
                <w:szCs w:val="20"/>
                <w:color w:val="auto"/>
              </w:rPr>
            </w:pPr>
            <w:r>
              <w:rPr>
                <w:rFonts w:ascii="Arial" w:cs="Arial" w:eastAsia="Arial" w:hAnsi="Arial"/>
                <w:sz w:val="18"/>
                <w:szCs w:val="18"/>
                <w:color w:val="auto"/>
              </w:rPr>
              <w:t>M</w:t>
            </w:r>
          </w:p>
        </w:tc>
        <w:tc>
          <w:tcPr>
            <w:tcW w:w="42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F</w:t>
            </w:r>
          </w:p>
        </w:tc>
        <w:tc>
          <w:tcPr>
            <w:tcW w:w="440" w:type="dxa"/>
            <w:vAlign w:val="bottom"/>
          </w:tcPr>
          <w:p>
            <w:pPr>
              <w:ind w:left="160"/>
              <w:spacing w:after="0" w:line="202" w:lineRule="exact"/>
              <w:rPr>
                <w:sz w:val="20"/>
                <w:szCs w:val="20"/>
                <w:color w:val="auto"/>
              </w:rPr>
            </w:pPr>
            <w:r>
              <w:rPr>
                <w:rFonts w:ascii="Arial" w:cs="Arial" w:eastAsia="Arial" w:hAnsi="Arial"/>
                <w:sz w:val="18"/>
                <w:szCs w:val="18"/>
                <w:color w:val="auto"/>
              </w:rPr>
              <w:t>M</w:t>
            </w:r>
          </w:p>
        </w:tc>
        <w:tc>
          <w:tcPr>
            <w:tcW w:w="440" w:type="dxa"/>
            <w:vAlign w:val="bottom"/>
            <w:shd w:val="clear" w:color="auto" w:fill="E5E5E5"/>
          </w:tcPr>
          <w:p>
            <w:pPr>
              <w:ind w:left="160"/>
              <w:spacing w:after="0" w:line="202" w:lineRule="exact"/>
              <w:rPr>
                <w:sz w:val="20"/>
                <w:szCs w:val="20"/>
                <w:color w:val="auto"/>
              </w:rPr>
            </w:pPr>
            <w:r>
              <w:rPr>
                <w:rFonts w:ascii="Arial" w:cs="Arial" w:eastAsia="Arial" w:hAnsi="Arial"/>
                <w:sz w:val="18"/>
                <w:szCs w:val="18"/>
                <w:color w:val="auto"/>
              </w:rPr>
              <w:t>M</w:t>
            </w:r>
          </w:p>
        </w:tc>
      </w:tr>
      <w:tr>
        <w:trPr>
          <w:trHeight w:val="217"/>
        </w:trPr>
        <w:tc>
          <w:tcPr>
            <w:tcW w:w="6280" w:type="dxa"/>
            <w:vAlign w:val="bottom"/>
          </w:tcPr>
          <w:p>
            <w:pPr>
              <w:spacing w:after="0"/>
              <w:rPr>
                <w:sz w:val="20"/>
                <w:szCs w:val="20"/>
                <w:color w:val="auto"/>
              </w:rPr>
            </w:pPr>
            <w:r>
              <w:rPr>
                <w:rFonts w:ascii="Arial" w:cs="Arial" w:eastAsia="Arial" w:hAnsi="Arial"/>
                <w:sz w:val="18"/>
                <w:szCs w:val="18"/>
                <w:color w:val="auto"/>
              </w:rPr>
              <w:t>Race/Ethnicity **</w:t>
            </w:r>
          </w:p>
        </w:tc>
        <w:tc>
          <w:tcPr>
            <w:tcW w:w="420" w:type="dxa"/>
            <w:vAlign w:val="bottom"/>
            <w:shd w:val="clear" w:color="auto" w:fill="E5E5E5"/>
          </w:tcPr>
          <w:p>
            <w:pPr>
              <w:ind w:left="140"/>
              <w:spacing w:after="0"/>
              <w:rPr>
                <w:sz w:val="20"/>
                <w:szCs w:val="20"/>
                <w:color w:val="auto"/>
              </w:rPr>
            </w:pPr>
            <w:r>
              <w:rPr>
                <w:rFonts w:ascii="Arial" w:cs="Arial" w:eastAsia="Arial" w:hAnsi="Arial"/>
                <w:sz w:val="18"/>
                <w:szCs w:val="18"/>
                <w:color w:val="auto"/>
              </w:rPr>
              <w:t>C</w:t>
            </w:r>
          </w:p>
        </w:tc>
        <w:tc>
          <w:tcPr>
            <w:tcW w:w="420" w:type="dxa"/>
            <w:vAlign w:val="bottom"/>
          </w:tcPr>
          <w:p>
            <w:pPr>
              <w:ind w:left="160"/>
              <w:spacing w:after="0"/>
              <w:rPr>
                <w:sz w:val="20"/>
                <w:szCs w:val="20"/>
                <w:color w:val="auto"/>
              </w:rPr>
            </w:pPr>
            <w:r>
              <w:rPr>
                <w:rFonts w:ascii="Arial" w:cs="Arial" w:eastAsia="Arial" w:hAnsi="Arial"/>
                <w:sz w:val="18"/>
                <w:szCs w:val="18"/>
                <w:color w:val="auto"/>
              </w:rPr>
              <w:t>C</w:t>
            </w:r>
          </w:p>
        </w:tc>
        <w:tc>
          <w:tcPr>
            <w:tcW w:w="440" w:type="dxa"/>
            <w:vAlign w:val="bottom"/>
            <w:shd w:val="clear" w:color="auto" w:fill="E5E5E5"/>
          </w:tcPr>
          <w:p>
            <w:pPr>
              <w:ind w:left="160"/>
              <w:spacing w:after="0"/>
              <w:rPr>
                <w:sz w:val="20"/>
                <w:szCs w:val="20"/>
                <w:color w:val="auto"/>
              </w:rPr>
            </w:pPr>
            <w:r>
              <w:rPr>
                <w:rFonts w:ascii="Arial" w:cs="Arial" w:eastAsia="Arial" w:hAnsi="Arial"/>
                <w:sz w:val="18"/>
                <w:szCs w:val="18"/>
                <w:color w:val="auto"/>
              </w:rPr>
              <w:t>C</w:t>
            </w:r>
          </w:p>
        </w:tc>
        <w:tc>
          <w:tcPr>
            <w:tcW w:w="420" w:type="dxa"/>
            <w:vAlign w:val="bottom"/>
          </w:tcPr>
          <w:p>
            <w:pPr>
              <w:ind w:left="160"/>
              <w:spacing w:after="0"/>
              <w:rPr>
                <w:sz w:val="20"/>
                <w:szCs w:val="20"/>
                <w:color w:val="auto"/>
              </w:rPr>
            </w:pPr>
            <w:r>
              <w:rPr>
                <w:rFonts w:ascii="Arial" w:cs="Arial" w:eastAsia="Arial" w:hAnsi="Arial"/>
                <w:sz w:val="18"/>
                <w:szCs w:val="18"/>
                <w:color w:val="auto"/>
              </w:rPr>
              <w:t>C</w:t>
            </w:r>
          </w:p>
        </w:tc>
        <w:tc>
          <w:tcPr>
            <w:tcW w:w="440" w:type="dxa"/>
            <w:vAlign w:val="bottom"/>
            <w:shd w:val="clear" w:color="auto" w:fill="E5E5E5"/>
          </w:tcPr>
          <w:p>
            <w:pPr>
              <w:ind w:left="180"/>
              <w:spacing w:after="0"/>
              <w:rPr>
                <w:sz w:val="20"/>
                <w:szCs w:val="20"/>
                <w:color w:val="auto"/>
              </w:rPr>
            </w:pPr>
            <w:r>
              <w:rPr>
                <w:rFonts w:ascii="Arial" w:cs="Arial" w:eastAsia="Arial" w:hAnsi="Arial"/>
                <w:sz w:val="18"/>
                <w:szCs w:val="18"/>
                <w:color w:val="auto"/>
              </w:rPr>
              <w:t>C</w:t>
            </w:r>
          </w:p>
        </w:tc>
        <w:tc>
          <w:tcPr>
            <w:tcW w:w="440" w:type="dxa"/>
            <w:vAlign w:val="bottom"/>
          </w:tcPr>
          <w:p>
            <w:pPr>
              <w:ind w:left="160"/>
              <w:spacing w:after="0"/>
              <w:rPr>
                <w:sz w:val="20"/>
                <w:szCs w:val="20"/>
                <w:color w:val="auto"/>
              </w:rPr>
            </w:pPr>
            <w:r>
              <w:rPr>
                <w:rFonts w:ascii="Arial" w:cs="Arial" w:eastAsia="Arial" w:hAnsi="Arial"/>
                <w:sz w:val="18"/>
                <w:szCs w:val="18"/>
                <w:color w:val="auto"/>
              </w:rPr>
              <w:t>C</w:t>
            </w:r>
          </w:p>
        </w:tc>
        <w:tc>
          <w:tcPr>
            <w:tcW w:w="420" w:type="dxa"/>
            <w:vAlign w:val="bottom"/>
            <w:shd w:val="clear" w:color="auto" w:fill="E5E5E5"/>
          </w:tcPr>
          <w:p>
            <w:pPr>
              <w:ind w:left="160"/>
              <w:spacing w:after="0"/>
              <w:rPr>
                <w:sz w:val="20"/>
                <w:szCs w:val="20"/>
                <w:color w:val="auto"/>
              </w:rPr>
            </w:pPr>
            <w:r>
              <w:rPr>
                <w:rFonts w:ascii="Arial" w:cs="Arial" w:eastAsia="Arial" w:hAnsi="Arial"/>
                <w:sz w:val="18"/>
                <w:szCs w:val="18"/>
                <w:color w:val="auto"/>
              </w:rPr>
              <w:t>A</w:t>
            </w:r>
          </w:p>
        </w:tc>
        <w:tc>
          <w:tcPr>
            <w:tcW w:w="440" w:type="dxa"/>
            <w:vAlign w:val="bottom"/>
          </w:tcPr>
          <w:p>
            <w:pPr>
              <w:ind w:left="180"/>
              <w:spacing w:after="0"/>
              <w:rPr>
                <w:sz w:val="20"/>
                <w:szCs w:val="20"/>
                <w:color w:val="auto"/>
              </w:rPr>
            </w:pPr>
            <w:r>
              <w:rPr>
                <w:rFonts w:ascii="Arial" w:cs="Arial" w:eastAsia="Arial" w:hAnsi="Arial"/>
                <w:sz w:val="18"/>
                <w:szCs w:val="18"/>
                <w:color w:val="auto"/>
              </w:rPr>
              <w:t>B</w:t>
            </w:r>
          </w:p>
        </w:tc>
        <w:tc>
          <w:tcPr>
            <w:tcW w:w="420" w:type="dxa"/>
            <w:vAlign w:val="bottom"/>
            <w:shd w:val="clear" w:color="auto" w:fill="E5E5E5"/>
          </w:tcPr>
          <w:p>
            <w:pPr>
              <w:ind w:left="160"/>
              <w:spacing w:after="0"/>
              <w:rPr>
                <w:sz w:val="20"/>
                <w:szCs w:val="20"/>
                <w:color w:val="auto"/>
              </w:rPr>
            </w:pPr>
            <w:r>
              <w:rPr>
                <w:rFonts w:ascii="Arial" w:cs="Arial" w:eastAsia="Arial" w:hAnsi="Arial"/>
                <w:sz w:val="18"/>
                <w:szCs w:val="18"/>
                <w:color w:val="auto"/>
              </w:rPr>
              <w:t>C</w:t>
            </w:r>
          </w:p>
        </w:tc>
        <w:tc>
          <w:tcPr>
            <w:tcW w:w="440" w:type="dxa"/>
            <w:vAlign w:val="bottom"/>
          </w:tcPr>
          <w:p>
            <w:pPr>
              <w:ind w:left="180"/>
              <w:spacing w:after="0"/>
              <w:rPr>
                <w:sz w:val="20"/>
                <w:szCs w:val="20"/>
                <w:color w:val="auto"/>
              </w:rPr>
            </w:pPr>
            <w:r>
              <w:rPr>
                <w:rFonts w:ascii="Arial" w:cs="Arial" w:eastAsia="Arial" w:hAnsi="Arial"/>
                <w:sz w:val="18"/>
                <w:szCs w:val="18"/>
                <w:color w:val="auto"/>
              </w:rPr>
              <w:t>H</w:t>
            </w:r>
          </w:p>
        </w:tc>
        <w:tc>
          <w:tcPr>
            <w:tcW w:w="440" w:type="dxa"/>
            <w:vAlign w:val="bottom"/>
            <w:shd w:val="clear" w:color="auto" w:fill="E5E5E5"/>
          </w:tcPr>
          <w:p>
            <w:pPr>
              <w:ind w:left="160"/>
              <w:spacing w:after="0"/>
              <w:rPr>
                <w:sz w:val="20"/>
                <w:szCs w:val="20"/>
                <w:color w:val="auto"/>
              </w:rPr>
            </w:pPr>
            <w:r>
              <w:rPr>
                <w:rFonts w:ascii="Arial" w:cs="Arial" w:eastAsia="Arial" w:hAnsi="Arial"/>
                <w:sz w:val="18"/>
                <w:szCs w:val="18"/>
                <w:color w:val="auto"/>
              </w:rPr>
              <w:t>C</w:t>
            </w:r>
          </w:p>
        </w:tc>
      </w:tr>
      <w:tr>
        <w:trPr>
          <w:trHeight w:val="40"/>
        </w:trPr>
        <w:tc>
          <w:tcPr>
            <w:tcW w:w="6280" w:type="dxa"/>
            <w:vAlign w:val="bottom"/>
          </w:tcPr>
          <w:p>
            <w:pPr>
              <w:spacing w:after="0"/>
              <w:rPr>
                <w:sz w:val="3"/>
                <w:szCs w:val="3"/>
                <w:color w:val="auto"/>
              </w:rPr>
            </w:pPr>
          </w:p>
        </w:tc>
        <w:tc>
          <w:tcPr>
            <w:tcW w:w="420" w:type="dxa"/>
            <w:vAlign w:val="bottom"/>
            <w:shd w:val="clear" w:color="auto" w:fill="E5E5E5"/>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shd w:val="clear" w:color="auto" w:fill="E5E5E5"/>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shd w:val="clear" w:color="auto" w:fill="E5E5E5"/>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shd w:val="clear" w:color="auto" w:fill="E5E5E5"/>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shd w:val="clear" w:color="auto" w:fill="E5E5E5"/>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shd w:val="clear" w:color="auto" w:fill="E5E5E5"/>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-2802890</wp:posOffset>
            </wp:positionV>
            <wp:extent cx="93980" cy="6089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3980" cy="60896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-2794000</wp:posOffset>
            </wp:positionV>
            <wp:extent cx="94615" cy="6000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4615" cy="60007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-2828290</wp:posOffset>
            </wp:positionV>
            <wp:extent cx="94615" cy="6343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4615" cy="63436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-2631440</wp:posOffset>
            </wp:positionV>
            <wp:extent cx="94615" cy="437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4615" cy="4375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-2700020</wp:posOffset>
            </wp:positionV>
            <wp:extent cx="93980" cy="5060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3980" cy="50609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-2700020</wp:posOffset>
            </wp:positionV>
            <wp:extent cx="93980" cy="5060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3980" cy="50609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-2580005</wp:posOffset>
            </wp:positionV>
            <wp:extent cx="94615" cy="3860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4615" cy="38608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-2802890</wp:posOffset>
            </wp:positionV>
            <wp:extent cx="93980" cy="6089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3980" cy="60896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-2811145</wp:posOffset>
            </wp:positionV>
            <wp:extent cx="94615" cy="6172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4615" cy="617220"/>
                    </a:xfrm>
                    <a:prstGeom prst="rect">
                      <a:avLst/>
                    </a:prstGeom>
                    <a:noFill/>
                  </pic:spPr>
                </pic:pic>
              </a:graphicData>
            </a:graphic>
          </wp:anchor>
        </w:drawing>
      </w:r>
    </w:p>
    <w:p>
      <w:pPr>
        <w:spacing w:after="0" w:line="8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Elected to the board effective April 1, 2020</w:t>
      </w:r>
    </w:p>
    <w:p>
      <w:pPr>
        <w:ind w:left="120"/>
        <w:spacing w:after="0"/>
        <w:rPr>
          <w:sz w:val="20"/>
          <w:szCs w:val="20"/>
          <w:color w:val="auto"/>
        </w:rPr>
      </w:pPr>
      <w:r>
        <w:rPr>
          <w:rFonts w:ascii="Arial" w:cs="Arial" w:eastAsia="Arial" w:hAnsi="Arial"/>
          <w:sz w:val="18"/>
          <w:szCs w:val="18"/>
          <w:color w:val="auto"/>
        </w:rPr>
        <w:t>** A = Asian; B = African American/Black; C = Caucasian/White; H = Hispanic/Latino</w:t>
      </w:r>
    </w:p>
    <w:p>
      <w:pPr>
        <w:spacing w:after="0" w:line="212"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 board prefers a mix of background and experience among its members. The board does not follow any ratio or formula to determine the appropriate mix. Rather, it uses its judgment to identify nominees whose backgrounds, attributes and experiences, taken as a whole, will contribute to the high standards of board service at the company. The board actively seeks women and minority candidates for the pool from which board candidates are chosen. Maintaining a balance of tenure among the directors is also part of the board’s consideration. Longer-serving directors bring valuable experience with the company and familiarity with the strategic and operational challenges it has faced over the years, while newer directors bring fresh perspectives and ideas. To help maintain this balance, the company has a mandatory retirement policy, pursuant to which directors cannot stand for election after reaching age 70. The effectiveness of the board’s approach to board composition decisions is evidenced by the directors’ participation in the insightful and robust, yet respectful, deliberation that occurs at board and committee meetings, and in shaping the agendas for those meetings.</w:t>
      </w:r>
    </w:p>
    <w:p>
      <w:pPr>
        <w:spacing w:after="0" w:line="134" w:lineRule="exact"/>
        <w:rPr>
          <w:sz w:val="20"/>
          <w:szCs w:val="20"/>
          <w:color w:val="auto"/>
        </w:rPr>
      </w:pPr>
    </w:p>
    <w:tbl>
      <w:tblPr>
        <w:tblLayout w:type="fixed"/>
        <w:tblInd w:w="4040" w:type="dxa"/>
        <w:tblCellMar>
          <w:top w:w="0" w:type="dxa"/>
          <w:left w:w="0" w:type="dxa"/>
          <w:bottom w:w="0" w:type="dxa"/>
          <w:right w:w="0" w:type="dxa"/>
        </w:tblCellMar>
      </w:tblPr>
      <w:tr>
        <w:trPr>
          <w:trHeight w:val="152"/>
        </w:trPr>
        <w:tc>
          <w:tcPr>
            <w:tcW w:w="5100" w:type="dxa"/>
            <w:vAlign w:val="bottom"/>
          </w:tcPr>
          <w:p>
            <w:pPr>
              <w:spacing w:after="0"/>
              <w:rPr>
                <w:sz w:val="20"/>
                <w:szCs w:val="20"/>
                <w:color w:val="auto"/>
              </w:rPr>
            </w:pPr>
            <w:r>
              <w:rPr>
                <w:rFonts w:ascii="Arial" w:cs="Arial" w:eastAsia="Arial" w:hAnsi="Arial"/>
                <w:sz w:val="13"/>
                <w:szCs w:val="13"/>
                <w:color w:val="666666"/>
              </w:rPr>
              <w:t>TEXAS INSTRUMENTS  •  2020 PROXY STATEMENT</w:t>
            </w:r>
          </w:p>
        </w:tc>
        <w:tc>
          <w:tcPr>
            <w:tcW w:w="1980" w:type="dxa"/>
            <w:vAlign w:val="bottom"/>
          </w:tcPr>
          <w:p>
            <w:pPr>
              <w:jc w:val="right"/>
              <w:spacing w:after="0"/>
              <w:rPr>
                <w:sz w:val="20"/>
                <w:szCs w:val="20"/>
                <w:color w:val="auto"/>
              </w:rPr>
            </w:pPr>
            <w:r>
              <w:rPr>
                <w:rFonts w:ascii="Arial" w:cs="Arial" w:eastAsia="Arial" w:hAnsi="Arial"/>
                <w:sz w:val="13"/>
                <w:szCs w:val="13"/>
                <w:color w:val="666666"/>
              </w:rPr>
              <w:t>5</w:t>
            </w:r>
          </w:p>
        </w:tc>
      </w:tr>
    </w:tbl>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Nominee criteria</w:t>
      </w:r>
    </w:p>
    <w:p>
      <w:pPr>
        <w:spacing w:after="0" w:line="212" w:lineRule="exact"/>
        <w:rPr>
          <w:sz w:val="20"/>
          <w:szCs w:val="20"/>
          <w:color w:val="auto"/>
        </w:rPr>
      </w:pPr>
    </w:p>
    <w:p>
      <w:pPr>
        <w:ind w:left="120" w:right="360"/>
        <w:spacing w:after="0" w:line="246" w:lineRule="auto"/>
        <w:rPr>
          <w:sz w:val="20"/>
          <w:szCs w:val="20"/>
          <w:color w:val="auto"/>
        </w:rPr>
      </w:pPr>
      <w:r>
        <w:rPr>
          <w:rFonts w:ascii="Arial" w:cs="Arial" w:eastAsia="Arial" w:hAnsi="Arial"/>
          <w:sz w:val="18"/>
          <w:szCs w:val="18"/>
          <w:color w:val="auto"/>
        </w:rPr>
        <w:t>In evaluating prospective nominees and as stated in our corporate governance guidelines, the Governance and Stockholder Relations (GSR) Committee considers the following criteria:</w:t>
      </w:r>
    </w:p>
    <w:p>
      <w:pPr>
        <w:spacing w:after="0" w:line="219" w:lineRule="exact"/>
        <w:rPr>
          <w:sz w:val="20"/>
          <w:szCs w:val="20"/>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Outstanding achievement in the individual’s personal career.</w:t>
      </w:r>
    </w:p>
    <w:p>
      <w:pPr>
        <w:ind w:left="760" w:hanging="320"/>
        <w:spacing w:after="0" w:line="234"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Relevant commercial expertise.</w:t>
      </w:r>
    </w:p>
    <w:p>
      <w:pPr>
        <w:ind w:left="760" w:hanging="320"/>
        <w:spacing w:after="0" w:line="234"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International operations experience.</w:t>
      </w:r>
    </w:p>
    <w:p>
      <w:pPr>
        <w:ind w:left="760" w:hanging="320"/>
        <w:spacing w:after="0" w:line="234"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acumen.</w:t>
      </w:r>
    </w:p>
    <w:p>
      <w:pPr>
        <w:ind w:left="760" w:hanging="320"/>
        <w:spacing w:after="0" w:line="234"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experience.</w:t>
      </w:r>
    </w:p>
    <w:p>
      <w:pPr>
        <w:ind w:left="760" w:hanging="320"/>
        <w:spacing w:after="0" w:line="234"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Standards of integrity and soundness of judgment.</w:t>
      </w:r>
    </w:p>
    <w:p>
      <w:pPr>
        <w:ind w:left="760" w:hanging="320"/>
        <w:spacing w:after="0" w:line="234"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make independent, analytical inquiries.</w:t>
      </w:r>
    </w:p>
    <w:p>
      <w:pPr>
        <w:ind w:left="760" w:right="120" w:hanging="320"/>
        <w:spacing w:after="0" w:line="234"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represent the total corporate interests of TI (a director will not be selected to, nor be expected to, represent the interests of any particular group).</w:t>
      </w:r>
    </w:p>
    <w:p>
      <w:pPr>
        <w:spacing w:after="0" w:line="1" w:lineRule="exact"/>
        <w:rPr>
          <w:rFonts w:ascii="Arial" w:cs="Arial" w:eastAsia="Arial" w:hAnsi="Arial"/>
          <w:sz w:val="18"/>
          <w:szCs w:val="18"/>
          <w:color w:val="auto"/>
        </w:rPr>
      </w:pPr>
    </w:p>
    <w:p>
      <w:pPr>
        <w:ind w:left="760" w:hanging="320"/>
        <w:spacing w:after="0" w:line="234"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Board diversity (viewpoints, gender, ethnicity).</w:t>
      </w:r>
    </w:p>
    <w:p>
      <w:pPr>
        <w:ind w:left="760" w:right="20" w:hanging="320"/>
        <w:spacing w:after="0" w:line="246"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Willingness and ability to devote the time required to perform board activities adequately. Directors should not serve on the boards of more than four other public companies.</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Nominee assessment</w:t>
      </w:r>
    </w:p>
    <w:p>
      <w:pPr>
        <w:spacing w:after="0" w:line="212" w:lineRule="exact"/>
        <w:rPr>
          <w:sz w:val="20"/>
          <w:szCs w:val="20"/>
          <w:color w:val="auto"/>
        </w:rPr>
      </w:pPr>
    </w:p>
    <w:p>
      <w:pPr>
        <w:ind w:left="120" w:right="220"/>
        <w:spacing w:after="0" w:line="237" w:lineRule="auto"/>
        <w:rPr>
          <w:sz w:val="20"/>
          <w:szCs w:val="20"/>
          <w:color w:val="auto"/>
        </w:rPr>
      </w:pPr>
      <w:r>
        <w:rPr>
          <w:rFonts w:ascii="Arial" w:cs="Arial" w:eastAsia="Arial" w:hAnsi="Arial"/>
          <w:sz w:val="18"/>
          <w:szCs w:val="18"/>
          <w:color w:val="auto"/>
        </w:rPr>
        <w:t>As it considered director nominees for the 2020 annual meeting, the board kept in mind that the most important issues it considers typically relate to the company’s strategic direction; succession planning for senior executive positions; the company’s financial performance; the challenges of running a large, complex enterprise, including the management of its risks; major acquisitions and divestitures; and significant research and development (R&amp;D) and capital investment decisions. These issues arise in the context of the company’s operations, which primarily involve the manufacture and sale of semiconductors all over the world into industrial, automotive, personal electronics, communications equipment and enterprise systems markets.</w:t>
      </w:r>
    </w:p>
    <w:p>
      <w:pPr>
        <w:spacing w:after="0" w:line="205"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As described below, each of our director nominees has achieved an extremely high level of success in his or her career, whether at multi-billion dollar, multinational corporate enterprises or significant governmental organizations. In these positions, each has been directly involved in the challenges relating to setting the strategic direction and managing the financial performance, personnel and processes of large, complex organizations. Each has had exposure to effective leaders and has developed the ability to judge leadership qualities. Ten of the director nominees have experience in serving on the board of directors of at least one other major corporation, and one has served in high political office, all of which provides additional relevant experience on which each nominee can draw.</w:t>
      </w:r>
    </w:p>
    <w:p>
      <w:pPr>
        <w:spacing w:after="0" w:line="20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In concluding that each nominee should serve as a director, the board relied on the specific experiences and attributes listed below and on the direct personal knowledge (except as to Mr. Hsu who will join the board April 1, 2020), born of previous service on the board, that each of the nominees brings insight to board deliberations as well as a willingness to ask challenging questions.</w:t>
      </w:r>
    </w:p>
    <w:p>
      <w:pPr>
        <w:spacing w:after="0" w:line="20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All nominees for directorship will be directors of the company at the time of the annual meeting. Mr. Hsu is the only director nominee at the 2020 annual meeting of stockholders who is standing for election by the stockholders for the first time. A search firm retained by the company to assist the GSR Committee in identifying and evaluating potential nominees initially identified Mr. Hsu as a potential director candidate. The search firm conducted research to identify a number of potential candidates, based on the qualifications and skills the GSR Committee determined that candidates should possess. It then conducted further research on the candidates in whom the GSR Committee had the most interest. Following this process, Mr. Hsu was unanimously elected to the company’s board of directors.</w:t>
      </w:r>
    </w:p>
    <w:p>
      <w:pPr>
        <w:spacing w:after="0" w:line="205" w:lineRule="exact"/>
        <w:rPr>
          <w:sz w:val="20"/>
          <w:szCs w:val="20"/>
          <w:color w:val="auto"/>
        </w:rPr>
      </w:pPr>
    </w:p>
    <w:p>
      <w:pPr>
        <w:ind w:left="120" w:right="180"/>
        <w:spacing w:after="0" w:line="246" w:lineRule="auto"/>
        <w:rPr>
          <w:sz w:val="20"/>
          <w:szCs w:val="20"/>
          <w:color w:val="auto"/>
        </w:rPr>
      </w:pPr>
      <w:r>
        <w:rPr>
          <w:rFonts w:ascii="Arial" w:cs="Arial" w:eastAsia="Arial" w:hAnsi="Arial"/>
          <w:sz w:val="18"/>
          <w:szCs w:val="18"/>
          <w:color w:val="auto"/>
        </w:rPr>
        <w:t>With the election of Mr. Hsu, the board believes its current size is within the desired range as stated in the board’s corporate governance guidelines.</w:t>
      </w:r>
    </w:p>
    <w:p>
      <w:pPr>
        <w:spacing w:after="0" w:line="124" w:lineRule="exact"/>
        <w:rPr>
          <w:sz w:val="20"/>
          <w:szCs w:val="20"/>
          <w:color w:val="auto"/>
        </w:rPr>
      </w:pPr>
    </w:p>
    <w:p>
      <w:pPr>
        <w:ind w:left="120"/>
        <w:spacing w:after="0"/>
        <w:tabs>
          <w:tab w:leader="none" w:pos="4020" w:val="left"/>
          <w:tab w:leader="none" w:pos="5500" w:val="left"/>
          <w:tab w:leader="none" w:pos="5700" w:val="left"/>
        </w:tabs>
        <w:rPr>
          <w:sz w:val="20"/>
          <w:szCs w:val="20"/>
          <w:color w:val="auto"/>
        </w:rPr>
      </w:pPr>
      <w:r>
        <w:rPr>
          <w:rFonts w:ascii="Arial" w:cs="Arial" w:eastAsia="Arial" w:hAnsi="Arial"/>
          <w:sz w:val="13"/>
          <w:szCs w:val="13"/>
          <w:color w:val="666666"/>
        </w:rPr>
        <w:t>6</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2020 PROXY STATEMENT</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Director nominees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 Blinn</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Former chief executive officer of Flowserve Corporation</w:t>
      </w:r>
    </w:p>
    <w:p>
      <w:pPr>
        <w:spacing w:after="0" w:line="59" w:lineRule="exact"/>
        <w:rPr>
          <w:sz w:val="20"/>
          <w:szCs w:val="20"/>
          <w:color w:val="auto"/>
        </w:rPr>
      </w:pPr>
    </w:p>
    <w:p>
      <w:pPr>
        <w:ind w:left="234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805815" cy="9683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05815" cy="968375"/>
                    </a:xfrm>
                    <a:prstGeom prst="rect">
                      <a:avLst/>
                    </a:prstGeom>
                    <a:noFill/>
                  </pic:spPr>
                </pic:pic>
              </a:graphicData>
            </a:graphic>
          </wp:anchor>
        </w:drawing>
      </w:r>
    </w:p>
    <w:p>
      <w:pPr>
        <w:ind w:left="2340"/>
        <w:spacing w:after="0" w:line="236" w:lineRule="auto"/>
        <w:rPr>
          <w:sz w:val="20"/>
          <w:szCs w:val="20"/>
          <w:color w:val="auto"/>
        </w:rPr>
      </w:pPr>
      <w:r>
        <w:rPr>
          <w:rFonts w:ascii="Arial" w:cs="Arial" w:eastAsia="Arial" w:hAnsi="Arial"/>
          <w:sz w:val="18"/>
          <w:szCs w:val="18"/>
          <w:color w:val="auto"/>
        </w:rPr>
        <w:t>Mr. Blinn served in various positions at Flowserve, including as chief executive officer and president from 2009 to 2017 and chief financial officer from 2004 to 2009. Prior to Flowserve, Mr. Blinn held senior finance positions at several companies, including FedEx Kinko’s Office and Print Services, Inc. and Centex Corporation. As an attorney, he represented financial institutions, foreign corporations, and insurance companies.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Todd Bluedorn</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Chairman and chief executive officer of Lennox International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14" w:lineRule="exact"/>
        <w:rPr>
          <w:sz w:val="20"/>
          <w:szCs w:val="20"/>
          <w:color w:val="auto"/>
        </w:rPr>
      </w:pPr>
    </w:p>
    <w:p>
      <w:pPr>
        <w:ind w:left="260" w:right="980" w:hanging="260"/>
        <w:spacing w:after="0" w:line="248" w:lineRule="auto"/>
        <w:tabs>
          <w:tab w:leader="none" w:pos="251" w:val="left"/>
        </w:tabs>
        <w:numPr>
          <w:ilvl w:val="0"/>
          <w:numId w:val="10"/>
        </w:numPr>
        <w:rPr>
          <w:rFonts w:ascii="Arial" w:cs="Arial" w:eastAsia="Arial" w:hAnsi="Arial"/>
          <w:sz w:val="17"/>
          <w:szCs w:val="17"/>
          <w:color w:val="auto"/>
        </w:rPr>
      </w:pPr>
      <w:r>
        <w:rPr>
          <w:rFonts w:ascii="Arial" w:cs="Arial" w:eastAsia="Arial" w:hAnsi="Arial"/>
          <w:sz w:val="17"/>
          <w:szCs w:val="17"/>
          <w:color w:val="auto"/>
        </w:rPr>
        <w:t>Management responsibility of a large, multinational manufacturer operating in industrial markets</w:t>
      </w:r>
    </w:p>
    <w:p>
      <w:pPr>
        <w:spacing w:after="0" w:line="1" w:lineRule="exact"/>
        <w:rPr>
          <w:rFonts w:ascii="Arial" w:cs="Arial" w:eastAsia="Arial" w:hAnsi="Arial"/>
          <w:sz w:val="17"/>
          <w:szCs w:val="17"/>
          <w:color w:val="auto"/>
        </w:rPr>
      </w:pPr>
    </w:p>
    <w:p>
      <w:pPr>
        <w:ind w:left="240" w:hanging="240"/>
        <w:spacing w:after="0"/>
        <w:tabs>
          <w:tab w:leader="none" w:pos="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Responsibility for significant capital and R&amp;D investments</w:t>
      </w:r>
    </w:p>
    <w:p>
      <w:pPr>
        <w:spacing w:after="0" w:line="7" w:lineRule="exact"/>
        <w:rPr>
          <w:rFonts w:ascii="Arial" w:cs="Arial" w:eastAsia="Arial" w:hAnsi="Arial"/>
          <w:sz w:val="17"/>
          <w:szCs w:val="17"/>
          <w:color w:val="auto"/>
        </w:rPr>
      </w:pPr>
    </w:p>
    <w:p>
      <w:pPr>
        <w:ind w:left="240" w:hanging="240"/>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Keen appreciation for audit and financial control matters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current public company directorships</w:t>
      </w:r>
    </w:p>
    <w:p>
      <w:pPr>
        <w:spacing w:after="0" w:line="9" w:lineRule="exact"/>
        <w:rPr>
          <w:sz w:val="20"/>
          <w:szCs w:val="20"/>
          <w:color w:val="auto"/>
        </w:rPr>
      </w:pPr>
    </w:p>
    <w:p>
      <w:pPr>
        <w:ind w:left="200" w:hanging="200"/>
        <w:spacing w:after="0"/>
        <w:tabs>
          <w:tab w:leader="none" w:pos="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Emerson Electric Corporation</w:t>
      </w:r>
    </w:p>
    <w:p>
      <w:pPr>
        <w:ind w:left="200" w:hanging="200"/>
        <w:spacing w:after="0" w:line="234" w:lineRule="auto"/>
        <w:tabs>
          <w:tab w:leader="none" w:pos="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Kraton Corporation</w:t>
      </w:r>
    </w:p>
    <w:p>
      <w:pPr>
        <w:ind w:left="200" w:hanging="200"/>
        <w:spacing w:after="0"/>
        <w:tabs>
          <w:tab w:leader="none" w:pos="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Leggett &amp; Platt Corporation</w:t>
      </w:r>
    </w:p>
    <w:p>
      <w:pPr>
        <w:spacing w:after="0" w:line="221" w:lineRule="exact"/>
        <w:rPr>
          <w:sz w:val="20"/>
          <w:szCs w:val="20"/>
          <w:color w:val="auto"/>
        </w:rPr>
      </w:pPr>
    </w:p>
    <w:p>
      <w:pPr>
        <w:ind w:right="820"/>
        <w:spacing w:after="0" w:line="267" w:lineRule="auto"/>
        <w:rPr>
          <w:sz w:val="20"/>
          <w:szCs w:val="20"/>
          <w:color w:val="auto"/>
        </w:rPr>
      </w:pPr>
      <w:r>
        <w:rPr>
          <w:rFonts w:ascii="Arial" w:cs="Arial" w:eastAsia="Arial" w:hAnsi="Arial"/>
          <w:sz w:val="18"/>
          <w:szCs w:val="18"/>
          <w:i w:val="1"/>
          <w:iCs w:val="1"/>
          <w:color w:val="auto"/>
        </w:rPr>
        <w:t xml:space="preserve">Other public company directorships in the last five years </w:t>
      </w:r>
      <w:r>
        <w:rPr>
          <w:rFonts w:ascii="Arial" w:cs="Arial" w:eastAsia="Arial" w:hAnsi="Arial"/>
          <w:sz w:val="18"/>
          <w:szCs w:val="18"/>
          <w:color w:val="auto"/>
        </w:rPr>
        <w:t>• Flowserve Corporation</w:t>
      </w:r>
    </w:p>
    <w:p>
      <w:pPr>
        <w:spacing w:after="0" w:line="660" w:lineRule="exact"/>
        <w:rPr>
          <w:sz w:val="20"/>
          <w:szCs w:val="20"/>
          <w:color w:val="auto"/>
        </w:rPr>
      </w:pPr>
    </w:p>
    <w:p>
      <w:pPr>
        <w:sectPr>
          <w:pgSz w:w="11900" w:h="16838" w:orient="portrait"/>
          <w:cols w:equalWidth="0" w:num="2">
            <w:col w:w="5480" w:space="360"/>
            <w:col w:w="5280"/>
          </w:cols>
          <w:pgMar w:left="320" w:top="459" w:right="459" w:bottom="1440" w:gutter="0" w:footer="0" w:header="0"/>
        </w:sectPr>
      </w:pPr>
    </w:p>
    <w:p>
      <w:pPr>
        <w:ind w:left="234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-67310</wp:posOffset>
            </wp:positionV>
            <wp:extent cx="805815" cy="9690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05815" cy="969010"/>
                    </a:xfrm>
                    <a:prstGeom prst="rect">
                      <a:avLst/>
                    </a:prstGeom>
                    <a:noFill/>
                  </pic:spPr>
                </pic:pic>
              </a:graphicData>
            </a:graphic>
          </wp:anchor>
        </w:drawing>
      </w:r>
    </w:p>
    <w:p>
      <w:pPr>
        <w:ind w:left="2340"/>
        <w:spacing w:after="0" w:line="236" w:lineRule="auto"/>
        <w:rPr>
          <w:sz w:val="20"/>
          <w:szCs w:val="20"/>
          <w:color w:val="auto"/>
        </w:rPr>
      </w:pPr>
      <w:r>
        <w:rPr>
          <w:rFonts w:ascii="Arial" w:cs="Arial" w:eastAsia="Arial" w:hAnsi="Arial"/>
          <w:sz w:val="18"/>
          <w:szCs w:val="18"/>
          <w:color w:val="auto"/>
        </w:rPr>
        <w:t>At Lennox, Mr. Bluedorn has served as chief executive officer since 2007 and chairman of the board since 2012. Prior to Lennox, Mr. Bluedorn served in several senior management positions at United Technologies Corporation since 1995, including leading Otis Elevator – North &amp; South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Janet Clark</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Former chief financial officer of Marathon Oil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14" w:lineRule="exact"/>
        <w:rPr>
          <w:sz w:val="20"/>
          <w:szCs w:val="20"/>
          <w:color w:val="auto"/>
        </w:rPr>
      </w:pPr>
    </w:p>
    <w:p>
      <w:pPr>
        <w:ind w:left="260" w:right="980" w:hanging="260"/>
        <w:spacing w:after="0" w:line="248" w:lineRule="auto"/>
        <w:tabs>
          <w:tab w:leader="none" w:pos="251"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Management responsibility of a large, multinational manufacturer operating in industrial markets</w:t>
      </w:r>
    </w:p>
    <w:p>
      <w:pPr>
        <w:spacing w:after="0" w:line="1" w:lineRule="exact"/>
        <w:rPr>
          <w:rFonts w:ascii="Arial" w:cs="Arial" w:eastAsia="Arial" w:hAnsi="Arial"/>
          <w:sz w:val="17"/>
          <w:szCs w:val="17"/>
          <w:color w:val="auto"/>
        </w:rPr>
      </w:pPr>
    </w:p>
    <w:p>
      <w:pPr>
        <w:ind w:left="240" w:hanging="240"/>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Responsibility for significant capital and R&amp;D investments</w:t>
      </w:r>
    </w:p>
    <w:p>
      <w:pPr>
        <w:spacing w:after="0" w:line="221" w:lineRule="exact"/>
        <w:rPr>
          <w:sz w:val="20"/>
          <w:szCs w:val="20"/>
          <w:color w:val="auto"/>
        </w:rPr>
      </w:pPr>
    </w:p>
    <w:p>
      <w:pPr>
        <w:ind w:right="1840"/>
        <w:spacing w:after="0" w:line="267" w:lineRule="auto"/>
        <w:rPr>
          <w:sz w:val="20"/>
          <w:szCs w:val="20"/>
          <w:color w:val="auto"/>
        </w:rPr>
      </w:pPr>
      <w:r>
        <w:rPr>
          <w:rFonts w:ascii="Arial" w:cs="Arial" w:eastAsia="Arial" w:hAnsi="Arial"/>
          <w:sz w:val="18"/>
          <w:szCs w:val="18"/>
          <w:i w:val="1"/>
          <w:iCs w:val="1"/>
          <w:color w:val="auto"/>
        </w:rPr>
        <w:t xml:space="preserve">Other current public company directorships </w:t>
      </w:r>
      <w:r>
        <w:rPr>
          <w:rFonts w:ascii="Arial" w:cs="Arial" w:eastAsia="Arial" w:hAnsi="Arial"/>
          <w:sz w:val="18"/>
          <w:szCs w:val="18"/>
          <w:color w:val="auto"/>
        </w:rPr>
        <w:t>• Lennox International Inc.</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Mr. Bluedorn is also a director of Eaton Corporation plc, but he will not stand for re-election as a director at Eaton’s upcoming 2020 annual meeting of shareholders.</w:t>
      </w:r>
    </w:p>
    <w:p>
      <w:pPr>
        <w:spacing w:after="0" w:line="212" w:lineRule="exact"/>
        <w:rPr>
          <w:sz w:val="20"/>
          <w:szCs w:val="20"/>
          <w:color w:val="auto"/>
        </w:rPr>
      </w:pPr>
    </w:p>
    <w:p>
      <w:pPr>
        <w:ind w:right="820"/>
        <w:spacing w:after="0" w:line="267" w:lineRule="auto"/>
        <w:rPr>
          <w:sz w:val="20"/>
          <w:szCs w:val="20"/>
          <w:color w:val="auto"/>
        </w:rPr>
      </w:pPr>
      <w:r>
        <w:rPr>
          <w:rFonts w:ascii="Arial" w:cs="Arial" w:eastAsia="Arial" w:hAnsi="Arial"/>
          <w:sz w:val="18"/>
          <w:szCs w:val="18"/>
          <w:i w:val="1"/>
          <w:iCs w:val="1"/>
          <w:color w:val="auto"/>
        </w:rPr>
        <w:t xml:space="preserve">Other public company directorships in the last five years </w:t>
      </w:r>
      <w:r>
        <w:rPr>
          <w:rFonts w:ascii="Arial" w:cs="Arial" w:eastAsia="Arial" w:hAnsi="Arial"/>
          <w:sz w:val="18"/>
          <w:szCs w:val="18"/>
          <w:color w:val="auto"/>
        </w:rPr>
        <w:t>• None</w:t>
      </w:r>
    </w:p>
    <w:p>
      <w:pPr>
        <w:spacing w:after="0" w:line="660" w:lineRule="exact"/>
        <w:rPr>
          <w:sz w:val="20"/>
          <w:szCs w:val="20"/>
          <w:color w:val="auto"/>
        </w:rPr>
      </w:pPr>
    </w:p>
    <w:p>
      <w:pPr>
        <w:sectPr>
          <w:pgSz w:w="11900" w:h="16838" w:orient="portrait"/>
          <w:cols w:equalWidth="0" w:num="2">
            <w:col w:w="5520" w:space="320"/>
            <w:col w:w="5280"/>
          </w:cols>
          <w:pgMar w:left="320" w:top="459" w:right="459" w:bottom="1440" w:gutter="0" w:footer="0" w:header="0"/>
          <w:type w:val="continuous"/>
        </w:sectPr>
      </w:pPr>
    </w:p>
    <w:p>
      <w:pPr>
        <w:ind w:left="234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805815" cy="9683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05815" cy="968375"/>
                    </a:xfrm>
                    <a:prstGeom prst="rect">
                      <a:avLst/>
                    </a:prstGeom>
                    <a:noFill/>
                  </pic:spPr>
                </pic:pic>
              </a:graphicData>
            </a:graphic>
          </wp:anchor>
        </w:drawing>
      </w:r>
    </w:p>
    <w:p>
      <w:pPr>
        <w:ind w:left="2340"/>
        <w:spacing w:after="0" w:line="248" w:lineRule="auto"/>
        <w:rPr>
          <w:sz w:val="20"/>
          <w:szCs w:val="20"/>
          <w:color w:val="auto"/>
        </w:rPr>
      </w:pPr>
      <w:r>
        <w:rPr>
          <w:rFonts w:ascii="Arial" w:cs="Arial" w:eastAsia="Arial" w:hAnsi="Arial"/>
          <w:sz w:val="17"/>
          <w:szCs w:val="17"/>
          <w:color w:val="auto"/>
        </w:rPr>
        <w:t>Ms. Clark was chief financial officer and executive vice president of Marathon Oil Corporation from 2007 to 2013 and senior vice president and chief financial officer from 2004 to 2007. Prior to Marathon, she served as chief financial officer of Nuevo Energy Company and Santa Fe Snyder Corporation.</w:t>
      </w:r>
    </w:p>
    <w:p>
      <w:pPr>
        <w:spacing w:after="0" w:line="4" w:lineRule="exact"/>
        <w:rPr>
          <w:sz w:val="20"/>
          <w:szCs w:val="20"/>
          <w:color w:val="auto"/>
        </w:rPr>
      </w:pPr>
    </w:p>
    <w:p>
      <w:pPr>
        <w:jc w:val="both"/>
        <w:ind w:left="2340" w:right="220"/>
        <w:spacing w:after="0" w:line="274" w:lineRule="auto"/>
        <w:rPr>
          <w:sz w:val="20"/>
          <w:szCs w:val="20"/>
          <w:color w:val="auto"/>
        </w:rPr>
      </w:pPr>
      <w:r>
        <w:rPr>
          <w:rFonts w:ascii="Arial" w:cs="Arial" w:eastAsia="Arial" w:hAnsi="Arial"/>
          <w:sz w:val="17"/>
          <w:szCs w:val="17"/>
          <w:color w:val="auto"/>
        </w:rPr>
        <w:t>Ms. Clark has served as a director of Dell Inc. and Exterran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9" w:lineRule="exact"/>
        <w:rPr>
          <w:sz w:val="20"/>
          <w:szCs w:val="20"/>
          <w:color w:val="auto"/>
        </w:rPr>
      </w:pPr>
    </w:p>
    <w:p>
      <w:pPr>
        <w:ind w:left="240" w:hanging="240"/>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Keen appreciation for audit and financial control matters</w:t>
      </w:r>
    </w:p>
    <w:p>
      <w:pPr>
        <w:ind w:left="260" w:right="280" w:hanging="260"/>
        <w:spacing w:after="0" w:line="246" w:lineRule="auto"/>
        <w:tabs>
          <w:tab w:leader="none" w:pos="251"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Oversight of large multinational companies, including one in the technology industry</w:t>
      </w:r>
    </w:p>
    <w:p>
      <w:pPr>
        <w:spacing w:after="0" w:line="206" w:lineRule="exact"/>
        <w:rPr>
          <w:sz w:val="20"/>
          <w:szCs w:val="20"/>
          <w:color w:val="auto"/>
        </w:rPr>
      </w:pPr>
    </w:p>
    <w:p>
      <w:pPr>
        <w:ind w:right="1840"/>
        <w:spacing w:after="0" w:line="267" w:lineRule="auto"/>
        <w:rPr>
          <w:sz w:val="20"/>
          <w:szCs w:val="20"/>
          <w:color w:val="auto"/>
        </w:rPr>
      </w:pPr>
      <w:r>
        <w:rPr>
          <w:rFonts w:ascii="Arial" w:cs="Arial" w:eastAsia="Arial" w:hAnsi="Arial"/>
          <w:sz w:val="18"/>
          <w:szCs w:val="18"/>
          <w:i w:val="1"/>
          <w:iCs w:val="1"/>
          <w:color w:val="auto"/>
        </w:rPr>
        <w:t xml:space="preserve">Other current public company directorships </w:t>
      </w:r>
      <w:r>
        <w:rPr>
          <w:rFonts w:ascii="Arial" w:cs="Arial" w:eastAsia="Arial" w:hAnsi="Arial"/>
          <w:sz w:val="18"/>
          <w:szCs w:val="18"/>
          <w:color w:val="auto"/>
        </w:rPr>
        <w:t>• EOG Resources,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public company directorships in the last five years</w:t>
      </w:r>
    </w:p>
    <w:p>
      <w:pPr>
        <w:spacing w:after="0" w:line="9" w:lineRule="exact"/>
        <w:rPr>
          <w:sz w:val="20"/>
          <w:szCs w:val="20"/>
          <w:color w:val="auto"/>
        </w:rPr>
      </w:pPr>
    </w:p>
    <w:p>
      <w:pPr>
        <w:ind w:left="200" w:hanging="200"/>
        <w:spacing w:after="0"/>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Goldman Sachs BDC, Inc.</w:t>
      </w:r>
    </w:p>
    <w:p>
      <w:pPr>
        <w:ind w:left="200" w:hanging="200"/>
        <w:spacing w:after="0"/>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Goldman Sachs Private Middle Market Credit LLC</w:t>
      </w:r>
    </w:p>
    <w:p>
      <w:pPr>
        <w:spacing w:after="0" w:line="152" w:lineRule="exact"/>
        <w:rPr>
          <w:sz w:val="20"/>
          <w:szCs w:val="20"/>
          <w:color w:val="auto"/>
        </w:rPr>
      </w:pPr>
    </w:p>
    <w:p>
      <w:pPr>
        <w:sectPr>
          <w:pgSz w:w="11900" w:h="16838" w:orient="portrait"/>
          <w:cols w:equalWidth="0" w:num="2">
            <w:col w:w="5480" w:space="360"/>
            <w:col w:w="5280"/>
          </w:cols>
          <w:pgMar w:left="320" w:top="459" w:right="459" w:bottom="1440" w:gutter="0" w:footer="0" w:header="0"/>
          <w:type w:val="continuous"/>
        </w:sectPr>
      </w:pPr>
    </w:p>
    <w:tbl>
      <w:tblPr>
        <w:tblLayout w:type="fixed"/>
        <w:tblInd w:w="4040" w:type="dxa"/>
        <w:tblCellMar>
          <w:top w:w="0" w:type="dxa"/>
          <w:left w:w="0" w:type="dxa"/>
          <w:bottom w:w="0" w:type="dxa"/>
          <w:right w:w="0" w:type="dxa"/>
        </w:tblCellMar>
      </w:tblPr>
      <w:tr>
        <w:trPr>
          <w:trHeight w:val="152"/>
        </w:trPr>
        <w:tc>
          <w:tcPr>
            <w:tcW w:w="5100" w:type="dxa"/>
            <w:vAlign w:val="bottom"/>
          </w:tcPr>
          <w:p>
            <w:pPr>
              <w:spacing w:after="0"/>
              <w:rPr>
                <w:sz w:val="20"/>
                <w:szCs w:val="20"/>
                <w:color w:val="auto"/>
              </w:rPr>
            </w:pPr>
            <w:r>
              <w:rPr>
                <w:rFonts w:ascii="Arial" w:cs="Arial" w:eastAsia="Arial" w:hAnsi="Arial"/>
                <w:sz w:val="13"/>
                <w:szCs w:val="13"/>
                <w:color w:val="666666"/>
              </w:rPr>
              <w:t>TEXAS INSTRUMENTS  •  2020 PROXY STATEMENT</w:t>
            </w:r>
          </w:p>
        </w:tc>
        <w:tc>
          <w:tcPr>
            <w:tcW w:w="1980" w:type="dxa"/>
            <w:vAlign w:val="bottom"/>
          </w:tcPr>
          <w:p>
            <w:pPr>
              <w:jc w:val="right"/>
              <w:spacing w:after="0"/>
              <w:rPr>
                <w:sz w:val="20"/>
                <w:szCs w:val="20"/>
                <w:color w:val="auto"/>
              </w:rPr>
            </w:pPr>
            <w:r>
              <w:rPr>
                <w:rFonts w:ascii="Arial" w:cs="Arial" w:eastAsia="Arial" w:hAnsi="Arial"/>
                <w:sz w:val="13"/>
                <w:szCs w:val="13"/>
                <w:color w:val="666666"/>
              </w:rPr>
              <w:t>7</w:t>
            </w:r>
          </w:p>
        </w:tc>
      </w:tr>
    </w:tbl>
    <w:p>
      <w:pPr>
        <w:sectPr>
          <w:pgSz w:w="11900" w:h="16838" w:orient="portrait"/>
          <w:cols w:equalWidth="0" w:num="1">
            <w:col w:w="11120"/>
          </w:cols>
          <w:pgMar w:left="320" w:top="459" w:right="4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Carrie Cox</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Former chairman and chief executive officer of Humacyte, Inc.</w:t>
      </w:r>
    </w:p>
    <w:p>
      <w:pPr>
        <w:spacing w:after="0" w:line="59" w:lineRule="exact"/>
        <w:rPr>
          <w:sz w:val="20"/>
          <w:szCs w:val="20"/>
          <w:color w:val="auto"/>
        </w:rPr>
      </w:pPr>
    </w:p>
    <w:p>
      <w:pPr>
        <w:ind w:left="234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805815" cy="9683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05815" cy="968375"/>
                    </a:xfrm>
                    <a:prstGeom prst="rect">
                      <a:avLst/>
                    </a:prstGeom>
                    <a:noFill/>
                  </pic:spPr>
                </pic:pic>
              </a:graphicData>
            </a:graphic>
          </wp:anchor>
        </w:drawing>
      </w:r>
    </w:p>
    <w:p>
      <w:pPr>
        <w:ind w:left="2340"/>
        <w:spacing w:after="0" w:line="248" w:lineRule="auto"/>
        <w:rPr>
          <w:sz w:val="20"/>
          <w:szCs w:val="20"/>
          <w:color w:val="auto"/>
        </w:rPr>
      </w:pPr>
      <w:r>
        <w:rPr>
          <w:rFonts w:ascii="Arial" w:cs="Arial" w:eastAsia="Arial" w:hAnsi="Arial"/>
          <w:sz w:val="17"/>
          <w:szCs w:val="17"/>
          <w:color w:val="auto"/>
        </w:rPr>
        <w:t>Ms. Cox was the executive chair of Humacyte, Inc. from 2018 to 2019, where she was also chairman and chief executive officer from 2010 to 2018. Prior to Humacyte, Ms. Cox held several senior management positions in the medical industry, including leading the global pharmaceuticals business at Schering-Plough Corporation and the global prescription business at</w:t>
      </w:r>
    </w:p>
    <w:p>
      <w:pPr>
        <w:spacing w:after="0" w:line="5"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Pharmacia Corporation.</w:t>
      </w:r>
    </w:p>
    <w:p>
      <w:pPr>
        <w:spacing w:after="0" w:line="200" w:lineRule="exact"/>
        <w:rPr>
          <w:sz w:val="20"/>
          <w:szCs w:val="20"/>
          <w:color w:val="auto"/>
        </w:rPr>
      </w:pP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Martin Craighead</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Former chairman and chief executive officer of Baker Hughes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14" w:lineRule="exact"/>
        <w:rPr>
          <w:sz w:val="20"/>
          <w:szCs w:val="20"/>
          <w:color w:val="auto"/>
        </w:rPr>
      </w:pPr>
    </w:p>
    <w:p>
      <w:pPr>
        <w:ind w:left="260" w:right="60" w:hanging="260"/>
        <w:spacing w:after="0" w:line="234" w:lineRule="auto"/>
        <w:tabs>
          <w:tab w:leader="none" w:pos="251"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Management responsibility of a large multinational company operating in a regulated industry</w:t>
      </w:r>
    </w:p>
    <w:p>
      <w:pPr>
        <w:spacing w:after="0" w:line="1" w:lineRule="exact"/>
        <w:rPr>
          <w:rFonts w:ascii="Arial" w:cs="Arial" w:eastAsia="Arial" w:hAnsi="Arial"/>
          <w:sz w:val="18"/>
          <w:szCs w:val="18"/>
          <w:color w:val="auto"/>
        </w:rPr>
      </w:pPr>
    </w:p>
    <w:p>
      <w:pPr>
        <w:ind w:left="240" w:hanging="240"/>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Responsibility for significant capital and R&amp;D investments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current public company directorships</w:t>
      </w:r>
    </w:p>
    <w:p>
      <w:pPr>
        <w:spacing w:after="0" w:line="9" w:lineRule="exact"/>
        <w:rPr>
          <w:sz w:val="20"/>
          <w:szCs w:val="20"/>
          <w:color w:val="auto"/>
        </w:rPr>
      </w:pPr>
    </w:p>
    <w:p>
      <w:pPr>
        <w:ind w:left="200" w:hanging="200"/>
        <w:spacing w:after="0"/>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Cardinal Health, Inc.</w:t>
      </w:r>
    </w:p>
    <w:p>
      <w:pPr>
        <w:ind w:left="200" w:hanging="200"/>
        <w:spacing w:after="0" w:line="234" w:lineRule="auto"/>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ElectroCore, Inc. (through March 31, 2020)</w:t>
      </w:r>
    </w:p>
    <w:p>
      <w:pPr>
        <w:ind w:left="200" w:hanging="200"/>
        <w:spacing w:after="0"/>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Selecta Biosciences,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public company directorships in the last five years</w:t>
      </w:r>
    </w:p>
    <w:p>
      <w:pPr>
        <w:spacing w:after="0" w:line="9" w:lineRule="exact"/>
        <w:rPr>
          <w:sz w:val="20"/>
          <w:szCs w:val="20"/>
          <w:color w:val="auto"/>
        </w:rPr>
      </w:pPr>
    </w:p>
    <w:p>
      <w:pPr>
        <w:ind w:left="200" w:hanging="200"/>
        <w:spacing w:after="0"/>
        <w:tabs>
          <w:tab w:leader="none" w:pos="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Array BioPharma Inc.</w:t>
      </w:r>
    </w:p>
    <w:p>
      <w:pPr>
        <w:ind w:left="200" w:hanging="200"/>
        <w:spacing w:after="0"/>
        <w:tabs>
          <w:tab w:leader="none" w:pos="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Celgene Corporation</w:t>
      </w:r>
    </w:p>
    <w:p>
      <w:pPr>
        <w:spacing w:after="0" w:line="693" w:lineRule="exact"/>
        <w:rPr>
          <w:sz w:val="20"/>
          <w:szCs w:val="20"/>
          <w:color w:val="auto"/>
        </w:rPr>
      </w:pPr>
    </w:p>
    <w:p>
      <w:pPr>
        <w:sectPr>
          <w:pgSz w:w="11900" w:h="16838" w:orient="portrait"/>
          <w:cols w:equalWidth="0" w:num="2">
            <w:col w:w="5500" w:space="340"/>
            <w:col w:w="5080"/>
          </w:cols>
          <w:pgMar w:left="320" w:top="459" w:right="659" w:bottom="1440" w:gutter="0" w:footer="0" w:header="0"/>
        </w:sectPr>
      </w:pPr>
    </w:p>
    <w:p>
      <w:pPr>
        <w:ind w:left="234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-67310</wp:posOffset>
            </wp:positionV>
            <wp:extent cx="805815" cy="9772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05815" cy="977265"/>
                    </a:xfrm>
                    <a:prstGeom prst="rect">
                      <a:avLst/>
                    </a:prstGeom>
                    <a:noFill/>
                  </pic:spPr>
                </pic:pic>
              </a:graphicData>
            </a:graphic>
          </wp:anchor>
        </w:drawing>
      </w:r>
    </w:p>
    <w:p>
      <w:pPr>
        <w:ind w:left="2340"/>
        <w:spacing w:after="0" w:line="236" w:lineRule="auto"/>
        <w:rPr>
          <w:sz w:val="20"/>
          <w:szCs w:val="20"/>
          <w:color w:val="auto"/>
        </w:rPr>
      </w:pPr>
      <w:r>
        <w:rPr>
          <w:rFonts w:ascii="Arial" w:cs="Arial" w:eastAsia="Arial" w:hAnsi="Arial"/>
          <w:sz w:val="18"/>
          <w:szCs w:val="18"/>
          <w:color w:val="auto"/>
        </w:rPr>
        <w:t>At Baker Hughes Inc., Mr. Craighead served as chief executive officer from 2012 to 2017 and chairman of the board from 2013 until the company merged with GE in 2017. He then served as vice chair of Baker Hughes, a GE company, until 2019. Prior to leading the company, Mr. Craighead held several senior management roles at Baker Hughes, including as chief operating officer.</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Jean Hobby</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Retired partner, Pricewaterhouse Coopers LLP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14" w:lineRule="exact"/>
        <w:rPr>
          <w:sz w:val="20"/>
          <w:szCs w:val="20"/>
          <w:color w:val="auto"/>
        </w:rPr>
      </w:pPr>
    </w:p>
    <w:p>
      <w:pPr>
        <w:ind w:left="260" w:hanging="260"/>
        <w:spacing w:after="0" w:line="234" w:lineRule="auto"/>
        <w:tabs>
          <w:tab w:leader="none" w:pos="251"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Management responsibility of a large, multinational company operating in industrial markets</w:t>
      </w:r>
    </w:p>
    <w:p>
      <w:pPr>
        <w:spacing w:after="0" w:line="1" w:lineRule="exact"/>
        <w:rPr>
          <w:rFonts w:ascii="Arial" w:cs="Arial" w:eastAsia="Arial" w:hAnsi="Arial"/>
          <w:sz w:val="18"/>
          <w:szCs w:val="18"/>
          <w:color w:val="auto"/>
        </w:rPr>
      </w:pPr>
    </w:p>
    <w:p>
      <w:pPr>
        <w:ind w:left="240" w:hanging="240"/>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Responsibility for significant capital and R&amp;D investments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current public company directorships</w:t>
      </w:r>
    </w:p>
    <w:p>
      <w:pPr>
        <w:spacing w:after="0" w:line="9" w:lineRule="exact"/>
        <w:rPr>
          <w:sz w:val="20"/>
          <w:szCs w:val="20"/>
          <w:color w:val="auto"/>
        </w:rPr>
      </w:pPr>
    </w:p>
    <w:p>
      <w:pPr>
        <w:ind w:left="200" w:hanging="200"/>
        <w:spacing w:after="0"/>
        <w:tabs>
          <w:tab w:leader="none" w:pos="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Emerson Electric Corporation</w:t>
      </w:r>
    </w:p>
    <w:p>
      <w:pPr>
        <w:ind w:left="200" w:hanging="200"/>
        <w:spacing w:after="0"/>
        <w:tabs>
          <w:tab w:leader="none" w:pos="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PQ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public company directorships in the last five years</w:t>
      </w:r>
    </w:p>
    <w:p>
      <w:pPr>
        <w:spacing w:after="0" w:line="9" w:lineRule="exact"/>
        <w:rPr>
          <w:sz w:val="20"/>
          <w:szCs w:val="20"/>
          <w:color w:val="auto"/>
        </w:rPr>
      </w:pPr>
    </w:p>
    <w:p>
      <w:pPr>
        <w:ind w:left="200" w:hanging="200"/>
        <w:spacing w:after="0"/>
        <w:tabs>
          <w:tab w:leader="none" w:pos="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Baker Hughes, a GE company</w:t>
      </w:r>
    </w:p>
    <w:p>
      <w:pPr>
        <w:ind w:left="200" w:hanging="200"/>
        <w:spacing w:after="0"/>
        <w:tabs>
          <w:tab w:leader="none" w:pos="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Baker Hughes Inc.</w:t>
      </w:r>
    </w:p>
    <w:p>
      <w:pPr>
        <w:spacing w:after="0" w:line="693" w:lineRule="exact"/>
        <w:rPr>
          <w:sz w:val="20"/>
          <w:szCs w:val="20"/>
          <w:color w:val="auto"/>
        </w:rPr>
      </w:pPr>
    </w:p>
    <w:p>
      <w:pPr>
        <w:sectPr>
          <w:pgSz w:w="11900" w:h="16838" w:orient="portrait"/>
          <w:cols w:equalWidth="0" w:num="2">
            <w:col w:w="5520" w:space="320"/>
            <w:col w:w="5080"/>
          </w:cols>
          <w:pgMar w:left="320" w:top="459" w:right="659" w:bottom="1440" w:gutter="0" w:footer="0" w:header="0"/>
          <w:type w:val="continuous"/>
        </w:sectPr>
      </w:pPr>
    </w:p>
    <w:tbl>
      <w:tblPr>
        <w:tblLayout w:type="fixed"/>
        <w:tblInd w:w="120" w:type="dxa"/>
        <w:tblCellMar>
          <w:top w:w="0" w:type="dxa"/>
          <w:left w:w="0" w:type="dxa"/>
          <w:bottom w:w="0" w:type="dxa"/>
          <w:right w:w="0" w:type="dxa"/>
        </w:tblCellMar>
      </w:tblPr>
      <w:tr>
        <w:trPr>
          <w:trHeight w:val="220"/>
        </w:trPr>
        <w:tc>
          <w:tcPr>
            <w:tcW w:w="1140" w:type="dxa"/>
            <w:vAlign w:val="bottom"/>
          </w:tcPr>
          <w:p>
            <w:pPr>
              <w:spacing w:after="0"/>
              <w:rPr>
                <w:sz w:val="19"/>
                <w:szCs w:val="19"/>
                <w:color w:val="auto"/>
              </w:rPr>
            </w:pPr>
          </w:p>
        </w:tc>
        <w:tc>
          <w:tcPr>
            <w:tcW w:w="4380" w:type="dxa"/>
            <w:vAlign w:val="bottom"/>
          </w:tcPr>
          <w:p>
            <w:pPr>
              <w:ind w:left="1080"/>
              <w:spacing w:after="0"/>
              <w:rPr>
                <w:sz w:val="20"/>
                <w:szCs w:val="20"/>
                <w:color w:val="auto"/>
              </w:rPr>
            </w:pPr>
            <w:r>
              <w:rPr>
                <w:rFonts w:ascii="Arial" w:cs="Arial" w:eastAsia="Arial" w:hAnsi="Arial"/>
                <w:sz w:val="18"/>
                <w:szCs w:val="18"/>
                <w:i w:val="1"/>
                <w:iCs w:val="1"/>
                <w:color w:val="auto"/>
              </w:rPr>
              <w:t>Career highlights</w:t>
            </w:r>
          </w:p>
        </w:tc>
        <w:tc>
          <w:tcPr>
            <w:tcW w:w="5280" w:type="dxa"/>
            <w:vAlign w:val="bottom"/>
            <w:gridSpan w:val="2"/>
          </w:tcPr>
          <w:p>
            <w:pPr>
              <w:ind w:left="200"/>
              <w:spacing w:after="0"/>
              <w:rPr>
                <w:sz w:val="20"/>
                <w:szCs w:val="20"/>
                <w:color w:val="auto"/>
              </w:rPr>
            </w:pPr>
            <w:r>
              <w:rPr>
                <w:rFonts w:ascii="Arial" w:cs="Arial" w:eastAsia="Arial" w:hAnsi="Arial"/>
                <w:sz w:val="18"/>
                <w:szCs w:val="18"/>
                <w:i w:val="1"/>
                <w:iCs w:val="1"/>
                <w:color w:val="auto"/>
              </w:rPr>
              <w:t>Key skills and experience</w:t>
            </w:r>
          </w:p>
        </w:tc>
      </w:tr>
      <w:tr>
        <w:trPr>
          <w:trHeight w:val="203"/>
        </w:trPr>
        <w:tc>
          <w:tcPr>
            <w:tcW w:w="1140" w:type="dxa"/>
            <w:vAlign w:val="bottom"/>
          </w:tcPr>
          <w:p>
            <w:pPr>
              <w:spacing w:after="0"/>
              <w:rPr>
                <w:sz w:val="17"/>
                <w:szCs w:val="17"/>
                <w:color w:val="auto"/>
              </w:rPr>
            </w:pPr>
          </w:p>
        </w:tc>
        <w:tc>
          <w:tcPr>
            <w:tcW w:w="4380" w:type="dxa"/>
            <w:vAlign w:val="bottom"/>
          </w:tcPr>
          <w:p>
            <w:pPr>
              <w:ind w:left="1080"/>
              <w:spacing w:after="0" w:line="202" w:lineRule="exact"/>
              <w:rPr>
                <w:sz w:val="20"/>
                <w:szCs w:val="20"/>
                <w:color w:val="auto"/>
              </w:rPr>
            </w:pPr>
            <w:r>
              <w:rPr>
                <w:rFonts w:ascii="Arial" w:cs="Arial" w:eastAsia="Arial" w:hAnsi="Arial"/>
                <w:sz w:val="18"/>
                <w:szCs w:val="18"/>
                <w:color w:val="auto"/>
              </w:rPr>
              <w:t>Ms. Hobby was global strategy officer</w:t>
            </w:r>
          </w:p>
        </w:tc>
        <w:tc>
          <w:tcPr>
            <w:tcW w:w="52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  Extensive audit knowledge and keen appreciation for audit,</w:t>
            </w:r>
          </w:p>
        </w:tc>
      </w:tr>
      <w:tr>
        <w:trPr>
          <w:trHeight w:val="203"/>
        </w:trPr>
        <w:tc>
          <w:tcPr>
            <w:tcW w:w="1140" w:type="dxa"/>
            <w:vAlign w:val="bottom"/>
          </w:tcPr>
          <w:p>
            <w:pPr>
              <w:spacing w:after="0"/>
              <w:rPr>
                <w:sz w:val="17"/>
                <w:szCs w:val="17"/>
                <w:color w:val="auto"/>
              </w:rPr>
            </w:pPr>
          </w:p>
        </w:tc>
        <w:tc>
          <w:tcPr>
            <w:tcW w:w="4380" w:type="dxa"/>
            <w:vAlign w:val="bottom"/>
          </w:tcPr>
          <w:p>
            <w:pPr>
              <w:ind w:left="1080"/>
              <w:spacing w:after="0" w:line="202" w:lineRule="exact"/>
              <w:rPr>
                <w:sz w:val="20"/>
                <w:szCs w:val="20"/>
                <w:color w:val="auto"/>
              </w:rPr>
            </w:pPr>
            <w:r>
              <w:rPr>
                <w:rFonts w:ascii="Arial" w:cs="Arial" w:eastAsia="Arial" w:hAnsi="Arial"/>
                <w:sz w:val="18"/>
                <w:szCs w:val="18"/>
                <w:color w:val="auto"/>
              </w:rPr>
              <w:t>of Pricewaterhouse Coopers from 2013</w:t>
            </w:r>
          </w:p>
        </w:tc>
        <w:tc>
          <w:tcPr>
            <w:tcW w:w="340" w:type="dxa"/>
            <w:vAlign w:val="bottom"/>
          </w:tcPr>
          <w:p>
            <w:pPr>
              <w:spacing w:after="0"/>
              <w:rPr>
                <w:sz w:val="17"/>
                <w:szCs w:val="17"/>
                <w:color w:val="auto"/>
              </w:rPr>
            </w:pPr>
          </w:p>
        </w:tc>
        <w:tc>
          <w:tcPr>
            <w:tcW w:w="4940" w:type="dxa"/>
            <w:vAlign w:val="bottom"/>
          </w:tcPr>
          <w:p>
            <w:pPr>
              <w:ind w:left="120"/>
              <w:spacing w:after="0" w:line="202" w:lineRule="exact"/>
              <w:rPr>
                <w:sz w:val="20"/>
                <w:szCs w:val="20"/>
                <w:color w:val="auto"/>
              </w:rPr>
            </w:pPr>
            <w:r>
              <w:rPr>
                <w:rFonts w:ascii="Arial" w:cs="Arial" w:eastAsia="Arial" w:hAnsi="Arial"/>
                <w:sz w:val="18"/>
                <w:szCs w:val="18"/>
                <w:color w:val="auto"/>
              </w:rPr>
              <w:t>financial control, and technology matters</w:t>
            </w:r>
          </w:p>
        </w:tc>
      </w:tr>
      <w:tr>
        <w:trPr>
          <w:trHeight w:val="203"/>
        </w:trPr>
        <w:tc>
          <w:tcPr>
            <w:tcW w:w="1140" w:type="dxa"/>
            <w:vAlign w:val="bottom"/>
          </w:tcPr>
          <w:p>
            <w:pPr>
              <w:spacing w:after="0"/>
              <w:rPr>
                <w:sz w:val="17"/>
                <w:szCs w:val="17"/>
                <w:color w:val="auto"/>
              </w:rPr>
            </w:pPr>
          </w:p>
        </w:tc>
        <w:tc>
          <w:tcPr>
            <w:tcW w:w="4380" w:type="dxa"/>
            <w:vAlign w:val="bottom"/>
          </w:tcPr>
          <w:p>
            <w:pPr>
              <w:ind w:left="1080"/>
              <w:spacing w:after="0" w:line="202" w:lineRule="exact"/>
              <w:rPr>
                <w:sz w:val="20"/>
                <w:szCs w:val="20"/>
                <w:color w:val="auto"/>
              </w:rPr>
            </w:pPr>
            <w:r>
              <w:rPr>
                <w:rFonts w:ascii="Arial" w:cs="Arial" w:eastAsia="Arial" w:hAnsi="Arial"/>
                <w:sz w:val="18"/>
                <w:szCs w:val="18"/>
                <w:color w:val="auto"/>
              </w:rPr>
              <w:t>to 2015. Prior to that, she held several</w:t>
            </w:r>
          </w:p>
        </w:tc>
        <w:tc>
          <w:tcPr>
            <w:tcW w:w="52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  Management responsibility at a large, multinational company</w:t>
            </w:r>
          </w:p>
        </w:tc>
      </w:tr>
      <w:tr>
        <w:trPr>
          <w:trHeight w:val="203"/>
        </w:trPr>
        <w:tc>
          <w:tcPr>
            <w:tcW w:w="1140" w:type="dxa"/>
            <w:vAlign w:val="bottom"/>
          </w:tcPr>
          <w:p>
            <w:pPr>
              <w:spacing w:after="0"/>
              <w:rPr>
                <w:sz w:val="17"/>
                <w:szCs w:val="17"/>
                <w:color w:val="auto"/>
              </w:rPr>
            </w:pPr>
          </w:p>
        </w:tc>
        <w:tc>
          <w:tcPr>
            <w:tcW w:w="4380" w:type="dxa"/>
            <w:vAlign w:val="bottom"/>
          </w:tcPr>
          <w:p>
            <w:pPr>
              <w:ind w:left="1080"/>
              <w:spacing w:after="0" w:line="202" w:lineRule="exact"/>
              <w:rPr>
                <w:sz w:val="20"/>
                <w:szCs w:val="20"/>
                <w:color w:val="auto"/>
              </w:rPr>
            </w:pPr>
            <w:r>
              <w:rPr>
                <w:rFonts w:ascii="Arial" w:cs="Arial" w:eastAsia="Arial" w:hAnsi="Arial"/>
                <w:sz w:val="18"/>
                <w:szCs w:val="18"/>
                <w:color w:val="auto"/>
              </w:rPr>
              <w:t>senior management positions at the</w:t>
            </w:r>
          </w:p>
        </w:tc>
        <w:tc>
          <w:tcPr>
            <w:tcW w:w="34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c>
          <w:tcPr>
            <w:tcW w:w="4940" w:type="dxa"/>
            <w:vAlign w:val="bottom"/>
          </w:tcPr>
          <w:p>
            <w:pPr>
              <w:ind w:left="100"/>
              <w:spacing w:after="0" w:line="202" w:lineRule="exact"/>
              <w:rPr>
                <w:sz w:val="20"/>
                <w:szCs w:val="20"/>
                <w:color w:val="auto"/>
              </w:rPr>
            </w:pPr>
            <w:r>
              <w:rPr>
                <w:rFonts w:ascii="Arial" w:cs="Arial" w:eastAsia="Arial" w:hAnsi="Arial"/>
                <w:sz w:val="18"/>
                <w:szCs w:val="18"/>
                <w:color w:val="auto"/>
              </w:rPr>
              <w:t>Strategic planning expertise</w:t>
            </w:r>
          </w:p>
        </w:tc>
      </w:tr>
      <w:tr>
        <w:trPr>
          <w:trHeight w:val="203"/>
        </w:trPr>
        <w:tc>
          <w:tcPr>
            <w:tcW w:w="1140" w:type="dxa"/>
            <w:vAlign w:val="bottom"/>
          </w:tcPr>
          <w:p>
            <w:pPr>
              <w:spacing w:after="0"/>
              <w:rPr>
                <w:sz w:val="17"/>
                <w:szCs w:val="17"/>
                <w:color w:val="auto"/>
              </w:rPr>
            </w:pPr>
          </w:p>
        </w:tc>
        <w:tc>
          <w:tcPr>
            <w:tcW w:w="4380" w:type="dxa"/>
            <w:vAlign w:val="bottom"/>
          </w:tcPr>
          <w:p>
            <w:pPr>
              <w:ind w:left="1080"/>
              <w:spacing w:after="0" w:line="202" w:lineRule="exact"/>
              <w:rPr>
                <w:sz w:val="20"/>
                <w:szCs w:val="20"/>
                <w:color w:val="auto"/>
              </w:rPr>
            </w:pPr>
            <w:r>
              <w:rPr>
                <w:rFonts w:ascii="Arial" w:cs="Arial" w:eastAsia="Arial" w:hAnsi="Arial"/>
                <w:sz w:val="18"/>
                <w:szCs w:val="18"/>
                <w:color w:val="auto"/>
              </w:rPr>
              <w:t>firm, including as technology, media</w:t>
            </w:r>
          </w:p>
        </w:tc>
        <w:tc>
          <w:tcPr>
            <w:tcW w:w="340" w:type="dxa"/>
            <w:vAlign w:val="bottom"/>
          </w:tcPr>
          <w:p>
            <w:pPr>
              <w:spacing w:after="0"/>
              <w:rPr>
                <w:sz w:val="17"/>
                <w:szCs w:val="17"/>
                <w:color w:val="auto"/>
              </w:rPr>
            </w:pPr>
          </w:p>
        </w:tc>
        <w:tc>
          <w:tcPr>
            <w:tcW w:w="494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380" w:type="dxa"/>
            <w:vAlign w:val="bottom"/>
          </w:tcPr>
          <w:p>
            <w:pPr>
              <w:ind w:left="1080"/>
              <w:spacing w:after="0" w:line="203" w:lineRule="exact"/>
              <w:rPr>
                <w:sz w:val="20"/>
                <w:szCs w:val="20"/>
                <w:color w:val="auto"/>
              </w:rPr>
            </w:pPr>
            <w:r>
              <w:rPr>
                <w:rFonts w:ascii="Arial" w:cs="Arial" w:eastAsia="Arial" w:hAnsi="Arial"/>
                <w:sz w:val="18"/>
                <w:szCs w:val="18"/>
                <w:color w:val="auto"/>
              </w:rPr>
              <w:t>and telecom sector leader and chief</w:t>
            </w:r>
          </w:p>
        </w:tc>
        <w:tc>
          <w:tcPr>
            <w:tcW w:w="5280" w:type="dxa"/>
            <w:vAlign w:val="bottom"/>
            <w:gridSpan w:val="2"/>
          </w:tcPr>
          <w:p>
            <w:pPr>
              <w:ind w:left="200"/>
              <w:spacing w:after="0" w:line="203" w:lineRule="exact"/>
              <w:rPr>
                <w:sz w:val="20"/>
                <w:szCs w:val="20"/>
                <w:color w:val="auto"/>
              </w:rPr>
            </w:pPr>
            <w:r>
              <w:rPr>
                <w:rFonts w:ascii="Arial" w:cs="Arial" w:eastAsia="Arial" w:hAnsi="Arial"/>
                <w:sz w:val="18"/>
                <w:szCs w:val="18"/>
                <w:i w:val="1"/>
                <w:iCs w:val="1"/>
                <w:color w:val="auto"/>
              </w:rPr>
              <w:t>Other current public company directorships</w:t>
            </w:r>
          </w:p>
        </w:tc>
      </w:tr>
      <w:tr>
        <w:trPr>
          <w:trHeight w:val="242"/>
        </w:trPr>
        <w:tc>
          <w:tcPr>
            <w:tcW w:w="1140" w:type="dxa"/>
            <w:vAlign w:val="bottom"/>
          </w:tcPr>
          <w:p>
            <w:pPr>
              <w:spacing w:after="0"/>
              <w:rPr>
                <w:sz w:val="21"/>
                <w:szCs w:val="21"/>
                <w:color w:val="auto"/>
              </w:rPr>
            </w:pPr>
          </w:p>
        </w:tc>
        <w:tc>
          <w:tcPr>
            <w:tcW w:w="4380" w:type="dxa"/>
            <w:vAlign w:val="bottom"/>
          </w:tcPr>
          <w:p>
            <w:pPr>
              <w:ind w:left="1080"/>
              <w:spacing w:after="0"/>
              <w:rPr>
                <w:sz w:val="20"/>
                <w:szCs w:val="20"/>
                <w:color w:val="auto"/>
              </w:rPr>
            </w:pPr>
            <w:r>
              <w:rPr>
                <w:rFonts w:ascii="Arial" w:cs="Arial" w:eastAsia="Arial" w:hAnsi="Arial"/>
                <w:sz w:val="18"/>
                <w:szCs w:val="18"/>
                <w:color w:val="auto"/>
              </w:rPr>
              <w:t>financial officer.</w:t>
            </w:r>
          </w:p>
        </w:tc>
        <w:tc>
          <w:tcPr>
            <w:tcW w:w="5280" w:type="dxa"/>
            <w:vAlign w:val="bottom"/>
            <w:gridSpan w:val="2"/>
          </w:tcPr>
          <w:p>
            <w:pPr>
              <w:ind w:left="200"/>
              <w:spacing w:after="0"/>
              <w:rPr>
                <w:sz w:val="20"/>
                <w:szCs w:val="20"/>
                <w:color w:val="auto"/>
              </w:rPr>
            </w:pPr>
            <w:r>
              <w:rPr>
                <w:rFonts w:ascii="Arial" w:cs="Arial" w:eastAsia="Arial" w:hAnsi="Arial"/>
                <w:sz w:val="18"/>
                <w:szCs w:val="18"/>
                <w:color w:val="auto"/>
              </w:rPr>
              <w:t>•  Hewlett Packard Enterprise Company</w:t>
            </w:r>
          </w:p>
        </w:tc>
      </w:tr>
      <w:tr>
        <w:trPr>
          <w:trHeight w:val="217"/>
        </w:trPr>
        <w:tc>
          <w:tcPr>
            <w:tcW w:w="11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4940" w:type="dxa"/>
            <w:vAlign w:val="bottom"/>
          </w:tcPr>
          <w:p>
            <w:pPr>
              <w:ind w:left="60"/>
              <w:spacing w:after="0"/>
              <w:rPr>
                <w:sz w:val="20"/>
                <w:szCs w:val="20"/>
                <w:color w:val="auto"/>
              </w:rPr>
            </w:pPr>
            <w:r>
              <w:rPr>
                <w:rFonts w:ascii="Arial" w:cs="Arial" w:eastAsia="Arial" w:hAnsi="Arial"/>
                <w:sz w:val="18"/>
                <w:szCs w:val="18"/>
                <w:color w:val="auto"/>
              </w:rPr>
              <w:t>Integer Holdings Corporation</w:t>
            </w:r>
          </w:p>
        </w:tc>
      </w:tr>
      <w:tr>
        <w:trPr>
          <w:trHeight w:val="431"/>
        </w:trPr>
        <w:tc>
          <w:tcPr>
            <w:tcW w:w="11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5280" w:type="dxa"/>
            <w:vAlign w:val="bottom"/>
            <w:gridSpan w:val="2"/>
          </w:tcPr>
          <w:p>
            <w:pPr>
              <w:ind w:left="200"/>
              <w:spacing w:after="0"/>
              <w:rPr>
                <w:sz w:val="20"/>
                <w:szCs w:val="20"/>
                <w:color w:val="auto"/>
              </w:rPr>
            </w:pPr>
            <w:r>
              <w:rPr>
                <w:rFonts w:ascii="Arial" w:cs="Arial" w:eastAsia="Arial" w:hAnsi="Arial"/>
                <w:sz w:val="18"/>
                <w:szCs w:val="18"/>
                <w:i w:val="1"/>
                <w:iCs w:val="1"/>
                <w:color w:val="auto"/>
              </w:rPr>
              <w:t>Other public company directorships in the last five years</w:t>
            </w:r>
          </w:p>
        </w:tc>
      </w:tr>
      <w:tr>
        <w:trPr>
          <w:trHeight w:val="217"/>
        </w:trPr>
        <w:tc>
          <w:tcPr>
            <w:tcW w:w="11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4940" w:type="dxa"/>
            <w:vAlign w:val="bottom"/>
          </w:tcPr>
          <w:p>
            <w:pPr>
              <w:ind w:left="60"/>
              <w:spacing w:after="0"/>
              <w:rPr>
                <w:sz w:val="20"/>
                <w:szCs w:val="20"/>
                <w:color w:val="auto"/>
              </w:rPr>
            </w:pPr>
            <w:r>
              <w:rPr>
                <w:rFonts w:ascii="Arial" w:cs="Arial" w:eastAsia="Arial" w:hAnsi="Arial"/>
                <w:sz w:val="18"/>
                <w:szCs w:val="18"/>
                <w:color w:val="auto"/>
              </w:rPr>
              <w:t>CA, Inc.</w:t>
            </w:r>
          </w:p>
        </w:tc>
      </w:tr>
      <w:tr>
        <w:trPr>
          <w:trHeight w:val="294"/>
        </w:trPr>
        <w:tc>
          <w:tcPr>
            <w:tcW w:w="1140" w:type="dxa"/>
            <w:vAlign w:val="bottom"/>
          </w:tcPr>
          <w:p>
            <w:pPr>
              <w:jc w:val="right"/>
              <w:ind w:right="997"/>
              <w:spacing w:after="0"/>
              <w:rPr>
                <w:sz w:val="20"/>
                <w:szCs w:val="20"/>
                <w:color w:val="auto"/>
              </w:rPr>
            </w:pPr>
            <w:r>
              <w:rPr>
                <w:rFonts w:ascii="Arial" w:cs="Arial" w:eastAsia="Arial" w:hAnsi="Arial"/>
                <w:sz w:val="13"/>
                <w:szCs w:val="13"/>
                <w:color w:val="666666"/>
                <w:w w:val="82"/>
              </w:rPr>
              <w:t>8</w:t>
            </w:r>
          </w:p>
        </w:tc>
        <w:tc>
          <w:tcPr>
            <w:tcW w:w="4380" w:type="dxa"/>
            <w:vAlign w:val="bottom"/>
          </w:tcPr>
          <w:p>
            <w:pPr>
              <w:ind w:left="2780"/>
              <w:spacing w:after="0"/>
              <w:rPr>
                <w:sz w:val="20"/>
                <w:szCs w:val="20"/>
                <w:color w:val="auto"/>
              </w:rPr>
            </w:pPr>
            <w:r>
              <w:rPr>
                <w:rFonts w:ascii="Arial" w:cs="Arial" w:eastAsia="Arial" w:hAnsi="Arial"/>
                <w:sz w:val="13"/>
                <w:szCs w:val="13"/>
                <w:color w:val="666666"/>
              </w:rPr>
              <w:t>TEXAS INSTRUMENTS  •</w:t>
            </w:r>
          </w:p>
        </w:tc>
        <w:tc>
          <w:tcPr>
            <w:tcW w:w="5280" w:type="dxa"/>
            <w:vAlign w:val="bottom"/>
            <w:gridSpan w:val="2"/>
          </w:tcPr>
          <w:p>
            <w:pPr>
              <w:ind w:left="80"/>
              <w:spacing w:after="0"/>
              <w:rPr>
                <w:sz w:val="20"/>
                <w:szCs w:val="20"/>
                <w:color w:val="auto"/>
              </w:rPr>
            </w:pPr>
            <w:r>
              <w:rPr>
                <w:rFonts w:ascii="Arial" w:cs="Arial" w:eastAsia="Arial" w:hAnsi="Arial"/>
                <w:sz w:val="13"/>
                <w:szCs w:val="13"/>
                <w:color w:val="666666"/>
              </w:rPr>
              <w:t>2020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-1789430</wp:posOffset>
            </wp:positionV>
            <wp:extent cx="805815" cy="9683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05815" cy="968375"/>
                    </a:xfrm>
                    <a:prstGeom prst="rect">
                      <a:avLst/>
                    </a:prstGeom>
                    <a:noFill/>
                  </pic:spPr>
                </pic:pic>
              </a:graphicData>
            </a:graphic>
          </wp:anchor>
        </w:drawing>
      </w:r>
    </w:p>
    <w:p>
      <w:pPr>
        <w:sectPr>
          <w:pgSz w:w="11900" w:h="16838" w:orient="portrait"/>
          <w:cols w:equalWidth="0" w:num="1">
            <w:col w:w="10920"/>
          </w:cols>
          <w:pgMar w:left="320" w:top="459" w:right="6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Michael Hsu </w:t>
      </w:r>
      <w:r>
        <w:rPr>
          <w:rFonts w:ascii="Arial" w:cs="Arial" w:eastAsia="Arial" w:hAnsi="Arial"/>
          <w:sz w:val="18"/>
          <w:szCs w:val="18"/>
          <w:color w:val="auto"/>
        </w:rPr>
        <w:t>(effective April 1, 2020)</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Chairman and chief executive officer of Kimberly-Clark Corporation</w:t>
      </w:r>
    </w:p>
    <w:p>
      <w:pPr>
        <w:spacing w:after="0" w:line="59" w:lineRule="exact"/>
        <w:rPr>
          <w:sz w:val="20"/>
          <w:szCs w:val="20"/>
          <w:color w:val="auto"/>
        </w:rPr>
      </w:pPr>
    </w:p>
    <w:p>
      <w:pPr>
        <w:ind w:left="234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-67310</wp:posOffset>
            </wp:positionV>
            <wp:extent cx="805815" cy="9690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05815" cy="969010"/>
                    </a:xfrm>
                    <a:prstGeom prst="rect">
                      <a:avLst/>
                    </a:prstGeom>
                    <a:noFill/>
                  </pic:spPr>
                </pic:pic>
              </a:graphicData>
            </a:graphic>
          </wp:anchor>
        </w:drawing>
      </w:r>
    </w:p>
    <w:p>
      <w:pPr>
        <w:ind w:left="2340"/>
        <w:spacing w:after="0" w:line="236" w:lineRule="auto"/>
        <w:rPr>
          <w:sz w:val="20"/>
          <w:szCs w:val="20"/>
          <w:color w:val="auto"/>
        </w:rPr>
      </w:pPr>
      <w:r>
        <w:rPr>
          <w:rFonts w:ascii="Arial" w:cs="Arial" w:eastAsia="Arial" w:hAnsi="Arial"/>
          <w:sz w:val="18"/>
          <w:szCs w:val="18"/>
          <w:color w:val="auto"/>
        </w:rPr>
        <w:t>At Kimberly-Clark, Mr. Hsu has served as chief executive officer since 2019 and chairman since 2020. Prior to those roles, he was group president North America from 2012 to 2016, then president and chief operating officer from 2017 to 2019. Mr. Hsu has also held senior leadership positions at Kraft Foods, Inc. and H.J. Heinz Company.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Ron Kirk</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Senior of counsel, Gibson, Dunn &amp; Crutcher</w:t>
      </w:r>
    </w:p>
    <w:p>
      <w:pPr>
        <w:spacing w:after="0" w:line="59" w:lineRule="exact"/>
        <w:rPr>
          <w:sz w:val="20"/>
          <w:szCs w:val="20"/>
          <w:color w:val="auto"/>
        </w:rPr>
      </w:pPr>
    </w:p>
    <w:p>
      <w:pPr>
        <w:ind w:left="234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805815" cy="9683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05815" cy="968375"/>
                    </a:xfrm>
                    <a:prstGeom prst="rect">
                      <a:avLst/>
                    </a:prstGeom>
                    <a:noFill/>
                  </pic:spPr>
                </pic:pic>
              </a:graphicData>
            </a:graphic>
          </wp:anchor>
        </w:drawing>
      </w:r>
    </w:p>
    <w:p>
      <w:pPr>
        <w:ind w:left="2340" w:right="80"/>
        <w:spacing w:after="0" w:line="251" w:lineRule="auto"/>
        <w:rPr>
          <w:sz w:val="20"/>
          <w:szCs w:val="20"/>
          <w:color w:val="auto"/>
        </w:rPr>
      </w:pPr>
      <w:r>
        <w:rPr>
          <w:rFonts w:ascii="Arial" w:cs="Arial" w:eastAsia="Arial" w:hAnsi="Arial"/>
          <w:sz w:val="17"/>
          <w:szCs w:val="17"/>
          <w:color w:val="auto"/>
        </w:rPr>
        <w:t>Mr. Kirk has been senior of counsel at Gibson, Dunn &amp; Crutcher since 2013, and co-chairs the international trade practice group. He served as the U.S. Trade Representative from 2009 to 2013, where he focused on the development and enforcement of U.S. intellectual property law. Mr. Kirk has been a director of Brinker International, Inc. and Dean Foods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14" w:lineRule="exact"/>
        <w:rPr>
          <w:sz w:val="20"/>
          <w:szCs w:val="20"/>
          <w:color w:val="auto"/>
        </w:rPr>
      </w:pPr>
    </w:p>
    <w:p>
      <w:pPr>
        <w:ind w:left="260" w:right="980" w:hanging="260"/>
        <w:spacing w:after="0" w:line="234" w:lineRule="auto"/>
        <w:tabs>
          <w:tab w:leader="none" w:pos="251"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Management responsibility at a large, multinational manufacturer</w:t>
      </w:r>
    </w:p>
    <w:p>
      <w:pPr>
        <w:spacing w:after="0" w:line="1" w:lineRule="exact"/>
        <w:rPr>
          <w:rFonts w:ascii="Arial" w:cs="Arial" w:eastAsia="Arial" w:hAnsi="Arial"/>
          <w:sz w:val="18"/>
          <w:szCs w:val="18"/>
          <w:color w:val="auto"/>
        </w:rPr>
      </w:pPr>
    </w:p>
    <w:p>
      <w:pPr>
        <w:ind w:left="240" w:hanging="240"/>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Responsibility for significant capital and R&amp;D investment</w:t>
      </w:r>
    </w:p>
    <w:p>
      <w:pPr>
        <w:spacing w:after="0" w:line="221" w:lineRule="exact"/>
        <w:rPr>
          <w:sz w:val="20"/>
          <w:szCs w:val="20"/>
          <w:color w:val="auto"/>
        </w:rPr>
      </w:pPr>
    </w:p>
    <w:p>
      <w:pPr>
        <w:ind w:right="1840"/>
        <w:spacing w:after="0" w:line="267" w:lineRule="auto"/>
        <w:rPr>
          <w:sz w:val="20"/>
          <w:szCs w:val="20"/>
          <w:color w:val="auto"/>
        </w:rPr>
      </w:pPr>
      <w:r>
        <w:rPr>
          <w:rFonts w:ascii="Arial" w:cs="Arial" w:eastAsia="Arial" w:hAnsi="Arial"/>
          <w:sz w:val="18"/>
          <w:szCs w:val="18"/>
          <w:i w:val="1"/>
          <w:iCs w:val="1"/>
          <w:color w:val="auto"/>
        </w:rPr>
        <w:t xml:space="preserve">Other current public company directorships </w:t>
      </w:r>
      <w:r>
        <w:rPr>
          <w:rFonts w:ascii="Arial" w:cs="Arial" w:eastAsia="Arial" w:hAnsi="Arial"/>
          <w:sz w:val="18"/>
          <w:szCs w:val="18"/>
          <w:color w:val="auto"/>
        </w:rPr>
        <w:t>• Kimberly-Clark Corporation</w:t>
      </w:r>
    </w:p>
    <w:p>
      <w:pPr>
        <w:spacing w:after="0" w:line="187" w:lineRule="exact"/>
        <w:rPr>
          <w:sz w:val="20"/>
          <w:szCs w:val="20"/>
          <w:color w:val="auto"/>
        </w:rPr>
      </w:pPr>
    </w:p>
    <w:p>
      <w:pPr>
        <w:ind w:right="820"/>
        <w:spacing w:after="0" w:line="267" w:lineRule="auto"/>
        <w:rPr>
          <w:sz w:val="20"/>
          <w:szCs w:val="20"/>
          <w:color w:val="auto"/>
        </w:rPr>
      </w:pPr>
      <w:r>
        <w:rPr>
          <w:rFonts w:ascii="Arial" w:cs="Arial" w:eastAsia="Arial" w:hAnsi="Arial"/>
          <w:sz w:val="18"/>
          <w:szCs w:val="18"/>
          <w:i w:val="1"/>
          <w:iCs w:val="1"/>
          <w:color w:val="auto"/>
        </w:rPr>
        <w:t xml:space="preserve">Other public company directorships in the last five years </w:t>
      </w:r>
      <w:r>
        <w:rPr>
          <w:rFonts w:ascii="Arial" w:cs="Arial" w:eastAsia="Arial" w:hAnsi="Arial"/>
          <w:sz w:val="18"/>
          <w:szCs w:val="18"/>
          <w:color w:val="auto"/>
        </w:rPr>
        <w:t>• None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14" w:lineRule="exact"/>
        <w:rPr>
          <w:sz w:val="20"/>
          <w:szCs w:val="20"/>
          <w:color w:val="auto"/>
        </w:rPr>
      </w:pPr>
    </w:p>
    <w:p>
      <w:pPr>
        <w:ind w:left="260" w:right="300" w:hanging="260"/>
        <w:spacing w:after="0" w:line="234" w:lineRule="auto"/>
        <w:tabs>
          <w:tab w:leader="none" w:pos="251"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Management responsibility of a large, complex organization operating internationally</w:t>
      </w:r>
    </w:p>
    <w:p>
      <w:pPr>
        <w:spacing w:after="0" w:line="1" w:lineRule="exact"/>
        <w:rPr>
          <w:rFonts w:ascii="Arial" w:cs="Arial" w:eastAsia="Arial" w:hAnsi="Arial"/>
          <w:sz w:val="18"/>
          <w:szCs w:val="18"/>
          <w:color w:val="auto"/>
        </w:rPr>
      </w:pPr>
    </w:p>
    <w:p>
      <w:pPr>
        <w:ind w:left="260" w:right="300" w:hanging="260"/>
        <w:spacing w:after="0" w:line="246" w:lineRule="auto"/>
        <w:tabs>
          <w:tab w:leader="none" w:pos="251" w:val="left"/>
        </w:tabs>
        <w:numPr>
          <w:ilvl w:val="0"/>
          <w:numId w:val="22"/>
        </w:numPr>
        <w:rPr>
          <w:rFonts w:ascii="Arial" w:cs="Arial" w:eastAsia="Arial" w:hAnsi="Arial"/>
          <w:sz w:val="18"/>
          <w:szCs w:val="18"/>
          <w:color w:val="auto"/>
        </w:rPr>
      </w:pPr>
      <w:r>
        <w:rPr>
          <w:rFonts w:ascii="Arial" w:cs="Arial" w:eastAsia="Arial" w:hAnsi="Arial"/>
          <w:sz w:val="18"/>
          <w:szCs w:val="18"/>
          <w:color w:val="auto"/>
        </w:rPr>
        <w:t>Keen insight into issues bearing on global economic activity and international trade policies</w:t>
      </w:r>
    </w:p>
    <w:p>
      <w:pPr>
        <w:spacing w:after="0" w:line="206" w:lineRule="exact"/>
        <w:rPr>
          <w:sz w:val="20"/>
          <w:szCs w:val="20"/>
          <w:color w:val="auto"/>
        </w:rPr>
      </w:pPr>
    </w:p>
    <w:p>
      <w:pPr>
        <w:ind w:right="1840"/>
        <w:spacing w:after="0" w:line="267" w:lineRule="auto"/>
        <w:rPr>
          <w:sz w:val="20"/>
          <w:szCs w:val="20"/>
          <w:color w:val="auto"/>
        </w:rPr>
      </w:pPr>
      <w:r>
        <w:rPr>
          <w:rFonts w:ascii="Arial" w:cs="Arial" w:eastAsia="Arial" w:hAnsi="Arial"/>
          <w:sz w:val="18"/>
          <w:szCs w:val="18"/>
          <w:i w:val="1"/>
          <w:iCs w:val="1"/>
          <w:color w:val="auto"/>
        </w:rPr>
        <w:t xml:space="preserve">Other current public company directorships </w:t>
      </w:r>
      <w:r>
        <w:rPr>
          <w:rFonts w:ascii="Arial" w:cs="Arial" w:eastAsia="Arial" w:hAnsi="Arial"/>
          <w:sz w:val="18"/>
          <w:szCs w:val="18"/>
          <w:color w:val="auto"/>
        </w:rPr>
        <w:t>• Macquarie Infrastructure Corporation</w:t>
      </w:r>
    </w:p>
    <w:p>
      <w:pPr>
        <w:spacing w:after="0" w:line="187" w:lineRule="exact"/>
        <w:rPr>
          <w:sz w:val="20"/>
          <w:szCs w:val="20"/>
          <w:color w:val="auto"/>
        </w:rPr>
      </w:pPr>
    </w:p>
    <w:p>
      <w:pPr>
        <w:ind w:right="820"/>
        <w:spacing w:after="0" w:line="267" w:lineRule="auto"/>
        <w:rPr>
          <w:sz w:val="20"/>
          <w:szCs w:val="20"/>
          <w:color w:val="auto"/>
        </w:rPr>
      </w:pPr>
      <w:r>
        <w:rPr>
          <w:rFonts w:ascii="Arial" w:cs="Arial" w:eastAsia="Arial" w:hAnsi="Arial"/>
          <w:sz w:val="18"/>
          <w:szCs w:val="18"/>
          <w:i w:val="1"/>
          <w:iCs w:val="1"/>
          <w:color w:val="auto"/>
        </w:rPr>
        <w:t xml:space="preserve">Other public company directorships in the last five years </w:t>
      </w:r>
      <w:r>
        <w:rPr>
          <w:rFonts w:ascii="Arial" w:cs="Arial" w:eastAsia="Arial" w:hAnsi="Arial"/>
          <w:sz w:val="18"/>
          <w:szCs w:val="18"/>
          <w:color w:val="auto"/>
        </w:rPr>
        <w:t>• None</w:t>
      </w:r>
    </w:p>
    <w:p>
      <w:pPr>
        <w:spacing w:after="0" w:line="170" w:lineRule="exact"/>
        <w:rPr>
          <w:sz w:val="20"/>
          <w:szCs w:val="20"/>
          <w:color w:val="auto"/>
        </w:rPr>
      </w:pPr>
    </w:p>
    <w:p>
      <w:pPr>
        <w:sectPr>
          <w:pgSz w:w="11900" w:h="16838" w:orient="portrait"/>
          <w:cols w:equalWidth="0" w:num="2">
            <w:col w:w="5520" w:space="320"/>
            <w:col w:w="5280"/>
          </w:cols>
          <w:pgMar w:left="320" w:top="459" w:right="459" w:bottom="1440" w:gutter="0" w:footer="0" w:header="0"/>
        </w:sectPr>
      </w:pPr>
    </w:p>
    <w:p>
      <w:pPr>
        <w:ind w:left="120"/>
        <w:spacing w:after="0"/>
        <w:rPr>
          <w:sz w:val="20"/>
          <w:szCs w:val="20"/>
          <w:color w:val="auto"/>
        </w:rPr>
      </w:pPr>
      <w:r>
        <w:rPr>
          <w:rFonts w:ascii="Arial" w:cs="Arial" w:eastAsia="Arial" w:hAnsi="Arial"/>
          <w:sz w:val="18"/>
          <w:szCs w:val="18"/>
          <w:b w:val="1"/>
          <w:bCs w:val="1"/>
          <w:color w:val="auto"/>
        </w:rPr>
        <w:t>Pamela Patsley</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Former chairman and chief executive officer of MoneyGram International, Inc.</w:t>
      </w:r>
    </w:p>
    <w:p>
      <w:pPr>
        <w:sectPr>
          <w:pgSz w:w="11900" w:h="16838" w:orient="portrait"/>
          <w:cols w:equalWidth="0" w:num="1">
            <w:col w:w="11120"/>
          </w:cols>
          <w:pgMar w:left="320" w:top="459" w:right="459" w:bottom="1440" w:gutter="0" w:footer="0" w:header="0"/>
          <w:type w:val="continuous"/>
        </w:sectPr>
      </w:pPr>
    </w:p>
    <w:p>
      <w:pPr>
        <w:spacing w:after="0" w:line="70" w:lineRule="exact"/>
        <w:rPr>
          <w:sz w:val="20"/>
          <w:szCs w:val="20"/>
          <w:color w:val="auto"/>
        </w:rPr>
      </w:pPr>
    </w:p>
    <w:p>
      <w:pPr>
        <w:ind w:left="234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805815" cy="9683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05815" cy="968375"/>
                    </a:xfrm>
                    <a:prstGeom prst="rect">
                      <a:avLst/>
                    </a:prstGeom>
                    <a:noFill/>
                  </pic:spPr>
                </pic:pic>
              </a:graphicData>
            </a:graphic>
          </wp:anchor>
        </w:drawing>
      </w:r>
    </w:p>
    <w:p>
      <w:pPr>
        <w:jc w:val="both"/>
        <w:ind w:left="2340"/>
        <w:spacing w:after="0" w:line="248" w:lineRule="auto"/>
        <w:rPr>
          <w:sz w:val="20"/>
          <w:szCs w:val="20"/>
          <w:color w:val="auto"/>
        </w:rPr>
      </w:pPr>
      <w:r>
        <w:rPr>
          <w:rFonts w:ascii="Arial" w:cs="Arial" w:eastAsia="Arial" w:hAnsi="Arial"/>
          <w:sz w:val="17"/>
          <w:szCs w:val="17"/>
          <w:color w:val="auto"/>
        </w:rPr>
        <w:t>At MoneyGram, Ms. Patsley was chair and chief executive officer from 2009 to 2015, then executive chair until 2018.</w:t>
      </w:r>
    </w:p>
    <w:p>
      <w:pPr>
        <w:spacing w:after="0" w:line="2" w:lineRule="exact"/>
        <w:rPr>
          <w:sz w:val="20"/>
          <w:szCs w:val="20"/>
          <w:color w:val="auto"/>
        </w:rPr>
      </w:pPr>
    </w:p>
    <w:p>
      <w:pPr>
        <w:ind w:left="2340"/>
        <w:spacing w:after="0" w:line="253" w:lineRule="auto"/>
        <w:rPr>
          <w:sz w:val="20"/>
          <w:szCs w:val="20"/>
          <w:color w:val="auto"/>
        </w:rPr>
      </w:pPr>
      <w:r>
        <w:rPr>
          <w:rFonts w:ascii="Arial" w:cs="Arial" w:eastAsia="Arial" w:hAnsi="Arial"/>
          <w:sz w:val="17"/>
          <w:szCs w:val="17"/>
          <w:color w:val="auto"/>
        </w:rPr>
        <w:t>Prior to that, she was senior executive vice president at First Data Corporation and chief executive officer of Paymentech, Inc. She also served as chief financial officer of First USA, Inc. and began her career as an auditor.</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9" w:lineRule="exact"/>
        <w:rPr>
          <w:sz w:val="20"/>
          <w:szCs w:val="20"/>
          <w:color w:val="auto"/>
        </w:rPr>
      </w:pPr>
    </w:p>
    <w:p>
      <w:pPr>
        <w:ind w:left="240" w:hanging="240"/>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Management responsibility of a large, multinational company</w:t>
      </w:r>
    </w:p>
    <w:p>
      <w:pPr>
        <w:ind w:left="260" w:right="220" w:hanging="260"/>
        <w:spacing w:after="0" w:line="246" w:lineRule="auto"/>
        <w:tabs>
          <w:tab w:leader="none" w:pos="251" w:val="left"/>
        </w:tabs>
        <w:numPr>
          <w:ilvl w:val="0"/>
          <w:numId w:val="23"/>
        </w:numPr>
        <w:rPr>
          <w:rFonts w:ascii="Arial" w:cs="Arial" w:eastAsia="Arial" w:hAnsi="Arial"/>
          <w:sz w:val="18"/>
          <w:szCs w:val="18"/>
          <w:color w:val="auto"/>
        </w:rPr>
      </w:pPr>
      <w:r>
        <w:rPr>
          <w:rFonts w:ascii="Arial" w:cs="Arial" w:eastAsia="Arial" w:hAnsi="Arial"/>
          <w:sz w:val="18"/>
          <w:szCs w:val="18"/>
          <w:color w:val="auto"/>
        </w:rPr>
        <w:t>Keen appreciation for audit, financial control, and technology matters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current public company directorships</w:t>
      </w:r>
    </w:p>
    <w:p>
      <w:pPr>
        <w:spacing w:after="0" w:line="9" w:lineRule="exact"/>
        <w:rPr>
          <w:sz w:val="20"/>
          <w:szCs w:val="20"/>
          <w:color w:val="auto"/>
        </w:rPr>
      </w:pPr>
    </w:p>
    <w:p>
      <w:pPr>
        <w:ind w:left="200" w:hanging="200"/>
        <w:spacing w:after="0"/>
        <w:tabs>
          <w:tab w:leader="none" w:pos="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ACI Worldwide, Inc.</w:t>
      </w:r>
    </w:p>
    <w:p>
      <w:pPr>
        <w:ind w:left="200" w:hanging="200"/>
        <w:spacing w:after="0" w:line="234" w:lineRule="auto"/>
        <w:tabs>
          <w:tab w:leader="none" w:pos="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Hilton Grand Vacations Inc.</w:t>
      </w:r>
    </w:p>
    <w:p>
      <w:pPr>
        <w:ind w:left="200" w:hanging="200"/>
        <w:spacing w:after="0"/>
        <w:tabs>
          <w:tab w:leader="none" w:pos="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Keurig Dr. Pepper Inc.</w:t>
      </w:r>
    </w:p>
    <w:p>
      <w:pPr>
        <w:spacing w:after="0" w:line="221" w:lineRule="exact"/>
        <w:rPr>
          <w:sz w:val="20"/>
          <w:szCs w:val="20"/>
          <w:color w:val="auto"/>
        </w:rPr>
      </w:pPr>
    </w:p>
    <w:p>
      <w:pPr>
        <w:ind w:right="820"/>
        <w:spacing w:after="0" w:line="267" w:lineRule="auto"/>
        <w:rPr>
          <w:sz w:val="20"/>
          <w:szCs w:val="20"/>
          <w:color w:val="auto"/>
        </w:rPr>
      </w:pPr>
      <w:r>
        <w:rPr>
          <w:rFonts w:ascii="Arial" w:cs="Arial" w:eastAsia="Arial" w:hAnsi="Arial"/>
          <w:sz w:val="18"/>
          <w:szCs w:val="18"/>
          <w:i w:val="1"/>
          <w:iCs w:val="1"/>
          <w:color w:val="auto"/>
        </w:rPr>
        <w:t xml:space="preserve">Other public company directorships in the last five years </w:t>
      </w:r>
      <w:r>
        <w:rPr>
          <w:rFonts w:ascii="Arial" w:cs="Arial" w:eastAsia="Arial" w:hAnsi="Arial"/>
          <w:sz w:val="18"/>
          <w:szCs w:val="18"/>
          <w:color w:val="auto"/>
        </w:rPr>
        <w:t>• MoneyGram International, Inc.</w:t>
      </w:r>
    </w:p>
    <w:p>
      <w:pPr>
        <w:spacing w:after="0" w:line="119" w:lineRule="exact"/>
        <w:rPr>
          <w:sz w:val="20"/>
          <w:szCs w:val="20"/>
          <w:color w:val="auto"/>
        </w:rPr>
      </w:pPr>
    </w:p>
    <w:p>
      <w:pPr>
        <w:sectPr>
          <w:pgSz w:w="11900" w:h="16838" w:orient="portrait"/>
          <w:cols w:equalWidth="0" w:num="2">
            <w:col w:w="5460" w:space="380"/>
            <w:col w:w="5280"/>
          </w:cols>
          <w:pgMar w:left="320" w:top="459" w:right="459" w:bottom="1440" w:gutter="0" w:footer="0" w:header="0"/>
          <w:type w:val="continuous"/>
        </w:sectPr>
      </w:pPr>
    </w:p>
    <w:tbl>
      <w:tblPr>
        <w:tblLayout w:type="fixed"/>
        <w:tblInd w:w="4040" w:type="dxa"/>
        <w:tblCellMar>
          <w:top w:w="0" w:type="dxa"/>
          <w:left w:w="0" w:type="dxa"/>
          <w:bottom w:w="0" w:type="dxa"/>
          <w:right w:w="0" w:type="dxa"/>
        </w:tblCellMar>
      </w:tblPr>
      <w:tr>
        <w:trPr>
          <w:trHeight w:val="152"/>
        </w:trPr>
        <w:tc>
          <w:tcPr>
            <w:tcW w:w="5100" w:type="dxa"/>
            <w:vAlign w:val="bottom"/>
          </w:tcPr>
          <w:p>
            <w:pPr>
              <w:spacing w:after="0"/>
              <w:rPr>
                <w:sz w:val="20"/>
                <w:szCs w:val="20"/>
                <w:color w:val="auto"/>
              </w:rPr>
            </w:pPr>
            <w:r>
              <w:rPr>
                <w:rFonts w:ascii="Arial" w:cs="Arial" w:eastAsia="Arial" w:hAnsi="Arial"/>
                <w:sz w:val="13"/>
                <w:szCs w:val="13"/>
                <w:color w:val="666666"/>
              </w:rPr>
              <w:t>TEXAS INSTRUMENTS  •  2020 PROXY STATEMENT</w:t>
            </w:r>
          </w:p>
        </w:tc>
        <w:tc>
          <w:tcPr>
            <w:tcW w:w="1980" w:type="dxa"/>
            <w:vAlign w:val="bottom"/>
          </w:tcPr>
          <w:p>
            <w:pPr>
              <w:jc w:val="right"/>
              <w:spacing w:after="0"/>
              <w:rPr>
                <w:sz w:val="20"/>
                <w:szCs w:val="20"/>
                <w:color w:val="auto"/>
              </w:rPr>
            </w:pPr>
            <w:r>
              <w:rPr>
                <w:rFonts w:ascii="Arial" w:cs="Arial" w:eastAsia="Arial" w:hAnsi="Arial"/>
                <w:sz w:val="13"/>
                <w:szCs w:val="13"/>
                <w:color w:val="666666"/>
              </w:rPr>
              <w:t>9</w:t>
            </w:r>
          </w:p>
        </w:tc>
      </w:tr>
    </w:tbl>
    <w:p>
      <w:pPr>
        <w:sectPr>
          <w:pgSz w:w="11900" w:h="16838" w:orient="portrait"/>
          <w:cols w:equalWidth="0" w:num="1">
            <w:col w:w="11120"/>
          </w:cols>
          <w:pgMar w:left="320" w:top="459" w:right="45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Robert Sanchez</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Chairman and chief executive officer of Ryder System, Inc.</w:t>
      </w:r>
    </w:p>
    <w:p>
      <w:pPr>
        <w:spacing w:after="0" w:line="59" w:lineRule="exact"/>
        <w:rPr>
          <w:sz w:val="20"/>
          <w:szCs w:val="20"/>
          <w:color w:val="auto"/>
        </w:rPr>
      </w:pPr>
    </w:p>
    <w:p>
      <w:pPr>
        <w:ind w:left="234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805815" cy="9690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05815" cy="969010"/>
                    </a:xfrm>
                    <a:prstGeom prst="rect">
                      <a:avLst/>
                    </a:prstGeom>
                    <a:noFill/>
                  </pic:spPr>
                </pic:pic>
              </a:graphicData>
            </a:graphic>
          </wp:anchor>
        </w:drawing>
      </w:r>
    </w:p>
    <w:p>
      <w:pPr>
        <w:jc w:val="both"/>
        <w:ind w:left="2340" w:right="480"/>
        <w:spacing w:after="0" w:line="234" w:lineRule="auto"/>
        <w:rPr>
          <w:sz w:val="20"/>
          <w:szCs w:val="20"/>
          <w:color w:val="auto"/>
        </w:rPr>
      </w:pPr>
      <w:r>
        <w:rPr>
          <w:rFonts w:ascii="Arial" w:cs="Arial" w:eastAsia="Arial" w:hAnsi="Arial"/>
          <w:sz w:val="18"/>
          <w:szCs w:val="18"/>
          <w:color w:val="auto"/>
        </w:rPr>
        <w:t>Mr. Sanchez has been chairman and executive officer of Ryder since 2013. During his career at Ryder,</w:t>
      </w:r>
    </w:p>
    <w:p>
      <w:pPr>
        <w:spacing w:after="0" w:line="2" w:lineRule="exact"/>
        <w:rPr>
          <w:sz w:val="20"/>
          <w:szCs w:val="20"/>
          <w:color w:val="auto"/>
        </w:rPr>
      </w:pPr>
    </w:p>
    <w:p>
      <w:pPr>
        <w:ind w:left="2340" w:right="340"/>
        <w:spacing w:after="0" w:line="236" w:lineRule="auto"/>
        <w:rPr>
          <w:sz w:val="20"/>
          <w:szCs w:val="20"/>
          <w:color w:val="auto"/>
        </w:rPr>
      </w:pPr>
      <w:r>
        <w:rPr>
          <w:rFonts w:ascii="Arial" w:cs="Arial" w:eastAsia="Arial" w:hAnsi="Arial"/>
          <w:sz w:val="18"/>
          <w:szCs w:val="18"/>
          <w:color w:val="auto"/>
        </w:rPr>
        <w:t>Mr. Sanchez has served as president, chief operating officer, chief information officer, and chief financial officer. He has also had a broad range of leadership roles in Ryder’s business segments, including as president of its Global Fleet Management Solutions business.</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Rich Templeton</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Chairman and chief executive officer of Texas Instruments Incorporated</w:t>
      </w:r>
    </w:p>
    <w:p>
      <w:pPr>
        <w:spacing w:after="0" w:line="70" w:lineRule="exact"/>
        <w:rPr>
          <w:sz w:val="20"/>
          <w:szCs w:val="20"/>
          <w:color w:val="auto"/>
        </w:rPr>
      </w:pPr>
    </w:p>
    <w:p>
      <w:pPr>
        <w:ind w:left="234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805815" cy="9683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05815" cy="968375"/>
                    </a:xfrm>
                    <a:prstGeom prst="rect">
                      <a:avLst/>
                    </a:prstGeom>
                    <a:noFill/>
                  </pic:spPr>
                </pic:pic>
              </a:graphicData>
            </a:graphic>
          </wp:anchor>
        </w:drawing>
      </w:r>
    </w:p>
    <w:p>
      <w:pPr>
        <w:ind w:left="2340" w:right="360"/>
        <w:spacing w:after="0" w:line="236" w:lineRule="auto"/>
        <w:rPr>
          <w:sz w:val="20"/>
          <w:szCs w:val="20"/>
          <w:color w:val="auto"/>
        </w:rPr>
      </w:pPr>
      <w:r>
        <w:rPr>
          <w:rFonts w:ascii="Arial" w:cs="Arial" w:eastAsia="Arial" w:hAnsi="Arial"/>
          <w:sz w:val="18"/>
          <w:szCs w:val="18"/>
          <w:color w:val="auto"/>
        </w:rPr>
        <w:t>Mr. Templeton is a 39-year veteran of the semiconductor industry, serving the last 25 years at a senior level at the company. He has been the company’s chairman since 2008, and chief executive officer and president from 2004 to June 2018 and July 2018 to present.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14" w:lineRule="exact"/>
        <w:rPr>
          <w:sz w:val="20"/>
          <w:szCs w:val="20"/>
          <w:color w:val="auto"/>
        </w:rPr>
      </w:pPr>
    </w:p>
    <w:p>
      <w:pPr>
        <w:ind w:left="260" w:right="960" w:hanging="260"/>
        <w:spacing w:after="0" w:line="234" w:lineRule="auto"/>
        <w:tabs>
          <w:tab w:leader="none" w:pos="251"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Management responsibility of a large, multinational transportation and logistics company</w:t>
      </w:r>
    </w:p>
    <w:p>
      <w:pPr>
        <w:spacing w:after="0" w:line="1" w:lineRule="exact"/>
        <w:rPr>
          <w:rFonts w:ascii="Arial" w:cs="Arial" w:eastAsia="Arial" w:hAnsi="Arial"/>
          <w:sz w:val="18"/>
          <w:szCs w:val="18"/>
          <w:color w:val="auto"/>
        </w:rPr>
      </w:pPr>
    </w:p>
    <w:p>
      <w:pPr>
        <w:ind w:left="240" w:hanging="240"/>
        <w:spacing w:after="0" w:line="234" w:lineRule="auto"/>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Responsibility for significant capital investments</w:t>
      </w:r>
    </w:p>
    <w:p>
      <w:pPr>
        <w:ind w:left="240" w:hanging="240"/>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Keen appreciation for technology matters</w:t>
      </w:r>
    </w:p>
    <w:p>
      <w:pPr>
        <w:spacing w:after="0" w:line="221" w:lineRule="exact"/>
        <w:rPr>
          <w:sz w:val="20"/>
          <w:szCs w:val="20"/>
          <w:color w:val="auto"/>
        </w:rPr>
      </w:pPr>
    </w:p>
    <w:p>
      <w:pPr>
        <w:ind w:right="1820"/>
        <w:spacing w:after="0" w:line="267" w:lineRule="auto"/>
        <w:rPr>
          <w:sz w:val="20"/>
          <w:szCs w:val="20"/>
          <w:color w:val="auto"/>
        </w:rPr>
      </w:pPr>
      <w:r>
        <w:rPr>
          <w:rFonts w:ascii="Arial" w:cs="Arial" w:eastAsia="Arial" w:hAnsi="Arial"/>
          <w:sz w:val="18"/>
          <w:szCs w:val="18"/>
          <w:i w:val="1"/>
          <w:iCs w:val="1"/>
          <w:color w:val="auto"/>
        </w:rPr>
        <w:t xml:space="preserve">Other current public company directorships </w:t>
      </w:r>
      <w:r>
        <w:rPr>
          <w:rFonts w:ascii="Arial" w:cs="Arial" w:eastAsia="Arial" w:hAnsi="Arial"/>
          <w:sz w:val="18"/>
          <w:szCs w:val="18"/>
          <w:color w:val="auto"/>
        </w:rPr>
        <w:t>• Ryder System, Inc.</w:t>
      </w:r>
    </w:p>
    <w:p>
      <w:pPr>
        <w:spacing w:after="0" w:line="187" w:lineRule="exact"/>
        <w:rPr>
          <w:sz w:val="20"/>
          <w:szCs w:val="20"/>
          <w:color w:val="auto"/>
        </w:rPr>
      </w:pPr>
    </w:p>
    <w:p>
      <w:pPr>
        <w:ind w:right="800"/>
        <w:spacing w:after="0" w:line="267" w:lineRule="auto"/>
        <w:rPr>
          <w:sz w:val="20"/>
          <w:szCs w:val="20"/>
          <w:color w:val="auto"/>
        </w:rPr>
      </w:pPr>
      <w:r>
        <w:rPr>
          <w:rFonts w:ascii="Arial" w:cs="Arial" w:eastAsia="Arial" w:hAnsi="Arial"/>
          <w:sz w:val="18"/>
          <w:szCs w:val="18"/>
          <w:i w:val="1"/>
          <w:iCs w:val="1"/>
          <w:color w:val="auto"/>
        </w:rPr>
        <w:t xml:space="preserve">Other public company directorships in the last five years </w:t>
      </w:r>
      <w:r>
        <w:rPr>
          <w:rFonts w:ascii="Arial" w:cs="Arial" w:eastAsia="Arial" w:hAnsi="Arial"/>
          <w:sz w:val="18"/>
          <w:szCs w:val="18"/>
          <w:color w:val="auto"/>
        </w:rPr>
        <w:t>• None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14" w:lineRule="exact"/>
        <w:rPr>
          <w:sz w:val="20"/>
          <w:szCs w:val="20"/>
          <w:color w:val="auto"/>
        </w:rPr>
      </w:pPr>
    </w:p>
    <w:p>
      <w:pPr>
        <w:ind w:left="260" w:right="640" w:hanging="260"/>
        <w:spacing w:after="0" w:line="234" w:lineRule="auto"/>
        <w:tabs>
          <w:tab w:leader="none" w:pos="251"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Deep knowledge of all aspects of the company and the semiconductor industry</w:t>
      </w:r>
    </w:p>
    <w:p>
      <w:pPr>
        <w:spacing w:after="0" w:line="1" w:lineRule="exact"/>
        <w:rPr>
          <w:rFonts w:ascii="Arial" w:cs="Arial" w:eastAsia="Arial" w:hAnsi="Arial"/>
          <w:sz w:val="18"/>
          <w:szCs w:val="18"/>
          <w:color w:val="auto"/>
        </w:rPr>
      </w:pPr>
    </w:p>
    <w:p>
      <w:pPr>
        <w:ind w:left="240" w:hanging="240"/>
        <w:spacing w:after="0" w:line="234" w:lineRule="auto"/>
        <w:tabs>
          <w:tab w:leader="none" w:pos="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Management responsibility of the company</w:t>
      </w:r>
    </w:p>
    <w:p>
      <w:pPr>
        <w:ind w:left="240" w:hanging="240"/>
        <w:spacing w:after="0"/>
        <w:tabs>
          <w:tab w:leader="none" w:pos="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Responsibility for significant capital and R&amp;D investments</w:t>
      </w:r>
    </w:p>
    <w:p>
      <w:pPr>
        <w:spacing w:after="0" w:line="221" w:lineRule="exact"/>
        <w:rPr>
          <w:sz w:val="20"/>
          <w:szCs w:val="20"/>
          <w:color w:val="auto"/>
        </w:rPr>
      </w:pPr>
    </w:p>
    <w:p>
      <w:pPr>
        <w:ind w:right="1820"/>
        <w:spacing w:after="0" w:line="267" w:lineRule="auto"/>
        <w:rPr>
          <w:sz w:val="20"/>
          <w:szCs w:val="20"/>
          <w:color w:val="auto"/>
        </w:rPr>
      </w:pPr>
      <w:r>
        <w:rPr>
          <w:rFonts w:ascii="Arial" w:cs="Arial" w:eastAsia="Arial" w:hAnsi="Arial"/>
          <w:sz w:val="18"/>
          <w:szCs w:val="18"/>
          <w:i w:val="1"/>
          <w:iCs w:val="1"/>
          <w:color w:val="auto"/>
        </w:rPr>
        <w:t xml:space="preserve">Other current public company directorships </w:t>
      </w:r>
      <w:r>
        <w:rPr>
          <w:rFonts w:ascii="Arial" w:cs="Arial" w:eastAsia="Arial" w:hAnsi="Arial"/>
          <w:sz w:val="18"/>
          <w:szCs w:val="18"/>
          <w:color w:val="auto"/>
        </w:rPr>
        <w:t>• None</w:t>
      </w:r>
    </w:p>
    <w:p>
      <w:pPr>
        <w:spacing w:after="0" w:line="187"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i w:val="1"/>
          <w:iCs w:val="1"/>
          <w:color w:val="auto"/>
        </w:rPr>
        <w:t xml:space="preserve">Other current public company directorships in the last five years </w:t>
      </w:r>
      <w:r>
        <w:rPr>
          <w:rFonts w:ascii="Arial" w:cs="Arial" w:eastAsia="Arial" w:hAnsi="Arial"/>
          <w:sz w:val="18"/>
          <w:szCs w:val="18"/>
          <w:color w:val="auto"/>
        </w:rPr>
        <w:t>• None</w:t>
      </w:r>
    </w:p>
    <w:p>
      <w:pPr>
        <w:spacing w:after="0" w:line="165" w:lineRule="exact"/>
        <w:rPr>
          <w:sz w:val="20"/>
          <w:szCs w:val="20"/>
          <w:color w:val="auto"/>
        </w:rPr>
      </w:pPr>
    </w:p>
    <w:p>
      <w:pPr>
        <w:sectPr>
          <w:pgSz w:w="11900" w:h="16838" w:orient="portrait"/>
          <w:cols w:equalWidth="0" w:num="2">
            <w:col w:w="5800" w:space="40"/>
            <w:col w:w="5260"/>
          </w:cols>
          <w:pgMar w:left="320" w:top="459" w:right="479" w:bottom="1440" w:gutter="0" w:footer="0" w:header="0"/>
        </w:sectPr>
      </w:pPr>
    </w:p>
    <w:p>
      <w:pPr>
        <w:ind w:left="120"/>
        <w:spacing w:after="0"/>
        <w:rPr>
          <w:sz w:val="20"/>
          <w:szCs w:val="20"/>
          <w:color w:val="auto"/>
        </w:rPr>
      </w:pPr>
      <w:r>
        <w:rPr>
          <w:rFonts w:ascii="Arial" w:cs="Arial" w:eastAsia="Arial" w:hAnsi="Arial"/>
          <w:sz w:val="20"/>
          <w:szCs w:val="20"/>
          <w:b w:val="1"/>
          <w:bCs w:val="1"/>
          <w:color w:val="auto"/>
        </w:rPr>
        <w:t>Director nomination process</w:t>
      </w:r>
    </w:p>
    <w:p>
      <w:pPr>
        <w:spacing w:after="0" w:line="229" w:lineRule="exact"/>
        <w:rPr>
          <w:sz w:val="20"/>
          <w:szCs w:val="20"/>
          <w:color w:val="auto"/>
        </w:rPr>
      </w:pPr>
    </w:p>
    <w:p>
      <w:pPr>
        <w:ind w:left="120" w:right="320"/>
        <w:spacing w:after="0" w:line="238" w:lineRule="auto"/>
        <w:rPr>
          <w:sz w:val="20"/>
          <w:szCs w:val="20"/>
          <w:color w:val="auto"/>
        </w:rPr>
      </w:pPr>
      <w:r>
        <w:rPr>
          <w:rFonts w:ascii="Arial" w:cs="Arial" w:eastAsia="Arial" w:hAnsi="Arial"/>
          <w:sz w:val="18"/>
          <w:szCs w:val="18"/>
          <w:color w:val="auto"/>
        </w:rPr>
        <w:t>The board is responsible for approving nominees for election as directors. To assist in this task, the board has designated a standing committee, the GSR Committee, that is responsible for reviewing and recommending nominees to the board. The GSR Committee is comprised solely of independent directors as defined by the rules of the Nasdaq Stock Market (Nasdaq) and the board’s corporate governance guidelines. Our board of directors has adopted a written charter for the GSR Committee. It can be found on our website at www.ti.com/corporategovernance.</w:t>
      </w:r>
    </w:p>
    <w:p>
      <w:pPr>
        <w:spacing w:after="0" w:line="202"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It is a long-standing policy of the board to consider prospective board nominees recommended by stockholders. A stockholder who wishes to recommend a prospective board nominee for the GSR Committee’s consideration can write to the Secretary of the GSR Committee, Texas Instruments Incorporated, P.O. Box 655936, MS 8658, Dallas, TX 75265-5936. The GSR Committee will evaluate the stockholder’s prospective board nominee in the same manner as it evaluates other nominees.</w:t>
      </w:r>
    </w:p>
    <w:p>
      <w:pPr>
        <w:spacing w:after="0" w:line="205"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Under the company’s by-laws, a stockholder, or a group of up to 20 stockholders, owning at least 3 percent of the company’s outstanding common stock continuously for at least three years, may nominate and include in the company’s proxy materials director nominees constituting up to the greater of two individuals or 20 percent of the board of directors, provided that the stockholder(s) and the nominee(s) satisfy the requirements specified in the by-laws, which can be found on our website at www.ti.com/corporategovernance.</w:t>
      </w:r>
    </w:p>
    <w:p>
      <w:pPr>
        <w:spacing w:after="0" w:line="205" w:lineRule="exact"/>
        <w:rPr>
          <w:sz w:val="20"/>
          <w:szCs w:val="20"/>
          <w:color w:val="auto"/>
        </w:rPr>
      </w:pPr>
    </w:p>
    <w:p>
      <w:pPr>
        <w:ind w:left="120" w:right="240"/>
        <w:spacing w:after="0" w:line="246" w:lineRule="auto"/>
        <w:rPr>
          <w:sz w:val="20"/>
          <w:szCs w:val="20"/>
          <w:color w:val="auto"/>
        </w:rPr>
      </w:pPr>
      <w:r>
        <w:rPr>
          <w:rFonts w:ascii="Arial" w:cs="Arial" w:eastAsia="Arial" w:hAnsi="Arial"/>
          <w:sz w:val="18"/>
          <w:szCs w:val="18"/>
          <w:color w:val="auto"/>
        </w:rPr>
        <w:t>The company’s by-laws also allow stockholders to nominate directors without involving the GSR Committee or including the nominee in the company’s proxy materials. To do so, stockholders must comply with the requirements set forth in the by-laws.</w:t>
      </w:r>
    </w:p>
    <w:p>
      <w:pPr>
        <w:spacing w:after="0" w:line="124" w:lineRule="exact"/>
        <w:rPr>
          <w:sz w:val="20"/>
          <w:szCs w:val="20"/>
          <w:color w:val="auto"/>
        </w:rPr>
      </w:pPr>
    </w:p>
    <w:p>
      <w:pPr>
        <w:ind w:left="120"/>
        <w:spacing w:after="0"/>
        <w:tabs>
          <w:tab w:leader="none" w:pos="4020" w:val="left"/>
          <w:tab w:leader="none" w:pos="5500" w:val="left"/>
          <w:tab w:leader="none" w:pos="5700" w:val="left"/>
        </w:tabs>
        <w:rPr>
          <w:sz w:val="20"/>
          <w:szCs w:val="20"/>
          <w:color w:val="auto"/>
        </w:rPr>
      </w:pPr>
      <w:r>
        <w:rPr>
          <w:rFonts w:ascii="Arial" w:cs="Arial" w:eastAsia="Arial" w:hAnsi="Arial"/>
          <w:sz w:val="13"/>
          <w:szCs w:val="13"/>
          <w:color w:val="666666"/>
        </w:rPr>
        <w:t>10</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2020 PROXY STATEMENT</w:t>
      </w:r>
    </w:p>
    <w:p>
      <w:pPr>
        <w:sectPr>
          <w:pgSz w:w="11900" w:h="16838" w:orient="portrait"/>
          <w:cols w:equalWidth="0" w:num="1">
            <w:col w:w="11100"/>
          </w:cols>
          <w:pgMar w:left="320" w:top="459" w:right="47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Communications with the board</w:t>
      </w:r>
    </w:p>
    <w:p>
      <w:pPr>
        <w:spacing w:after="0" w:line="229" w:lineRule="exact"/>
        <w:rPr>
          <w:sz w:val="20"/>
          <w:szCs w:val="20"/>
          <w:color w:val="auto"/>
        </w:rPr>
      </w:pPr>
    </w:p>
    <w:p>
      <w:pPr>
        <w:jc w:val="both"/>
        <w:ind w:left="120" w:right="160"/>
        <w:spacing w:after="0"/>
        <w:rPr>
          <w:sz w:val="20"/>
          <w:szCs w:val="20"/>
          <w:color w:val="auto"/>
        </w:rPr>
      </w:pPr>
      <w:r>
        <w:rPr>
          <w:rFonts w:ascii="Arial" w:cs="Arial" w:eastAsia="Arial" w:hAnsi="Arial"/>
          <w:sz w:val="18"/>
          <w:szCs w:val="18"/>
          <w:color w:val="auto"/>
        </w:rPr>
        <w:t>Stockholders and others who wish to communicate with the board, a board committee or an individual director may write to them at: P.O. Box 655936, MS 8658, Dallas, TX 75265-5936. All communications addressed to the board, a board committee, or an individual director that are sent to this address will be shared with the addressee.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Corporate governance</w:t>
      </w:r>
    </w:p>
    <w:p>
      <w:pPr>
        <w:spacing w:after="0" w:line="229"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The board has a long-standing commitment to responsible and effective corporate governance. We annually conduct extensive governance reviews and engage in investor outreach specific to governance, executive compensation and environmental and social matters. The board’s corporate governance guidelines (which include the director independence standards), the charters of each of the board’s committees, TI’s code of conduct, our code of ethics for our CEO and senior financial officers and our by-laws are available on our website at www.ti.com/corporategovernance. Stockholders may request copies of these documents free of charge by writing to Texas Instruments Incorporated, P.O. Box 660199, MS 8657, Dallas, TX 75266-0199, Attn: Investor Relations.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Annual meeting attendance</w:t>
      </w:r>
    </w:p>
    <w:p>
      <w:pPr>
        <w:spacing w:after="0" w:line="229"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It is a policy of the board to encourage directors to attend each annual meeting of stockholders. Attendance allows for direct interaction between stockholders and board members. In 2019, all directors then in office and standing for re-election attended TI’s annual meeting of stockholders.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Director independence</w:t>
      </w:r>
    </w:p>
    <w:p>
      <w:pPr>
        <w:spacing w:after="0" w:line="229" w:lineRule="exact"/>
        <w:rPr>
          <w:sz w:val="20"/>
          <w:szCs w:val="20"/>
          <w:color w:val="auto"/>
        </w:rPr>
      </w:pPr>
    </w:p>
    <w:p>
      <w:pPr>
        <w:ind w:left="120" w:right="560"/>
        <w:spacing w:after="0" w:line="238" w:lineRule="auto"/>
        <w:rPr>
          <w:sz w:val="20"/>
          <w:szCs w:val="20"/>
          <w:color w:val="auto"/>
        </w:rPr>
      </w:pPr>
      <w:r>
        <w:rPr>
          <w:rFonts w:ascii="Arial" w:cs="Arial" w:eastAsia="Arial" w:hAnsi="Arial"/>
          <w:sz w:val="18"/>
          <w:szCs w:val="18"/>
          <w:color w:val="auto"/>
        </w:rPr>
        <w:t>The board has determined that each of our directors is independent except for Mr. Templeton. In connection with this determination, information was reviewed regarding directors’ business and charitable affiliations, directors’ immediate family members and their employers, and any transactions or arrangements between the company and such persons or entities. The board has adopted the following standards for determining independence.</w:t>
      </w:r>
    </w:p>
    <w:p>
      <w:pPr>
        <w:spacing w:after="0" w:line="227" w:lineRule="exact"/>
        <w:rPr>
          <w:sz w:val="20"/>
          <w:szCs w:val="20"/>
          <w:color w:val="auto"/>
        </w:rPr>
      </w:pPr>
    </w:p>
    <w:p>
      <w:pPr>
        <w:ind w:left="540" w:hanging="424"/>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no event will a director be considered independent if:</w:t>
      </w:r>
    </w:p>
    <w:p>
      <w:pPr>
        <w:ind w:left="1080" w:hanging="532"/>
        <w:spacing w:after="0" w:line="234" w:lineRule="auto"/>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He or she is a current partner of or is employed by the company’s independent auditors;</w:t>
      </w:r>
    </w:p>
    <w:p>
      <w:pPr>
        <w:ind w:left="1080" w:right="280" w:hanging="532"/>
        <w:spacing w:after="0" w:line="234" w:lineRule="auto"/>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 family member of the director is (a) a current partner of the company’s independent auditors or (b) currently employed by the company’s independent auditors and personally works on the company’s audit;</w:t>
      </w:r>
    </w:p>
    <w:p>
      <w:pPr>
        <w:spacing w:after="0" w:line="1" w:lineRule="exact"/>
        <w:rPr>
          <w:rFonts w:ascii="Arial" w:cs="Arial" w:eastAsia="Arial" w:hAnsi="Arial"/>
          <w:sz w:val="18"/>
          <w:szCs w:val="18"/>
          <w:color w:val="auto"/>
        </w:rPr>
      </w:pPr>
    </w:p>
    <w:p>
      <w:pPr>
        <w:ind w:left="1080" w:hanging="532"/>
        <w:spacing w:after="0" w:line="234" w:lineRule="auto"/>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Within the current or preceding three fiscal years he or she was, and remains at the time of the determination, a partner in or a controlling shareholder, an executive officer or an employee of an organization that in the current year or any of the past three fiscal years (a) made payments to, or received payments from, the company for property or services, (b) extended loans to or received loans from, the company, or (c) received charitable contributions from the company, in an amount or amounts which, in the aggregate in such fiscal year, exceeded the greater of $200,000 or 2 percent of the recipient’s consolidated gross revenues for that year (for purposes of this standard, “payments” excludes payments arising solely from investments in the company’s securities and payments under non-discretionary charitable contribution matching programs); or</w:t>
      </w:r>
    </w:p>
    <w:p>
      <w:pPr>
        <w:spacing w:after="0" w:line="4" w:lineRule="exact"/>
        <w:rPr>
          <w:rFonts w:ascii="Arial" w:cs="Arial" w:eastAsia="Arial" w:hAnsi="Arial"/>
          <w:sz w:val="18"/>
          <w:szCs w:val="18"/>
          <w:color w:val="auto"/>
        </w:rPr>
      </w:pPr>
    </w:p>
    <w:p>
      <w:pPr>
        <w:ind w:left="1080" w:right="20" w:hanging="532"/>
        <w:spacing w:after="0" w:line="234" w:lineRule="auto"/>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Within the current or preceding three fiscal years a family member of the director was, and remains at the time of the determination, a partner in or a controlling shareholder or an executive officer of an organization that in the current year or any of the past three fiscal years (a) made payments to, or received payments from, the company for property or services,</w:t>
      </w:r>
    </w:p>
    <w:p>
      <w:pPr>
        <w:spacing w:after="0" w:line="2" w:lineRule="exact"/>
        <w:rPr>
          <w:rFonts w:ascii="Arial" w:cs="Arial" w:eastAsia="Arial" w:hAnsi="Arial"/>
          <w:sz w:val="18"/>
          <w:szCs w:val="18"/>
          <w:color w:val="auto"/>
        </w:rPr>
      </w:pPr>
    </w:p>
    <w:p>
      <w:pPr>
        <w:ind w:left="1080" w:right="240" w:firstLine="8"/>
        <w:spacing w:after="0" w:line="238" w:lineRule="auto"/>
        <w:tabs>
          <w:tab w:leader="none" w:pos="1350" w:val="left"/>
        </w:tabs>
        <w:numPr>
          <w:ilvl w:val="2"/>
          <w:numId w:val="27"/>
        </w:numPr>
        <w:rPr>
          <w:rFonts w:ascii="Arial" w:cs="Arial" w:eastAsia="Arial" w:hAnsi="Arial"/>
          <w:sz w:val="18"/>
          <w:szCs w:val="18"/>
          <w:color w:val="auto"/>
        </w:rPr>
      </w:pPr>
      <w:r>
        <w:rPr>
          <w:rFonts w:ascii="Arial" w:cs="Arial" w:eastAsia="Arial" w:hAnsi="Arial"/>
          <w:sz w:val="18"/>
          <w:szCs w:val="18"/>
          <w:color w:val="auto"/>
        </w:rPr>
        <w:t>extended loans to or received loans from the company, or (c) received charitable contributions from the company, in an amount or amounts which, in the aggregate in such fiscal year, exceeded the greater of $200,000 or 2 percent of the recipient’s consolidated gross revenues for that year (for purposes of this standard, “payments” excludes payments arising solely from investments in the company’s securities and payments under non-discretionary charitable contribution matching programs).</w:t>
      </w:r>
    </w:p>
    <w:p>
      <w:pPr>
        <w:spacing w:after="0" w:line="224" w:lineRule="exact"/>
        <w:rPr>
          <w:rFonts w:ascii="Arial" w:cs="Arial" w:eastAsia="Arial" w:hAnsi="Arial"/>
          <w:sz w:val="18"/>
          <w:szCs w:val="18"/>
          <w:color w:val="auto"/>
        </w:rPr>
      </w:pPr>
    </w:p>
    <w:p>
      <w:pPr>
        <w:ind w:left="540" w:hanging="424"/>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no event will a director be considered independent if, within the preceding three years:</w:t>
      </w:r>
    </w:p>
    <w:p>
      <w:pPr>
        <w:ind w:left="1080" w:right="260" w:hanging="532"/>
        <w:spacing w:after="0" w:line="234" w:lineRule="auto"/>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He or she was employed by the company (except in the capacity of interim chairman of the board, chief executive officer or other executive officer, provided the interim employment did not last longer than one year);</w:t>
      </w:r>
    </w:p>
    <w:p>
      <w:pPr>
        <w:spacing w:after="0" w:line="1" w:lineRule="exact"/>
        <w:rPr>
          <w:rFonts w:ascii="Arial" w:cs="Arial" w:eastAsia="Arial" w:hAnsi="Arial"/>
          <w:sz w:val="18"/>
          <w:szCs w:val="18"/>
          <w:color w:val="auto"/>
        </w:rPr>
      </w:pPr>
    </w:p>
    <w:p>
      <w:pPr>
        <w:ind w:left="1080" w:hanging="532"/>
        <w:spacing w:after="0" w:line="234" w:lineRule="auto"/>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He or she received more than $120,000 during any twelve-month period in compensation from the company (other than</w:t>
      </w:r>
    </w:p>
    <w:p>
      <w:pPr>
        <w:ind w:left="1080" w:right="220" w:firstLine="8"/>
        <w:spacing w:after="0"/>
        <w:tabs>
          <w:tab w:leader="none" w:pos="1350" w:val="left"/>
        </w:tabs>
        <w:numPr>
          <w:ilvl w:val="2"/>
          <w:numId w:val="28"/>
        </w:numPr>
        <w:rPr>
          <w:rFonts w:ascii="Arial" w:cs="Arial" w:eastAsia="Arial" w:hAnsi="Arial"/>
          <w:sz w:val="18"/>
          <w:szCs w:val="18"/>
          <w:color w:val="auto"/>
        </w:rPr>
      </w:pPr>
      <w:r>
        <w:rPr>
          <w:rFonts w:ascii="Arial" w:cs="Arial" w:eastAsia="Arial" w:hAnsi="Arial"/>
          <w:sz w:val="18"/>
          <w:szCs w:val="18"/>
          <w:color w:val="auto"/>
        </w:rPr>
        <w:t>compensation for board or board committee service, (b) compensation received for former service lasting no longer than one year as an interim chairman of the board, chief executive officer or other executive officer and (c) benefits under a tax-qualified retirement plan, or non-discretionary compensation);</w:t>
      </w:r>
    </w:p>
    <w:p>
      <w:pPr>
        <w:spacing w:after="0" w:line="130" w:lineRule="exact"/>
        <w:rPr>
          <w:sz w:val="20"/>
          <w:szCs w:val="20"/>
          <w:color w:val="auto"/>
        </w:rPr>
      </w:pPr>
    </w:p>
    <w:tbl>
      <w:tblPr>
        <w:tblLayout w:type="fixed"/>
        <w:tblInd w:w="4040" w:type="dxa"/>
        <w:tblCellMar>
          <w:top w:w="0" w:type="dxa"/>
          <w:left w:w="0" w:type="dxa"/>
          <w:bottom w:w="0" w:type="dxa"/>
          <w:right w:w="0" w:type="dxa"/>
        </w:tblCellMar>
      </w:tblPr>
      <w:tr>
        <w:trPr>
          <w:trHeight w:val="152"/>
        </w:trPr>
        <w:tc>
          <w:tcPr>
            <w:tcW w:w="5080" w:type="dxa"/>
            <w:vAlign w:val="bottom"/>
          </w:tcPr>
          <w:p>
            <w:pPr>
              <w:spacing w:after="0"/>
              <w:rPr>
                <w:sz w:val="20"/>
                <w:szCs w:val="20"/>
                <w:color w:val="auto"/>
              </w:rPr>
            </w:pPr>
            <w:r>
              <w:rPr>
                <w:rFonts w:ascii="Arial" w:cs="Arial" w:eastAsia="Arial" w:hAnsi="Arial"/>
                <w:sz w:val="13"/>
                <w:szCs w:val="13"/>
                <w:color w:val="666666"/>
              </w:rPr>
              <w:t>TEXAS INSTRUMENTS  •  2020 PROXY STATEMENT</w:t>
            </w:r>
          </w:p>
        </w:tc>
        <w:tc>
          <w:tcPr>
            <w:tcW w:w="2000" w:type="dxa"/>
            <w:vAlign w:val="bottom"/>
          </w:tcPr>
          <w:p>
            <w:pPr>
              <w:jc w:val="right"/>
              <w:spacing w:after="0"/>
              <w:rPr>
                <w:sz w:val="20"/>
                <w:szCs w:val="20"/>
                <w:color w:val="auto"/>
              </w:rPr>
            </w:pPr>
            <w:r>
              <w:rPr>
                <w:rFonts w:ascii="Arial" w:cs="Arial" w:eastAsia="Arial" w:hAnsi="Arial"/>
                <w:sz w:val="13"/>
                <w:szCs w:val="13"/>
                <w:color w:val="666666"/>
              </w:rPr>
              <w:t>11</w:t>
            </w:r>
          </w:p>
        </w:tc>
      </w:tr>
    </w:tbl>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080" w:hanging="532"/>
        <w:spacing w:after="0"/>
        <w:tabs>
          <w:tab w:leader="none" w:pos="1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 family member of the director was employed as an executive officer by the company;</w:t>
      </w:r>
    </w:p>
    <w:p>
      <w:pPr>
        <w:ind w:left="1080" w:right="540" w:hanging="532"/>
        <w:spacing w:after="0" w:line="234" w:lineRule="auto"/>
        <w:tabs>
          <w:tab w:leader="none" w:pos="1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 family member of the director received more than $120,000 during any twelve-month period in compensation from the company (excluding compensation as a non-executive officer employee of the company);</w:t>
      </w:r>
    </w:p>
    <w:p>
      <w:pPr>
        <w:spacing w:after="0" w:line="1" w:lineRule="exact"/>
        <w:rPr>
          <w:rFonts w:ascii="Arial" w:cs="Arial" w:eastAsia="Arial" w:hAnsi="Arial"/>
          <w:sz w:val="18"/>
          <w:szCs w:val="18"/>
          <w:color w:val="auto"/>
        </w:rPr>
      </w:pPr>
    </w:p>
    <w:p>
      <w:pPr>
        <w:ind w:left="1080" w:right="120" w:hanging="532"/>
        <w:spacing w:after="0" w:line="234" w:lineRule="auto"/>
        <w:tabs>
          <w:tab w:leader="none" w:pos="1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He or she was (but is no longer) a partner or employee of the company’s independent auditors and worked on the company’s audit within that time;</w:t>
      </w:r>
    </w:p>
    <w:p>
      <w:pPr>
        <w:spacing w:after="0" w:line="1" w:lineRule="exact"/>
        <w:rPr>
          <w:rFonts w:ascii="Arial" w:cs="Arial" w:eastAsia="Arial" w:hAnsi="Arial"/>
          <w:sz w:val="18"/>
          <w:szCs w:val="18"/>
          <w:color w:val="auto"/>
        </w:rPr>
      </w:pPr>
    </w:p>
    <w:p>
      <w:pPr>
        <w:ind w:left="1080" w:right="480" w:hanging="532"/>
        <w:spacing w:after="0" w:line="234" w:lineRule="auto"/>
        <w:tabs>
          <w:tab w:leader="none" w:pos="1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 family member of the director was (but is no longer) a partner or employee of the company’s independent auditors and worked on the company’s audit within that time;</w:t>
      </w:r>
    </w:p>
    <w:p>
      <w:pPr>
        <w:spacing w:after="0" w:line="1" w:lineRule="exact"/>
        <w:rPr>
          <w:rFonts w:ascii="Arial" w:cs="Arial" w:eastAsia="Arial" w:hAnsi="Arial"/>
          <w:sz w:val="18"/>
          <w:szCs w:val="18"/>
          <w:color w:val="auto"/>
        </w:rPr>
      </w:pPr>
    </w:p>
    <w:p>
      <w:pPr>
        <w:ind w:left="1080" w:right="540" w:hanging="532"/>
        <w:spacing w:after="0" w:line="234" w:lineRule="auto"/>
        <w:tabs>
          <w:tab w:leader="none" w:pos="1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He or she was an executive officer of another entity at which any of the company’s current executive officers at any time during the past three years served on that entity’s compensation committee; or</w:t>
      </w:r>
    </w:p>
    <w:p>
      <w:pPr>
        <w:spacing w:after="0" w:line="1" w:lineRule="exact"/>
        <w:rPr>
          <w:rFonts w:ascii="Arial" w:cs="Arial" w:eastAsia="Arial" w:hAnsi="Arial"/>
          <w:sz w:val="18"/>
          <w:szCs w:val="18"/>
          <w:color w:val="auto"/>
        </w:rPr>
      </w:pPr>
    </w:p>
    <w:p>
      <w:pPr>
        <w:ind w:left="1080" w:right="360" w:hanging="532"/>
        <w:spacing w:after="0" w:line="246" w:lineRule="auto"/>
        <w:tabs>
          <w:tab w:leader="none" w:pos="1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 family member of the director was an executive officer of another entity at which any of the company’s current executive officers at any time during the past three years served on that entity’s compensation committee.</w:t>
      </w:r>
    </w:p>
    <w:p>
      <w:pPr>
        <w:spacing w:after="0" w:line="223" w:lineRule="exact"/>
        <w:rPr>
          <w:rFonts w:ascii="Arial" w:cs="Arial" w:eastAsia="Arial" w:hAnsi="Arial"/>
          <w:sz w:val="18"/>
          <w:szCs w:val="18"/>
          <w:color w:val="auto"/>
        </w:rPr>
      </w:pPr>
    </w:p>
    <w:p>
      <w:pPr>
        <w:ind w:left="540" w:right="80" w:hanging="424"/>
        <w:spacing w:after="0" w:line="238"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member of the Audit Committee may accept directly or indirectly any consulting, advisory or other compensatory fee from the company, other than in his or her capacity as a member of the board or any board committee. Compensatory fees do not include the receipt of fixed amounts of compensation under a retirement plan (including deferred compensation) for prior service with the company (provided that such compensation is not contingent in any way on continued service). In addition, no member of the Audit Committee may be an affiliated person of the company except in his or her capacity as a director.</w:t>
      </w:r>
    </w:p>
    <w:p>
      <w:pPr>
        <w:spacing w:after="0" w:line="229" w:lineRule="exact"/>
        <w:rPr>
          <w:rFonts w:ascii="Arial" w:cs="Arial" w:eastAsia="Arial" w:hAnsi="Arial"/>
          <w:sz w:val="18"/>
          <w:szCs w:val="18"/>
          <w:color w:val="auto"/>
        </w:rPr>
      </w:pPr>
    </w:p>
    <w:p>
      <w:pPr>
        <w:ind w:left="540" w:right="160" w:hanging="424"/>
        <w:spacing w:after="0" w:line="234"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 respect to service on the Compensation Committee, the board will consider all factors that it deems relevant to determining whether a director has a relationship to the company that is material to that director’s ability to be independent from management in connection with the duties of a Compensation Committee member, including but not limited to:</w:t>
      </w:r>
    </w:p>
    <w:p>
      <w:pPr>
        <w:spacing w:after="0" w:line="2" w:lineRule="exact"/>
        <w:rPr>
          <w:rFonts w:ascii="Arial" w:cs="Arial" w:eastAsia="Arial" w:hAnsi="Arial"/>
          <w:sz w:val="18"/>
          <w:szCs w:val="18"/>
          <w:color w:val="auto"/>
        </w:rPr>
      </w:pPr>
    </w:p>
    <w:p>
      <w:pPr>
        <w:ind w:left="1080" w:right="260" w:hanging="532"/>
        <w:spacing w:after="0" w:line="234" w:lineRule="auto"/>
        <w:tabs>
          <w:tab w:leader="none" w:pos="1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source of compensation of the director, including any consulting, advisory or compensatory fee paid by the company to the director; and</w:t>
      </w:r>
    </w:p>
    <w:p>
      <w:pPr>
        <w:spacing w:after="0" w:line="1" w:lineRule="exact"/>
        <w:rPr>
          <w:rFonts w:ascii="Arial" w:cs="Arial" w:eastAsia="Arial" w:hAnsi="Arial"/>
          <w:sz w:val="18"/>
          <w:szCs w:val="18"/>
          <w:color w:val="auto"/>
        </w:rPr>
      </w:pPr>
    </w:p>
    <w:p>
      <w:pPr>
        <w:ind w:left="1080" w:hanging="532"/>
        <w:spacing w:after="0"/>
        <w:tabs>
          <w:tab w:leader="none" w:pos="1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Whether the director is affiliated with the company, a subsidiary of the company or an affiliate of a subsidiary of the company.</w:t>
      </w:r>
    </w:p>
    <w:p>
      <w:pPr>
        <w:spacing w:after="0" w:line="238" w:lineRule="exact"/>
        <w:rPr>
          <w:rFonts w:ascii="Arial" w:cs="Arial" w:eastAsia="Arial" w:hAnsi="Arial"/>
          <w:sz w:val="18"/>
          <w:szCs w:val="18"/>
          <w:color w:val="auto"/>
        </w:rPr>
      </w:pPr>
    </w:p>
    <w:p>
      <w:pPr>
        <w:ind w:left="540" w:right="80" w:hanging="424"/>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any other relationship, the determination of whether it would interfere with the director’s exercise of independent judgment in carrying out his or her responsibilities, and consequently whether the director involved is independent, will be made by directors who satisfy the independence criteria set forth in this section.</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purposes of these independence determinations, “company” and “family member” will have the same meaning as under Nasdaq rules.</w:t>
      </w:r>
    </w:p>
    <w:p>
      <w:pPr>
        <w:spacing w:after="0" w:line="39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organization</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Board and committee meetings</w:t>
      </w:r>
    </w:p>
    <w:p>
      <w:pPr>
        <w:spacing w:after="0" w:line="229"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During 2019, the board held eight meetings. The board has three standing committees described below. The standing committees of the board collectively held 19 meetings in 2019. Each director attended all of the board and relevant committee meetings.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3320" w:type="dxa"/>
            <w:vAlign w:val="bottom"/>
          </w:tcPr>
          <w:p>
            <w:pPr>
              <w:jc w:val="center"/>
              <w:ind w:left="1716"/>
              <w:spacing w:after="0"/>
              <w:rPr>
                <w:sz w:val="20"/>
                <w:szCs w:val="20"/>
                <w:color w:val="auto"/>
              </w:rPr>
            </w:pPr>
            <w:r>
              <w:rPr>
                <w:rFonts w:ascii="Arial" w:cs="Arial" w:eastAsia="Arial" w:hAnsi="Arial"/>
                <w:sz w:val="14"/>
                <w:szCs w:val="14"/>
                <w:b w:val="1"/>
                <w:bCs w:val="1"/>
                <w:color w:val="auto"/>
              </w:rPr>
              <w:t>Audit</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2400" w:type="dxa"/>
            <w:vAlign w:val="bottom"/>
          </w:tcPr>
          <w:p>
            <w:pPr>
              <w:jc w:val="center"/>
              <w:ind w:left="277"/>
              <w:spacing w:after="0"/>
              <w:rPr>
                <w:sz w:val="20"/>
                <w:szCs w:val="20"/>
                <w:color w:val="auto"/>
              </w:rPr>
            </w:pPr>
            <w:r>
              <w:rPr>
                <w:rFonts w:ascii="Arial" w:cs="Arial" w:eastAsia="Arial" w:hAnsi="Arial"/>
                <w:sz w:val="14"/>
                <w:szCs w:val="14"/>
                <w:b w:val="1"/>
                <w:bCs w:val="1"/>
                <w:color w:val="auto"/>
              </w:rPr>
              <w:t>Governance and Stockholder</w:t>
            </w:r>
          </w:p>
        </w:tc>
      </w:tr>
      <w:tr>
        <w:trPr>
          <w:trHeight w:val="175"/>
        </w:trPr>
        <w:tc>
          <w:tcPr>
            <w:tcW w:w="3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Director</w:t>
            </w:r>
          </w:p>
        </w:tc>
        <w:tc>
          <w:tcPr>
            <w:tcW w:w="3320" w:type="dxa"/>
            <w:vAlign w:val="bottom"/>
            <w:tcBorders>
              <w:bottom w:val="single" w:sz="8" w:color="auto"/>
            </w:tcBorders>
          </w:tcPr>
          <w:p>
            <w:pPr>
              <w:jc w:val="center"/>
              <w:ind w:left="1736"/>
              <w:spacing w:after="0"/>
              <w:rPr>
                <w:sz w:val="20"/>
                <w:szCs w:val="20"/>
                <w:color w:val="auto"/>
              </w:rPr>
            </w:pPr>
            <w:r>
              <w:rPr>
                <w:rFonts w:ascii="Arial" w:cs="Arial" w:eastAsia="Arial" w:hAnsi="Arial"/>
                <w:sz w:val="14"/>
                <w:szCs w:val="14"/>
                <w:b w:val="1"/>
                <w:bCs w:val="1"/>
                <w:color w:val="auto"/>
              </w:rPr>
              <w:t>Committee</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Committee</w:t>
            </w:r>
          </w:p>
        </w:tc>
        <w:tc>
          <w:tcPr>
            <w:tcW w:w="2400" w:type="dxa"/>
            <w:vAlign w:val="bottom"/>
            <w:tcBorders>
              <w:bottom w:val="single" w:sz="8" w:color="auto"/>
            </w:tcBorders>
          </w:tcPr>
          <w:p>
            <w:pPr>
              <w:jc w:val="center"/>
              <w:ind w:left="297"/>
              <w:spacing w:after="0"/>
              <w:rPr>
                <w:sz w:val="20"/>
                <w:szCs w:val="20"/>
                <w:color w:val="auto"/>
              </w:rPr>
            </w:pPr>
            <w:r>
              <w:rPr>
                <w:rFonts w:ascii="Arial" w:cs="Arial" w:eastAsia="Arial" w:hAnsi="Arial"/>
                <w:sz w:val="14"/>
                <w:szCs w:val="14"/>
                <w:b w:val="1"/>
                <w:bCs w:val="1"/>
                <w:color w:val="auto"/>
              </w:rPr>
              <w:t>Relations Committee</w:t>
            </w:r>
          </w:p>
        </w:tc>
      </w:tr>
      <w:tr>
        <w:trPr>
          <w:trHeight w:val="196"/>
        </w:trPr>
        <w:tc>
          <w:tcPr>
            <w:tcW w:w="3560" w:type="dxa"/>
            <w:vAlign w:val="bottom"/>
            <w:shd w:val="clear" w:color="auto" w:fill="E5E5E5"/>
          </w:tcPr>
          <w:p>
            <w:pPr>
              <w:ind w:left="80"/>
              <w:spacing w:after="0" w:line="196" w:lineRule="exact"/>
              <w:rPr>
                <w:sz w:val="20"/>
                <w:szCs w:val="20"/>
                <w:color w:val="auto"/>
              </w:rPr>
            </w:pPr>
            <w:r>
              <w:rPr>
                <w:rFonts w:ascii="Arial" w:cs="Arial" w:eastAsia="Arial" w:hAnsi="Arial"/>
                <w:sz w:val="18"/>
                <w:szCs w:val="18"/>
                <w:color w:val="auto"/>
              </w:rPr>
              <w:t>M. A. Blinn</w:t>
            </w:r>
          </w:p>
        </w:tc>
        <w:tc>
          <w:tcPr>
            <w:tcW w:w="3320" w:type="dxa"/>
            <w:vAlign w:val="bottom"/>
            <w:shd w:val="clear" w:color="auto" w:fill="E5E5E5"/>
          </w:tcPr>
          <w:p>
            <w:pPr>
              <w:jc w:val="center"/>
              <w:ind w:left="1736"/>
              <w:spacing w:after="0" w:line="196" w:lineRule="exact"/>
              <w:rPr>
                <w:sz w:val="20"/>
                <w:szCs w:val="20"/>
                <w:color w:val="auto"/>
              </w:rPr>
            </w:pPr>
            <w:r>
              <w:rPr>
                <w:rFonts w:ascii="Arial" w:cs="Arial" w:eastAsia="Arial" w:hAnsi="Arial"/>
                <w:sz w:val="18"/>
                <w:szCs w:val="18"/>
                <w:color w:val="auto"/>
                <w:w w:val="97"/>
              </w:rPr>
              <w:t>Chair</w:t>
            </w:r>
          </w:p>
        </w:tc>
        <w:tc>
          <w:tcPr>
            <w:tcW w:w="1740" w:type="dxa"/>
            <w:vAlign w:val="bottom"/>
            <w:shd w:val="clear" w:color="auto" w:fill="E5E5E5"/>
          </w:tcPr>
          <w:p>
            <w:pPr>
              <w:spacing w:after="0"/>
              <w:rPr>
                <w:sz w:val="17"/>
                <w:szCs w:val="17"/>
                <w:color w:val="auto"/>
              </w:rPr>
            </w:pPr>
          </w:p>
        </w:tc>
        <w:tc>
          <w:tcPr>
            <w:tcW w:w="2400" w:type="dxa"/>
            <w:vAlign w:val="bottom"/>
            <w:shd w:val="clear" w:color="auto" w:fill="E5E5E5"/>
          </w:tcPr>
          <w:p>
            <w:pPr>
              <w:spacing w:after="0"/>
              <w:rPr>
                <w:sz w:val="17"/>
                <w:szCs w:val="17"/>
                <w:color w:val="auto"/>
              </w:rPr>
            </w:pPr>
          </w:p>
        </w:tc>
      </w:tr>
      <w:tr>
        <w:trPr>
          <w:trHeight w:val="203"/>
        </w:trPr>
        <w:tc>
          <w:tcPr>
            <w:tcW w:w="3560" w:type="dxa"/>
            <w:vAlign w:val="bottom"/>
          </w:tcPr>
          <w:p>
            <w:pPr>
              <w:ind w:left="80"/>
              <w:spacing w:after="0" w:line="202" w:lineRule="exact"/>
              <w:rPr>
                <w:sz w:val="20"/>
                <w:szCs w:val="20"/>
                <w:color w:val="auto"/>
              </w:rPr>
            </w:pPr>
            <w:r>
              <w:rPr>
                <w:rFonts w:ascii="Arial" w:cs="Arial" w:eastAsia="Arial" w:hAnsi="Arial"/>
                <w:sz w:val="18"/>
                <w:szCs w:val="18"/>
                <w:color w:val="auto"/>
              </w:rPr>
              <w:t>T. M. Bluedorn</w:t>
            </w:r>
          </w:p>
        </w:tc>
        <w:tc>
          <w:tcPr>
            <w:tcW w:w="3320" w:type="dxa"/>
            <w:vAlign w:val="bottom"/>
          </w:tcPr>
          <w:p>
            <w:pPr>
              <w:jc w:val="center"/>
              <w:ind w:left="1736"/>
              <w:spacing w:after="0" w:line="202" w:lineRule="exact"/>
              <w:rPr>
                <w:sz w:val="20"/>
                <w:szCs w:val="20"/>
                <w:color w:val="auto"/>
              </w:rPr>
            </w:pPr>
            <w:r>
              <w:rPr>
                <w:rFonts w:ascii="Arial" w:cs="Arial" w:eastAsia="Arial" w:hAnsi="Arial"/>
                <w:sz w:val="18"/>
                <w:szCs w:val="18"/>
                <w:color w:val="auto"/>
                <w:w w:val="94"/>
              </w:rPr>
              <w:t>•</w:t>
            </w:r>
          </w:p>
        </w:tc>
        <w:tc>
          <w:tcPr>
            <w:tcW w:w="174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3"/>
        </w:trPr>
        <w:tc>
          <w:tcPr>
            <w:tcW w:w="356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J. F. Clark</w:t>
            </w:r>
          </w:p>
        </w:tc>
        <w:tc>
          <w:tcPr>
            <w:tcW w:w="3320" w:type="dxa"/>
            <w:vAlign w:val="bottom"/>
            <w:shd w:val="clear" w:color="auto" w:fill="E5E5E5"/>
          </w:tcPr>
          <w:p>
            <w:pPr>
              <w:spacing w:after="0"/>
              <w:rPr>
                <w:sz w:val="17"/>
                <w:szCs w:val="17"/>
                <w:color w:val="auto"/>
              </w:rPr>
            </w:pPr>
          </w:p>
        </w:tc>
        <w:tc>
          <w:tcPr>
            <w:tcW w:w="1740" w:type="dxa"/>
            <w:vAlign w:val="bottom"/>
            <w:shd w:val="clear" w:color="auto" w:fill="E5E5E5"/>
          </w:tcPr>
          <w:p>
            <w:pPr>
              <w:spacing w:after="0"/>
              <w:rPr>
                <w:sz w:val="17"/>
                <w:szCs w:val="17"/>
                <w:color w:val="auto"/>
              </w:rPr>
            </w:pPr>
          </w:p>
        </w:tc>
        <w:tc>
          <w:tcPr>
            <w:tcW w:w="2400" w:type="dxa"/>
            <w:vAlign w:val="bottom"/>
            <w:shd w:val="clear" w:color="auto" w:fill="E5E5E5"/>
          </w:tcPr>
          <w:p>
            <w:pPr>
              <w:jc w:val="center"/>
              <w:ind w:left="297"/>
              <w:spacing w:after="0" w:line="202" w:lineRule="exact"/>
              <w:rPr>
                <w:sz w:val="20"/>
                <w:szCs w:val="20"/>
                <w:color w:val="auto"/>
              </w:rPr>
            </w:pPr>
            <w:r>
              <w:rPr>
                <w:rFonts w:ascii="Arial" w:cs="Arial" w:eastAsia="Arial" w:hAnsi="Arial"/>
                <w:sz w:val="18"/>
                <w:szCs w:val="18"/>
                <w:color w:val="auto"/>
                <w:w w:val="94"/>
              </w:rPr>
              <w:t>•</w:t>
            </w:r>
          </w:p>
        </w:tc>
      </w:tr>
      <w:tr>
        <w:trPr>
          <w:trHeight w:val="203"/>
        </w:trPr>
        <w:tc>
          <w:tcPr>
            <w:tcW w:w="3560" w:type="dxa"/>
            <w:vAlign w:val="bottom"/>
          </w:tcPr>
          <w:p>
            <w:pPr>
              <w:ind w:left="80"/>
              <w:spacing w:after="0" w:line="202" w:lineRule="exact"/>
              <w:rPr>
                <w:sz w:val="20"/>
                <w:szCs w:val="20"/>
                <w:color w:val="auto"/>
              </w:rPr>
            </w:pPr>
            <w:r>
              <w:rPr>
                <w:rFonts w:ascii="Arial" w:cs="Arial" w:eastAsia="Arial" w:hAnsi="Arial"/>
                <w:sz w:val="18"/>
                <w:szCs w:val="18"/>
                <w:color w:val="auto"/>
              </w:rPr>
              <w:t>C. S. Cox</w:t>
            </w:r>
          </w:p>
        </w:tc>
        <w:tc>
          <w:tcPr>
            <w:tcW w:w="3320" w:type="dxa"/>
            <w:vAlign w:val="bottom"/>
          </w:tcPr>
          <w:p>
            <w:pPr>
              <w:spacing w:after="0"/>
              <w:rPr>
                <w:sz w:val="17"/>
                <w:szCs w:val="17"/>
                <w:color w:val="auto"/>
              </w:rPr>
            </w:pPr>
          </w:p>
        </w:tc>
        <w:tc>
          <w:tcPr>
            <w:tcW w:w="1740" w:type="dxa"/>
            <w:vAlign w:val="bottom"/>
          </w:tcPr>
          <w:p>
            <w:pPr>
              <w:jc w:val="center"/>
              <w:spacing w:after="0" w:line="202" w:lineRule="exact"/>
              <w:rPr>
                <w:sz w:val="20"/>
                <w:szCs w:val="20"/>
                <w:color w:val="auto"/>
              </w:rPr>
            </w:pPr>
            <w:r>
              <w:rPr>
                <w:rFonts w:ascii="Arial" w:cs="Arial" w:eastAsia="Arial" w:hAnsi="Arial"/>
                <w:sz w:val="18"/>
                <w:szCs w:val="18"/>
                <w:color w:val="auto"/>
                <w:w w:val="94"/>
              </w:rPr>
              <w:t>•</w:t>
            </w:r>
          </w:p>
        </w:tc>
        <w:tc>
          <w:tcPr>
            <w:tcW w:w="2400" w:type="dxa"/>
            <w:vAlign w:val="bottom"/>
          </w:tcPr>
          <w:p>
            <w:pPr>
              <w:spacing w:after="0"/>
              <w:rPr>
                <w:sz w:val="17"/>
                <w:szCs w:val="17"/>
                <w:color w:val="auto"/>
              </w:rPr>
            </w:pPr>
          </w:p>
        </w:tc>
      </w:tr>
      <w:tr>
        <w:trPr>
          <w:trHeight w:val="203"/>
        </w:trPr>
        <w:tc>
          <w:tcPr>
            <w:tcW w:w="356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M. S. Craighead</w:t>
            </w:r>
          </w:p>
        </w:tc>
        <w:tc>
          <w:tcPr>
            <w:tcW w:w="3320" w:type="dxa"/>
            <w:vAlign w:val="bottom"/>
            <w:shd w:val="clear" w:color="auto" w:fill="E5E5E5"/>
          </w:tcPr>
          <w:p>
            <w:pPr>
              <w:spacing w:after="0"/>
              <w:rPr>
                <w:sz w:val="17"/>
                <w:szCs w:val="17"/>
                <w:color w:val="auto"/>
              </w:rPr>
            </w:pPr>
          </w:p>
        </w:tc>
        <w:tc>
          <w:tcPr>
            <w:tcW w:w="174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4"/>
              </w:rPr>
              <w:t>•</w:t>
            </w:r>
          </w:p>
        </w:tc>
        <w:tc>
          <w:tcPr>
            <w:tcW w:w="2400" w:type="dxa"/>
            <w:vAlign w:val="bottom"/>
            <w:shd w:val="clear" w:color="auto" w:fill="E5E5E5"/>
          </w:tcPr>
          <w:p>
            <w:pPr>
              <w:spacing w:after="0"/>
              <w:rPr>
                <w:sz w:val="17"/>
                <w:szCs w:val="17"/>
                <w:color w:val="auto"/>
              </w:rPr>
            </w:pPr>
          </w:p>
        </w:tc>
      </w:tr>
      <w:tr>
        <w:trPr>
          <w:trHeight w:val="203"/>
        </w:trPr>
        <w:tc>
          <w:tcPr>
            <w:tcW w:w="3560" w:type="dxa"/>
            <w:vAlign w:val="bottom"/>
          </w:tcPr>
          <w:p>
            <w:pPr>
              <w:ind w:left="80"/>
              <w:spacing w:after="0" w:line="202" w:lineRule="exact"/>
              <w:rPr>
                <w:sz w:val="20"/>
                <w:szCs w:val="20"/>
                <w:color w:val="auto"/>
              </w:rPr>
            </w:pPr>
            <w:r>
              <w:rPr>
                <w:rFonts w:ascii="Arial" w:cs="Arial" w:eastAsia="Arial" w:hAnsi="Arial"/>
                <w:sz w:val="18"/>
                <w:szCs w:val="18"/>
                <w:color w:val="auto"/>
              </w:rPr>
              <w:t>J. M. Hobby</w:t>
            </w:r>
          </w:p>
        </w:tc>
        <w:tc>
          <w:tcPr>
            <w:tcW w:w="3320" w:type="dxa"/>
            <w:vAlign w:val="bottom"/>
          </w:tcPr>
          <w:p>
            <w:pPr>
              <w:jc w:val="center"/>
              <w:ind w:left="1736"/>
              <w:spacing w:after="0" w:line="202" w:lineRule="exact"/>
              <w:rPr>
                <w:sz w:val="20"/>
                <w:szCs w:val="20"/>
                <w:color w:val="auto"/>
              </w:rPr>
            </w:pPr>
            <w:r>
              <w:rPr>
                <w:rFonts w:ascii="Arial" w:cs="Arial" w:eastAsia="Arial" w:hAnsi="Arial"/>
                <w:sz w:val="18"/>
                <w:szCs w:val="18"/>
                <w:color w:val="auto"/>
                <w:w w:val="94"/>
              </w:rPr>
              <w:t>•</w:t>
            </w:r>
          </w:p>
        </w:tc>
        <w:tc>
          <w:tcPr>
            <w:tcW w:w="174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3"/>
        </w:trPr>
        <w:tc>
          <w:tcPr>
            <w:tcW w:w="356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M. D. Hsu *</w:t>
            </w:r>
          </w:p>
        </w:tc>
        <w:tc>
          <w:tcPr>
            <w:tcW w:w="3320" w:type="dxa"/>
            <w:vAlign w:val="bottom"/>
            <w:shd w:val="clear" w:color="auto" w:fill="E5E5E5"/>
          </w:tcPr>
          <w:p>
            <w:pPr>
              <w:jc w:val="center"/>
              <w:ind w:left="1736"/>
              <w:spacing w:after="0" w:line="202" w:lineRule="exact"/>
              <w:rPr>
                <w:sz w:val="20"/>
                <w:szCs w:val="20"/>
                <w:color w:val="auto"/>
              </w:rPr>
            </w:pPr>
            <w:r>
              <w:rPr>
                <w:rFonts w:ascii="Arial" w:cs="Arial" w:eastAsia="Arial" w:hAnsi="Arial"/>
                <w:sz w:val="18"/>
                <w:szCs w:val="18"/>
                <w:color w:val="auto"/>
                <w:w w:val="94"/>
              </w:rPr>
              <w:t>•</w:t>
            </w:r>
          </w:p>
        </w:tc>
        <w:tc>
          <w:tcPr>
            <w:tcW w:w="1740" w:type="dxa"/>
            <w:vAlign w:val="bottom"/>
            <w:shd w:val="clear" w:color="auto" w:fill="E5E5E5"/>
          </w:tcPr>
          <w:p>
            <w:pPr>
              <w:spacing w:after="0"/>
              <w:rPr>
                <w:sz w:val="17"/>
                <w:szCs w:val="17"/>
                <w:color w:val="auto"/>
              </w:rPr>
            </w:pPr>
          </w:p>
        </w:tc>
        <w:tc>
          <w:tcPr>
            <w:tcW w:w="2400" w:type="dxa"/>
            <w:vAlign w:val="bottom"/>
            <w:shd w:val="clear" w:color="auto" w:fill="E5E5E5"/>
          </w:tcPr>
          <w:p>
            <w:pPr>
              <w:spacing w:after="0"/>
              <w:rPr>
                <w:sz w:val="17"/>
                <w:szCs w:val="17"/>
                <w:color w:val="auto"/>
              </w:rPr>
            </w:pPr>
          </w:p>
        </w:tc>
      </w:tr>
      <w:tr>
        <w:trPr>
          <w:trHeight w:val="202"/>
        </w:trPr>
        <w:tc>
          <w:tcPr>
            <w:tcW w:w="3560" w:type="dxa"/>
            <w:vAlign w:val="bottom"/>
          </w:tcPr>
          <w:p>
            <w:pPr>
              <w:ind w:left="80"/>
              <w:spacing w:after="0" w:line="202" w:lineRule="exact"/>
              <w:rPr>
                <w:sz w:val="20"/>
                <w:szCs w:val="20"/>
                <w:color w:val="auto"/>
              </w:rPr>
            </w:pPr>
            <w:r>
              <w:rPr>
                <w:rFonts w:ascii="Arial" w:cs="Arial" w:eastAsia="Arial" w:hAnsi="Arial"/>
                <w:sz w:val="18"/>
                <w:szCs w:val="18"/>
                <w:color w:val="auto"/>
              </w:rPr>
              <w:t>R. Kirk</w:t>
            </w:r>
          </w:p>
        </w:tc>
        <w:tc>
          <w:tcPr>
            <w:tcW w:w="33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400" w:type="dxa"/>
            <w:vAlign w:val="bottom"/>
          </w:tcPr>
          <w:p>
            <w:pPr>
              <w:jc w:val="center"/>
              <w:ind w:left="297"/>
              <w:spacing w:after="0" w:line="202" w:lineRule="exact"/>
              <w:rPr>
                <w:sz w:val="20"/>
                <w:szCs w:val="20"/>
                <w:color w:val="auto"/>
              </w:rPr>
            </w:pPr>
            <w:r>
              <w:rPr>
                <w:rFonts w:ascii="Arial" w:cs="Arial" w:eastAsia="Arial" w:hAnsi="Arial"/>
                <w:sz w:val="18"/>
                <w:szCs w:val="18"/>
                <w:color w:val="auto"/>
                <w:w w:val="97"/>
              </w:rPr>
              <w:t>Chair</w:t>
            </w:r>
          </w:p>
        </w:tc>
      </w:tr>
      <w:tr>
        <w:trPr>
          <w:trHeight w:val="203"/>
        </w:trPr>
        <w:tc>
          <w:tcPr>
            <w:tcW w:w="356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P. H. Patsley **</w:t>
            </w:r>
          </w:p>
        </w:tc>
        <w:tc>
          <w:tcPr>
            <w:tcW w:w="3320" w:type="dxa"/>
            <w:vAlign w:val="bottom"/>
            <w:shd w:val="clear" w:color="auto" w:fill="E5E5E5"/>
          </w:tcPr>
          <w:p>
            <w:pPr>
              <w:spacing w:after="0"/>
              <w:rPr>
                <w:sz w:val="17"/>
                <w:szCs w:val="17"/>
                <w:color w:val="auto"/>
              </w:rPr>
            </w:pPr>
          </w:p>
        </w:tc>
        <w:tc>
          <w:tcPr>
            <w:tcW w:w="174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7"/>
              </w:rPr>
              <w:t>Chair</w:t>
            </w:r>
          </w:p>
        </w:tc>
        <w:tc>
          <w:tcPr>
            <w:tcW w:w="2400" w:type="dxa"/>
            <w:vAlign w:val="bottom"/>
            <w:shd w:val="clear" w:color="auto" w:fill="E5E5E5"/>
          </w:tcPr>
          <w:p>
            <w:pPr>
              <w:spacing w:after="0"/>
              <w:rPr>
                <w:sz w:val="17"/>
                <w:szCs w:val="17"/>
                <w:color w:val="auto"/>
              </w:rPr>
            </w:pPr>
          </w:p>
        </w:tc>
      </w:tr>
      <w:tr>
        <w:trPr>
          <w:trHeight w:val="203"/>
        </w:trPr>
        <w:tc>
          <w:tcPr>
            <w:tcW w:w="3560" w:type="dxa"/>
            <w:vAlign w:val="bottom"/>
          </w:tcPr>
          <w:p>
            <w:pPr>
              <w:ind w:left="80"/>
              <w:spacing w:after="0" w:line="202" w:lineRule="exact"/>
              <w:rPr>
                <w:sz w:val="20"/>
                <w:szCs w:val="20"/>
                <w:color w:val="auto"/>
              </w:rPr>
            </w:pPr>
            <w:r>
              <w:rPr>
                <w:rFonts w:ascii="Arial" w:cs="Arial" w:eastAsia="Arial" w:hAnsi="Arial"/>
                <w:sz w:val="18"/>
                <w:szCs w:val="18"/>
                <w:color w:val="auto"/>
              </w:rPr>
              <w:t>R. E. Sanchez</w:t>
            </w:r>
          </w:p>
        </w:tc>
        <w:tc>
          <w:tcPr>
            <w:tcW w:w="33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400" w:type="dxa"/>
            <w:vAlign w:val="bottom"/>
          </w:tcPr>
          <w:p>
            <w:pPr>
              <w:jc w:val="center"/>
              <w:ind w:left="297"/>
              <w:spacing w:after="0" w:line="202" w:lineRule="exact"/>
              <w:rPr>
                <w:sz w:val="20"/>
                <w:szCs w:val="20"/>
                <w:color w:val="auto"/>
              </w:rPr>
            </w:pPr>
            <w:r>
              <w:rPr>
                <w:rFonts w:ascii="Arial" w:cs="Arial" w:eastAsia="Arial" w:hAnsi="Arial"/>
                <w:sz w:val="18"/>
                <w:szCs w:val="18"/>
                <w:color w:val="auto"/>
                <w:w w:val="94"/>
              </w:rPr>
              <w:t>•</w:t>
            </w:r>
          </w:p>
        </w:tc>
      </w:tr>
      <w:tr>
        <w:trPr>
          <w:trHeight w:val="203"/>
        </w:trPr>
        <w:tc>
          <w:tcPr>
            <w:tcW w:w="356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R. K. Templeton</w:t>
            </w:r>
          </w:p>
        </w:tc>
        <w:tc>
          <w:tcPr>
            <w:tcW w:w="3320" w:type="dxa"/>
            <w:vAlign w:val="bottom"/>
            <w:shd w:val="clear" w:color="auto" w:fill="E5E5E5"/>
          </w:tcPr>
          <w:p>
            <w:pPr>
              <w:spacing w:after="0"/>
              <w:rPr>
                <w:sz w:val="17"/>
                <w:szCs w:val="17"/>
                <w:color w:val="auto"/>
              </w:rPr>
            </w:pPr>
          </w:p>
        </w:tc>
        <w:tc>
          <w:tcPr>
            <w:tcW w:w="1740" w:type="dxa"/>
            <w:vAlign w:val="bottom"/>
            <w:shd w:val="clear" w:color="auto" w:fill="E5E5E5"/>
          </w:tcPr>
          <w:p>
            <w:pPr>
              <w:spacing w:after="0"/>
              <w:rPr>
                <w:sz w:val="17"/>
                <w:szCs w:val="17"/>
                <w:color w:val="auto"/>
              </w:rPr>
            </w:pPr>
          </w:p>
        </w:tc>
        <w:tc>
          <w:tcPr>
            <w:tcW w:w="2400" w:type="dxa"/>
            <w:vAlign w:val="bottom"/>
            <w:shd w:val="clear" w:color="auto" w:fill="E5E5E5"/>
          </w:tcPr>
          <w:p>
            <w:pPr>
              <w:spacing w:after="0"/>
              <w:rPr>
                <w:sz w:val="17"/>
                <w:szCs w:val="17"/>
                <w:color w:val="auto"/>
              </w:rPr>
            </w:pPr>
          </w:p>
        </w:tc>
      </w:tr>
    </w:tbl>
    <w:p>
      <w:pPr>
        <w:spacing w:after="0" w:line="121" w:lineRule="exact"/>
        <w:rPr>
          <w:sz w:val="20"/>
          <w:szCs w:val="20"/>
          <w:color w:val="auto"/>
        </w:rPr>
      </w:pPr>
    </w:p>
    <w:p>
      <w:pPr>
        <w:ind w:left="120" w:right="9060" w:hanging="4"/>
        <w:spacing w:after="0" w:line="246" w:lineRule="auto"/>
        <w:tabs>
          <w:tab w:leader="none" w:pos="336" w:val="left"/>
        </w:tabs>
        <w:numPr>
          <w:ilvl w:val="0"/>
          <w:numId w:val="31"/>
        </w:numPr>
        <w:rPr>
          <w:rFonts w:ascii="Arial" w:cs="Arial" w:eastAsia="Arial" w:hAnsi="Arial"/>
          <w:sz w:val="18"/>
          <w:szCs w:val="18"/>
          <w:color w:val="auto"/>
        </w:rPr>
      </w:pPr>
      <w:r>
        <w:rPr>
          <w:rFonts w:ascii="Arial" w:cs="Arial" w:eastAsia="Arial" w:hAnsi="Arial"/>
          <w:sz w:val="18"/>
          <w:szCs w:val="18"/>
          <w:color w:val="auto"/>
        </w:rPr>
        <w:t>Effective April 1, 2020 ** Lead director</w:t>
      </w:r>
    </w:p>
    <w:p>
      <w:pPr>
        <w:spacing w:after="0" w:line="124" w:lineRule="exact"/>
        <w:rPr>
          <w:sz w:val="20"/>
          <w:szCs w:val="20"/>
          <w:color w:val="auto"/>
        </w:rPr>
      </w:pPr>
    </w:p>
    <w:p>
      <w:pPr>
        <w:ind w:left="120"/>
        <w:spacing w:after="0"/>
        <w:tabs>
          <w:tab w:leader="none" w:pos="4020" w:val="left"/>
          <w:tab w:leader="none" w:pos="5500" w:val="left"/>
          <w:tab w:leader="none" w:pos="5700" w:val="left"/>
        </w:tabs>
        <w:rPr>
          <w:sz w:val="20"/>
          <w:szCs w:val="20"/>
          <w:color w:val="auto"/>
        </w:rPr>
      </w:pPr>
      <w:r>
        <w:rPr>
          <w:rFonts w:ascii="Arial" w:cs="Arial" w:eastAsia="Arial" w:hAnsi="Arial"/>
          <w:sz w:val="13"/>
          <w:szCs w:val="13"/>
          <w:color w:val="666666"/>
        </w:rPr>
        <w:t>12</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2020 PROXY STATEMENT</w:t>
      </w:r>
    </w:p>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Committees of the board</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Audit Committee</w:t>
      </w:r>
    </w:p>
    <w:p>
      <w:pPr>
        <w:spacing w:after="0" w:line="212" w:lineRule="exact"/>
        <w:rPr>
          <w:sz w:val="20"/>
          <w:szCs w:val="20"/>
          <w:color w:val="auto"/>
        </w:rPr>
      </w:pPr>
    </w:p>
    <w:p>
      <w:pPr>
        <w:jc w:val="both"/>
        <w:ind w:left="120" w:right="100"/>
        <w:spacing w:after="0" w:line="248" w:lineRule="auto"/>
        <w:rPr>
          <w:sz w:val="20"/>
          <w:szCs w:val="20"/>
          <w:color w:val="auto"/>
        </w:rPr>
      </w:pPr>
      <w:r>
        <w:rPr>
          <w:rFonts w:ascii="Arial" w:cs="Arial" w:eastAsia="Arial" w:hAnsi="Arial"/>
          <w:sz w:val="17"/>
          <w:szCs w:val="17"/>
          <w:color w:val="auto"/>
        </w:rPr>
        <w:t>The Audit Committee is a separately designated standing committee established in accordance with Section 3(a)(58)(A) of the Securities Exchange Act of 1934, as amended. All members of the Audit Committee are independent under Nasdaq rules and the board’s corporate governance guidelines. From April 26, 2018, to April 24, 2019, the committee members were Mr. Blinn (chair), Mr. Bluedorn and</w:t>
      </w:r>
    </w:p>
    <w:p>
      <w:pPr>
        <w:spacing w:after="0" w:line="2"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Ms. Hobby, with Mr. Craighead joining the committee on July 1, 2018. Since April 25, 2019, the committee members have been Mr. Blinn (chair), Mr. Bluedorn and Ms. Hobby. Mr. Hsu will join the Audit Committee effective April 1, 2020. The Audit Committee is generally responsible for:</w:t>
      </w:r>
    </w:p>
    <w:p>
      <w:pPr>
        <w:spacing w:after="0" w:line="225" w:lineRule="exact"/>
        <w:rPr>
          <w:sz w:val="20"/>
          <w:szCs w:val="20"/>
          <w:color w:val="auto"/>
        </w:rPr>
      </w:pPr>
    </w:p>
    <w:p>
      <w:pPr>
        <w:ind w:left="760" w:hanging="320"/>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Reviewing:</w:t>
      </w:r>
    </w:p>
    <w:p>
      <w:pPr>
        <w:ind w:left="1080" w:hanging="316"/>
        <w:spacing w:after="0" w:line="234" w:lineRule="auto"/>
        <w:tabs>
          <w:tab w:leader="none" w:pos="1080" w:val="left"/>
        </w:tabs>
        <w:numPr>
          <w:ilvl w:val="1"/>
          <w:numId w:val="32"/>
        </w:numPr>
        <w:rPr>
          <w:rFonts w:ascii="Arial" w:cs="Arial" w:eastAsia="Arial" w:hAnsi="Arial"/>
          <w:sz w:val="15"/>
          <w:szCs w:val="15"/>
          <w:color w:val="auto"/>
        </w:rPr>
      </w:pPr>
      <w:r>
        <w:rPr>
          <w:rFonts w:ascii="Arial" w:cs="Arial" w:eastAsia="Arial" w:hAnsi="Arial"/>
          <w:sz w:val="18"/>
          <w:szCs w:val="18"/>
          <w:color w:val="auto"/>
        </w:rPr>
        <w:t>The annual report of TI’s independent registered public accounting firm related to quality control.</w:t>
      </w:r>
    </w:p>
    <w:p>
      <w:pPr>
        <w:ind w:left="1080" w:right="560" w:hanging="316"/>
        <w:spacing w:after="0" w:line="234" w:lineRule="auto"/>
        <w:tabs>
          <w:tab w:leader="none" w:pos="1080" w:val="left"/>
        </w:tabs>
        <w:numPr>
          <w:ilvl w:val="1"/>
          <w:numId w:val="32"/>
        </w:numPr>
        <w:rPr>
          <w:rFonts w:ascii="Arial" w:cs="Arial" w:eastAsia="Arial" w:hAnsi="Arial"/>
          <w:sz w:val="15"/>
          <w:szCs w:val="15"/>
          <w:color w:val="auto"/>
        </w:rPr>
      </w:pPr>
      <w:r>
        <w:rPr>
          <w:rFonts w:ascii="Arial" w:cs="Arial" w:eastAsia="Arial" w:hAnsi="Arial"/>
          <w:sz w:val="18"/>
          <w:szCs w:val="18"/>
          <w:color w:val="auto"/>
        </w:rPr>
        <w:t>TI’s annual and quarterly reports to the SEC, including the financial statements and the “Management’s Discussion and Analysis” portion of those reports, and recommending appropriate action to the board.</w:t>
      </w:r>
    </w:p>
    <w:p>
      <w:pPr>
        <w:spacing w:after="0" w:line="1" w:lineRule="exact"/>
        <w:rPr>
          <w:rFonts w:ascii="Arial" w:cs="Arial" w:eastAsia="Arial" w:hAnsi="Arial"/>
          <w:sz w:val="15"/>
          <w:szCs w:val="15"/>
          <w:color w:val="auto"/>
        </w:rPr>
      </w:pPr>
    </w:p>
    <w:p>
      <w:pPr>
        <w:ind w:left="1080" w:hanging="316"/>
        <w:spacing w:after="0" w:line="234" w:lineRule="auto"/>
        <w:tabs>
          <w:tab w:leader="none" w:pos="1080" w:val="left"/>
        </w:tabs>
        <w:numPr>
          <w:ilvl w:val="1"/>
          <w:numId w:val="32"/>
        </w:numPr>
        <w:rPr>
          <w:rFonts w:ascii="Arial" w:cs="Arial" w:eastAsia="Arial" w:hAnsi="Arial"/>
          <w:sz w:val="15"/>
          <w:szCs w:val="15"/>
          <w:color w:val="auto"/>
        </w:rPr>
      </w:pPr>
      <w:r>
        <w:rPr>
          <w:rFonts w:ascii="Arial" w:cs="Arial" w:eastAsia="Arial" w:hAnsi="Arial"/>
          <w:sz w:val="18"/>
          <w:szCs w:val="18"/>
          <w:color w:val="auto"/>
        </w:rPr>
        <w:t>TI’s audit plans.</w:t>
      </w:r>
    </w:p>
    <w:p>
      <w:pPr>
        <w:ind w:left="1080" w:right="520" w:hanging="316"/>
        <w:spacing w:after="0" w:line="234" w:lineRule="auto"/>
        <w:tabs>
          <w:tab w:leader="none" w:pos="1080" w:val="left"/>
        </w:tabs>
        <w:numPr>
          <w:ilvl w:val="1"/>
          <w:numId w:val="32"/>
        </w:numPr>
        <w:rPr>
          <w:rFonts w:ascii="Arial" w:cs="Arial" w:eastAsia="Arial" w:hAnsi="Arial"/>
          <w:sz w:val="15"/>
          <w:szCs w:val="15"/>
          <w:color w:val="auto"/>
        </w:rPr>
      </w:pPr>
      <w:r>
        <w:rPr>
          <w:rFonts w:ascii="Arial" w:cs="Arial" w:eastAsia="Arial" w:hAnsi="Arial"/>
          <w:sz w:val="18"/>
          <w:szCs w:val="18"/>
          <w:color w:val="auto"/>
        </w:rPr>
        <w:t>Before issuance TI’s news releases regarding annual and interim financial results and discussing with management any related earnings guidance that may be provided to analysts and rating agencies.</w:t>
      </w:r>
    </w:p>
    <w:p>
      <w:pPr>
        <w:spacing w:after="0" w:line="1" w:lineRule="exact"/>
        <w:rPr>
          <w:rFonts w:ascii="Arial" w:cs="Arial" w:eastAsia="Arial" w:hAnsi="Arial"/>
          <w:sz w:val="15"/>
          <w:szCs w:val="15"/>
          <w:color w:val="auto"/>
        </w:rPr>
      </w:pPr>
    </w:p>
    <w:p>
      <w:pPr>
        <w:ind w:left="1080" w:hanging="316"/>
        <w:spacing w:after="0" w:line="234" w:lineRule="auto"/>
        <w:tabs>
          <w:tab w:leader="none" w:pos="1080" w:val="left"/>
        </w:tabs>
        <w:numPr>
          <w:ilvl w:val="1"/>
          <w:numId w:val="32"/>
        </w:numPr>
        <w:rPr>
          <w:rFonts w:ascii="Arial" w:cs="Arial" w:eastAsia="Arial" w:hAnsi="Arial"/>
          <w:sz w:val="15"/>
          <w:szCs w:val="15"/>
          <w:color w:val="auto"/>
        </w:rPr>
      </w:pPr>
      <w:r>
        <w:rPr>
          <w:rFonts w:ascii="Arial" w:cs="Arial" w:eastAsia="Arial" w:hAnsi="Arial"/>
          <w:sz w:val="18"/>
          <w:szCs w:val="18"/>
          <w:color w:val="auto"/>
        </w:rPr>
        <w:t>Relationships between the independent registered public accounting firm and TI.</w:t>
      </w:r>
    </w:p>
    <w:p>
      <w:pPr>
        <w:ind w:left="1080" w:right="760" w:hanging="316"/>
        <w:spacing w:after="0" w:line="234" w:lineRule="auto"/>
        <w:tabs>
          <w:tab w:leader="none" w:pos="1080" w:val="left"/>
        </w:tabs>
        <w:numPr>
          <w:ilvl w:val="1"/>
          <w:numId w:val="32"/>
        </w:numPr>
        <w:rPr>
          <w:rFonts w:ascii="Arial" w:cs="Arial" w:eastAsia="Arial" w:hAnsi="Arial"/>
          <w:sz w:val="15"/>
          <w:szCs w:val="15"/>
          <w:color w:val="auto"/>
        </w:rPr>
      </w:pPr>
      <w:r>
        <w:rPr>
          <w:rFonts w:ascii="Arial" w:cs="Arial" w:eastAsia="Arial" w:hAnsi="Arial"/>
          <w:sz w:val="18"/>
          <w:szCs w:val="18"/>
          <w:color w:val="auto"/>
        </w:rPr>
        <w:t>The adequacy of TI’s internal accounting controls and other factors affecting the integrity of TI’s financial reports, and discussing with management and with the independent registered public accounting firm.</w:t>
      </w:r>
    </w:p>
    <w:p>
      <w:pPr>
        <w:spacing w:after="0" w:line="1" w:lineRule="exact"/>
        <w:rPr>
          <w:rFonts w:ascii="Arial" w:cs="Arial" w:eastAsia="Arial" w:hAnsi="Arial"/>
          <w:sz w:val="15"/>
          <w:szCs w:val="15"/>
          <w:color w:val="auto"/>
        </w:rPr>
      </w:pPr>
    </w:p>
    <w:p>
      <w:pPr>
        <w:ind w:left="1080" w:hanging="316"/>
        <w:spacing w:after="0" w:line="234" w:lineRule="auto"/>
        <w:tabs>
          <w:tab w:leader="none" w:pos="1080" w:val="left"/>
        </w:tabs>
        <w:numPr>
          <w:ilvl w:val="1"/>
          <w:numId w:val="32"/>
        </w:numPr>
        <w:rPr>
          <w:rFonts w:ascii="Arial" w:cs="Arial" w:eastAsia="Arial" w:hAnsi="Arial"/>
          <w:sz w:val="15"/>
          <w:szCs w:val="15"/>
          <w:color w:val="auto"/>
        </w:rPr>
      </w:pPr>
      <w:r>
        <w:rPr>
          <w:rFonts w:ascii="Arial" w:cs="Arial" w:eastAsia="Arial" w:hAnsi="Arial"/>
          <w:sz w:val="18"/>
          <w:szCs w:val="18"/>
          <w:color w:val="auto"/>
        </w:rPr>
        <w:t>TI’s risk assessment and risk management policies.</w:t>
      </w:r>
    </w:p>
    <w:p>
      <w:pPr>
        <w:ind w:left="1080" w:hanging="316"/>
        <w:spacing w:after="0" w:line="234" w:lineRule="auto"/>
        <w:tabs>
          <w:tab w:leader="none" w:pos="1080" w:val="left"/>
        </w:tabs>
        <w:numPr>
          <w:ilvl w:val="1"/>
          <w:numId w:val="32"/>
        </w:numPr>
        <w:rPr>
          <w:rFonts w:ascii="Arial" w:cs="Arial" w:eastAsia="Arial" w:hAnsi="Arial"/>
          <w:sz w:val="15"/>
          <w:szCs w:val="15"/>
          <w:color w:val="auto"/>
        </w:rPr>
      </w:pPr>
      <w:r>
        <w:rPr>
          <w:rFonts w:ascii="Arial" w:cs="Arial" w:eastAsia="Arial" w:hAnsi="Arial"/>
          <w:sz w:val="18"/>
          <w:szCs w:val="18"/>
          <w:color w:val="auto"/>
        </w:rPr>
        <w:t>TI’s compliance and ethics program.</w:t>
      </w:r>
    </w:p>
    <w:p>
      <w:pPr>
        <w:ind w:left="1080" w:right="320" w:hanging="316"/>
        <w:spacing w:after="0" w:line="234" w:lineRule="auto"/>
        <w:tabs>
          <w:tab w:leader="none" w:pos="1080" w:val="left"/>
        </w:tabs>
        <w:numPr>
          <w:ilvl w:val="1"/>
          <w:numId w:val="32"/>
        </w:numPr>
        <w:rPr>
          <w:rFonts w:ascii="Arial" w:cs="Arial" w:eastAsia="Arial" w:hAnsi="Arial"/>
          <w:sz w:val="15"/>
          <w:szCs w:val="15"/>
          <w:color w:val="auto"/>
        </w:rPr>
      </w:pPr>
      <w:r>
        <w:rPr>
          <w:rFonts w:ascii="Arial" w:cs="Arial" w:eastAsia="Arial" w:hAnsi="Arial"/>
          <w:sz w:val="18"/>
          <w:szCs w:val="18"/>
          <w:color w:val="auto"/>
        </w:rPr>
        <w:t>A report of compliance of management and operating personnel with TI’s code of conduct, including TI’s conflict of interest policy.</w:t>
      </w:r>
    </w:p>
    <w:p>
      <w:pPr>
        <w:spacing w:after="0" w:line="1" w:lineRule="exact"/>
        <w:rPr>
          <w:rFonts w:ascii="Arial" w:cs="Arial" w:eastAsia="Arial" w:hAnsi="Arial"/>
          <w:sz w:val="15"/>
          <w:szCs w:val="15"/>
          <w:color w:val="auto"/>
        </w:rPr>
      </w:pPr>
    </w:p>
    <w:p>
      <w:pPr>
        <w:ind w:left="1080" w:hanging="316"/>
        <w:spacing w:after="0" w:line="234" w:lineRule="auto"/>
        <w:tabs>
          <w:tab w:leader="none" w:pos="1080" w:val="left"/>
        </w:tabs>
        <w:numPr>
          <w:ilvl w:val="1"/>
          <w:numId w:val="32"/>
        </w:numPr>
        <w:rPr>
          <w:rFonts w:ascii="Arial" w:cs="Arial" w:eastAsia="Arial" w:hAnsi="Arial"/>
          <w:sz w:val="15"/>
          <w:szCs w:val="15"/>
          <w:color w:val="auto"/>
        </w:rPr>
      </w:pPr>
      <w:r>
        <w:rPr>
          <w:rFonts w:ascii="Arial" w:cs="Arial" w:eastAsia="Arial" w:hAnsi="Arial"/>
          <w:sz w:val="18"/>
          <w:szCs w:val="18"/>
          <w:color w:val="auto"/>
        </w:rPr>
        <w:t>TI’s non-employee-related insurance programs.</w:t>
      </w:r>
    </w:p>
    <w:p>
      <w:pPr>
        <w:ind w:left="1080" w:hanging="316"/>
        <w:spacing w:after="0" w:line="234" w:lineRule="auto"/>
        <w:tabs>
          <w:tab w:leader="none" w:pos="1080" w:val="left"/>
        </w:tabs>
        <w:numPr>
          <w:ilvl w:val="1"/>
          <w:numId w:val="32"/>
        </w:numPr>
        <w:rPr>
          <w:rFonts w:ascii="Arial" w:cs="Arial" w:eastAsia="Arial" w:hAnsi="Arial"/>
          <w:sz w:val="15"/>
          <w:szCs w:val="15"/>
          <w:color w:val="auto"/>
        </w:rPr>
      </w:pPr>
      <w:r>
        <w:rPr>
          <w:rFonts w:ascii="Arial" w:cs="Arial" w:eastAsia="Arial" w:hAnsi="Arial"/>
          <w:sz w:val="18"/>
          <w:szCs w:val="18"/>
          <w:color w:val="auto"/>
        </w:rPr>
        <w:t>Changes, if any, in major accounting policies of the company.</w:t>
      </w:r>
    </w:p>
    <w:p>
      <w:pPr>
        <w:ind w:left="1080" w:hanging="316"/>
        <w:spacing w:after="0" w:line="234" w:lineRule="auto"/>
        <w:tabs>
          <w:tab w:leader="none" w:pos="1080" w:val="left"/>
        </w:tabs>
        <w:numPr>
          <w:ilvl w:val="1"/>
          <w:numId w:val="32"/>
        </w:numPr>
        <w:rPr>
          <w:rFonts w:ascii="Arial" w:cs="Arial" w:eastAsia="Arial" w:hAnsi="Arial"/>
          <w:sz w:val="15"/>
          <w:szCs w:val="15"/>
          <w:color w:val="auto"/>
        </w:rPr>
      </w:pPr>
      <w:r>
        <w:rPr>
          <w:rFonts w:ascii="Arial" w:cs="Arial" w:eastAsia="Arial" w:hAnsi="Arial"/>
          <w:sz w:val="18"/>
          <w:szCs w:val="18"/>
          <w:color w:val="auto"/>
        </w:rPr>
        <w:t>Trends in accounting policy changes that are relevant to the company.</w:t>
      </w:r>
    </w:p>
    <w:p>
      <w:pPr>
        <w:ind w:left="1080" w:hanging="316"/>
        <w:spacing w:after="0" w:line="234" w:lineRule="auto"/>
        <w:tabs>
          <w:tab w:leader="none" w:pos="1080" w:val="left"/>
        </w:tabs>
        <w:numPr>
          <w:ilvl w:val="1"/>
          <w:numId w:val="32"/>
        </w:numPr>
        <w:rPr>
          <w:rFonts w:ascii="Arial" w:cs="Arial" w:eastAsia="Arial" w:hAnsi="Arial"/>
          <w:sz w:val="15"/>
          <w:szCs w:val="15"/>
          <w:color w:val="auto"/>
        </w:rPr>
      </w:pPr>
      <w:r>
        <w:rPr>
          <w:rFonts w:ascii="Arial" w:cs="Arial" w:eastAsia="Arial" w:hAnsi="Arial"/>
          <w:sz w:val="18"/>
          <w:szCs w:val="18"/>
          <w:color w:val="auto"/>
        </w:rPr>
        <w:t>The company’s policy regarding investments and financial derivative products.</w:t>
      </w:r>
    </w:p>
    <w:p>
      <w:pPr>
        <w:ind w:left="760" w:right="100" w:hanging="320"/>
        <w:spacing w:after="0" w:line="234"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Discussing TI’s audited financial statements with management and the independent registered public accounting firm, including a discussion with the firm regarding the matters required to be reviewed under applicable legal or regulatory requirements.</w:t>
      </w:r>
    </w:p>
    <w:p>
      <w:pPr>
        <w:spacing w:after="0" w:line="1" w:lineRule="exact"/>
        <w:rPr>
          <w:rFonts w:ascii="Arial" w:cs="Arial" w:eastAsia="Arial" w:hAnsi="Arial"/>
          <w:sz w:val="18"/>
          <w:szCs w:val="18"/>
          <w:color w:val="auto"/>
        </w:rPr>
      </w:pPr>
    </w:p>
    <w:p>
      <w:pPr>
        <w:ind w:left="760" w:hanging="320"/>
        <w:spacing w:after="0" w:line="234"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Creating and periodically reviewing TI’s whistleblower policy.</w:t>
      </w:r>
    </w:p>
    <w:p>
      <w:pPr>
        <w:ind w:left="760" w:hanging="320"/>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Appointing, compensating, retaining and overseeing TI’s independent registered public accounting firm.</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has determined that all members of the Audit Committee are financially sophisticated, as the board has interpreted such qualifications in its business judgment. In addition, the board has designated Mr. Blinn as the audit committee financial expert as defined in the Securities Exchange Act of 1934, as amended.</w:t>
      </w:r>
    </w:p>
    <w:p>
      <w:pPr>
        <w:spacing w:after="0" w:line="203"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The Audit Committee met seven times in 2019. The Audit Committee holds regularly scheduled meetings and reports its activities to the board. The committee also continued its long-standing practice of meeting directly with our internal audit staff to discuss the audit plan and to allow for direct interaction between Audit Committee members and our internal auditors. See page 44 for a report of the committee.</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Compensation Committee</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members of the Compensation Committee are independent. From April 26, 2018, to April 24, 2019, the committee members were</w:t>
      </w:r>
    </w:p>
    <w:p>
      <w:pPr>
        <w:ind w:left="120"/>
        <w:spacing w:after="0" w:line="234" w:lineRule="auto"/>
        <w:rPr>
          <w:sz w:val="20"/>
          <w:szCs w:val="20"/>
          <w:color w:val="auto"/>
        </w:rPr>
      </w:pPr>
      <w:r>
        <w:rPr>
          <w:rFonts w:ascii="Arial" w:cs="Arial" w:eastAsia="Arial" w:hAnsi="Arial"/>
          <w:sz w:val="18"/>
          <w:szCs w:val="18"/>
          <w:color w:val="auto"/>
        </w:rPr>
        <w:t>Ms. Patsley (chair), Mr. Daniel A. Carp and Ms. Cox. Since April 25, 2019, the committee members have been Ms. Patsley (chair),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Ms. Cox and Mr. Craighead. The committee is responsible for:</w:t>
      </w:r>
    </w:p>
    <w:p>
      <w:pPr>
        <w:spacing w:after="0" w:line="234" w:lineRule="exact"/>
        <w:rPr>
          <w:sz w:val="20"/>
          <w:szCs w:val="20"/>
          <w:color w:val="auto"/>
        </w:rPr>
      </w:pPr>
    </w:p>
    <w:p>
      <w:pPr>
        <w:ind w:left="760" w:hanging="320"/>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Reviewing the performance of the CEO and determining his compensation.</w:t>
      </w:r>
    </w:p>
    <w:p>
      <w:pPr>
        <w:ind w:left="760" w:hanging="320"/>
        <w:spacing w:after="0" w:line="234"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Setting the compensation of the company’s other executive officers.</w:t>
      </w:r>
    </w:p>
    <w:p>
      <w:pPr>
        <w:ind w:left="760" w:hanging="320"/>
        <w:spacing w:after="0" w:line="234"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Overseeing administration of employee benefit plans.</w:t>
      </w:r>
    </w:p>
    <w:p>
      <w:pPr>
        <w:ind w:left="760" w:hanging="320"/>
        <w:spacing w:after="0" w:line="234"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Making recommendations to the board regarding:</w:t>
      </w:r>
    </w:p>
    <w:p>
      <w:pPr>
        <w:ind w:left="1080" w:right="160" w:hanging="316"/>
        <w:spacing w:after="0"/>
        <w:tabs>
          <w:tab w:leader="none" w:pos="1080" w:val="left"/>
        </w:tabs>
        <w:numPr>
          <w:ilvl w:val="1"/>
          <w:numId w:val="33"/>
        </w:numPr>
        <w:rPr>
          <w:rFonts w:ascii="Arial" w:cs="Arial" w:eastAsia="Arial" w:hAnsi="Arial"/>
          <w:sz w:val="15"/>
          <w:szCs w:val="15"/>
          <w:color w:val="auto"/>
        </w:rPr>
      </w:pPr>
      <w:r>
        <w:rPr>
          <w:rFonts w:ascii="Arial" w:cs="Arial" w:eastAsia="Arial" w:hAnsi="Arial"/>
          <w:sz w:val="18"/>
          <w:szCs w:val="18"/>
          <w:color w:val="auto"/>
        </w:rPr>
        <w:t>Institution and termination of, revisions in and actions under employee benefit plans that (i) increase benefits only for officers of the company or disproportionately increase benefits for officers of the company more than other employees of the company, (ii) require or permit the issuance of the company’s stock or (iii) require board approval.</w:t>
      </w:r>
    </w:p>
    <w:p>
      <w:pPr>
        <w:spacing w:after="0" w:line="130" w:lineRule="exact"/>
        <w:rPr>
          <w:sz w:val="20"/>
          <w:szCs w:val="20"/>
          <w:color w:val="auto"/>
        </w:rPr>
      </w:pPr>
    </w:p>
    <w:tbl>
      <w:tblPr>
        <w:tblLayout w:type="fixed"/>
        <w:tblInd w:w="4040" w:type="dxa"/>
        <w:tblCellMar>
          <w:top w:w="0" w:type="dxa"/>
          <w:left w:w="0" w:type="dxa"/>
          <w:bottom w:w="0" w:type="dxa"/>
          <w:right w:w="0" w:type="dxa"/>
        </w:tblCellMar>
      </w:tblPr>
      <w:tr>
        <w:trPr>
          <w:trHeight w:val="152"/>
        </w:trPr>
        <w:tc>
          <w:tcPr>
            <w:tcW w:w="5080" w:type="dxa"/>
            <w:vAlign w:val="bottom"/>
          </w:tcPr>
          <w:p>
            <w:pPr>
              <w:spacing w:after="0"/>
              <w:rPr>
                <w:sz w:val="20"/>
                <w:szCs w:val="20"/>
                <w:color w:val="auto"/>
              </w:rPr>
            </w:pPr>
            <w:r>
              <w:rPr>
                <w:rFonts w:ascii="Arial" w:cs="Arial" w:eastAsia="Arial" w:hAnsi="Arial"/>
                <w:sz w:val="13"/>
                <w:szCs w:val="13"/>
                <w:color w:val="666666"/>
              </w:rPr>
              <w:t>TEXAS INSTRUMENTS  •  2020 PROXY STATEMENT</w:t>
            </w:r>
          </w:p>
        </w:tc>
        <w:tc>
          <w:tcPr>
            <w:tcW w:w="2000" w:type="dxa"/>
            <w:vAlign w:val="bottom"/>
          </w:tcPr>
          <w:p>
            <w:pPr>
              <w:jc w:val="right"/>
              <w:spacing w:after="0"/>
              <w:rPr>
                <w:sz w:val="20"/>
                <w:szCs w:val="20"/>
                <w:color w:val="auto"/>
              </w:rPr>
            </w:pPr>
            <w:r>
              <w:rPr>
                <w:rFonts w:ascii="Arial" w:cs="Arial" w:eastAsia="Arial" w:hAnsi="Arial"/>
                <w:sz w:val="13"/>
                <w:szCs w:val="13"/>
                <w:color w:val="666666"/>
              </w:rPr>
              <w:t>13</w:t>
            </w:r>
          </w:p>
        </w:tc>
      </w:tr>
    </w:tbl>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80" w:right="540" w:hanging="316"/>
        <w:spacing w:after="0" w:line="234" w:lineRule="auto"/>
        <w:tabs>
          <w:tab w:leader="none" w:pos="1080" w:val="left"/>
        </w:tabs>
        <w:numPr>
          <w:ilvl w:val="1"/>
          <w:numId w:val="34"/>
        </w:numPr>
        <w:rPr>
          <w:rFonts w:ascii="Arial" w:cs="Arial" w:eastAsia="Arial" w:hAnsi="Arial"/>
          <w:sz w:val="15"/>
          <w:szCs w:val="15"/>
          <w:color w:val="auto"/>
        </w:rPr>
      </w:pPr>
      <w:r>
        <w:rPr>
          <w:rFonts w:ascii="Arial" w:cs="Arial" w:eastAsia="Arial" w:hAnsi="Arial"/>
          <w:sz w:val="18"/>
          <w:szCs w:val="18"/>
          <w:color w:val="auto"/>
        </w:rPr>
        <w:t>Reservation of company stock for use as awards of grants under plans or as contributions or sales to any trustee of any employee benefit plan.</w:t>
      </w:r>
    </w:p>
    <w:p>
      <w:pPr>
        <w:spacing w:after="0" w:line="1" w:lineRule="exact"/>
        <w:rPr>
          <w:rFonts w:ascii="Arial" w:cs="Arial" w:eastAsia="Arial" w:hAnsi="Arial"/>
          <w:sz w:val="15"/>
          <w:szCs w:val="15"/>
          <w:color w:val="auto"/>
        </w:rPr>
      </w:pPr>
    </w:p>
    <w:p>
      <w:pPr>
        <w:ind w:left="760" w:right="320" w:hanging="320"/>
        <w:spacing w:after="0" w:line="234"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Taking action as appropriate regarding the institution and termination of, revisions in and actions under employee benefit plans that are not required to be approved by the board.</w:t>
      </w:r>
    </w:p>
    <w:p>
      <w:pPr>
        <w:spacing w:after="0" w:line="1" w:lineRule="exact"/>
        <w:rPr>
          <w:rFonts w:ascii="Arial" w:cs="Arial" w:eastAsia="Arial" w:hAnsi="Arial"/>
          <w:sz w:val="18"/>
          <w:szCs w:val="18"/>
          <w:color w:val="auto"/>
        </w:rPr>
      </w:pPr>
    </w:p>
    <w:p>
      <w:pPr>
        <w:ind w:left="760" w:right="180" w:hanging="320"/>
        <w:spacing w:after="0" w:line="246"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Appointing, setting the compensation of, overseeing and considering the independence of any compensation consultant or other advisor.</w:t>
      </w:r>
    </w:p>
    <w:p>
      <w:pPr>
        <w:spacing w:after="0" w:line="197" w:lineRule="exact"/>
        <w:rPr>
          <w:sz w:val="20"/>
          <w:szCs w:val="20"/>
          <w:color w:val="auto"/>
        </w:rPr>
      </w:pPr>
    </w:p>
    <w:p>
      <w:pPr>
        <w:ind w:left="120" w:right="520"/>
        <w:spacing w:after="0"/>
        <w:rPr>
          <w:sz w:val="20"/>
          <w:szCs w:val="20"/>
          <w:color w:val="auto"/>
        </w:rPr>
      </w:pPr>
      <w:r>
        <w:rPr>
          <w:rFonts w:ascii="Arial" w:cs="Arial" w:eastAsia="Arial" w:hAnsi="Arial"/>
          <w:sz w:val="18"/>
          <w:szCs w:val="18"/>
          <w:color w:val="auto"/>
        </w:rPr>
        <w:t>The Compensation Committee met six times in 2019. The Compensation Committee holds regularly scheduled meetings, reports its activities to the board, and consults with the board before setting annual executive compensation. See page 31 for a report of the committee.</w:t>
      </w:r>
    </w:p>
    <w:p>
      <w:pPr>
        <w:spacing w:after="0" w:line="20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In performing its functions, the committee is supported by the company’s Human Resources organization. The committee has the authority to retain any advisors it deems appropriate to carry out its responsibilities. The committee retained Pearl Meyer &amp; Partners as its compensation consultant for the 2019 compensation cycle. The committee instructed the consultant to advise it directly on executive compensation philosophy, strategies, pay levels, decision-making processes and other matters within the scope of the committee’s charter. Additionally, the committee instructed the consultant to assist the company’s Human Resources organization in its support of the committee in these matters with such items as peer-group assessment, analysis of the executive compensation market, and compensation recommendations.</w:t>
      </w:r>
    </w:p>
    <w:p>
      <w:pPr>
        <w:spacing w:after="0" w:line="203" w:lineRule="exact"/>
        <w:rPr>
          <w:sz w:val="20"/>
          <w:szCs w:val="20"/>
          <w:color w:val="auto"/>
        </w:rPr>
      </w:pPr>
    </w:p>
    <w:p>
      <w:pPr>
        <w:ind w:left="120" w:right="900"/>
        <w:spacing w:after="0" w:line="238" w:lineRule="auto"/>
        <w:rPr>
          <w:sz w:val="20"/>
          <w:szCs w:val="20"/>
          <w:color w:val="auto"/>
        </w:rPr>
      </w:pPr>
      <w:r>
        <w:rPr>
          <w:rFonts w:ascii="Arial" w:cs="Arial" w:eastAsia="Arial" w:hAnsi="Arial"/>
          <w:sz w:val="18"/>
          <w:szCs w:val="18"/>
          <w:color w:val="auto"/>
        </w:rPr>
        <w:t>The Compensation Committee considers it important that its compensation consultant’s objectivity not be compromised by other engagements with the company or its management. In support of this belief, the committee has a policy on compensation consultants, a copy of which may be found on www.ti.com/corporategovernance. During 2019, the committee determined that its compensation consultant was independent of the company and had no conflict of interest.</w:t>
      </w:r>
    </w:p>
    <w:p>
      <w:pPr>
        <w:spacing w:after="0" w:line="205"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Compensation Committee considers executive compensation in a multistep process that involves the review of market information, performance data and possible compensation levels over several meetings leading to the annual determinations in January. Before setting executive compensation, the committee reviews the total compensation and benefits of the executive officers and considers the impact that their retirement, or termination under various other scenarios, would have on their compensation and benefits.</w:t>
      </w:r>
    </w:p>
    <w:p>
      <w:pPr>
        <w:spacing w:after="0" w:line="205"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 CEO and the senior vice president responsible for Human Resources, who is an executive officer, are regularly invited to attend meetings of the committee. The CEO is excused from the meeting during any deliberations or vote on his compensation. No executive officer determines his or her own compensation or the compensation of any other executive officer. As members of the board, the members of the committee receive information concerning the performance of the company during the year and interact with our management. The CEO gives the committee and the board an assessment of his own performance during the year just ended. He also reviews the performance of the other executive officers with the committee and makes recommendations regarding their compensation. The senior vice president responsible for Human Resources assists in the preparation of and reviews the compensation recommendations made to the committee other than for her compensation.</w:t>
      </w:r>
    </w:p>
    <w:p>
      <w:pPr>
        <w:spacing w:after="0" w:line="208" w:lineRule="exact"/>
        <w:rPr>
          <w:sz w:val="20"/>
          <w:szCs w:val="20"/>
          <w:color w:val="auto"/>
        </w:rPr>
      </w:pPr>
    </w:p>
    <w:p>
      <w:pPr>
        <w:ind w:left="120" w:right="440"/>
        <w:spacing w:after="0" w:line="238" w:lineRule="auto"/>
        <w:rPr>
          <w:sz w:val="20"/>
          <w:szCs w:val="20"/>
          <w:color w:val="auto"/>
        </w:rPr>
      </w:pPr>
      <w:r>
        <w:rPr>
          <w:rFonts w:ascii="Arial" w:cs="Arial" w:eastAsia="Arial" w:hAnsi="Arial"/>
          <w:sz w:val="18"/>
          <w:szCs w:val="18"/>
          <w:color w:val="auto"/>
        </w:rPr>
        <w:t>The Compensation Committee’s charter provides that it may delegate its power, authority and rights with respect to TI’s long-term incentive plans, employee stock purchase plan and employee benefit plans to (i) one or more committees of the board established or delegated authority for that purpose; or (ii) employees or committees of employees except that no such delegation may be made with respect to compensation of the company’s executive officers.</w:t>
      </w:r>
    </w:p>
    <w:p>
      <w:pPr>
        <w:spacing w:after="0" w:line="205" w:lineRule="exact"/>
        <w:rPr>
          <w:sz w:val="20"/>
          <w:szCs w:val="20"/>
          <w:color w:val="auto"/>
        </w:rPr>
      </w:pPr>
    </w:p>
    <w:p>
      <w:pPr>
        <w:ind w:left="120" w:right="180"/>
        <w:spacing w:after="0" w:line="257" w:lineRule="auto"/>
        <w:rPr>
          <w:sz w:val="20"/>
          <w:szCs w:val="20"/>
          <w:color w:val="auto"/>
        </w:rPr>
      </w:pPr>
      <w:r>
        <w:rPr>
          <w:rFonts w:ascii="Arial" w:cs="Arial" w:eastAsia="Arial" w:hAnsi="Arial"/>
          <w:sz w:val="17"/>
          <w:szCs w:val="17"/>
          <w:color w:val="auto"/>
        </w:rPr>
        <w:t>Pursuant to that authority, the Compensation Committee has delegated to a special committee established by the board the authority to, among other things, grant a limited number of stock options and restricted stock units (RSUs) under the company’s long-term incentive plans. The sole member of the special committee is Mr. Templeton. The special committee has no authority to grant, amend or terminate any form of compensation for TI’s executive officers. The Compensation Committee reviews all activity of the special committee.</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Governance and Stockholder Relations Committee</w:t>
      </w:r>
    </w:p>
    <w:p>
      <w:pPr>
        <w:spacing w:after="0" w:line="212" w:lineRule="exact"/>
        <w:rPr>
          <w:sz w:val="20"/>
          <w:szCs w:val="20"/>
          <w:color w:val="auto"/>
        </w:rPr>
      </w:pPr>
    </w:p>
    <w:p>
      <w:pPr>
        <w:ind w:left="120" w:right="400"/>
        <w:spacing w:after="0"/>
        <w:rPr>
          <w:sz w:val="20"/>
          <w:szCs w:val="20"/>
          <w:color w:val="auto"/>
        </w:rPr>
      </w:pPr>
      <w:r>
        <w:rPr>
          <w:rFonts w:ascii="Arial" w:cs="Arial" w:eastAsia="Arial" w:hAnsi="Arial"/>
          <w:sz w:val="18"/>
          <w:szCs w:val="18"/>
          <w:color w:val="auto"/>
        </w:rPr>
        <w:t>All members of the GSR Committee are independent. From April 26, 2019, to April 24, 2019, the committee members were Mr. Kirk (Chair), Mr. Ralph W. Babb, Jr., Ms. Clark and Mr. Sanchez. Since April 25, 2019, the committee members have been Mr. Kirk (chair), Ms. Clark and Mr. Sanchez. The GSR Committee is generally responsible for:</w:t>
      </w:r>
    </w:p>
    <w:p>
      <w:pPr>
        <w:spacing w:after="0" w:line="225" w:lineRule="exact"/>
        <w:rPr>
          <w:sz w:val="20"/>
          <w:szCs w:val="20"/>
          <w:color w:val="auto"/>
        </w:rPr>
      </w:pPr>
    </w:p>
    <w:p>
      <w:pPr>
        <w:ind w:left="760" w:hanging="320"/>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Making recommendations to the board regarding:</w:t>
      </w:r>
    </w:p>
    <w:p>
      <w:pPr>
        <w:ind w:left="760"/>
        <w:spacing w:after="0"/>
        <w:rPr>
          <w:rFonts w:ascii="Arial" w:cs="Arial" w:eastAsia="Arial" w:hAnsi="Arial"/>
          <w:sz w:val="18"/>
          <w:szCs w:val="18"/>
          <w:color w:val="auto"/>
        </w:rPr>
      </w:pPr>
      <w:r>
        <w:rPr>
          <w:rFonts w:ascii="Arial" w:cs="Arial" w:eastAsia="Arial" w:hAnsi="Arial"/>
          <w:sz w:val="15"/>
          <w:szCs w:val="15"/>
          <w:color w:val="auto"/>
        </w:rPr>
        <w:t>¡</w:t>
      </w:r>
      <w:r>
        <w:rPr>
          <w:rFonts w:ascii="Arial" w:cs="Arial" w:eastAsia="Arial" w:hAnsi="Arial"/>
          <w:sz w:val="17"/>
          <w:szCs w:val="17"/>
          <w:color w:val="auto"/>
        </w:rPr>
        <w:t>The development and revision of our corporate governance principles.</w:t>
      </w:r>
    </w:p>
    <w:p>
      <w:pPr>
        <w:spacing w:after="0" w:line="150" w:lineRule="exact"/>
        <w:rPr>
          <w:sz w:val="20"/>
          <w:szCs w:val="20"/>
          <w:color w:val="auto"/>
        </w:rPr>
      </w:pPr>
    </w:p>
    <w:p>
      <w:pPr>
        <w:ind w:left="120"/>
        <w:spacing w:after="0"/>
        <w:tabs>
          <w:tab w:leader="none" w:pos="4020" w:val="left"/>
          <w:tab w:leader="none" w:pos="5500" w:val="left"/>
          <w:tab w:leader="none" w:pos="5700" w:val="left"/>
        </w:tabs>
        <w:rPr>
          <w:sz w:val="20"/>
          <w:szCs w:val="20"/>
          <w:color w:val="auto"/>
        </w:rPr>
      </w:pPr>
      <w:r>
        <w:rPr>
          <w:rFonts w:ascii="Arial" w:cs="Arial" w:eastAsia="Arial" w:hAnsi="Arial"/>
          <w:sz w:val="13"/>
          <w:szCs w:val="13"/>
          <w:color w:val="666666"/>
        </w:rPr>
        <w:t>14</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2020 PROXY STATEMENT</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080" w:hanging="316"/>
        <w:spacing w:after="0"/>
        <w:tabs>
          <w:tab w:leader="none" w:pos="1080" w:val="left"/>
        </w:tabs>
        <w:numPr>
          <w:ilvl w:val="1"/>
          <w:numId w:val="36"/>
        </w:numPr>
        <w:rPr>
          <w:rFonts w:ascii="Arial" w:cs="Arial" w:eastAsia="Arial" w:hAnsi="Arial"/>
          <w:sz w:val="15"/>
          <w:szCs w:val="15"/>
          <w:color w:val="auto"/>
        </w:rPr>
      </w:pPr>
      <w:r>
        <w:rPr>
          <w:rFonts w:ascii="Arial" w:cs="Arial" w:eastAsia="Arial" w:hAnsi="Arial"/>
          <w:sz w:val="18"/>
          <w:szCs w:val="18"/>
          <w:color w:val="auto"/>
        </w:rPr>
        <w:t>The size, composition and functioning of the board and board committees.</w:t>
      </w:r>
    </w:p>
    <w:p>
      <w:pPr>
        <w:ind w:left="1080" w:hanging="316"/>
        <w:spacing w:after="0" w:line="234" w:lineRule="auto"/>
        <w:tabs>
          <w:tab w:leader="none" w:pos="1080" w:val="left"/>
        </w:tabs>
        <w:numPr>
          <w:ilvl w:val="1"/>
          <w:numId w:val="36"/>
        </w:numPr>
        <w:rPr>
          <w:rFonts w:ascii="Arial" w:cs="Arial" w:eastAsia="Arial" w:hAnsi="Arial"/>
          <w:sz w:val="15"/>
          <w:szCs w:val="15"/>
          <w:color w:val="auto"/>
        </w:rPr>
      </w:pPr>
      <w:r>
        <w:rPr>
          <w:rFonts w:ascii="Arial" w:cs="Arial" w:eastAsia="Arial" w:hAnsi="Arial"/>
          <w:sz w:val="18"/>
          <w:szCs w:val="18"/>
          <w:color w:val="auto"/>
        </w:rPr>
        <w:t>Candidates to fill board positions.</w:t>
      </w:r>
    </w:p>
    <w:p>
      <w:pPr>
        <w:ind w:left="1080" w:hanging="316"/>
        <w:spacing w:after="0" w:line="234" w:lineRule="auto"/>
        <w:tabs>
          <w:tab w:leader="none" w:pos="1080" w:val="left"/>
        </w:tabs>
        <w:numPr>
          <w:ilvl w:val="1"/>
          <w:numId w:val="36"/>
        </w:numPr>
        <w:rPr>
          <w:rFonts w:ascii="Arial" w:cs="Arial" w:eastAsia="Arial" w:hAnsi="Arial"/>
          <w:sz w:val="15"/>
          <w:szCs w:val="15"/>
          <w:color w:val="auto"/>
        </w:rPr>
      </w:pPr>
      <w:r>
        <w:rPr>
          <w:rFonts w:ascii="Arial" w:cs="Arial" w:eastAsia="Arial" w:hAnsi="Arial"/>
          <w:sz w:val="18"/>
          <w:szCs w:val="18"/>
          <w:color w:val="auto"/>
        </w:rPr>
        <w:t>Nominees to be designated for election as directors.</w:t>
      </w:r>
    </w:p>
    <w:p>
      <w:pPr>
        <w:ind w:left="1080" w:hanging="316"/>
        <w:spacing w:after="0" w:line="234" w:lineRule="auto"/>
        <w:tabs>
          <w:tab w:leader="none" w:pos="1080" w:val="left"/>
        </w:tabs>
        <w:numPr>
          <w:ilvl w:val="1"/>
          <w:numId w:val="36"/>
        </w:numPr>
        <w:rPr>
          <w:rFonts w:ascii="Arial" w:cs="Arial" w:eastAsia="Arial" w:hAnsi="Arial"/>
          <w:sz w:val="15"/>
          <w:szCs w:val="15"/>
          <w:color w:val="auto"/>
        </w:rPr>
      </w:pPr>
      <w:r>
        <w:rPr>
          <w:rFonts w:ascii="Arial" w:cs="Arial" w:eastAsia="Arial" w:hAnsi="Arial"/>
          <w:sz w:val="18"/>
          <w:szCs w:val="18"/>
          <w:color w:val="auto"/>
        </w:rPr>
        <w:t>Compensation of board members.</w:t>
      </w:r>
    </w:p>
    <w:p>
      <w:pPr>
        <w:ind w:left="1080" w:hanging="316"/>
        <w:spacing w:after="0" w:line="234" w:lineRule="auto"/>
        <w:tabs>
          <w:tab w:leader="none" w:pos="1080" w:val="left"/>
        </w:tabs>
        <w:numPr>
          <w:ilvl w:val="1"/>
          <w:numId w:val="36"/>
        </w:numPr>
        <w:rPr>
          <w:rFonts w:ascii="Arial" w:cs="Arial" w:eastAsia="Arial" w:hAnsi="Arial"/>
          <w:sz w:val="15"/>
          <w:szCs w:val="15"/>
          <w:color w:val="auto"/>
        </w:rPr>
      </w:pPr>
      <w:r>
        <w:rPr>
          <w:rFonts w:ascii="Arial" w:cs="Arial" w:eastAsia="Arial" w:hAnsi="Arial"/>
          <w:sz w:val="18"/>
          <w:szCs w:val="18"/>
          <w:color w:val="auto"/>
        </w:rPr>
        <w:t>Organization and responsibilities of board committees.</w:t>
      </w:r>
    </w:p>
    <w:p>
      <w:pPr>
        <w:ind w:left="1080" w:hanging="316"/>
        <w:spacing w:after="0" w:line="234" w:lineRule="auto"/>
        <w:tabs>
          <w:tab w:leader="none" w:pos="1080" w:val="left"/>
        </w:tabs>
        <w:numPr>
          <w:ilvl w:val="1"/>
          <w:numId w:val="36"/>
        </w:numPr>
        <w:rPr>
          <w:rFonts w:ascii="Arial" w:cs="Arial" w:eastAsia="Arial" w:hAnsi="Arial"/>
          <w:sz w:val="15"/>
          <w:szCs w:val="15"/>
          <w:color w:val="auto"/>
        </w:rPr>
      </w:pPr>
      <w:r>
        <w:rPr>
          <w:rFonts w:ascii="Arial" w:cs="Arial" w:eastAsia="Arial" w:hAnsi="Arial"/>
          <w:sz w:val="18"/>
          <w:szCs w:val="18"/>
          <w:color w:val="auto"/>
        </w:rPr>
        <w:t>Succession planning by the company.</w:t>
      </w:r>
    </w:p>
    <w:p>
      <w:pPr>
        <w:ind w:left="1080" w:hanging="316"/>
        <w:spacing w:after="0" w:line="234" w:lineRule="auto"/>
        <w:tabs>
          <w:tab w:leader="none" w:pos="1080" w:val="left"/>
        </w:tabs>
        <w:numPr>
          <w:ilvl w:val="1"/>
          <w:numId w:val="36"/>
        </w:numPr>
        <w:rPr>
          <w:rFonts w:ascii="Arial" w:cs="Arial" w:eastAsia="Arial" w:hAnsi="Arial"/>
          <w:sz w:val="15"/>
          <w:szCs w:val="15"/>
          <w:color w:val="auto"/>
        </w:rPr>
      </w:pPr>
      <w:r>
        <w:rPr>
          <w:rFonts w:ascii="Arial" w:cs="Arial" w:eastAsia="Arial" w:hAnsi="Arial"/>
          <w:sz w:val="18"/>
          <w:szCs w:val="18"/>
          <w:color w:val="auto"/>
        </w:rPr>
        <w:t>Issues of potential conflicts of interest involving a board member raised under TI’s conflict of interest policy.</w:t>
      </w:r>
    </w:p>
    <w:p>
      <w:pPr>
        <w:ind w:left="1080" w:hanging="316"/>
        <w:spacing w:after="0" w:line="234" w:lineRule="auto"/>
        <w:tabs>
          <w:tab w:leader="none" w:pos="1080" w:val="left"/>
        </w:tabs>
        <w:numPr>
          <w:ilvl w:val="1"/>
          <w:numId w:val="36"/>
        </w:numPr>
        <w:rPr>
          <w:rFonts w:ascii="Arial" w:cs="Arial" w:eastAsia="Arial" w:hAnsi="Arial"/>
          <w:sz w:val="15"/>
          <w:szCs w:val="15"/>
          <w:color w:val="auto"/>
        </w:rPr>
      </w:pPr>
      <w:r>
        <w:rPr>
          <w:rFonts w:ascii="Arial" w:cs="Arial" w:eastAsia="Arial" w:hAnsi="Arial"/>
          <w:sz w:val="18"/>
          <w:szCs w:val="18"/>
          <w:color w:val="auto"/>
        </w:rPr>
        <w:t>Election of executive officers of the company.</w:t>
      </w:r>
    </w:p>
    <w:p>
      <w:pPr>
        <w:ind w:left="1080" w:hanging="316"/>
        <w:spacing w:after="0" w:line="234" w:lineRule="auto"/>
        <w:tabs>
          <w:tab w:leader="none" w:pos="1080" w:val="left"/>
        </w:tabs>
        <w:numPr>
          <w:ilvl w:val="1"/>
          <w:numId w:val="36"/>
        </w:numPr>
        <w:rPr>
          <w:rFonts w:ascii="Arial" w:cs="Arial" w:eastAsia="Arial" w:hAnsi="Arial"/>
          <w:sz w:val="15"/>
          <w:szCs w:val="15"/>
          <w:color w:val="auto"/>
        </w:rPr>
      </w:pPr>
      <w:r>
        <w:rPr>
          <w:rFonts w:ascii="Arial" w:cs="Arial" w:eastAsia="Arial" w:hAnsi="Arial"/>
          <w:sz w:val="18"/>
          <w:szCs w:val="18"/>
          <w:color w:val="auto"/>
        </w:rPr>
        <w:t>Topics affecting the relationship between the company and stockholders.</w:t>
      </w:r>
    </w:p>
    <w:p>
      <w:pPr>
        <w:ind w:left="1080" w:hanging="316"/>
        <w:spacing w:after="0" w:line="234" w:lineRule="auto"/>
        <w:tabs>
          <w:tab w:leader="none" w:pos="1080" w:val="left"/>
        </w:tabs>
        <w:numPr>
          <w:ilvl w:val="1"/>
          <w:numId w:val="36"/>
        </w:numPr>
        <w:rPr>
          <w:rFonts w:ascii="Arial" w:cs="Arial" w:eastAsia="Arial" w:hAnsi="Arial"/>
          <w:sz w:val="15"/>
          <w:szCs w:val="15"/>
          <w:color w:val="auto"/>
        </w:rPr>
      </w:pPr>
      <w:r>
        <w:rPr>
          <w:rFonts w:ascii="Arial" w:cs="Arial" w:eastAsia="Arial" w:hAnsi="Arial"/>
          <w:sz w:val="18"/>
          <w:szCs w:val="18"/>
          <w:color w:val="auto"/>
        </w:rPr>
        <w:t>Public issues likely to affect the company.</w:t>
      </w:r>
    </w:p>
    <w:p>
      <w:pPr>
        <w:ind w:left="1080" w:hanging="316"/>
        <w:spacing w:after="0" w:line="234" w:lineRule="auto"/>
        <w:tabs>
          <w:tab w:leader="none" w:pos="1080" w:val="left"/>
        </w:tabs>
        <w:numPr>
          <w:ilvl w:val="1"/>
          <w:numId w:val="36"/>
        </w:numPr>
        <w:rPr>
          <w:rFonts w:ascii="Arial" w:cs="Arial" w:eastAsia="Arial" w:hAnsi="Arial"/>
          <w:sz w:val="15"/>
          <w:szCs w:val="15"/>
          <w:color w:val="auto"/>
        </w:rPr>
      </w:pPr>
      <w:r>
        <w:rPr>
          <w:rFonts w:ascii="Arial" w:cs="Arial" w:eastAsia="Arial" w:hAnsi="Arial"/>
          <w:sz w:val="18"/>
          <w:szCs w:val="18"/>
          <w:color w:val="auto"/>
        </w:rPr>
        <w:t>Responses to proposals submitted by stockholders.</w:t>
      </w:r>
    </w:p>
    <w:p>
      <w:pPr>
        <w:ind w:left="760" w:hanging="320"/>
        <w:spacing w:after="0" w:line="234"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Reviewing:</w:t>
      </w:r>
    </w:p>
    <w:p>
      <w:pPr>
        <w:ind w:left="1080" w:hanging="316"/>
        <w:spacing w:after="0" w:line="234" w:lineRule="auto"/>
        <w:tabs>
          <w:tab w:leader="none" w:pos="1080" w:val="left"/>
        </w:tabs>
        <w:numPr>
          <w:ilvl w:val="1"/>
          <w:numId w:val="36"/>
        </w:numPr>
        <w:rPr>
          <w:rFonts w:ascii="Arial" w:cs="Arial" w:eastAsia="Arial" w:hAnsi="Arial"/>
          <w:sz w:val="15"/>
          <w:szCs w:val="15"/>
          <w:color w:val="auto"/>
        </w:rPr>
      </w:pPr>
      <w:r>
        <w:rPr>
          <w:rFonts w:ascii="Arial" w:cs="Arial" w:eastAsia="Arial" w:hAnsi="Arial"/>
          <w:sz w:val="18"/>
          <w:szCs w:val="18"/>
          <w:color w:val="auto"/>
        </w:rPr>
        <w:t>Contribution policies of the company and the TI Foundation.</w:t>
      </w:r>
    </w:p>
    <w:p>
      <w:pPr>
        <w:ind w:left="1080" w:hanging="316"/>
        <w:spacing w:after="0" w:line="234" w:lineRule="auto"/>
        <w:tabs>
          <w:tab w:leader="none" w:pos="1080" w:val="left"/>
        </w:tabs>
        <w:numPr>
          <w:ilvl w:val="1"/>
          <w:numId w:val="36"/>
        </w:numPr>
        <w:rPr>
          <w:rFonts w:ascii="Arial" w:cs="Arial" w:eastAsia="Arial" w:hAnsi="Arial"/>
          <w:sz w:val="15"/>
          <w:szCs w:val="15"/>
          <w:color w:val="auto"/>
        </w:rPr>
      </w:pPr>
      <w:r>
        <w:rPr>
          <w:rFonts w:ascii="Arial" w:cs="Arial" w:eastAsia="Arial" w:hAnsi="Arial"/>
          <w:sz w:val="18"/>
          <w:szCs w:val="18"/>
          <w:color w:val="auto"/>
        </w:rPr>
        <w:t>Scope of activities of the company’s political action committee.</w:t>
      </w:r>
    </w:p>
    <w:p>
      <w:pPr>
        <w:ind w:left="1080" w:hanging="316"/>
        <w:spacing w:after="0" w:line="234" w:lineRule="auto"/>
        <w:tabs>
          <w:tab w:leader="none" w:pos="1080" w:val="left"/>
        </w:tabs>
        <w:numPr>
          <w:ilvl w:val="1"/>
          <w:numId w:val="36"/>
        </w:numPr>
        <w:rPr>
          <w:rFonts w:ascii="Arial" w:cs="Arial" w:eastAsia="Arial" w:hAnsi="Arial"/>
          <w:sz w:val="15"/>
          <w:szCs w:val="15"/>
          <w:color w:val="auto"/>
        </w:rPr>
      </w:pPr>
      <w:r>
        <w:rPr>
          <w:rFonts w:ascii="Arial" w:cs="Arial" w:eastAsia="Arial" w:hAnsi="Arial"/>
          <w:sz w:val="18"/>
          <w:szCs w:val="18"/>
          <w:color w:val="auto"/>
        </w:rPr>
        <w:t>Revisions to TI’s code of conduct.</w:t>
      </w:r>
    </w:p>
    <w:p>
      <w:pPr>
        <w:ind w:left="760" w:hanging="320"/>
        <w:spacing w:after="0" w:line="234"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Electing officers of the company other than the executive officers.</w:t>
      </w:r>
    </w:p>
    <w:p>
      <w:pPr>
        <w:ind w:left="760" w:hanging="320"/>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Overseeing an annual evaluation of the board and the committee.</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GSR Committee met six times in 2019. The GSR Committee holds regularly scheduled meetings and reports its activities</w:t>
      </w:r>
    </w:p>
    <w:p>
      <w:pPr>
        <w:ind w:left="120" w:right="100"/>
        <w:spacing w:after="0" w:line="246" w:lineRule="auto"/>
        <w:rPr>
          <w:sz w:val="20"/>
          <w:szCs w:val="20"/>
          <w:color w:val="auto"/>
        </w:rPr>
      </w:pPr>
      <w:r>
        <w:rPr>
          <w:rFonts w:ascii="Arial" w:cs="Arial" w:eastAsia="Arial" w:hAnsi="Arial"/>
          <w:sz w:val="18"/>
          <w:szCs w:val="18"/>
          <w:color w:val="auto"/>
        </w:rPr>
        <w:t>to the board. See “Director nomination process” for a discussion of stockholder nominations and recommendations and “Communications with the board” for details on how to contact the board.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Board evaluation process</w:t>
      </w:r>
    </w:p>
    <w:p>
      <w:pPr>
        <w:spacing w:after="0" w:line="229"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The board recognizes that a robust and constructive evaluation process is an essential part of good corporate governance and board effectiveness. The board and committee annual evaluation processes are designed to assess board and committee effectiveness, as well as individual director performance and contribution levels. The results of the evaluations are part of the GSR Committee’s and the board’s consideration in connection with their review of director nominees to ensure the board continues to operate effectively.</w:t>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Annually, each of our directors completes comprehensive board and committee questionnaires. Each committee oversees its</w:t>
      </w:r>
    </w:p>
    <w:p>
      <w:pPr>
        <w:ind w:left="120" w:right="40"/>
        <w:spacing w:after="0" w:line="257" w:lineRule="auto"/>
        <w:rPr>
          <w:sz w:val="20"/>
          <w:szCs w:val="20"/>
          <w:color w:val="auto"/>
        </w:rPr>
      </w:pPr>
      <w:r>
        <w:rPr>
          <w:rFonts w:ascii="Arial" w:cs="Arial" w:eastAsia="Arial" w:hAnsi="Arial"/>
          <w:sz w:val="17"/>
          <w:szCs w:val="17"/>
          <w:color w:val="auto"/>
        </w:rPr>
        <w:t>own evaluation process, and the GSR Committee also oversees the board evaluation process. The questionnaires, and ongoing feedback from individual directors, facilitate a candid assessment of: (i) the board and committees’ oversight of risk, strategy, and operations; (ii) the board’s culture, leadership structure, and mix of director skills, qualifications and experiences; and (iii) board and committee meeting mechanics. Our directors are willing to have honest and difficult conversations as needed during the evaluation and nomination process.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Board leadership structure</w:t>
      </w:r>
    </w:p>
    <w:p>
      <w:pPr>
        <w:spacing w:after="0" w:line="229" w:lineRule="exact"/>
        <w:rPr>
          <w:sz w:val="20"/>
          <w:szCs w:val="20"/>
          <w:color w:val="auto"/>
        </w:rPr>
      </w:pPr>
    </w:p>
    <w:p>
      <w:pPr>
        <w:ind w:left="120" w:right="80"/>
        <w:spacing w:after="0" w:line="248" w:lineRule="auto"/>
        <w:rPr>
          <w:sz w:val="20"/>
          <w:szCs w:val="20"/>
          <w:color w:val="auto"/>
        </w:rPr>
      </w:pPr>
      <w:r>
        <w:rPr>
          <w:rFonts w:ascii="Arial" w:cs="Arial" w:eastAsia="Arial" w:hAnsi="Arial"/>
          <w:sz w:val="17"/>
          <w:szCs w:val="17"/>
          <w:color w:val="auto"/>
        </w:rPr>
        <w:t>The board’s current leadership structure combines the positions of chairman and CEO, and includes a lead director who presides at executive sessions and performs the duties listed below. The board believes that this structure, combined with its other practices (such as</w:t>
      </w:r>
    </w:p>
    <w:p>
      <w:pPr>
        <w:spacing w:after="0" w:line="1" w:lineRule="exact"/>
        <w:rPr>
          <w:sz w:val="20"/>
          <w:szCs w:val="20"/>
          <w:color w:val="auto"/>
        </w:rPr>
      </w:pPr>
    </w:p>
    <w:p>
      <w:pPr>
        <w:ind w:left="120" w:right="40" w:hanging="4"/>
        <w:spacing w:after="0"/>
        <w:tabs>
          <w:tab w:leader="none" w:pos="39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including on each board agenda an opportunity for the independent directors to comment on and influence the proposed strategic agenda for future meetings and (b) holding an executive session of the independent directors at each board meeting), allows it to maintain the active engagement of independent directors and appropriate oversight of management.</w:t>
      </w:r>
    </w:p>
    <w:p>
      <w:pPr>
        <w:spacing w:after="0" w:line="203" w:lineRule="exact"/>
        <w:rPr>
          <w:sz w:val="20"/>
          <w:szCs w:val="20"/>
          <w:color w:val="auto"/>
        </w:rPr>
      </w:pPr>
    </w:p>
    <w:p>
      <w:pPr>
        <w:ind w:left="120" w:right="260"/>
        <w:spacing w:after="0" w:line="246" w:lineRule="auto"/>
        <w:rPr>
          <w:sz w:val="20"/>
          <w:szCs w:val="20"/>
          <w:color w:val="auto"/>
        </w:rPr>
      </w:pPr>
      <w:r>
        <w:rPr>
          <w:rFonts w:ascii="Arial" w:cs="Arial" w:eastAsia="Arial" w:hAnsi="Arial"/>
          <w:sz w:val="18"/>
          <w:szCs w:val="18"/>
          <w:color w:val="auto"/>
        </w:rPr>
        <w:t>The lead director is elected by the independent directors annually. The independent directors have elected Ms. Patsley to serve as lead director. The duties of the lead director are to:</w:t>
      </w:r>
    </w:p>
    <w:p>
      <w:pPr>
        <w:spacing w:after="0" w:line="224" w:lineRule="exact"/>
        <w:rPr>
          <w:sz w:val="20"/>
          <w:szCs w:val="20"/>
          <w:color w:val="auto"/>
        </w:rPr>
      </w:pPr>
    </w:p>
    <w:p>
      <w:pPr>
        <w:ind w:left="760" w:right="680" w:hanging="320"/>
        <w:spacing w:after="0" w:line="234"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Preside at all meetings of the board at which the chairman is not present, including executive sessions of the independent directors;</w:t>
      </w:r>
    </w:p>
    <w:p>
      <w:pPr>
        <w:spacing w:after="0" w:line="1" w:lineRule="exact"/>
        <w:rPr>
          <w:rFonts w:ascii="Arial" w:cs="Arial" w:eastAsia="Arial" w:hAnsi="Arial"/>
          <w:sz w:val="18"/>
          <w:szCs w:val="18"/>
          <w:color w:val="auto"/>
        </w:rPr>
      </w:pPr>
    </w:p>
    <w:p>
      <w:pPr>
        <w:ind w:left="760" w:hanging="320"/>
        <w:spacing w:after="0" w:line="234"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Serve as liaison between the chairman and the independent directors;</w:t>
      </w:r>
    </w:p>
    <w:p>
      <w:pPr>
        <w:ind w:left="760" w:hanging="320"/>
        <w:spacing w:after="0" w:line="234"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Approve information sent to the board;</w:t>
      </w:r>
    </w:p>
    <w:p>
      <w:pPr>
        <w:ind w:left="760" w:hanging="320"/>
        <w:spacing w:after="0" w:line="234"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Approve meeting agendas for the board</w:t>
      </w:r>
    </w:p>
    <w:p>
      <w:pPr>
        <w:ind w:left="760" w:hanging="320"/>
        <w:spacing w:after="0" w:line="234"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Approve meeting schedules to assure that there is sufficient time for discussion of all agenda items; and</w:t>
      </w:r>
    </w:p>
    <w:p>
      <w:pPr>
        <w:ind w:left="760" w:hanging="320"/>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requested by major shareholders, ensure that he or she is available for consultation and direct communication.</w:t>
      </w:r>
    </w:p>
    <w:p>
      <w:pPr>
        <w:spacing w:after="0" w:line="139" w:lineRule="exact"/>
        <w:rPr>
          <w:sz w:val="20"/>
          <w:szCs w:val="20"/>
          <w:color w:val="auto"/>
        </w:rPr>
      </w:pPr>
    </w:p>
    <w:tbl>
      <w:tblPr>
        <w:tblLayout w:type="fixed"/>
        <w:tblInd w:w="4040" w:type="dxa"/>
        <w:tblCellMar>
          <w:top w:w="0" w:type="dxa"/>
          <w:left w:w="0" w:type="dxa"/>
          <w:bottom w:w="0" w:type="dxa"/>
          <w:right w:w="0" w:type="dxa"/>
        </w:tblCellMar>
      </w:tblPr>
      <w:tr>
        <w:trPr>
          <w:trHeight w:val="152"/>
        </w:trPr>
        <w:tc>
          <w:tcPr>
            <w:tcW w:w="5080" w:type="dxa"/>
            <w:vAlign w:val="bottom"/>
          </w:tcPr>
          <w:p>
            <w:pPr>
              <w:spacing w:after="0"/>
              <w:rPr>
                <w:sz w:val="20"/>
                <w:szCs w:val="20"/>
                <w:color w:val="auto"/>
              </w:rPr>
            </w:pPr>
            <w:r>
              <w:rPr>
                <w:rFonts w:ascii="Arial" w:cs="Arial" w:eastAsia="Arial" w:hAnsi="Arial"/>
                <w:sz w:val="13"/>
                <w:szCs w:val="13"/>
                <w:color w:val="666666"/>
              </w:rPr>
              <w:t>TEXAS INSTRUMENTS  •  2020 PROXY STATEMENT</w:t>
            </w:r>
          </w:p>
        </w:tc>
        <w:tc>
          <w:tcPr>
            <w:tcW w:w="2000" w:type="dxa"/>
            <w:vAlign w:val="bottom"/>
          </w:tcPr>
          <w:p>
            <w:pPr>
              <w:jc w:val="right"/>
              <w:spacing w:after="0"/>
              <w:rPr>
                <w:sz w:val="20"/>
                <w:szCs w:val="20"/>
                <w:color w:val="auto"/>
              </w:rPr>
            </w:pPr>
            <w:r>
              <w:rPr>
                <w:rFonts w:ascii="Arial" w:cs="Arial" w:eastAsia="Arial" w:hAnsi="Arial"/>
                <w:sz w:val="13"/>
                <w:szCs w:val="13"/>
                <w:color w:val="666666"/>
              </w:rPr>
              <w:t>15</w:t>
            </w:r>
          </w:p>
        </w:tc>
      </w:tr>
    </w:tbl>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the lead director has authority to call meetings of the independent directors.</w:t>
      </w:r>
    </w:p>
    <w:p>
      <w:pPr>
        <w:spacing w:after="0" w:line="212"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The board, led by its GSR Committee, regularly reviews the board’s leadership structure. The board’s consideration is guided by two questions: would stockholders be better served and would the board be more effective with a different structure. The board’s views are informed by a review of the practices of other companies and insight into the preferences of top stockholders, as gathered from face-to-face dialogue and review of published guidelines. The board also considers how board roles and interactions would change if its leadership structure changed. The board’s goal is for each director to have an equal stake in the board’s actions and equal accountability to the corporation and its stockholders.</w:t>
      </w:r>
    </w:p>
    <w:p>
      <w:pPr>
        <w:spacing w:after="0" w:line="205"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The board continues to believe that there is no uniform solution for a board leadership structure. Indeed, the company has had varying board leadership models over its history, at times separating the positions of chairman and CEO and at times combining the two, and now utilizing a lead director.</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Risk oversight by the board</w:t>
      </w:r>
    </w:p>
    <w:p>
      <w:pPr>
        <w:spacing w:after="0" w:line="229" w:lineRule="exact"/>
        <w:rPr>
          <w:sz w:val="20"/>
          <w:szCs w:val="20"/>
          <w:color w:val="auto"/>
        </w:rPr>
      </w:pPr>
    </w:p>
    <w:p>
      <w:pPr>
        <w:jc w:val="both"/>
        <w:ind w:left="120" w:right="40"/>
        <w:spacing w:after="0"/>
        <w:rPr>
          <w:sz w:val="20"/>
          <w:szCs w:val="20"/>
          <w:color w:val="auto"/>
        </w:rPr>
      </w:pPr>
      <w:r>
        <w:rPr>
          <w:rFonts w:ascii="Arial" w:cs="Arial" w:eastAsia="Arial" w:hAnsi="Arial"/>
          <w:sz w:val="18"/>
          <w:szCs w:val="18"/>
          <w:color w:val="auto"/>
        </w:rPr>
        <w:t>It is management’s responsibility to assess and manage the various risks TI faces. It is the board’s responsibility to oversee management in this effort. In exercising its oversight, the board has allocated some areas of focus to its committees and has retained areas of focus for itself, as more fully described below.</w:t>
      </w:r>
    </w:p>
    <w:p>
      <w:pPr>
        <w:spacing w:after="0" w:line="203"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Management generally views the risks TI faces as falling into the following categories: strategic, operational, financial and compliance. The board as a whole has oversight responsibility for the company’s strategic and operational risks (e.g., major initiatives, competitive markets and products, sales and marketing, R&amp;D and cybersecurity). Throughout the year the CEO discusses these risks with the board. Additionally, at least once each year, the company’s chief information officer provides information on the cybersecurity risks and the company’s approach to protecting the company’s data and systems infrastructure with the board. In the event of a material cybersecurity event, management would notify the board and, in compliance with our procedures, determine the timing and extent of the response and public disclosure, and whether and any future vulnerabilities are expected.</w:t>
      </w:r>
    </w:p>
    <w:p>
      <w:pPr>
        <w:spacing w:after="0" w:line="20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TI’s Audit Committee has oversight responsibility for financial risk (such as accounting, finance, internal controls and tax strategy). Oversight responsibility for compliance risk is shared by the board committees. For example, the Audit Committee oversees compliance with the company’s code of conduct and finance- and accounting-related laws and policies, as well as the company’s compliance program itself; the Compensation Committee oversees compliance with the company’s executive compensation plans and related laws and policies; and the GSR Committee oversees compliance with governance-related laws and policies, including the company’s corporate governance guidelines.</w:t>
      </w:r>
    </w:p>
    <w:p>
      <w:pPr>
        <w:spacing w:after="0" w:line="205"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 Audit Committee oversees the company’s approach to risk management as a whole. The company’s CFO reviews the company’s risk management process with the Audit Committee at least annually. In addition, the company’s chief information officer reviews the company’s information technology systems with the Audit Committee periodically and includes a discussion of key cybersecurity risks as appropriate.</w:t>
      </w:r>
    </w:p>
    <w:p>
      <w:pPr>
        <w:spacing w:after="0" w:line="205"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 board’s leadership structure is consistent with the board and committees’ roles in risk oversight. As discussed above, the board has found that its current structure and practices are effective in fully engaging the independent directors. Allocating various aspects of risk oversight among the committees provides for similar engagement. Having the chairman and CEO review strategic and operational risks with the board ensures that the director most knowledgeable about the company, the industry in which it operates and the competition and other challenges it faces shares those insights with the board, providing for a thorough and efficient process.</w:t>
      </w:r>
    </w:p>
    <w:p>
      <w:pPr>
        <w:spacing w:after="0" w:line="38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Director compensation</w:t>
      </w:r>
    </w:p>
    <w:p>
      <w:pPr>
        <w:spacing w:after="0" w:line="238"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 GSR Committee has responsibility for reviewing and making recommendations to the board on compensation for non-employee directors, with the board making the final determination. The committee has no authority to delegate its responsibility regarding director compensation. In carrying out this responsibility, it is supported by TI’s Human Resources organization. The CEO, the senior vice president responsible for Human Resources and the Secretary review the recommendations made to the committee. The CEO also votes, as a member of the board, on the compensation of non-employee directors.</w:t>
      </w:r>
    </w:p>
    <w:p>
      <w:pPr>
        <w:spacing w:after="0" w:line="130" w:lineRule="exact"/>
        <w:rPr>
          <w:sz w:val="20"/>
          <w:szCs w:val="20"/>
          <w:color w:val="auto"/>
        </w:rPr>
      </w:pPr>
    </w:p>
    <w:p>
      <w:pPr>
        <w:ind w:left="120"/>
        <w:spacing w:after="0"/>
        <w:tabs>
          <w:tab w:leader="none" w:pos="4020" w:val="left"/>
          <w:tab w:leader="none" w:pos="5500" w:val="left"/>
          <w:tab w:leader="none" w:pos="5700" w:val="left"/>
        </w:tabs>
        <w:rPr>
          <w:sz w:val="20"/>
          <w:szCs w:val="20"/>
          <w:color w:val="auto"/>
        </w:rPr>
      </w:pPr>
      <w:r>
        <w:rPr>
          <w:rFonts w:ascii="Arial" w:cs="Arial" w:eastAsia="Arial" w:hAnsi="Arial"/>
          <w:sz w:val="13"/>
          <w:szCs w:val="13"/>
          <w:color w:val="666666"/>
        </w:rPr>
        <w:t>16</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2020 PROXY STATEMENT</w:t>
      </w:r>
    </w:p>
    <w:p>
      <w:pPr>
        <w:sectPr>
          <w:pgSz w:w="11900" w:h="16838" w:orient="portrait"/>
          <w:cols w:equalWidth="0" w:num="1">
            <w:col w:w="11080"/>
          </w:cols>
          <w:pgMar w:left="320" w:top="459"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compensation arrangements in 2019 for the non-employee directors were:</w:t>
      </w:r>
    </w:p>
    <w:p>
      <w:pPr>
        <w:spacing w:after="0" w:line="234" w:lineRule="exact"/>
        <w:rPr>
          <w:sz w:val="20"/>
          <w:szCs w:val="20"/>
          <w:color w:val="auto"/>
        </w:rPr>
      </w:pPr>
    </w:p>
    <w:p>
      <w:pPr>
        <w:ind w:left="760" w:hanging="320"/>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Annual retainer of $85,000 for board and committee service.</w:t>
      </w:r>
    </w:p>
    <w:p>
      <w:pPr>
        <w:ind w:left="760" w:hanging="320"/>
        <w:spacing w:after="0" w:line="234"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Additional annual retainer of $25,000 for service as the lead director.</w:t>
      </w:r>
    </w:p>
    <w:p>
      <w:pPr>
        <w:ind w:left="760" w:right="1160" w:hanging="320"/>
        <w:spacing w:after="0" w:line="234"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Additional annual retainer of $30,000 for service as chair of the Audit Committee; $20,000 for service as chair of the Compensation Committee; and $15,000 for service as chair of the GSR Committee.</w:t>
      </w:r>
    </w:p>
    <w:p>
      <w:pPr>
        <w:spacing w:after="0" w:line="1" w:lineRule="exact"/>
        <w:rPr>
          <w:rFonts w:ascii="Arial" w:cs="Arial" w:eastAsia="Arial" w:hAnsi="Arial"/>
          <w:sz w:val="18"/>
          <w:szCs w:val="18"/>
          <w:color w:val="auto"/>
        </w:rPr>
      </w:pPr>
    </w:p>
    <w:p>
      <w:pPr>
        <w:ind w:left="760" w:right="20" w:hanging="320"/>
        <w:spacing w:after="0" w:line="234"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Annual grant of a 10-year option to purchase TI common stock pursuant to the terms of the Texas Instruments 2018 Director Compensation Plan (Director Plan), which was approved by stockholders in April 2018. The grant date value is $100,000, determined using a Black-Scholes option-pricing model (subject to the board’s ability to adjust the grant downward). These non-qualified options become exercisable in four equal annual installments beginning on the first anniversary of the grant and also will become fully exercisable in the event of termination of service following a change in control (as defined in the Director Plan) of TI. If a director’s service terminates due to death, disability or ineligibility to stand for re-election under the company’s by-laws, or after the director has completed eight years of service, then all outstanding options held by the director shall continue to become exercisable in accordance with their terms. If a director’s service terminates for any other reason, all outstanding options held by the director shall be exercisable for 30 days after the date of termination, but only to the extent such options were exercisable on the date of termination.</w:t>
      </w:r>
    </w:p>
    <w:p>
      <w:pPr>
        <w:spacing w:after="0" w:line="6" w:lineRule="exact"/>
        <w:rPr>
          <w:rFonts w:ascii="Arial" w:cs="Arial" w:eastAsia="Arial" w:hAnsi="Arial"/>
          <w:sz w:val="18"/>
          <w:szCs w:val="18"/>
          <w:color w:val="auto"/>
        </w:rPr>
      </w:pPr>
    </w:p>
    <w:p>
      <w:pPr>
        <w:ind w:left="760" w:right="120" w:hanging="320"/>
        <w:spacing w:after="0" w:line="234"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Annual grant of restricted stock units pursuant to the Director Plan with a grant date value of $100,000 (subject to the board’s ability to adjust the grant downward). The restricted stock units vest on the fourth anniversary of their date of grant and upon a change in control as defined in the Director Plan. If a director is not a member of the board on the fourth anniversary of the grant, restricted stock units will nonetheless settle (i.e., the shares will issue) on such anniversary date if the director has completed eight years of service prior to termination or the director’s termination was due to death, disability or ineligibility to stand for re-election under the company’s by-laws. The director may defer settlement of the restricted stock units at his or her election. Upon settlement, the director will receive one share of TI common stock for each restricted stock unit. Dividend equivalents are paid on the restricted stock units at the same rate as dividends on TI common stock. The director may defer receipt of dividend equivalents.</w:t>
      </w:r>
    </w:p>
    <w:p>
      <w:pPr>
        <w:spacing w:after="0" w:line="6" w:lineRule="exact"/>
        <w:rPr>
          <w:rFonts w:ascii="Arial" w:cs="Arial" w:eastAsia="Arial" w:hAnsi="Arial"/>
          <w:sz w:val="18"/>
          <w:szCs w:val="18"/>
          <w:color w:val="auto"/>
        </w:rPr>
      </w:pPr>
    </w:p>
    <w:p>
      <w:pPr>
        <w:ind w:left="760" w:hanging="320"/>
        <w:spacing w:after="0" w:line="234"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$1,000 per day compensation for other activities designated by the chairman.</w:t>
      </w:r>
    </w:p>
    <w:p>
      <w:pPr>
        <w:ind w:left="760" w:hanging="320"/>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one-time grant of 2,000 restricted stock units upon a director’s initial election to the board.</w:t>
      </w:r>
    </w:p>
    <w:p>
      <w:pPr>
        <w:spacing w:after="0" w:line="212"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The board has determined that annual grants of equity compensation to non-employee directors will be timed to occur in January when grants are made to our U.S. employees in connection with the annual compensation review process. See “Process for equity grants” for a discussion regarding the timing of equity compensation grants.</w:t>
      </w:r>
    </w:p>
    <w:p>
      <w:pPr>
        <w:spacing w:after="0" w:line="203"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It is against TI policy for any employee, including an executive officer, or director to engage in trading in “puts” (options to sell at a fixed price), “calls” (similar options to buy), or other options or hedging techniques on TI stock specifically designed to limit losses on TI stock or equity compensation held by the employee or director.</w:t>
      </w:r>
    </w:p>
    <w:p>
      <w:pPr>
        <w:spacing w:after="0" w:line="203" w:lineRule="exact"/>
        <w:rPr>
          <w:sz w:val="20"/>
          <w:szCs w:val="20"/>
          <w:color w:val="auto"/>
        </w:rPr>
      </w:pPr>
    </w:p>
    <w:p>
      <w:pPr>
        <w:ind w:left="120" w:right="340"/>
        <w:spacing w:after="0"/>
        <w:rPr>
          <w:sz w:val="20"/>
          <w:szCs w:val="20"/>
          <w:color w:val="auto"/>
        </w:rPr>
      </w:pPr>
      <w:r>
        <w:rPr>
          <w:rFonts w:ascii="Arial" w:cs="Arial" w:eastAsia="Arial" w:hAnsi="Arial"/>
          <w:sz w:val="18"/>
          <w:szCs w:val="18"/>
          <w:color w:val="auto"/>
        </w:rPr>
        <w:t>Directors are not paid a fee for meeting attendance, but we reimburse non-employee directors for their travel, lodging and related expenses incurred in connection with attending board, committee and stockholders meetings and other designated events. In addition, non-employee directors may travel on company aircraft to and from these meetings and other designated events.</w:t>
      </w:r>
    </w:p>
    <w:p>
      <w:pPr>
        <w:spacing w:after="0" w:line="20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Under the Director Plan, some directors have chosen to defer all or part of their cash compensation. These deferred amounts are credited to either a cash account or stock unit account. Cash accounts earn interest from TI at a rate currently based on Moody’s Seasoned Aaa Corporate Bonds. For 2019, that rate was 3.99 percent. Stock unit accounts fluctuate in value with the underlying shares of TI common stock, which will be issued after the deferral period. Dividend equivalents are paid on these stock units. Directors may also defer settlement of the restricted stock units they receive.</w:t>
      </w:r>
    </w:p>
    <w:p>
      <w:pPr>
        <w:spacing w:after="0" w:line="202" w:lineRule="exact"/>
        <w:rPr>
          <w:sz w:val="20"/>
          <w:szCs w:val="20"/>
          <w:color w:val="auto"/>
        </w:rPr>
      </w:pPr>
    </w:p>
    <w:p>
      <w:pPr>
        <w:ind w:left="120" w:right="260"/>
        <w:spacing w:after="0"/>
        <w:rPr>
          <w:sz w:val="20"/>
          <w:szCs w:val="20"/>
          <w:color w:val="auto"/>
        </w:rPr>
      </w:pPr>
      <w:r>
        <w:rPr>
          <w:rFonts w:ascii="Arial" w:cs="Arial" w:eastAsia="Arial" w:hAnsi="Arial"/>
          <w:sz w:val="18"/>
          <w:szCs w:val="18"/>
          <w:color w:val="auto"/>
        </w:rPr>
        <w:t>We have arrangements with certain customers whereby our employees may purchase consumer products containing TI components at discounted pricing. In addition, the TI Foundation has an educational and cultural matching gift program. In both cases, directors are entitled to participate on the same terms and conditions available to employees.</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Non-employee directors are not eligible to participate in any TI-sponsored pension plan.</w:t>
      </w:r>
    </w:p>
    <w:p>
      <w:pPr>
        <w:spacing w:after="0" w:line="139" w:lineRule="exact"/>
        <w:rPr>
          <w:sz w:val="20"/>
          <w:szCs w:val="20"/>
          <w:color w:val="auto"/>
        </w:rPr>
      </w:pPr>
    </w:p>
    <w:tbl>
      <w:tblPr>
        <w:tblLayout w:type="fixed"/>
        <w:tblInd w:w="4040" w:type="dxa"/>
        <w:tblCellMar>
          <w:top w:w="0" w:type="dxa"/>
          <w:left w:w="0" w:type="dxa"/>
          <w:bottom w:w="0" w:type="dxa"/>
          <w:right w:w="0" w:type="dxa"/>
        </w:tblCellMar>
      </w:tblPr>
      <w:tr>
        <w:trPr>
          <w:trHeight w:val="152"/>
        </w:trPr>
        <w:tc>
          <w:tcPr>
            <w:tcW w:w="5080" w:type="dxa"/>
            <w:vAlign w:val="bottom"/>
          </w:tcPr>
          <w:p>
            <w:pPr>
              <w:spacing w:after="0"/>
              <w:rPr>
                <w:sz w:val="20"/>
                <w:szCs w:val="20"/>
                <w:color w:val="auto"/>
              </w:rPr>
            </w:pPr>
            <w:r>
              <w:rPr>
                <w:rFonts w:ascii="Arial" w:cs="Arial" w:eastAsia="Arial" w:hAnsi="Arial"/>
                <w:sz w:val="13"/>
                <w:szCs w:val="13"/>
                <w:color w:val="666666"/>
              </w:rPr>
              <w:t>TEXAS INSTRUMENTS  •  2020 PROXY STATEMENT</w:t>
            </w:r>
          </w:p>
        </w:tc>
        <w:tc>
          <w:tcPr>
            <w:tcW w:w="2000" w:type="dxa"/>
            <w:vAlign w:val="bottom"/>
          </w:tcPr>
          <w:p>
            <w:pPr>
              <w:jc w:val="right"/>
              <w:spacing w:after="0"/>
              <w:rPr>
                <w:sz w:val="20"/>
                <w:szCs w:val="20"/>
                <w:color w:val="auto"/>
              </w:rPr>
            </w:pPr>
            <w:r>
              <w:rPr>
                <w:rFonts w:ascii="Arial" w:cs="Arial" w:eastAsia="Arial" w:hAnsi="Arial"/>
                <w:sz w:val="13"/>
                <w:szCs w:val="13"/>
                <w:color w:val="666666"/>
              </w:rPr>
              <w:t>17</w:t>
            </w:r>
          </w:p>
        </w:tc>
      </w:tr>
    </w:tbl>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2019 director compensation</w:t>
      </w:r>
    </w:p>
    <w:p>
      <w:pPr>
        <w:spacing w:after="0" w:line="229" w:lineRule="exact"/>
        <w:rPr>
          <w:sz w:val="20"/>
          <w:szCs w:val="20"/>
          <w:color w:val="auto"/>
        </w:rPr>
      </w:pPr>
    </w:p>
    <w:p>
      <w:pPr>
        <w:ind w:left="120" w:right="160"/>
        <w:spacing w:after="0" w:line="246" w:lineRule="auto"/>
        <w:rPr>
          <w:sz w:val="20"/>
          <w:szCs w:val="20"/>
          <w:color w:val="auto"/>
        </w:rPr>
      </w:pPr>
      <w:r>
        <w:rPr>
          <w:rFonts w:ascii="Arial" w:cs="Arial" w:eastAsia="Arial" w:hAnsi="Arial"/>
          <w:sz w:val="18"/>
          <w:szCs w:val="18"/>
          <w:color w:val="auto"/>
        </w:rPr>
        <w:t>The following table shows the compensation of all persons who were non-employee members of the board during 2019 for services in all capacities to TI in 2019.</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Change in</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1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Pension</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1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9"/>
              </w:rPr>
              <w:t>Value and</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1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Non-Equity</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Nonqualified</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1900" w:type="dxa"/>
            <w:vAlign w:val="bottom"/>
          </w:tcPr>
          <w:p>
            <w:pPr>
              <w:spacing w:after="0"/>
              <w:rPr>
                <w:sz w:val="14"/>
                <w:szCs w:val="14"/>
                <w:color w:val="auto"/>
              </w:rPr>
            </w:pPr>
          </w:p>
        </w:tc>
        <w:tc>
          <w:tcPr>
            <w:tcW w:w="1640" w:type="dxa"/>
            <w:vAlign w:val="bottom"/>
            <w:gridSpan w:val="2"/>
          </w:tcPr>
          <w:p>
            <w:pPr>
              <w:ind w:left="600"/>
              <w:spacing w:after="0"/>
              <w:rPr>
                <w:sz w:val="20"/>
                <w:szCs w:val="20"/>
                <w:color w:val="auto"/>
              </w:rPr>
            </w:pPr>
            <w:r>
              <w:rPr>
                <w:rFonts w:ascii="Arial" w:cs="Arial" w:eastAsia="Arial" w:hAnsi="Arial"/>
                <w:sz w:val="14"/>
                <w:szCs w:val="14"/>
                <w:b w:val="1"/>
                <w:bCs w:val="1"/>
                <w:color w:val="auto"/>
              </w:rPr>
              <w:t>Fees Earned</w:t>
            </w:r>
          </w:p>
        </w:tc>
        <w:tc>
          <w:tcPr>
            <w:tcW w:w="300" w:type="dxa"/>
            <w:vAlign w:val="bottom"/>
          </w:tcPr>
          <w:p>
            <w:pPr>
              <w:spacing w:after="0"/>
              <w:rPr>
                <w:sz w:val="14"/>
                <w:szCs w:val="14"/>
                <w:color w:val="auto"/>
              </w:rPr>
            </w:pPr>
          </w:p>
        </w:tc>
        <w:tc>
          <w:tcPr>
            <w:tcW w:w="840" w:type="dxa"/>
            <w:vAlign w:val="bottom"/>
          </w:tcPr>
          <w:p>
            <w:pPr>
              <w:jc w:val="center"/>
              <w:ind w:right="214"/>
              <w:spacing w:after="0"/>
              <w:rPr>
                <w:sz w:val="20"/>
                <w:szCs w:val="20"/>
                <w:color w:val="auto"/>
              </w:rPr>
            </w:pPr>
            <w:r>
              <w:rPr>
                <w:rFonts w:ascii="Arial" w:cs="Arial" w:eastAsia="Arial" w:hAnsi="Arial"/>
                <w:sz w:val="14"/>
                <w:szCs w:val="14"/>
                <w:b w:val="1"/>
                <w:bCs w:val="1"/>
                <w:color w:val="auto"/>
                <w:w w:val="99"/>
              </w:rPr>
              <w:t>Stock</w:t>
            </w:r>
          </w:p>
        </w:tc>
        <w:tc>
          <w:tcPr>
            <w:tcW w:w="280" w:type="dxa"/>
            <w:vAlign w:val="bottom"/>
          </w:tcPr>
          <w:p>
            <w:pPr>
              <w:spacing w:after="0"/>
              <w:rPr>
                <w:sz w:val="14"/>
                <w:szCs w:val="14"/>
                <w:color w:val="auto"/>
              </w:rPr>
            </w:pPr>
          </w:p>
        </w:tc>
        <w:tc>
          <w:tcPr>
            <w:tcW w:w="860" w:type="dxa"/>
            <w:vAlign w:val="bottom"/>
          </w:tcPr>
          <w:p>
            <w:pPr>
              <w:jc w:val="center"/>
              <w:ind w:right="214"/>
              <w:spacing w:after="0"/>
              <w:rPr>
                <w:sz w:val="20"/>
                <w:szCs w:val="20"/>
                <w:color w:val="auto"/>
              </w:rPr>
            </w:pPr>
            <w:r>
              <w:rPr>
                <w:rFonts w:ascii="Arial" w:cs="Arial" w:eastAsia="Arial" w:hAnsi="Arial"/>
                <w:sz w:val="14"/>
                <w:szCs w:val="14"/>
                <w:b w:val="1"/>
                <w:bCs w:val="1"/>
                <w:color w:val="auto"/>
              </w:rPr>
              <w:t>Option</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Incentive Plan</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Deferred</w:t>
            </w:r>
          </w:p>
        </w:tc>
        <w:tc>
          <w:tcPr>
            <w:tcW w:w="340" w:type="dxa"/>
            <w:vAlign w:val="bottom"/>
          </w:tcPr>
          <w:p>
            <w:pPr>
              <w:spacing w:after="0"/>
              <w:rPr>
                <w:sz w:val="14"/>
                <w:szCs w:val="14"/>
                <w:color w:val="auto"/>
              </w:rPr>
            </w:pPr>
          </w:p>
        </w:tc>
        <w:tc>
          <w:tcPr>
            <w:tcW w:w="1000" w:type="dxa"/>
            <w:vAlign w:val="bottom"/>
          </w:tcPr>
          <w:p>
            <w:pPr>
              <w:jc w:val="right"/>
              <w:ind w:right="253"/>
              <w:spacing w:after="0"/>
              <w:rPr>
                <w:sz w:val="20"/>
                <w:szCs w:val="20"/>
                <w:color w:val="auto"/>
              </w:rPr>
            </w:pPr>
            <w:r>
              <w:rPr>
                <w:rFonts w:ascii="Arial" w:cs="Arial" w:eastAsia="Arial" w:hAnsi="Arial"/>
                <w:sz w:val="14"/>
                <w:szCs w:val="14"/>
                <w:b w:val="1"/>
                <w:bCs w:val="1"/>
                <w:color w:val="auto"/>
              </w:rPr>
              <w:t>All Other</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1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jc w:val="right"/>
              <w:ind w:right="192"/>
              <w:spacing w:after="0"/>
              <w:rPr>
                <w:sz w:val="20"/>
                <w:szCs w:val="20"/>
                <w:color w:val="auto"/>
              </w:rPr>
            </w:pPr>
            <w:r>
              <w:rPr>
                <w:rFonts w:ascii="Arial" w:cs="Arial" w:eastAsia="Arial" w:hAnsi="Arial"/>
                <w:sz w:val="14"/>
                <w:szCs w:val="14"/>
                <w:b w:val="1"/>
                <w:bCs w:val="1"/>
                <w:color w:val="auto"/>
              </w:rPr>
              <w:t>or Paid in</w:t>
            </w:r>
          </w:p>
        </w:tc>
        <w:tc>
          <w:tcPr>
            <w:tcW w:w="300" w:type="dxa"/>
            <w:vAlign w:val="bottom"/>
          </w:tcPr>
          <w:p>
            <w:pPr>
              <w:spacing w:after="0"/>
              <w:rPr>
                <w:sz w:val="14"/>
                <w:szCs w:val="14"/>
                <w:color w:val="auto"/>
              </w:rPr>
            </w:pPr>
          </w:p>
        </w:tc>
        <w:tc>
          <w:tcPr>
            <w:tcW w:w="840" w:type="dxa"/>
            <w:vAlign w:val="bottom"/>
          </w:tcPr>
          <w:p>
            <w:pPr>
              <w:jc w:val="center"/>
              <w:ind w:right="234"/>
              <w:spacing w:after="0"/>
              <w:rPr>
                <w:sz w:val="20"/>
                <w:szCs w:val="20"/>
                <w:color w:val="auto"/>
              </w:rPr>
            </w:pPr>
            <w:r>
              <w:rPr>
                <w:rFonts w:ascii="Arial" w:cs="Arial" w:eastAsia="Arial" w:hAnsi="Arial"/>
                <w:sz w:val="14"/>
                <w:szCs w:val="14"/>
                <w:b w:val="1"/>
                <w:bCs w:val="1"/>
                <w:color w:val="auto"/>
              </w:rPr>
              <w:t>Awards</w:t>
            </w:r>
          </w:p>
        </w:tc>
        <w:tc>
          <w:tcPr>
            <w:tcW w:w="280" w:type="dxa"/>
            <w:vAlign w:val="bottom"/>
          </w:tcPr>
          <w:p>
            <w:pPr>
              <w:spacing w:after="0"/>
              <w:rPr>
                <w:sz w:val="14"/>
                <w:szCs w:val="14"/>
                <w:color w:val="auto"/>
              </w:rPr>
            </w:pPr>
          </w:p>
        </w:tc>
        <w:tc>
          <w:tcPr>
            <w:tcW w:w="860" w:type="dxa"/>
            <w:vAlign w:val="bottom"/>
          </w:tcPr>
          <w:p>
            <w:pPr>
              <w:jc w:val="center"/>
              <w:ind w:right="214"/>
              <w:spacing w:after="0"/>
              <w:rPr>
                <w:sz w:val="20"/>
                <w:szCs w:val="20"/>
                <w:color w:val="auto"/>
              </w:rPr>
            </w:pPr>
            <w:r>
              <w:rPr>
                <w:rFonts w:ascii="Arial" w:cs="Arial" w:eastAsia="Arial" w:hAnsi="Arial"/>
                <w:sz w:val="14"/>
                <w:szCs w:val="14"/>
                <w:b w:val="1"/>
                <w:bCs w:val="1"/>
                <w:color w:val="auto"/>
              </w:rPr>
              <w:t>Awards</w:t>
            </w:r>
          </w:p>
        </w:tc>
        <w:tc>
          <w:tcPr>
            <w:tcW w:w="1360" w:type="dxa"/>
            <w:vAlign w:val="bottom"/>
          </w:tcPr>
          <w:p>
            <w:pPr>
              <w:jc w:val="right"/>
              <w:ind w:right="95"/>
              <w:spacing w:after="0"/>
              <w:rPr>
                <w:sz w:val="20"/>
                <w:szCs w:val="20"/>
                <w:color w:val="auto"/>
              </w:rPr>
            </w:pPr>
            <w:r>
              <w:rPr>
                <w:rFonts w:ascii="Arial" w:cs="Arial" w:eastAsia="Arial" w:hAnsi="Arial"/>
                <w:sz w:val="14"/>
                <w:szCs w:val="14"/>
                <w:b w:val="1"/>
                <w:bCs w:val="1"/>
                <w:color w:val="auto"/>
              </w:rPr>
              <w:t>Compensation</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Compensation</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9"/>
        </w:trPr>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(1)</w:t>
            </w:r>
          </w:p>
        </w:tc>
        <w:tc>
          <w:tcPr>
            <w:tcW w:w="164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Cash ($) (2)</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9"/>
              </w:rPr>
              <w:t>($) (3)</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rPr>
              <w:t>($) (4)</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Earnings (5)</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 (6)</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Total ($)</w:t>
            </w:r>
          </w:p>
        </w:tc>
      </w:tr>
      <w:tr>
        <w:trPr>
          <w:trHeight w:val="196"/>
        </w:trPr>
        <w:tc>
          <w:tcPr>
            <w:tcW w:w="190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R. W. Babb, Jr.</w:t>
            </w:r>
          </w:p>
        </w:tc>
        <w:tc>
          <w:tcPr>
            <w:tcW w:w="700" w:type="dxa"/>
            <w:vAlign w:val="bottom"/>
            <w:shd w:val="clear" w:color="auto" w:fill="E5E5E5"/>
          </w:tcPr>
          <w:p>
            <w:pPr>
              <w:ind w:left="60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E5E5E5"/>
          </w:tcPr>
          <w:p>
            <w:pPr>
              <w:jc w:val="right"/>
              <w:ind w:right="92"/>
              <w:spacing w:after="0" w:line="196" w:lineRule="exact"/>
              <w:rPr>
                <w:sz w:val="20"/>
                <w:szCs w:val="20"/>
                <w:color w:val="auto"/>
              </w:rPr>
            </w:pPr>
            <w:r>
              <w:rPr>
                <w:rFonts w:ascii="Arial" w:cs="Arial" w:eastAsia="Arial" w:hAnsi="Arial"/>
                <w:sz w:val="18"/>
                <w:szCs w:val="18"/>
                <w:color w:val="auto"/>
              </w:rPr>
              <w:t>28,333</w:t>
            </w:r>
          </w:p>
        </w:tc>
        <w:tc>
          <w:tcPr>
            <w:tcW w:w="30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94"/>
              <w:spacing w:after="0" w:line="196" w:lineRule="exact"/>
              <w:rPr>
                <w:sz w:val="20"/>
                <w:szCs w:val="20"/>
                <w:color w:val="auto"/>
              </w:rPr>
            </w:pPr>
            <w:r>
              <w:rPr>
                <w:rFonts w:ascii="Arial" w:cs="Arial" w:eastAsia="Arial" w:hAnsi="Arial"/>
                <w:sz w:val="18"/>
                <w:szCs w:val="18"/>
                <w:color w:val="auto"/>
              </w:rPr>
              <w:t>99,920</w:t>
            </w:r>
          </w:p>
        </w:tc>
        <w:tc>
          <w:tcPr>
            <w:tcW w:w="28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114"/>
              <w:spacing w:after="0" w:line="196" w:lineRule="exact"/>
              <w:rPr>
                <w:sz w:val="20"/>
                <w:szCs w:val="20"/>
                <w:color w:val="auto"/>
              </w:rPr>
            </w:pPr>
            <w:r>
              <w:rPr>
                <w:rFonts w:ascii="Arial" w:cs="Arial" w:eastAsia="Arial" w:hAnsi="Arial"/>
                <w:sz w:val="18"/>
                <w:szCs w:val="18"/>
                <w:color w:val="auto"/>
              </w:rPr>
              <w:t>99,984</w:t>
            </w:r>
          </w:p>
        </w:tc>
        <w:tc>
          <w:tcPr>
            <w:tcW w:w="1360" w:type="dxa"/>
            <w:vAlign w:val="bottom"/>
            <w:shd w:val="clear" w:color="auto" w:fill="E5E5E5"/>
          </w:tcPr>
          <w:p>
            <w:pPr>
              <w:jc w:val="right"/>
              <w:ind w:right="95"/>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E5E5E5"/>
          </w:tcPr>
          <w:p>
            <w:pPr>
              <w:jc w:val="right"/>
              <w:ind w:right="97"/>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ind w:left="18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53"/>
              <w:spacing w:after="0" w:line="196" w:lineRule="exact"/>
              <w:rPr>
                <w:sz w:val="20"/>
                <w:szCs w:val="20"/>
                <w:color w:val="auto"/>
              </w:rPr>
            </w:pPr>
            <w:r>
              <w:rPr>
                <w:rFonts w:ascii="Arial" w:cs="Arial" w:eastAsia="Arial" w:hAnsi="Arial"/>
                <w:sz w:val="18"/>
                <w:szCs w:val="18"/>
                <w:color w:val="auto"/>
              </w:rPr>
              <w:t>40</w:t>
            </w:r>
          </w:p>
        </w:tc>
        <w:tc>
          <w:tcPr>
            <w:tcW w:w="28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12"/>
              <w:spacing w:after="0" w:line="196" w:lineRule="exact"/>
              <w:rPr>
                <w:sz w:val="20"/>
                <w:szCs w:val="20"/>
                <w:color w:val="auto"/>
              </w:rPr>
            </w:pPr>
            <w:r>
              <w:rPr>
                <w:rFonts w:ascii="Arial" w:cs="Arial" w:eastAsia="Arial" w:hAnsi="Arial"/>
                <w:sz w:val="18"/>
                <w:szCs w:val="18"/>
                <w:color w:val="auto"/>
              </w:rPr>
              <w:t>228,277</w:t>
            </w:r>
          </w:p>
        </w:tc>
      </w:tr>
      <w:tr>
        <w:trPr>
          <w:trHeight w:val="203"/>
        </w:trPr>
        <w:tc>
          <w:tcPr>
            <w:tcW w:w="1900" w:type="dxa"/>
            <w:vAlign w:val="bottom"/>
          </w:tcPr>
          <w:p>
            <w:pPr>
              <w:spacing w:after="0" w:line="202" w:lineRule="exact"/>
              <w:rPr>
                <w:sz w:val="20"/>
                <w:szCs w:val="20"/>
                <w:color w:val="auto"/>
              </w:rPr>
            </w:pPr>
            <w:r>
              <w:rPr>
                <w:rFonts w:ascii="Arial" w:cs="Arial" w:eastAsia="Arial" w:hAnsi="Arial"/>
                <w:sz w:val="18"/>
                <w:szCs w:val="18"/>
                <w:color w:val="auto"/>
              </w:rPr>
              <w:t>M. A. Blinn</w:t>
            </w:r>
          </w:p>
        </w:tc>
        <w:tc>
          <w:tcPr>
            <w:tcW w:w="700" w:type="dxa"/>
            <w:vAlign w:val="bottom"/>
          </w:tcPr>
          <w:p>
            <w:pPr>
              <w:ind w:left="60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123,333</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94"/>
              <w:spacing w:after="0" w:line="202" w:lineRule="exact"/>
              <w:rPr>
                <w:sz w:val="20"/>
                <w:szCs w:val="20"/>
                <w:color w:val="auto"/>
              </w:rPr>
            </w:pPr>
            <w:r>
              <w:rPr>
                <w:rFonts w:ascii="Arial" w:cs="Arial" w:eastAsia="Arial" w:hAnsi="Arial"/>
                <w:sz w:val="18"/>
                <w:szCs w:val="18"/>
                <w:color w:val="auto"/>
              </w:rPr>
              <w:t>99,920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99,984</w:t>
            </w:r>
          </w:p>
        </w:tc>
        <w:tc>
          <w:tcPr>
            <w:tcW w:w="1360" w:type="dxa"/>
            <w:vAlign w:val="bottom"/>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97"/>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40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323,277</w:t>
            </w:r>
          </w:p>
        </w:tc>
      </w:tr>
      <w:tr>
        <w:trPr>
          <w:trHeight w:val="203"/>
        </w:trPr>
        <w:tc>
          <w:tcPr>
            <w:tcW w:w="1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 M. Bluedorn</w:t>
            </w:r>
          </w:p>
        </w:tc>
        <w:tc>
          <w:tcPr>
            <w:tcW w:w="700" w:type="dxa"/>
            <w:vAlign w:val="bottom"/>
            <w:shd w:val="clear" w:color="auto" w:fill="E5E5E5"/>
          </w:tcPr>
          <w:p>
            <w:pPr>
              <w:ind w:left="60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E5E5E5"/>
          </w:tcPr>
          <w:p>
            <w:pPr>
              <w:jc w:val="right"/>
              <w:ind w:right="92"/>
              <w:spacing w:after="0" w:line="202" w:lineRule="exact"/>
              <w:rPr>
                <w:sz w:val="20"/>
                <w:szCs w:val="20"/>
                <w:color w:val="auto"/>
              </w:rPr>
            </w:pPr>
            <w:r>
              <w:rPr>
                <w:rFonts w:ascii="Arial" w:cs="Arial" w:eastAsia="Arial" w:hAnsi="Arial"/>
                <w:sz w:val="18"/>
                <w:szCs w:val="18"/>
                <w:color w:val="auto"/>
              </w:rPr>
              <w:t>85,000</w:t>
            </w:r>
          </w:p>
        </w:tc>
        <w:tc>
          <w:tcPr>
            <w:tcW w:w="3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94"/>
              <w:spacing w:after="0" w:line="202" w:lineRule="exact"/>
              <w:rPr>
                <w:sz w:val="20"/>
                <w:szCs w:val="20"/>
                <w:color w:val="auto"/>
              </w:rPr>
            </w:pPr>
            <w:r>
              <w:rPr>
                <w:rFonts w:ascii="Arial" w:cs="Arial" w:eastAsia="Arial" w:hAnsi="Arial"/>
                <w:sz w:val="18"/>
                <w:szCs w:val="18"/>
                <w:color w:val="auto"/>
              </w:rPr>
              <w:t>99,920</w:t>
            </w:r>
          </w:p>
        </w:tc>
        <w:tc>
          <w:tcPr>
            <w:tcW w:w="2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99,984</w:t>
            </w:r>
          </w:p>
        </w:tc>
        <w:tc>
          <w:tcPr>
            <w:tcW w:w="1360" w:type="dxa"/>
            <w:vAlign w:val="bottom"/>
            <w:shd w:val="clear" w:color="auto" w:fill="E5E5E5"/>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E5E5E5"/>
          </w:tcPr>
          <w:p>
            <w:pPr>
              <w:jc w:val="right"/>
              <w:ind w:right="97"/>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53"/>
              <w:spacing w:after="0" w:line="202" w:lineRule="exact"/>
              <w:rPr>
                <w:sz w:val="20"/>
                <w:szCs w:val="20"/>
                <w:color w:val="auto"/>
              </w:rPr>
            </w:pPr>
            <w:r>
              <w:rPr>
                <w:rFonts w:ascii="Arial" w:cs="Arial" w:eastAsia="Arial" w:hAnsi="Arial"/>
                <w:sz w:val="18"/>
                <w:szCs w:val="18"/>
                <w:color w:val="auto"/>
              </w:rPr>
              <w:t>40</w:t>
            </w:r>
          </w:p>
        </w:tc>
        <w:tc>
          <w:tcPr>
            <w:tcW w:w="2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12"/>
              <w:spacing w:after="0" w:line="202" w:lineRule="exact"/>
              <w:rPr>
                <w:sz w:val="20"/>
                <w:szCs w:val="20"/>
                <w:color w:val="auto"/>
              </w:rPr>
            </w:pPr>
            <w:r>
              <w:rPr>
                <w:rFonts w:ascii="Arial" w:cs="Arial" w:eastAsia="Arial" w:hAnsi="Arial"/>
                <w:sz w:val="18"/>
                <w:szCs w:val="18"/>
                <w:color w:val="auto"/>
              </w:rPr>
              <w:t>284,944</w:t>
            </w:r>
          </w:p>
        </w:tc>
      </w:tr>
      <w:tr>
        <w:trPr>
          <w:trHeight w:val="203"/>
        </w:trPr>
        <w:tc>
          <w:tcPr>
            <w:tcW w:w="1900" w:type="dxa"/>
            <w:vAlign w:val="bottom"/>
          </w:tcPr>
          <w:p>
            <w:pPr>
              <w:spacing w:after="0" w:line="202" w:lineRule="exact"/>
              <w:rPr>
                <w:sz w:val="20"/>
                <w:szCs w:val="20"/>
                <w:color w:val="auto"/>
              </w:rPr>
            </w:pPr>
            <w:r>
              <w:rPr>
                <w:rFonts w:ascii="Arial" w:cs="Arial" w:eastAsia="Arial" w:hAnsi="Arial"/>
                <w:sz w:val="18"/>
                <w:szCs w:val="18"/>
                <w:color w:val="auto"/>
              </w:rPr>
              <w:t>D. A. Carp</w:t>
            </w:r>
          </w:p>
        </w:tc>
        <w:tc>
          <w:tcPr>
            <w:tcW w:w="700" w:type="dxa"/>
            <w:vAlign w:val="bottom"/>
          </w:tcPr>
          <w:p>
            <w:pPr>
              <w:ind w:left="60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28,335</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94"/>
              <w:spacing w:after="0" w:line="202" w:lineRule="exact"/>
              <w:rPr>
                <w:sz w:val="20"/>
                <w:szCs w:val="20"/>
                <w:color w:val="auto"/>
              </w:rPr>
            </w:pPr>
            <w:r>
              <w:rPr>
                <w:rFonts w:ascii="Arial" w:cs="Arial" w:eastAsia="Arial" w:hAnsi="Arial"/>
                <w:sz w:val="18"/>
                <w:szCs w:val="18"/>
                <w:color w:val="auto"/>
              </w:rPr>
              <w:t>99,920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99,984</w:t>
            </w:r>
          </w:p>
        </w:tc>
        <w:tc>
          <w:tcPr>
            <w:tcW w:w="1360" w:type="dxa"/>
            <w:vAlign w:val="bottom"/>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97"/>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937</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229,176</w:t>
            </w:r>
          </w:p>
        </w:tc>
      </w:tr>
      <w:tr>
        <w:trPr>
          <w:trHeight w:val="203"/>
        </w:trPr>
        <w:tc>
          <w:tcPr>
            <w:tcW w:w="1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J. F. Clark</w:t>
            </w:r>
          </w:p>
        </w:tc>
        <w:tc>
          <w:tcPr>
            <w:tcW w:w="700" w:type="dxa"/>
            <w:vAlign w:val="bottom"/>
            <w:shd w:val="clear" w:color="auto" w:fill="E5E5E5"/>
          </w:tcPr>
          <w:p>
            <w:pPr>
              <w:ind w:left="60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E5E5E5"/>
          </w:tcPr>
          <w:p>
            <w:pPr>
              <w:jc w:val="right"/>
              <w:ind w:right="92"/>
              <w:spacing w:after="0" w:line="202" w:lineRule="exact"/>
              <w:rPr>
                <w:sz w:val="20"/>
                <w:szCs w:val="20"/>
                <w:color w:val="auto"/>
              </w:rPr>
            </w:pPr>
            <w:r>
              <w:rPr>
                <w:rFonts w:ascii="Arial" w:cs="Arial" w:eastAsia="Arial" w:hAnsi="Arial"/>
                <w:sz w:val="18"/>
                <w:szCs w:val="18"/>
                <w:color w:val="auto"/>
              </w:rPr>
              <w:t>85,000</w:t>
            </w:r>
          </w:p>
        </w:tc>
        <w:tc>
          <w:tcPr>
            <w:tcW w:w="3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94"/>
              <w:spacing w:after="0" w:line="202" w:lineRule="exact"/>
              <w:rPr>
                <w:sz w:val="20"/>
                <w:szCs w:val="20"/>
                <w:color w:val="auto"/>
              </w:rPr>
            </w:pPr>
            <w:r>
              <w:rPr>
                <w:rFonts w:ascii="Arial" w:cs="Arial" w:eastAsia="Arial" w:hAnsi="Arial"/>
                <w:sz w:val="18"/>
                <w:szCs w:val="18"/>
                <w:color w:val="auto"/>
              </w:rPr>
              <w:t>99,920</w:t>
            </w:r>
          </w:p>
        </w:tc>
        <w:tc>
          <w:tcPr>
            <w:tcW w:w="2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99,984</w:t>
            </w:r>
          </w:p>
        </w:tc>
        <w:tc>
          <w:tcPr>
            <w:tcW w:w="1360" w:type="dxa"/>
            <w:vAlign w:val="bottom"/>
            <w:shd w:val="clear" w:color="auto" w:fill="E5E5E5"/>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E5E5E5"/>
          </w:tcPr>
          <w:p>
            <w:pPr>
              <w:jc w:val="right"/>
              <w:ind w:right="97"/>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53"/>
              <w:spacing w:after="0" w:line="202" w:lineRule="exact"/>
              <w:rPr>
                <w:sz w:val="20"/>
                <w:szCs w:val="20"/>
                <w:color w:val="auto"/>
              </w:rPr>
            </w:pPr>
            <w:r>
              <w:rPr>
                <w:rFonts w:ascii="Arial" w:cs="Arial" w:eastAsia="Arial" w:hAnsi="Arial"/>
                <w:sz w:val="18"/>
                <w:szCs w:val="18"/>
                <w:color w:val="auto"/>
              </w:rPr>
              <w:t>30,040</w:t>
            </w:r>
          </w:p>
        </w:tc>
        <w:tc>
          <w:tcPr>
            <w:tcW w:w="2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12"/>
              <w:spacing w:after="0" w:line="202" w:lineRule="exact"/>
              <w:rPr>
                <w:sz w:val="20"/>
                <w:szCs w:val="20"/>
                <w:color w:val="auto"/>
              </w:rPr>
            </w:pPr>
            <w:r>
              <w:rPr>
                <w:rFonts w:ascii="Arial" w:cs="Arial" w:eastAsia="Arial" w:hAnsi="Arial"/>
                <w:sz w:val="18"/>
                <w:szCs w:val="18"/>
                <w:color w:val="auto"/>
              </w:rPr>
              <w:t>314,944</w:t>
            </w:r>
          </w:p>
        </w:tc>
      </w:tr>
      <w:tr>
        <w:trPr>
          <w:trHeight w:val="203"/>
        </w:trPr>
        <w:tc>
          <w:tcPr>
            <w:tcW w:w="1900" w:type="dxa"/>
            <w:vAlign w:val="bottom"/>
          </w:tcPr>
          <w:p>
            <w:pPr>
              <w:spacing w:after="0" w:line="202" w:lineRule="exact"/>
              <w:rPr>
                <w:sz w:val="20"/>
                <w:szCs w:val="20"/>
                <w:color w:val="auto"/>
              </w:rPr>
            </w:pPr>
            <w:r>
              <w:rPr>
                <w:rFonts w:ascii="Arial" w:cs="Arial" w:eastAsia="Arial" w:hAnsi="Arial"/>
                <w:sz w:val="18"/>
                <w:szCs w:val="18"/>
                <w:color w:val="auto"/>
              </w:rPr>
              <w:t>C. S. Cox</w:t>
            </w:r>
          </w:p>
        </w:tc>
        <w:tc>
          <w:tcPr>
            <w:tcW w:w="700" w:type="dxa"/>
            <w:vAlign w:val="bottom"/>
          </w:tcPr>
          <w:p>
            <w:pPr>
              <w:ind w:left="60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85,000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94"/>
              <w:spacing w:after="0" w:line="202" w:lineRule="exact"/>
              <w:rPr>
                <w:sz w:val="20"/>
                <w:szCs w:val="20"/>
                <w:color w:val="auto"/>
              </w:rPr>
            </w:pPr>
            <w:r>
              <w:rPr>
                <w:rFonts w:ascii="Arial" w:cs="Arial" w:eastAsia="Arial" w:hAnsi="Arial"/>
                <w:sz w:val="18"/>
                <w:szCs w:val="18"/>
                <w:color w:val="auto"/>
              </w:rPr>
              <w:t>99,920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99,984</w:t>
            </w:r>
          </w:p>
        </w:tc>
        <w:tc>
          <w:tcPr>
            <w:tcW w:w="1360" w:type="dxa"/>
            <w:vAlign w:val="bottom"/>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97"/>
              <w:spacing w:after="0" w:line="202" w:lineRule="exact"/>
              <w:rPr>
                <w:sz w:val="20"/>
                <w:szCs w:val="20"/>
                <w:color w:val="auto"/>
              </w:rPr>
            </w:pPr>
            <w:r>
              <w:rPr>
                <w:rFonts w:ascii="Arial" w:cs="Arial" w:eastAsia="Arial" w:hAnsi="Arial"/>
                <w:sz w:val="18"/>
                <w:szCs w:val="18"/>
                <w:color w:val="auto"/>
              </w:rPr>
              <w:t>$ 2,528</w:t>
            </w:r>
          </w:p>
        </w:tc>
        <w:tc>
          <w:tcPr>
            <w:tcW w:w="34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22,540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309,972</w:t>
            </w:r>
          </w:p>
        </w:tc>
      </w:tr>
      <w:tr>
        <w:trPr>
          <w:trHeight w:val="203"/>
        </w:trPr>
        <w:tc>
          <w:tcPr>
            <w:tcW w:w="1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 S. Craighead</w:t>
            </w:r>
          </w:p>
        </w:tc>
        <w:tc>
          <w:tcPr>
            <w:tcW w:w="700" w:type="dxa"/>
            <w:vAlign w:val="bottom"/>
            <w:shd w:val="clear" w:color="auto" w:fill="E5E5E5"/>
          </w:tcPr>
          <w:p>
            <w:pPr>
              <w:ind w:left="60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E5E5E5"/>
          </w:tcPr>
          <w:p>
            <w:pPr>
              <w:jc w:val="right"/>
              <w:ind w:right="92"/>
              <w:spacing w:after="0" w:line="202" w:lineRule="exact"/>
              <w:rPr>
                <w:sz w:val="20"/>
                <w:szCs w:val="20"/>
                <w:color w:val="auto"/>
              </w:rPr>
            </w:pPr>
            <w:r>
              <w:rPr>
                <w:rFonts w:ascii="Arial" w:cs="Arial" w:eastAsia="Arial" w:hAnsi="Arial"/>
                <w:sz w:val="18"/>
                <w:szCs w:val="18"/>
                <w:color w:val="auto"/>
              </w:rPr>
              <w:t>85,000</w:t>
            </w:r>
          </w:p>
        </w:tc>
        <w:tc>
          <w:tcPr>
            <w:tcW w:w="3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94"/>
              <w:spacing w:after="0" w:line="202" w:lineRule="exact"/>
              <w:rPr>
                <w:sz w:val="20"/>
                <w:szCs w:val="20"/>
                <w:color w:val="auto"/>
              </w:rPr>
            </w:pPr>
            <w:r>
              <w:rPr>
                <w:rFonts w:ascii="Arial" w:cs="Arial" w:eastAsia="Arial" w:hAnsi="Arial"/>
                <w:sz w:val="18"/>
                <w:szCs w:val="18"/>
                <w:color w:val="auto"/>
              </w:rPr>
              <w:t>99,920</w:t>
            </w:r>
          </w:p>
        </w:tc>
        <w:tc>
          <w:tcPr>
            <w:tcW w:w="2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99,984</w:t>
            </w:r>
          </w:p>
        </w:tc>
        <w:tc>
          <w:tcPr>
            <w:tcW w:w="1360" w:type="dxa"/>
            <w:vAlign w:val="bottom"/>
            <w:shd w:val="clear" w:color="auto" w:fill="E5E5E5"/>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E5E5E5"/>
          </w:tcPr>
          <w:p>
            <w:pPr>
              <w:jc w:val="right"/>
              <w:ind w:right="97"/>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53"/>
              <w:spacing w:after="0" w:line="202" w:lineRule="exact"/>
              <w:rPr>
                <w:sz w:val="20"/>
                <w:szCs w:val="20"/>
                <w:color w:val="auto"/>
              </w:rPr>
            </w:pPr>
            <w:r>
              <w:rPr>
                <w:rFonts w:ascii="Arial" w:cs="Arial" w:eastAsia="Arial" w:hAnsi="Arial"/>
                <w:sz w:val="18"/>
                <w:szCs w:val="18"/>
                <w:color w:val="auto"/>
              </w:rPr>
              <w:t>27,540</w:t>
            </w:r>
          </w:p>
        </w:tc>
        <w:tc>
          <w:tcPr>
            <w:tcW w:w="2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12"/>
              <w:spacing w:after="0" w:line="202" w:lineRule="exact"/>
              <w:rPr>
                <w:sz w:val="20"/>
                <w:szCs w:val="20"/>
                <w:color w:val="auto"/>
              </w:rPr>
            </w:pPr>
            <w:r>
              <w:rPr>
                <w:rFonts w:ascii="Arial" w:cs="Arial" w:eastAsia="Arial" w:hAnsi="Arial"/>
                <w:sz w:val="18"/>
                <w:szCs w:val="18"/>
                <w:color w:val="auto"/>
              </w:rPr>
              <w:t>312,444</w:t>
            </w:r>
          </w:p>
        </w:tc>
      </w:tr>
      <w:tr>
        <w:trPr>
          <w:trHeight w:val="203"/>
        </w:trPr>
        <w:tc>
          <w:tcPr>
            <w:tcW w:w="1900" w:type="dxa"/>
            <w:vAlign w:val="bottom"/>
          </w:tcPr>
          <w:p>
            <w:pPr>
              <w:spacing w:after="0" w:line="202" w:lineRule="exact"/>
              <w:rPr>
                <w:sz w:val="20"/>
                <w:szCs w:val="20"/>
                <w:color w:val="auto"/>
              </w:rPr>
            </w:pPr>
            <w:r>
              <w:rPr>
                <w:rFonts w:ascii="Arial" w:cs="Arial" w:eastAsia="Arial" w:hAnsi="Arial"/>
                <w:sz w:val="18"/>
                <w:szCs w:val="18"/>
                <w:color w:val="auto"/>
              </w:rPr>
              <w:t>J. M. Hobby</w:t>
            </w:r>
          </w:p>
        </w:tc>
        <w:tc>
          <w:tcPr>
            <w:tcW w:w="700" w:type="dxa"/>
            <w:vAlign w:val="bottom"/>
          </w:tcPr>
          <w:p>
            <w:pPr>
              <w:ind w:left="60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85,000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94"/>
              <w:spacing w:after="0" w:line="202" w:lineRule="exact"/>
              <w:rPr>
                <w:sz w:val="20"/>
                <w:szCs w:val="20"/>
                <w:color w:val="auto"/>
              </w:rPr>
            </w:pPr>
            <w:r>
              <w:rPr>
                <w:rFonts w:ascii="Arial" w:cs="Arial" w:eastAsia="Arial" w:hAnsi="Arial"/>
                <w:sz w:val="18"/>
                <w:szCs w:val="18"/>
                <w:color w:val="auto"/>
              </w:rPr>
              <w:t>99,920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99,984</w:t>
            </w:r>
          </w:p>
        </w:tc>
        <w:tc>
          <w:tcPr>
            <w:tcW w:w="1360" w:type="dxa"/>
            <w:vAlign w:val="bottom"/>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97"/>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40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284,944</w:t>
            </w:r>
          </w:p>
        </w:tc>
      </w:tr>
      <w:tr>
        <w:trPr>
          <w:trHeight w:val="203"/>
        </w:trPr>
        <w:tc>
          <w:tcPr>
            <w:tcW w:w="1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 Kirk</w:t>
            </w:r>
          </w:p>
        </w:tc>
        <w:tc>
          <w:tcPr>
            <w:tcW w:w="700" w:type="dxa"/>
            <w:vAlign w:val="bottom"/>
            <w:shd w:val="clear" w:color="auto" w:fill="E5E5E5"/>
          </w:tcPr>
          <w:p>
            <w:pPr>
              <w:ind w:left="60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E5E5E5"/>
          </w:tcPr>
          <w:p>
            <w:pPr>
              <w:jc w:val="right"/>
              <w:ind w:right="92"/>
              <w:spacing w:after="0" w:line="202" w:lineRule="exact"/>
              <w:rPr>
                <w:sz w:val="20"/>
                <w:szCs w:val="20"/>
                <w:color w:val="auto"/>
              </w:rPr>
            </w:pPr>
            <w:r>
              <w:rPr>
                <w:rFonts w:ascii="Arial" w:cs="Arial" w:eastAsia="Arial" w:hAnsi="Arial"/>
                <w:sz w:val="18"/>
                <w:szCs w:val="18"/>
                <w:color w:val="auto"/>
              </w:rPr>
              <w:t>100,000</w:t>
            </w:r>
          </w:p>
        </w:tc>
        <w:tc>
          <w:tcPr>
            <w:tcW w:w="3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94"/>
              <w:spacing w:after="0" w:line="202" w:lineRule="exact"/>
              <w:rPr>
                <w:sz w:val="20"/>
                <w:szCs w:val="20"/>
                <w:color w:val="auto"/>
              </w:rPr>
            </w:pPr>
            <w:r>
              <w:rPr>
                <w:rFonts w:ascii="Arial" w:cs="Arial" w:eastAsia="Arial" w:hAnsi="Arial"/>
                <w:sz w:val="18"/>
                <w:szCs w:val="18"/>
                <w:color w:val="auto"/>
              </w:rPr>
              <w:t>99,920</w:t>
            </w:r>
          </w:p>
        </w:tc>
        <w:tc>
          <w:tcPr>
            <w:tcW w:w="2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99,984</w:t>
            </w:r>
          </w:p>
        </w:tc>
        <w:tc>
          <w:tcPr>
            <w:tcW w:w="1360" w:type="dxa"/>
            <w:vAlign w:val="bottom"/>
            <w:shd w:val="clear" w:color="auto" w:fill="E5E5E5"/>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E5E5E5"/>
          </w:tcPr>
          <w:p>
            <w:pPr>
              <w:jc w:val="right"/>
              <w:ind w:right="97"/>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53"/>
              <w:spacing w:after="0" w:line="202" w:lineRule="exact"/>
              <w:rPr>
                <w:sz w:val="20"/>
                <w:szCs w:val="20"/>
                <w:color w:val="auto"/>
              </w:rPr>
            </w:pPr>
            <w:r>
              <w:rPr>
                <w:rFonts w:ascii="Arial" w:cs="Arial" w:eastAsia="Arial" w:hAnsi="Arial"/>
                <w:sz w:val="18"/>
                <w:szCs w:val="18"/>
                <w:color w:val="auto"/>
              </w:rPr>
              <w:t>15,089</w:t>
            </w:r>
          </w:p>
        </w:tc>
        <w:tc>
          <w:tcPr>
            <w:tcW w:w="2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12"/>
              <w:spacing w:after="0" w:line="202" w:lineRule="exact"/>
              <w:rPr>
                <w:sz w:val="20"/>
                <w:szCs w:val="20"/>
                <w:color w:val="auto"/>
              </w:rPr>
            </w:pPr>
            <w:r>
              <w:rPr>
                <w:rFonts w:ascii="Arial" w:cs="Arial" w:eastAsia="Arial" w:hAnsi="Arial"/>
                <w:sz w:val="18"/>
                <w:szCs w:val="18"/>
                <w:color w:val="auto"/>
              </w:rPr>
              <w:t>314,993</w:t>
            </w:r>
          </w:p>
        </w:tc>
      </w:tr>
      <w:tr>
        <w:trPr>
          <w:trHeight w:val="203"/>
        </w:trPr>
        <w:tc>
          <w:tcPr>
            <w:tcW w:w="1900" w:type="dxa"/>
            <w:vAlign w:val="bottom"/>
          </w:tcPr>
          <w:p>
            <w:pPr>
              <w:spacing w:after="0" w:line="202" w:lineRule="exact"/>
              <w:rPr>
                <w:sz w:val="20"/>
                <w:szCs w:val="20"/>
                <w:color w:val="auto"/>
              </w:rPr>
            </w:pPr>
            <w:r>
              <w:rPr>
                <w:rFonts w:ascii="Arial" w:cs="Arial" w:eastAsia="Arial" w:hAnsi="Arial"/>
                <w:sz w:val="18"/>
                <w:szCs w:val="18"/>
                <w:color w:val="auto"/>
              </w:rPr>
              <w:t>P. H. Patsley</w:t>
            </w:r>
          </w:p>
        </w:tc>
        <w:tc>
          <w:tcPr>
            <w:tcW w:w="700" w:type="dxa"/>
            <w:vAlign w:val="bottom"/>
          </w:tcPr>
          <w:p>
            <w:pPr>
              <w:ind w:left="60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121,667</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94"/>
              <w:spacing w:after="0" w:line="202" w:lineRule="exact"/>
              <w:rPr>
                <w:sz w:val="20"/>
                <w:szCs w:val="20"/>
                <w:color w:val="auto"/>
              </w:rPr>
            </w:pPr>
            <w:r>
              <w:rPr>
                <w:rFonts w:ascii="Arial" w:cs="Arial" w:eastAsia="Arial" w:hAnsi="Arial"/>
                <w:sz w:val="18"/>
                <w:szCs w:val="18"/>
                <w:color w:val="auto"/>
              </w:rPr>
              <w:t>99,920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99,984</w:t>
            </w:r>
          </w:p>
        </w:tc>
        <w:tc>
          <w:tcPr>
            <w:tcW w:w="1360" w:type="dxa"/>
            <w:vAlign w:val="bottom"/>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97"/>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30,040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351,611</w:t>
            </w:r>
          </w:p>
        </w:tc>
      </w:tr>
      <w:tr>
        <w:trPr>
          <w:trHeight w:val="203"/>
        </w:trPr>
        <w:tc>
          <w:tcPr>
            <w:tcW w:w="1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 E. Sanchez</w:t>
            </w:r>
          </w:p>
        </w:tc>
        <w:tc>
          <w:tcPr>
            <w:tcW w:w="700" w:type="dxa"/>
            <w:vAlign w:val="bottom"/>
            <w:shd w:val="clear" w:color="auto" w:fill="E5E5E5"/>
          </w:tcPr>
          <w:p>
            <w:pPr>
              <w:ind w:left="60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E5E5E5"/>
          </w:tcPr>
          <w:p>
            <w:pPr>
              <w:jc w:val="right"/>
              <w:ind w:right="92"/>
              <w:spacing w:after="0" w:line="202" w:lineRule="exact"/>
              <w:rPr>
                <w:sz w:val="20"/>
                <w:szCs w:val="20"/>
                <w:color w:val="auto"/>
              </w:rPr>
            </w:pPr>
            <w:r>
              <w:rPr>
                <w:rFonts w:ascii="Arial" w:cs="Arial" w:eastAsia="Arial" w:hAnsi="Arial"/>
                <w:sz w:val="18"/>
                <w:szCs w:val="18"/>
                <w:color w:val="auto"/>
              </w:rPr>
              <w:t>85,000</w:t>
            </w:r>
          </w:p>
        </w:tc>
        <w:tc>
          <w:tcPr>
            <w:tcW w:w="3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94"/>
              <w:spacing w:after="0" w:line="202" w:lineRule="exact"/>
              <w:rPr>
                <w:sz w:val="20"/>
                <w:szCs w:val="20"/>
                <w:color w:val="auto"/>
              </w:rPr>
            </w:pPr>
            <w:r>
              <w:rPr>
                <w:rFonts w:ascii="Arial" w:cs="Arial" w:eastAsia="Arial" w:hAnsi="Arial"/>
                <w:sz w:val="18"/>
                <w:szCs w:val="18"/>
                <w:color w:val="auto"/>
              </w:rPr>
              <w:t>99,920</w:t>
            </w:r>
          </w:p>
        </w:tc>
        <w:tc>
          <w:tcPr>
            <w:tcW w:w="2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114"/>
              <w:spacing w:after="0" w:line="202" w:lineRule="exact"/>
              <w:rPr>
                <w:sz w:val="20"/>
                <w:szCs w:val="20"/>
                <w:color w:val="auto"/>
              </w:rPr>
            </w:pPr>
            <w:r>
              <w:rPr>
                <w:rFonts w:ascii="Arial" w:cs="Arial" w:eastAsia="Arial" w:hAnsi="Arial"/>
                <w:sz w:val="18"/>
                <w:szCs w:val="18"/>
                <w:color w:val="auto"/>
              </w:rPr>
              <w:t>99,984</w:t>
            </w:r>
          </w:p>
        </w:tc>
        <w:tc>
          <w:tcPr>
            <w:tcW w:w="1360" w:type="dxa"/>
            <w:vAlign w:val="bottom"/>
            <w:shd w:val="clear" w:color="auto" w:fill="E5E5E5"/>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E5E5E5"/>
          </w:tcPr>
          <w:p>
            <w:pPr>
              <w:jc w:val="right"/>
              <w:ind w:right="97"/>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53"/>
              <w:spacing w:after="0" w:line="202" w:lineRule="exact"/>
              <w:rPr>
                <w:sz w:val="20"/>
                <w:szCs w:val="20"/>
                <w:color w:val="auto"/>
              </w:rPr>
            </w:pPr>
            <w:r>
              <w:rPr>
                <w:rFonts w:ascii="Arial" w:cs="Arial" w:eastAsia="Arial" w:hAnsi="Arial"/>
                <w:sz w:val="18"/>
                <w:szCs w:val="18"/>
                <w:color w:val="auto"/>
              </w:rPr>
              <w:t>20,040</w:t>
            </w:r>
          </w:p>
        </w:tc>
        <w:tc>
          <w:tcPr>
            <w:tcW w:w="2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12"/>
              <w:spacing w:after="0" w:line="202" w:lineRule="exact"/>
              <w:rPr>
                <w:sz w:val="20"/>
                <w:szCs w:val="20"/>
                <w:color w:val="auto"/>
              </w:rPr>
            </w:pPr>
            <w:r>
              <w:rPr>
                <w:rFonts w:ascii="Arial" w:cs="Arial" w:eastAsia="Arial" w:hAnsi="Arial"/>
                <w:sz w:val="18"/>
                <w:szCs w:val="18"/>
                <w:color w:val="auto"/>
              </w:rPr>
              <w:t>304,944</w:t>
            </w:r>
          </w:p>
        </w:tc>
      </w:tr>
    </w:tbl>
    <w:p>
      <w:pPr>
        <w:spacing w:after="0" w:line="121" w:lineRule="exact"/>
        <w:rPr>
          <w:sz w:val="20"/>
          <w:szCs w:val="20"/>
          <w:color w:val="auto"/>
        </w:rPr>
      </w:pPr>
    </w:p>
    <w:p>
      <w:pPr>
        <w:jc w:val="both"/>
        <w:ind w:left="540" w:right="260" w:hanging="424"/>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Hsu was elected to the board effective April 1, 2020, and accordingly received no compensation for services as a TI director in 2019. Mr. Babb and Mr. Carp, independent directors, reached the age of 70 by the date of the 2019 annual meeting and therefore were ineligible under the company’s by-laws to stand for re-election at the meeting.</w:t>
      </w:r>
    </w:p>
    <w:p>
      <w:pPr>
        <w:spacing w:after="0" w:line="108" w:lineRule="exact"/>
        <w:rPr>
          <w:rFonts w:ascii="Arial" w:cs="Arial" w:eastAsia="Arial" w:hAnsi="Arial"/>
          <w:sz w:val="18"/>
          <w:szCs w:val="18"/>
          <w:color w:val="auto"/>
        </w:rPr>
      </w:pPr>
    </w:p>
    <w:p>
      <w:pPr>
        <w:ind w:left="540" w:hanging="424"/>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amounts deferred at the director’s election.</w:t>
      </w:r>
    </w:p>
    <w:p>
      <w:pPr>
        <w:spacing w:after="0" w:line="117" w:lineRule="exact"/>
        <w:rPr>
          <w:rFonts w:ascii="Arial" w:cs="Arial" w:eastAsia="Arial" w:hAnsi="Arial"/>
          <w:sz w:val="18"/>
          <w:szCs w:val="18"/>
          <w:color w:val="auto"/>
        </w:rPr>
      </w:pPr>
    </w:p>
    <w:p>
      <w:pPr>
        <w:ind w:left="540" w:right="40" w:hanging="424"/>
        <w:spacing w:after="0" w:line="236"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Shown is the aggregate grant date fair value of restricted stock units granted in 2019 calculated in accordance with Financial Accounting Standards Board Accounting Standards Codification</w:t>
      </w:r>
      <w:r>
        <w:rPr>
          <w:rFonts w:ascii="Arial" w:cs="Arial" w:eastAsia="Arial" w:hAnsi="Arial"/>
          <w:sz w:val="15"/>
          <w:szCs w:val="15"/>
          <w:color w:val="auto"/>
        </w:rPr>
        <w:t>™</w:t>
      </w:r>
      <w:r>
        <w:rPr>
          <w:rFonts w:ascii="Arial" w:cs="Arial" w:eastAsia="Arial" w:hAnsi="Arial"/>
          <w:sz w:val="18"/>
          <w:szCs w:val="18"/>
          <w:color w:val="auto"/>
        </w:rPr>
        <w:t xml:space="preserve"> Topic 718, Compensation-Stock Compensation (ASC 718). The discussion of the assumptions used for purposes of calculating the grant date fair value appears in Note 3 to the financial statements contained in Item 8 (“Note 3 to the 2019 financial statements”) in TI’s annual report on Form 10-K for the year ended December 31, 2019. Each restricted stock unit represents the right to receive one share of TI common stock. For restricted stock units granted prior to 2007, shares are issued at the time of mandatory retirement from the board (age 70) or upon the earlier of termination of service from the board after completing eight years of service or death or disability. For information regarding share issuances under restricted stock units granted after 2006, see the discussion on page 36.</w:t>
      </w:r>
    </w:p>
    <w:p>
      <w:pPr>
        <w:spacing w:after="0" w:line="99" w:lineRule="exact"/>
        <w:rPr>
          <w:rFonts w:ascii="Arial" w:cs="Arial" w:eastAsia="Arial" w:hAnsi="Arial"/>
          <w:sz w:val="18"/>
          <w:szCs w:val="18"/>
          <w:color w:val="auto"/>
        </w:rPr>
      </w:pPr>
    </w:p>
    <w:p>
      <w:pPr>
        <w:ind w:left="560" w:right="180"/>
        <w:spacing w:after="0" w:line="246" w:lineRule="auto"/>
        <w:rPr>
          <w:rFonts w:ascii="Arial" w:cs="Arial" w:eastAsia="Arial" w:hAnsi="Arial"/>
          <w:sz w:val="18"/>
          <w:szCs w:val="18"/>
          <w:color w:val="auto"/>
        </w:rPr>
      </w:pPr>
      <w:r>
        <w:rPr>
          <w:rFonts w:ascii="Arial" w:cs="Arial" w:eastAsia="Arial" w:hAnsi="Arial"/>
          <w:sz w:val="18"/>
          <w:szCs w:val="18"/>
          <w:color w:val="auto"/>
        </w:rPr>
        <w:t>The table below shows the aggregate number of shares underlying outstanding restricted stock units held by the named individuals as of December 31, 2019.</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100" w:type="dxa"/>
            <w:vAlign w:val="bottom"/>
          </w:tcPr>
          <w:p>
            <w:pPr>
              <w:jc w:val="center"/>
              <w:ind w:left="6035"/>
              <w:spacing w:after="0"/>
              <w:rPr>
                <w:sz w:val="20"/>
                <w:szCs w:val="20"/>
                <w:color w:val="auto"/>
              </w:rPr>
            </w:pPr>
            <w:r>
              <w:rPr>
                <w:rFonts w:ascii="Arial" w:cs="Arial" w:eastAsia="Arial" w:hAnsi="Arial"/>
                <w:sz w:val="14"/>
                <w:szCs w:val="14"/>
                <w:b w:val="1"/>
                <w:bCs w:val="1"/>
                <w:color w:val="auto"/>
              </w:rPr>
              <w:t>Restricted</w:t>
            </w:r>
          </w:p>
        </w:tc>
      </w:tr>
      <w:tr>
        <w:trPr>
          <w:trHeight w:val="162"/>
        </w:trPr>
        <w:tc>
          <w:tcPr>
            <w:tcW w:w="8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100" w:type="dxa"/>
            <w:vAlign w:val="bottom"/>
          </w:tcPr>
          <w:p>
            <w:pPr>
              <w:jc w:val="center"/>
              <w:ind w:left="6035"/>
              <w:spacing w:after="0"/>
              <w:rPr>
                <w:sz w:val="20"/>
                <w:szCs w:val="20"/>
                <w:color w:val="auto"/>
              </w:rPr>
            </w:pPr>
            <w:r>
              <w:rPr>
                <w:rFonts w:ascii="Arial" w:cs="Arial" w:eastAsia="Arial" w:hAnsi="Arial"/>
                <w:sz w:val="14"/>
                <w:szCs w:val="14"/>
                <w:b w:val="1"/>
                <w:bCs w:val="1"/>
                <w:color w:val="auto"/>
              </w:rPr>
              <w:t>Stock Units</w:t>
            </w:r>
          </w:p>
        </w:tc>
      </w:tr>
      <w:tr>
        <w:trPr>
          <w:trHeight w:val="175"/>
        </w:trPr>
        <w:tc>
          <w:tcPr>
            <w:tcW w:w="3040" w:type="dxa"/>
            <w:vAlign w:val="bottom"/>
            <w:gridSpan w:val="2"/>
          </w:tcPr>
          <w:p>
            <w:pPr>
              <w:ind w:left="880"/>
              <w:spacing w:after="0"/>
              <w:rPr>
                <w:sz w:val="20"/>
                <w:szCs w:val="20"/>
                <w:color w:val="auto"/>
              </w:rPr>
            </w:pPr>
            <w:r>
              <w:rPr>
                <w:rFonts w:ascii="Arial" w:cs="Arial" w:eastAsia="Arial" w:hAnsi="Arial"/>
                <w:sz w:val="14"/>
                <w:szCs w:val="14"/>
                <w:b w:val="1"/>
                <w:bCs w:val="1"/>
                <w:color w:val="auto"/>
              </w:rPr>
              <w:t>Name</w:t>
            </w:r>
          </w:p>
        </w:tc>
        <w:tc>
          <w:tcPr>
            <w:tcW w:w="7100" w:type="dxa"/>
            <w:vAlign w:val="bottom"/>
          </w:tcPr>
          <w:p>
            <w:pPr>
              <w:jc w:val="center"/>
              <w:ind w:left="6035"/>
              <w:spacing w:after="0"/>
              <w:rPr>
                <w:sz w:val="20"/>
                <w:szCs w:val="20"/>
                <w:color w:val="auto"/>
              </w:rPr>
            </w:pPr>
            <w:r>
              <w:rPr>
                <w:rFonts w:ascii="Arial" w:cs="Arial" w:eastAsia="Arial" w:hAnsi="Arial"/>
                <w:sz w:val="14"/>
                <w:szCs w:val="14"/>
                <w:b w:val="1"/>
                <w:bCs w:val="1"/>
                <w:color w:val="auto"/>
              </w:rPr>
              <w:t>(in Shares)</w:t>
            </w:r>
          </w:p>
        </w:tc>
      </w:tr>
      <w:tr>
        <w:trPr>
          <w:trHeight w:val="196"/>
        </w:trPr>
        <w:tc>
          <w:tcPr>
            <w:tcW w:w="880" w:type="dxa"/>
            <w:vAlign w:val="bottom"/>
          </w:tcPr>
          <w:p>
            <w:pPr>
              <w:spacing w:after="0"/>
              <w:rPr>
                <w:sz w:val="17"/>
                <w:szCs w:val="17"/>
                <w:color w:val="auto"/>
              </w:rPr>
            </w:pPr>
          </w:p>
        </w:tc>
        <w:tc>
          <w:tcPr>
            <w:tcW w:w="2160" w:type="dxa"/>
            <w:vAlign w:val="bottom"/>
            <w:tcBorders>
              <w:top w:val="single" w:sz="8" w:color="auto"/>
            </w:tcBorders>
            <w:shd w:val="clear" w:color="auto" w:fill="E5E5E5"/>
          </w:tcPr>
          <w:p>
            <w:pPr>
              <w:spacing w:after="0" w:line="196" w:lineRule="exact"/>
              <w:rPr>
                <w:sz w:val="20"/>
                <w:szCs w:val="20"/>
                <w:color w:val="auto"/>
              </w:rPr>
            </w:pPr>
            <w:r>
              <w:rPr>
                <w:rFonts w:ascii="Arial" w:cs="Arial" w:eastAsia="Arial" w:hAnsi="Arial"/>
                <w:sz w:val="18"/>
                <w:szCs w:val="18"/>
                <w:color w:val="auto"/>
              </w:rPr>
              <w:t>R. W. Babb, Jr.</w:t>
            </w:r>
          </w:p>
        </w:tc>
        <w:tc>
          <w:tcPr>
            <w:tcW w:w="7100" w:type="dxa"/>
            <w:vAlign w:val="bottom"/>
            <w:tcBorders>
              <w:top w:val="single" w:sz="8" w:color="auto"/>
            </w:tcBorders>
            <w:shd w:val="clear" w:color="auto" w:fill="E5E5E5"/>
          </w:tcPr>
          <w:p>
            <w:pPr>
              <w:jc w:val="right"/>
              <w:ind w:right="15"/>
              <w:spacing w:after="0" w:line="196" w:lineRule="exact"/>
              <w:rPr>
                <w:sz w:val="20"/>
                <w:szCs w:val="20"/>
                <w:color w:val="auto"/>
              </w:rPr>
            </w:pPr>
            <w:r>
              <w:rPr>
                <w:rFonts w:ascii="Arial" w:cs="Arial" w:eastAsia="Arial" w:hAnsi="Arial"/>
                <w:sz w:val="18"/>
                <w:szCs w:val="18"/>
                <w:color w:val="auto"/>
              </w:rPr>
              <w:t>5,014</w:t>
            </w:r>
          </w:p>
        </w:tc>
      </w:tr>
      <w:tr>
        <w:trPr>
          <w:trHeight w:val="203"/>
        </w:trPr>
        <w:tc>
          <w:tcPr>
            <w:tcW w:w="880" w:type="dxa"/>
            <w:vAlign w:val="bottom"/>
          </w:tcPr>
          <w:p>
            <w:pPr>
              <w:spacing w:after="0"/>
              <w:rPr>
                <w:sz w:val="17"/>
                <w:szCs w:val="17"/>
                <w:color w:val="auto"/>
              </w:rPr>
            </w:pPr>
          </w:p>
        </w:tc>
        <w:tc>
          <w:tcPr>
            <w:tcW w:w="2160" w:type="dxa"/>
            <w:vAlign w:val="bottom"/>
          </w:tcPr>
          <w:p>
            <w:pPr>
              <w:spacing w:after="0" w:line="202" w:lineRule="exact"/>
              <w:rPr>
                <w:sz w:val="20"/>
                <w:szCs w:val="20"/>
                <w:color w:val="auto"/>
              </w:rPr>
            </w:pPr>
            <w:r>
              <w:rPr>
                <w:rFonts w:ascii="Arial" w:cs="Arial" w:eastAsia="Arial" w:hAnsi="Arial"/>
                <w:sz w:val="18"/>
                <w:szCs w:val="18"/>
                <w:color w:val="auto"/>
              </w:rPr>
              <w:t>M. A. Blinn</w:t>
            </w:r>
          </w:p>
        </w:tc>
        <w:tc>
          <w:tcPr>
            <w:tcW w:w="71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11,135</w:t>
            </w:r>
          </w:p>
        </w:tc>
      </w:tr>
      <w:tr>
        <w:trPr>
          <w:trHeight w:val="203"/>
        </w:trPr>
        <w:tc>
          <w:tcPr>
            <w:tcW w:w="880" w:type="dxa"/>
            <w:vAlign w:val="bottom"/>
          </w:tcPr>
          <w:p>
            <w:pPr>
              <w:spacing w:after="0"/>
              <w:rPr>
                <w:sz w:val="17"/>
                <w:szCs w:val="17"/>
                <w:color w:val="auto"/>
              </w:rPr>
            </w:pPr>
          </w:p>
        </w:tc>
        <w:tc>
          <w:tcPr>
            <w:tcW w:w="21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 M. Bluedorn</w:t>
            </w:r>
          </w:p>
        </w:tc>
        <w:tc>
          <w:tcPr>
            <w:tcW w:w="7100" w:type="dxa"/>
            <w:vAlign w:val="bottom"/>
            <w:shd w:val="clear" w:color="auto" w:fill="E5E5E5"/>
          </w:tcPr>
          <w:p>
            <w:pPr>
              <w:jc w:val="right"/>
              <w:ind w:right="15"/>
              <w:spacing w:after="0" w:line="202" w:lineRule="exact"/>
              <w:rPr>
                <w:sz w:val="20"/>
                <w:szCs w:val="20"/>
                <w:color w:val="auto"/>
              </w:rPr>
            </w:pPr>
            <w:r>
              <w:rPr>
                <w:rFonts w:ascii="Arial" w:cs="Arial" w:eastAsia="Arial" w:hAnsi="Arial"/>
                <w:sz w:val="18"/>
                <w:szCs w:val="18"/>
                <w:color w:val="auto"/>
              </w:rPr>
              <w:t>3,864</w:t>
            </w:r>
          </w:p>
        </w:tc>
      </w:tr>
      <w:tr>
        <w:trPr>
          <w:trHeight w:val="203"/>
        </w:trPr>
        <w:tc>
          <w:tcPr>
            <w:tcW w:w="880" w:type="dxa"/>
            <w:vAlign w:val="bottom"/>
          </w:tcPr>
          <w:p>
            <w:pPr>
              <w:spacing w:after="0"/>
              <w:rPr>
                <w:sz w:val="17"/>
                <w:szCs w:val="17"/>
                <w:color w:val="auto"/>
              </w:rPr>
            </w:pPr>
          </w:p>
        </w:tc>
        <w:tc>
          <w:tcPr>
            <w:tcW w:w="2160" w:type="dxa"/>
            <w:vAlign w:val="bottom"/>
          </w:tcPr>
          <w:p>
            <w:pPr>
              <w:spacing w:after="0" w:line="202" w:lineRule="exact"/>
              <w:rPr>
                <w:sz w:val="20"/>
                <w:szCs w:val="20"/>
                <w:color w:val="auto"/>
              </w:rPr>
            </w:pPr>
            <w:r>
              <w:rPr>
                <w:rFonts w:ascii="Arial" w:cs="Arial" w:eastAsia="Arial" w:hAnsi="Arial"/>
                <w:sz w:val="18"/>
                <w:szCs w:val="18"/>
                <w:color w:val="auto"/>
              </w:rPr>
              <w:t>D. A. Carp</w:t>
            </w:r>
          </w:p>
        </w:tc>
        <w:tc>
          <w:tcPr>
            <w:tcW w:w="71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5,014</w:t>
            </w:r>
          </w:p>
        </w:tc>
      </w:tr>
      <w:tr>
        <w:trPr>
          <w:trHeight w:val="203"/>
        </w:trPr>
        <w:tc>
          <w:tcPr>
            <w:tcW w:w="880" w:type="dxa"/>
            <w:vAlign w:val="bottom"/>
          </w:tcPr>
          <w:p>
            <w:pPr>
              <w:spacing w:after="0"/>
              <w:rPr>
                <w:sz w:val="17"/>
                <w:szCs w:val="17"/>
                <w:color w:val="auto"/>
              </w:rPr>
            </w:pPr>
          </w:p>
        </w:tc>
        <w:tc>
          <w:tcPr>
            <w:tcW w:w="21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J. F. Clark</w:t>
            </w:r>
          </w:p>
        </w:tc>
        <w:tc>
          <w:tcPr>
            <w:tcW w:w="7100" w:type="dxa"/>
            <w:vAlign w:val="bottom"/>
            <w:shd w:val="clear" w:color="auto" w:fill="E5E5E5"/>
          </w:tcPr>
          <w:p>
            <w:pPr>
              <w:jc w:val="right"/>
              <w:ind w:right="15"/>
              <w:spacing w:after="0" w:line="202" w:lineRule="exact"/>
              <w:rPr>
                <w:sz w:val="20"/>
                <w:szCs w:val="20"/>
                <w:color w:val="auto"/>
              </w:rPr>
            </w:pPr>
            <w:r>
              <w:rPr>
                <w:rFonts w:ascii="Arial" w:cs="Arial" w:eastAsia="Arial" w:hAnsi="Arial"/>
                <w:sz w:val="18"/>
                <w:szCs w:val="18"/>
                <w:color w:val="auto"/>
              </w:rPr>
              <w:t>7,014</w:t>
            </w:r>
          </w:p>
        </w:tc>
      </w:tr>
      <w:tr>
        <w:trPr>
          <w:trHeight w:val="203"/>
        </w:trPr>
        <w:tc>
          <w:tcPr>
            <w:tcW w:w="880" w:type="dxa"/>
            <w:vAlign w:val="bottom"/>
          </w:tcPr>
          <w:p>
            <w:pPr>
              <w:spacing w:after="0"/>
              <w:rPr>
                <w:sz w:val="17"/>
                <w:szCs w:val="17"/>
                <w:color w:val="auto"/>
              </w:rPr>
            </w:pPr>
          </w:p>
        </w:tc>
        <w:tc>
          <w:tcPr>
            <w:tcW w:w="2160" w:type="dxa"/>
            <w:vAlign w:val="bottom"/>
          </w:tcPr>
          <w:p>
            <w:pPr>
              <w:spacing w:after="0" w:line="202" w:lineRule="exact"/>
              <w:rPr>
                <w:sz w:val="20"/>
                <w:szCs w:val="20"/>
                <w:color w:val="auto"/>
              </w:rPr>
            </w:pPr>
            <w:r>
              <w:rPr>
                <w:rFonts w:ascii="Arial" w:cs="Arial" w:eastAsia="Arial" w:hAnsi="Arial"/>
                <w:sz w:val="18"/>
                <w:szCs w:val="18"/>
                <w:color w:val="auto"/>
              </w:rPr>
              <w:t>C. S. Cox</w:t>
            </w:r>
          </w:p>
        </w:tc>
        <w:tc>
          <w:tcPr>
            <w:tcW w:w="71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30,160</w:t>
            </w:r>
          </w:p>
        </w:tc>
      </w:tr>
      <w:tr>
        <w:trPr>
          <w:trHeight w:val="203"/>
        </w:trPr>
        <w:tc>
          <w:tcPr>
            <w:tcW w:w="880" w:type="dxa"/>
            <w:vAlign w:val="bottom"/>
          </w:tcPr>
          <w:p>
            <w:pPr>
              <w:spacing w:after="0"/>
              <w:rPr>
                <w:sz w:val="17"/>
                <w:szCs w:val="17"/>
                <w:color w:val="auto"/>
              </w:rPr>
            </w:pPr>
          </w:p>
        </w:tc>
        <w:tc>
          <w:tcPr>
            <w:tcW w:w="21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 S. Craighead</w:t>
            </w:r>
          </w:p>
        </w:tc>
        <w:tc>
          <w:tcPr>
            <w:tcW w:w="7100" w:type="dxa"/>
            <w:vAlign w:val="bottom"/>
            <w:shd w:val="clear" w:color="auto" w:fill="E5E5E5"/>
          </w:tcPr>
          <w:p>
            <w:pPr>
              <w:jc w:val="right"/>
              <w:ind w:right="15"/>
              <w:spacing w:after="0" w:line="202" w:lineRule="exact"/>
              <w:rPr>
                <w:sz w:val="20"/>
                <w:szCs w:val="20"/>
                <w:color w:val="auto"/>
              </w:rPr>
            </w:pPr>
            <w:r>
              <w:rPr>
                <w:rFonts w:ascii="Arial" w:cs="Arial" w:eastAsia="Arial" w:hAnsi="Arial"/>
                <w:sz w:val="18"/>
                <w:szCs w:val="18"/>
                <w:color w:val="auto"/>
              </w:rPr>
              <w:t>2,957</w:t>
            </w:r>
          </w:p>
        </w:tc>
      </w:tr>
      <w:tr>
        <w:trPr>
          <w:trHeight w:val="203"/>
        </w:trPr>
        <w:tc>
          <w:tcPr>
            <w:tcW w:w="880" w:type="dxa"/>
            <w:vAlign w:val="bottom"/>
          </w:tcPr>
          <w:p>
            <w:pPr>
              <w:spacing w:after="0"/>
              <w:rPr>
                <w:sz w:val="17"/>
                <w:szCs w:val="17"/>
                <w:color w:val="auto"/>
              </w:rPr>
            </w:pPr>
          </w:p>
        </w:tc>
        <w:tc>
          <w:tcPr>
            <w:tcW w:w="2160" w:type="dxa"/>
            <w:vAlign w:val="bottom"/>
          </w:tcPr>
          <w:p>
            <w:pPr>
              <w:spacing w:after="0" w:line="202" w:lineRule="exact"/>
              <w:rPr>
                <w:sz w:val="20"/>
                <w:szCs w:val="20"/>
                <w:color w:val="auto"/>
              </w:rPr>
            </w:pPr>
            <w:r>
              <w:rPr>
                <w:rFonts w:ascii="Arial" w:cs="Arial" w:eastAsia="Arial" w:hAnsi="Arial"/>
                <w:sz w:val="18"/>
                <w:szCs w:val="18"/>
                <w:color w:val="auto"/>
              </w:rPr>
              <w:t>J. M. Hobby</w:t>
            </w:r>
          </w:p>
        </w:tc>
        <w:tc>
          <w:tcPr>
            <w:tcW w:w="71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5,125</w:t>
            </w:r>
          </w:p>
        </w:tc>
      </w:tr>
      <w:tr>
        <w:trPr>
          <w:trHeight w:val="203"/>
        </w:trPr>
        <w:tc>
          <w:tcPr>
            <w:tcW w:w="880" w:type="dxa"/>
            <w:vAlign w:val="bottom"/>
          </w:tcPr>
          <w:p>
            <w:pPr>
              <w:spacing w:after="0"/>
              <w:rPr>
                <w:sz w:val="17"/>
                <w:szCs w:val="17"/>
                <w:color w:val="auto"/>
              </w:rPr>
            </w:pPr>
          </w:p>
        </w:tc>
        <w:tc>
          <w:tcPr>
            <w:tcW w:w="21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 Kirk</w:t>
            </w:r>
          </w:p>
        </w:tc>
        <w:tc>
          <w:tcPr>
            <w:tcW w:w="7100" w:type="dxa"/>
            <w:vAlign w:val="bottom"/>
            <w:shd w:val="clear" w:color="auto" w:fill="E5E5E5"/>
          </w:tcPr>
          <w:p>
            <w:pPr>
              <w:jc w:val="right"/>
              <w:ind w:right="15"/>
              <w:spacing w:after="0" w:line="202" w:lineRule="exact"/>
              <w:rPr>
                <w:sz w:val="20"/>
                <w:szCs w:val="20"/>
                <w:color w:val="auto"/>
              </w:rPr>
            </w:pPr>
            <w:r>
              <w:rPr>
                <w:rFonts w:ascii="Arial" w:cs="Arial" w:eastAsia="Arial" w:hAnsi="Arial"/>
                <w:sz w:val="18"/>
                <w:szCs w:val="18"/>
                <w:color w:val="auto"/>
              </w:rPr>
              <w:t>5,014</w:t>
            </w:r>
          </w:p>
        </w:tc>
      </w:tr>
      <w:tr>
        <w:trPr>
          <w:trHeight w:val="203"/>
        </w:trPr>
        <w:tc>
          <w:tcPr>
            <w:tcW w:w="880" w:type="dxa"/>
            <w:vAlign w:val="bottom"/>
          </w:tcPr>
          <w:p>
            <w:pPr>
              <w:spacing w:after="0"/>
              <w:rPr>
                <w:sz w:val="17"/>
                <w:szCs w:val="17"/>
                <w:color w:val="auto"/>
              </w:rPr>
            </w:pPr>
          </w:p>
        </w:tc>
        <w:tc>
          <w:tcPr>
            <w:tcW w:w="2160" w:type="dxa"/>
            <w:vAlign w:val="bottom"/>
          </w:tcPr>
          <w:p>
            <w:pPr>
              <w:spacing w:after="0" w:line="202" w:lineRule="exact"/>
              <w:rPr>
                <w:sz w:val="20"/>
                <w:szCs w:val="20"/>
                <w:color w:val="auto"/>
              </w:rPr>
            </w:pPr>
            <w:r>
              <w:rPr>
                <w:rFonts w:ascii="Arial" w:cs="Arial" w:eastAsia="Arial" w:hAnsi="Arial"/>
                <w:sz w:val="18"/>
                <w:szCs w:val="18"/>
                <w:color w:val="auto"/>
              </w:rPr>
              <w:t>P. H. Patsley</w:t>
            </w:r>
          </w:p>
        </w:tc>
        <w:tc>
          <w:tcPr>
            <w:tcW w:w="71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7,014</w:t>
            </w:r>
          </w:p>
        </w:tc>
      </w:tr>
      <w:tr>
        <w:trPr>
          <w:trHeight w:val="203"/>
        </w:trPr>
        <w:tc>
          <w:tcPr>
            <w:tcW w:w="880" w:type="dxa"/>
            <w:vAlign w:val="bottom"/>
          </w:tcPr>
          <w:p>
            <w:pPr>
              <w:spacing w:after="0"/>
              <w:rPr>
                <w:sz w:val="17"/>
                <w:szCs w:val="17"/>
                <w:color w:val="auto"/>
              </w:rPr>
            </w:pPr>
          </w:p>
        </w:tc>
        <w:tc>
          <w:tcPr>
            <w:tcW w:w="21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 E. Sanchez</w:t>
            </w:r>
          </w:p>
        </w:tc>
        <w:tc>
          <w:tcPr>
            <w:tcW w:w="7100" w:type="dxa"/>
            <w:vAlign w:val="bottom"/>
            <w:shd w:val="clear" w:color="auto" w:fill="E5E5E5"/>
          </w:tcPr>
          <w:p>
            <w:pPr>
              <w:jc w:val="right"/>
              <w:ind w:right="15"/>
              <w:spacing w:after="0" w:line="202" w:lineRule="exact"/>
              <w:rPr>
                <w:sz w:val="20"/>
                <w:szCs w:val="20"/>
                <w:color w:val="auto"/>
              </w:rPr>
            </w:pPr>
            <w:r>
              <w:rPr>
                <w:rFonts w:ascii="Arial" w:cs="Arial" w:eastAsia="Arial" w:hAnsi="Arial"/>
                <w:sz w:val="18"/>
                <w:szCs w:val="18"/>
                <w:color w:val="auto"/>
              </w:rPr>
              <w:t>6,867</w:t>
            </w:r>
          </w:p>
        </w:tc>
      </w:tr>
      <w:tr>
        <w:trPr>
          <w:trHeight w:val="294"/>
        </w:trPr>
        <w:tc>
          <w:tcPr>
            <w:tcW w:w="880" w:type="dxa"/>
            <w:vAlign w:val="bottom"/>
          </w:tcPr>
          <w:p>
            <w:pPr>
              <w:jc w:val="right"/>
              <w:ind w:right="673"/>
              <w:spacing w:after="0"/>
              <w:rPr>
                <w:sz w:val="20"/>
                <w:szCs w:val="20"/>
                <w:color w:val="auto"/>
              </w:rPr>
            </w:pPr>
            <w:r>
              <w:rPr>
                <w:rFonts w:ascii="Arial" w:cs="Arial" w:eastAsia="Arial" w:hAnsi="Arial"/>
                <w:sz w:val="13"/>
                <w:szCs w:val="13"/>
                <w:color w:val="666666"/>
                <w:w w:val="82"/>
              </w:rPr>
              <w:t>18</w:t>
            </w:r>
          </w:p>
        </w:tc>
        <w:tc>
          <w:tcPr>
            <w:tcW w:w="2160" w:type="dxa"/>
            <w:vAlign w:val="bottom"/>
          </w:tcPr>
          <w:p>
            <w:pPr>
              <w:spacing w:after="0"/>
              <w:rPr>
                <w:sz w:val="24"/>
                <w:szCs w:val="24"/>
                <w:color w:val="auto"/>
              </w:rPr>
            </w:pPr>
          </w:p>
        </w:tc>
        <w:tc>
          <w:tcPr>
            <w:tcW w:w="7100" w:type="dxa"/>
            <w:vAlign w:val="bottom"/>
          </w:tcPr>
          <w:p>
            <w:pPr>
              <w:jc w:val="right"/>
              <w:ind w:right="2935"/>
              <w:spacing w:after="0"/>
              <w:rPr>
                <w:sz w:val="20"/>
                <w:szCs w:val="20"/>
                <w:color w:val="auto"/>
              </w:rPr>
            </w:pPr>
            <w:r>
              <w:rPr>
                <w:rFonts w:ascii="Arial" w:cs="Arial" w:eastAsia="Arial" w:hAnsi="Arial"/>
                <w:sz w:val="13"/>
                <w:szCs w:val="13"/>
                <w:color w:val="666666"/>
              </w:rPr>
              <w:t>TEXAS INSTRUMENTS  •  2020 PROXY STATEMENT</w:t>
            </w:r>
          </w:p>
        </w:tc>
      </w:tr>
    </w:tbl>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540" w:right="200" w:hanging="424"/>
        <w:spacing w:after="0" w:line="238"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Shown is the aggregate grant date fair value of options granted in 2019 calculated in accordance with ASC 718. The discussion of the assumptions used for purposes of calculating the grant date fair value appears in Note 3 to the 2019 financial statements. The terms of these options are as set forth on page 35. The table below shows the aggregate number of shares underlying outstanding stock options held by the named individuals as of December 31, 2019.</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4400" w:type="dxa"/>
            <w:vAlign w:val="bottom"/>
          </w:tcPr>
          <w:p>
            <w:pPr>
              <w:jc w:val="right"/>
              <w:ind w:right="113"/>
              <w:spacing w:after="0"/>
              <w:rPr>
                <w:sz w:val="20"/>
                <w:szCs w:val="20"/>
                <w:color w:val="auto"/>
              </w:rPr>
            </w:pPr>
            <w:r>
              <w:rPr>
                <w:rFonts w:ascii="Arial" w:cs="Arial" w:eastAsia="Arial" w:hAnsi="Arial"/>
                <w:sz w:val="14"/>
                <w:szCs w:val="14"/>
                <w:b w:val="1"/>
                <w:bCs w:val="1"/>
                <w:color w:val="auto"/>
              </w:rPr>
              <w:t>Options</w:t>
            </w:r>
          </w:p>
        </w:tc>
      </w:tr>
      <w:tr>
        <w:trPr>
          <w:trHeight w:val="189"/>
        </w:trPr>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44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(in Shares)</w:t>
            </w:r>
          </w:p>
        </w:tc>
      </w:tr>
      <w:tr>
        <w:trPr>
          <w:trHeight w:val="196"/>
        </w:trPr>
        <w:tc>
          <w:tcPr>
            <w:tcW w:w="486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R. W. Babb, Jr.</w:t>
            </w:r>
          </w:p>
        </w:tc>
        <w:tc>
          <w:tcPr>
            <w:tcW w:w="4400" w:type="dxa"/>
            <w:vAlign w:val="bottom"/>
            <w:shd w:val="clear" w:color="auto" w:fill="E5E5E5"/>
          </w:tcPr>
          <w:p>
            <w:pPr>
              <w:jc w:val="right"/>
              <w:ind w:right="13"/>
              <w:spacing w:after="0" w:line="196" w:lineRule="exact"/>
              <w:rPr>
                <w:sz w:val="20"/>
                <w:szCs w:val="20"/>
                <w:color w:val="auto"/>
              </w:rPr>
            </w:pPr>
            <w:r>
              <w:rPr>
                <w:rFonts w:ascii="Arial" w:cs="Arial" w:eastAsia="Arial" w:hAnsi="Arial"/>
                <w:sz w:val="18"/>
                <w:szCs w:val="18"/>
                <w:color w:val="auto"/>
              </w:rPr>
              <w:t>35,432</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M. A. Blinn</w:t>
            </w:r>
          </w:p>
        </w:tc>
        <w:tc>
          <w:tcPr>
            <w:tcW w:w="44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14,369</w:t>
            </w:r>
          </w:p>
        </w:tc>
      </w:tr>
      <w:tr>
        <w:trPr>
          <w:trHeight w:val="203"/>
        </w:trPr>
        <w:tc>
          <w:tcPr>
            <w:tcW w:w="48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 M. Bluedorn</w:t>
            </w:r>
          </w:p>
        </w:tc>
        <w:tc>
          <w:tcPr>
            <w:tcW w:w="4400" w:type="dxa"/>
            <w:vAlign w:val="bottom"/>
            <w:shd w:val="clear" w:color="auto" w:fill="E5E5E5"/>
          </w:tcPr>
          <w:p>
            <w:pPr>
              <w:jc w:val="right"/>
              <w:ind w:right="13"/>
              <w:spacing w:after="0" w:line="202" w:lineRule="exact"/>
              <w:rPr>
                <w:sz w:val="20"/>
                <w:szCs w:val="20"/>
                <w:color w:val="auto"/>
              </w:rPr>
            </w:pPr>
            <w:r>
              <w:rPr>
                <w:rFonts w:ascii="Arial" w:cs="Arial" w:eastAsia="Arial" w:hAnsi="Arial"/>
                <w:sz w:val="18"/>
                <w:szCs w:val="18"/>
                <w:color w:val="auto"/>
              </w:rPr>
              <w:t>8,838</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D. A. Carp</w:t>
            </w:r>
          </w:p>
        </w:tc>
        <w:tc>
          <w:tcPr>
            <w:tcW w:w="44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24,893</w:t>
            </w:r>
          </w:p>
        </w:tc>
      </w:tr>
      <w:tr>
        <w:trPr>
          <w:trHeight w:val="203"/>
        </w:trPr>
        <w:tc>
          <w:tcPr>
            <w:tcW w:w="48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J. F. Clark</w:t>
            </w:r>
          </w:p>
        </w:tc>
        <w:tc>
          <w:tcPr>
            <w:tcW w:w="4400" w:type="dxa"/>
            <w:vAlign w:val="bottom"/>
            <w:shd w:val="clear" w:color="auto" w:fill="E5E5E5"/>
          </w:tcPr>
          <w:p>
            <w:pPr>
              <w:jc w:val="right"/>
              <w:ind w:right="13"/>
              <w:spacing w:after="0" w:line="202" w:lineRule="exact"/>
              <w:rPr>
                <w:sz w:val="20"/>
                <w:szCs w:val="20"/>
                <w:color w:val="auto"/>
              </w:rPr>
            </w:pPr>
            <w:r>
              <w:rPr>
                <w:rFonts w:ascii="Arial" w:cs="Arial" w:eastAsia="Arial" w:hAnsi="Arial"/>
                <w:sz w:val="18"/>
                <w:szCs w:val="18"/>
                <w:color w:val="auto"/>
              </w:rPr>
              <w:t>24,893</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C. S. Cox</w:t>
            </w:r>
          </w:p>
        </w:tc>
        <w:tc>
          <w:tcPr>
            <w:tcW w:w="44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74,636</w:t>
            </w:r>
          </w:p>
        </w:tc>
      </w:tr>
      <w:tr>
        <w:trPr>
          <w:trHeight w:val="203"/>
        </w:trPr>
        <w:tc>
          <w:tcPr>
            <w:tcW w:w="48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 S. Craighead</w:t>
            </w:r>
          </w:p>
        </w:tc>
        <w:tc>
          <w:tcPr>
            <w:tcW w:w="4400" w:type="dxa"/>
            <w:vAlign w:val="bottom"/>
            <w:shd w:val="clear" w:color="auto" w:fill="E5E5E5"/>
          </w:tcPr>
          <w:p>
            <w:pPr>
              <w:jc w:val="right"/>
              <w:ind w:right="13"/>
              <w:spacing w:after="0" w:line="202" w:lineRule="exact"/>
              <w:rPr>
                <w:sz w:val="20"/>
                <w:szCs w:val="20"/>
                <w:color w:val="auto"/>
              </w:rPr>
            </w:pPr>
            <w:r>
              <w:rPr>
                <w:rFonts w:ascii="Arial" w:cs="Arial" w:eastAsia="Arial" w:hAnsi="Arial"/>
                <w:sz w:val="18"/>
                <w:szCs w:val="18"/>
                <w:color w:val="auto"/>
              </w:rPr>
              <w:t>4,532</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J. M. Hobby</w:t>
            </w:r>
          </w:p>
        </w:tc>
        <w:tc>
          <w:tcPr>
            <w:tcW w:w="44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14,903</w:t>
            </w:r>
          </w:p>
        </w:tc>
      </w:tr>
      <w:tr>
        <w:trPr>
          <w:trHeight w:val="203"/>
        </w:trPr>
        <w:tc>
          <w:tcPr>
            <w:tcW w:w="48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 Kirk</w:t>
            </w:r>
          </w:p>
        </w:tc>
        <w:tc>
          <w:tcPr>
            <w:tcW w:w="4400" w:type="dxa"/>
            <w:vAlign w:val="bottom"/>
            <w:shd w:val="clear" w:color="auto" w:fill="E5E5E5"/>
          </w:tcPr>
          <w:p>
            <w:pPr>
              <w:jc w:val="right"/>
              <w:ind w:right="13"/>
              <w:spacing w:after="0" w:line="202" w:lineRule="exact"/>
              <w:rPr>
                <w:sz w:val="20"/>
                <w:szCs w:val="20"/>
                <w:color w:val="auto"/>
              </w:rPr>
            </w:pPr>
            <w:r>
              <w:rPr>
                <w:rFonts w:ascii="Arial" w:cs="Arial" w:eastAsia="Arial" w:hAnsi="Arial"/>
                <w:sz w:val="18"/>
                <w:szCs w:val="18"/>
                <w:color w:val="auto"/>
              </w:rPr>
              <w:t>47,731</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P. H. Patsley</w:t>
            </w:r>
          </w:p>
        </w:tc>
        <w:tc>
          <w:tcPr>
            <w:tcW w:w="44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84,638</w:t>
            </w:r>
          </w:p>
        </w:tc>
      </w:tr>
      <w:tr>
        <w:trPr>
          <w:trHeight w:val="203"/>
        </w:trPr>
        <w:tc>
          <w:tcPr>
            <w:tcW w:w="48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 E. Sanchez</w:t>
            </w:r>
          </w:p>
        </w:tc>
        <w:tc>
          <w:tcPr>
            <w:tcW w:w="4400" w:type="dxa"/>
            <w:vAlign w:val="bottom"/>
            <w:shd w:val="clear" w:color="auto" w:fill="E5E5E5"/>
          </w:tcPr>
          <w:p>
            <w:pPr>
              <w:jc w:val="right"/>
              <w:ind w:right="13"/>
              <w:spacing w:after="0" w:line="202" w:lineRule="exact"/>
              <w:rPr>
                <w:sz w:val="20"/>
                <w:szCs w:val="20"/>
                <w:color w:val="auto"/>
              </w:rPr>
            </w:pPr>
            <w:r>
              <w:rPr>
                <w:rFonts w:ascii="Arial" w:cs="Arial" w:eastAsia="Arial" w:hAnsi="Arial"/>
                <w:sz w:val="18"/>
                <w:szCs w:val="18"/>
                <w:color w:val="auto"/>
              </w:rPr>
              <w:t>47,731</w:t>
            </w:r>
          </w:p>
        </w:tc>
      </w:tr>
    </w:tbl>
    <w:p>
      <w:pPr>
        <w:spacing w:after="0" w:line="121" w:lineRule="exact"/>
        <w:rPr>
          <w:sz w:val="20"/>
          <w:szCs w:val="20"/>
          <w:color w:val="auto"/>
        </w:rPr>
      </w:pPr>
    </w:p>
    <w:p>
      <w:pPr>
        <w:ind w:left="540" w:right="140" w:hanging="424"/>
        <w:spacing w:after="0" w:line="238"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 rules require the disclosure of earnings on deferred compensation to the extent that the interest rate exceeds a specified rate (Federal Rate), which is 120 percent of the applicable federal long-term interest rate with compounding. Under the terms of the Director Plan, deferred compensation cash amounts earn interest at a rate based on Moody’s Seasoned Aaa Corporate Bonds. For 2019, this interest rate exceeded the Federal Rate by 0.42 percentage points. Shown is the amount of interest earned on the directors’ deferred compensation accounts that was in excess of the Federal Rate.</w:t>
      </w:r>
    </w:p>
    <w:p>
      <w:pPr>
        <w:spacing w:after="0" w:line="107" w:lineRule="exact"/>
        <w:rPr>
          <w:rFonts w:ascii="Arial" w:cs="Arial" w:eastAsia="Arial" w:hAnsi="Arial"/>
          <w:sz w:val="18"/>
          <w:szCs w:val="18"/>
          <w:color w:val="auto"/>
        </w:rPr>
      </w:pPr>
    </w:p>
    <w:p>
      <w:pPr>
        <w:ind w:left="540" w:right="80" w:hanging="424"/>
        <w:spacing w:after="0" w:line="236"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Consists of (a) the annual cost ($40 per director) of premiums for travel and accident insurance policies, (b) contributions under the TI Foundation matching gift program of $30,000 for Ms. Clark, $22,500 for Ms. Cox, $27,500 for Mr. Craighead, $15,049 for Mr. Kirk, $30,000 for Ms. Patsley and $20,000 for Mr. Sanchez and (c) for Mr. Carp, third-party administration fees for the Director Award Program. Each director whose service commenced prior to June 20, 2002, is eligible to participate in the Director Award Program, a charitable donation program under which we will contribute a total of $500,000 per eligible director to as many as three educational institutions recommended by the director and approved by us. The contributions are made following the director’s death. Directors receive no financial benefit from the program, and all charitable deductions belong to the company. In accordance with SEC rules, we have included the company’s annual costs under the program in All Other Compensation of the director who participates. The cost attributable to Mr. Carp for his participation in this program was $897.</w:t>
      </w:r>
    </w:p>
    <w:p>
      <w:pPr>
        <w:spacing w:after="0" w:line="3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Executive compensation</w:t>
      </w:r>
    </w:p>
    <w:p>
      <w:pPr>
        <w:spacing w:after="0" w:line="238" w:lineRule="exact"/>
        <w:rPr>
          <w:sz w:val="20"/>
          <w:szCs w:val="20"/>
          <w:color w:val="auto"/>
        </w:rPr>
      </w:pPr>
    </w:p>
    <w:p>
      <w:pPr>
        <w:ind w:left="120" w:right="980"/>
        <w:spacing w:after="0" w:line="246" w:lineRule="auto"/>
        <w:rPr>
          <w:sz w:val="20"/>
          <w:szCs w:val="20"/>
          <w:color w:val="auto"/>
        </w:rPr>
      </w:pPr>
      <w:r>
        <w:rPr>
          <w:rFonts w:ascii="Arial" w:cs="Arial" w:eastAsia="Arial" w:hAnsi="Arial"/>
          <w:sz w:val="18"/>
          <w:szCs w:val="18"/>
          <w:color w:val="auto"/>
        </w:rPr>
        <w:t>We are providing shareholders the opportunity to cast advisory votes on named executive officer compensation as required by Section 14A of the Securities Exchange Act.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Proposal regarding advisory approval of the company’s executive compensation</w:t>
      </w:r>
    </w:p>
    <w:p>
      <w:pPr>
        <w:spacing w:after="0" w:line="229" w:lineRule="exact"/>
        <w:rPr>
          <w:sz w:val="20"/>
          <w:szCs w:val="20"/>
          <w:color w:val="auto"/>
        </w:rPr>
      </w:pPr>
    </w:p>
    <w:p>
      <w:pPr>
        <w:ind w:left="120" w:right="480"/>
        <w:spacing w:after="0" w:line="246" w:lineRule="auto"/>
        <w:rPr>
          <w:sz w:val="20"/>
          <w:szCs w:val="20"/>
          <w:color w:val="auto"/>
        </w:rPr>
      </w:pPr>
      <w:r>
        <w:rPr>
          <w:rFonts w:ascii="Arial" w:cs="Arial" w:eastAsia="Arial" w:hAnsi="Arial"/>
          <w:sz w:val="18"/>
          <w:szCs w:val="18"/>
          <w:color w:val="auto"/>
        </w:rPr>
        <w:t>The “named executive officers” are the chief executive officer, the chief financial officer and the three other most highly compensated executive officers, as named in the compensation tables on pages 32-43.</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ask shareholders to approve the following resolution:</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RESOLVED, that the compensation paid to the company’s named executive officers, as disclosed in this proxy statement pursuant to the Securities and Exchange Commission’s compensation disclosure rules, including the Compensation Discussion and Analysis, compensation tables and narrative discussion on pages 20-43 of this proxy statement, is hereby approved.</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encourage shareholders to review the Compensation Discussion and Analysis section of the proxy statement, which follows.</w:t>
      </w:r>
    </w:p>
    <w:p>
      <w:pPr>
        <w:jc w:val="both"/>
        <w:ind w:left="120"/>
        <w:spacing w:after="0"/>
        <w:rPr>
          <w:sz w:val="20"/>
          <w:szCs w:val="20"/>
          <w:color w:val="auto"/>
        </w:rPr>
      </w:pPr>
      <w:r>
        <w:rPr>
          <w:rFonts w:ascii="Arial" w:cs="Arial" w:eastAsia="Arial" w:hAnsi="Arial"/>
          <w:sz w:val="18"/>
          <w:szCs w:val="18"/>
          <w:color w:val="auto"/>
        </w:rPr>
        <w:t>It discusses our executive compensation policies and programs and explains the compensation decisions relating to the named executive officers for 2019. We believe that the policies and programs serve the interests of our shareholders and that the compensation received by the named executive officers is commensurate with the performance and strategic position of the company.</w:t>
      </w:r>
    </w:p>
    <w:p>
      <w:pPr>
        <w:spacing w:after="0" w:line="130" w:lineRule="exact"/>
        <w:rPr>
          <w:sz w:val="20"/>
          <w:szCs w:val="20"/>
          <w:color w:val="auto"/>
        </w:rPr>
      </w:pPr>
    </w:p>
    <w:tbl>
      <w:tblPr>
        <w:tblLayout w:type="fixed"/>
        <w:tblInd w:w="4040" w:type="dxa"/>
        <w:tblCellMar>
          <w:top w:w="0" w:type="dxa"/>
          <w:left w:w="0" w:type="dxa"/>
          <w:bottom w:w="0" w:type="dxa"/>
          <w:right w:w="0" w:type="dxa"/>
        </w:tblCellMar>
      </w:tblPr>
      <w:tr>
        <w:trPr>
          <w:trHeight w:val="152"/>
        </w:trPr>
        <w:tc>
          <w:tcPr>
            <w:tcW w:w="5080" w:type="dxa"/>
            <w:vAlign w:val="bottom"/>
          </w:tcPr>
          <w:p>
            <w:pPr>
              <w:spacing w:after="0"/>
              <w:rPr>
                <w:sz w:val="20"/>
                <w:szCs w:val="20"/>
                <w:color w:val="auto"/>
              </w:rPr>
            </w:pPr>
            <w:r>
              <w:rPr>
                <w:rFonts w:ascii="Arial" w:cs="Arial" w:eastAsia="Arial" w:hAnsi="Arial"/>
                <w:sz w:val="13"/>
                <w:szCs w:val="13"/>
                <w:color w:val="666666"/>
              </w:rPr>
              <w:t>TEXAS INSTRUMENTS  •  2020 PROXY STATEMENT</w:t>
            </w:r>
          </w:p>
        </w:tc>
        <w:tc>
          <w:tcPr>
            <w:tcW w:w="2000" w:type="dxa"/>
            <w:vAlign w:val="bottom"/>
          </w:tcPr>
          <w:p>
            <w:pPr>
              <w:jc w:val="right"/>
              <w:spacing w:after="0"/>
              <w:rPr>
                <w:sz w:val="20"/>
                <w:szCs w:val="20"/>
                <w:color w:val="auto"/>
              </w:rPr>
            </w:pPr>
            <w:r>
              <w:rPr>
                <w:rFonts w:ascii="Arial" w:cs="Arial" w:eastAsia="Arial" w:hAnsi="Arial"/>
                <w:sz w:val="13"/>
                <w:szCs w:val="13"/>
                <w:color w:val="666666"/>
              </w:rPr>
              <w:t>19</w:t>
            </w:r>
          </w:p>
        </w:tc>
      </w:tr>
    </w:tbl>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520"/>
        <w:spacing w:after="0" w:line="246" w:lineRule="auto"/>
        <w:rPr>
          <w:sz w:val="20"/>
          <w:szCs w:val="20"/>
          <w:color w:val="auto"/>
        </w:rPr>
      </w:pPr>
      <w:r>
        <w:rPr>
          <w:rFonts w:ascii="Arial" w:cs="Arial" w:eastAsia="Arial" w:hAnsi="Arial"/>
          <w:sz w:val="18"/>
          <w:szCs w:val="18"/>
          <w:color w:val="auto"/>
        </w:rPr>
        <w:t>Although the outcome of this annual vote is not binding on the company or the board, the Compensation Committee of the board will consider it when setting future compensation for the executive officers.</w:t>
      </w:r>
    </w:p>
    <w:p>
      <w:pPr>
        <w:spacing w:after="0" w:line="175"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b w:val="1"/>
          <w:bCs w:val="1"/>
          <w:color w:val="auto"/>
        </w:rPr>
        <w:t>The board of directors recommends a vote FOR the annual resolution approving the named executive officer compensation for 2019, as disclosed in this proxy statement.</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Compensation Discussion and Analysis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section describes TI’s compensation program for executive officers. It will provide insight into the following:</w:t>
      </w:r>
    </w:p>
    <w:p>
      <w:pPr>
        <w:spacing w:after="0" w:line="234" w:lineRule="exact"/>
        <w:rPr>
          <w:sz w:val="20"/>
          <w:szCs w:val="20"/>
          <w:color w:val="auto"/>
        </w:rPr>
      </w:pPr>
    </w:p>
    <w:p>
      <w:pPr>
        <w:ind w:left="760" w:hanging="320"/>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elements of the 2019 compensation program, why we selected them and how they relate to one another; and</w:t>
      </w:r>
    </w:p>
    <w:p>
      <w:pPr>
        <w:ind w:left="760" w:hanging="320"/>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How we determined the amount of compensation for 2019.</w:t>
      </w:r>
    </w:p>
    <w:p>
      <w:pPr>
        <w:spacing w:after="0" w:line="212"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The executive officers of TI have the broadest job responsibilities and policy-making authority in the company. We hold them accountable for the company’s performance and for maintaining a culture of strong ethics and compliance. Details of compensation for our CEO, our CFO and the three other highest paid individuals who were executive officers in 2019 (collectively called the “named executive officers”) can be found in the tables following the Compensation Committee report.</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Executive summary</w:t>
      </w:r>
    </w:p>
    <w:p>
      <w:pPr>
        <w:spacing w:after="0" w:line="217" w:lineRule="exact"/>
        <w:rPr>
          <w:sz w:val="20"/>
          <w:szCs w:val="20"/>
          <w:color w:val="auto"/>
        </w:rPr>
      </w:pPr>
    </w:p>
    <w:p>
      <w:pPr>
        <w:ind w:left="760" w:hanging="320"/>
        <w:spacing w:after="0" w:line="239" w:lineRule="auto"/>
        <w:tabs>
          <w:tab w:leader="none" w:pos="7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TI’s compensation program is structured to pay for performance and deliver rewards that encourage executives to think and act in both the short- and long-term interests of our shareholders. The majority of total compensation for our executives each year comes in the form of variable cash and equity compensation. Variable cash is tied to the short-term performance of the company, and the value of equity is tied to the long-term performance of the company. We believe our compensation program holds our executive officers accountable for the financial and competitive performance of TI.</w:t>
      </w:r>
    </w:p>
    <w:p>
      <w:pPr>
        <w:spacing w:after="0" w:line="3" w:lineRule="exact"/>
        <w:rPr>
          <w:rFonts w:ascii="Arial" w:cs="Arial" w:eastAsia="Arial" w:hAnsi="Arial"/>
          <w:sz w:val="18"/>
          <w:szCs w:val="18"/>
          <w:b w:val="1"/>
          <w:bCs w:val="1"/>
          <w:color w:val="auto"/>
        </w:rPr>
      </w:pPr>
    </w:p>
    <w:p>
      <w:pPr>
        <w:ind w:left="760" w:hanging="320"/>
        <w:spacing w:after="0" w:line="234" w:lineRule="auto"/>
        <w:tabs>
          <w:tab w:leader="none" w:pos="7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2019 compensation decisions for the CEO:</w:t>
      </w:r>
    </w:p>
    <w:p>
      <w:pPr>
        <w:ind w:left="1080" w:hanging="316"/>
        <w:spacing w:after="0" w:line="234" w:lineRule="auto"/>
        <w:tabs>
          <w:tab w:leader="none" w:pos="1080" w:val="left"/>
        </w:tabs>
        <w:numPr>
          <w:ilvl w:val="1"/>
          <w:numId w:val="44"/>
        </w:numPr>
        <w:rPr>
          <w:rFonts w:ascii="Arial" w:cs="Arial" w:eastAsia="Arial" w:hAnsi="Arial"/>
          <w:sz w:val="15"/>
          <w:szCs w:val="15"/>
          <w:color w:val="auto"/>
        </w:rPr>
      </w:pPr>
      <w:r>
        <w:rPr>
          <w:rFonts w:ascii="Arial" w:cs="Arial" w:eastAsia="Arial" w:hAnsi="Arial"/>
          <w:sz w:val="18"/>
          <w:szCs w:val="18"/>
          <w:color w:val="auto"/>
        </w:rPr>
        <w:t>Base salary was increased by 4.0 percent over 2018.</w:t>
      </w:r>
    </w:p>
    <w:p>
      <w:pPr>
        <w:ind w:left="1080" w:right="360" w:hanging="316"/>
        <w:spacing w:after="0" w:line="234" w:lineRule="auto"/>
        <w:tabs>
          <w:tab w:leader="none" w:pos="1080" w:val="left"/>
        </w:tabs>
        <w:numPr>
          <w:ilvl w:val="1"/>
          <w:numId w:val="44"/>
        </w:numPr>
        <w:rPr>
          <w:rFonts w:ascii="Arial" w:cs="Arial" w:eastAsia="Arial" w:hAnsi="Arial"/>
          <w:sz w:val="15"/>
          <w:szCs w:val="15"/>
          <w:color w:val="auto"/>
        </w:rPr>
      </w:pPr>
      <w:r>
        <w:rPr>
          <w:rFonts w:ascii="Arial" w:cs="Arial" w:eastAsia="Arial" w:hAnsi="Arial"/>
          <w:sz w:val="18"/>
          <w:szCs w:val="18"/>
          <w:color w:val="auto"/>
        </w:rPr>
        <w:t>The grant date fair value of equity compensation awarded in 2019 increased by 8 percent from 2018, reflecting an effort to align with the projected market range for similarly situated CEOs in our comparator group.</w:t>
      </w:r>
    </w:p>
    <w:p>
      <w:pPr>
        <w:spacing w:after="0" w:line="1" w:lineRule="exact"/>
        <w:rPr>
          <w:rFonts w:ascii="Arial" w:cs="Arial" w:eastAsia="Arial" w:hAnsi="Arial"/>
          <w:sz w:val="15"/>
          <w:szCs w:val="15"/>
          <w:color w:val="auto"/>
        </w:rPr>
      </w:pPr>
    </w:p>
    <w:p>
      <w:pPr>
        <w:ind w:left="1080" w:hanging="316"/>
        <w:spacing w:after="0"/>
        <w:tabs>
          <w:tab w:leader="none" w:pos="1080" w:val="left"/>
        </w:tabs>
        <w:numPr>
          <w:ilvl w:val="1"/>
          <w:numId w:val="44"/>
        </w:numPr>
        <w:rPr>
          <w:rFonts w:ascii="Arial" w:cs="Arial" w:eastAsia="Arial" w:hAnsi="Arial"/>
          <w:sz w:val="15"/>
          <w:szCs w:val="15"/>
          <w:color w:val="auto"/>
        </w:rPr>
      </w:pPr>
      <w:r>
        <w:rPr>
          <w:rFonts w:ascii="Arial" w:cs="Arial" w:eastAsia="Arial" w:hAnsi="Arial"/>
          <w:sz w:val="18"/>
          <w:szCs w:val="18"/>
          <w:color w:val="auto"/>
        </w:rPr>
        <w:t>The bonus decision was based primarily on the following performance results in 2019:</w:t>
      </w:r>
    </w:p>
    <w:p>
      <w:pPr>
        <w:spacing w:after="0" w:line="219" w:lineRule="exact"/>
        <w:rPr>
          <w:sz w:val="20"/>
          <w:szCs w:val="20"/>
          <w:color w:val="auto"/>
        </w:rPr>
      </w:pPr>
    </w:p>
    <w:tbl>
      <w:tblPr>
        <w:tblLayout w:type="fixed"/>
        <w:tblInd w:w="670" w:type="dxa"/>
        <w:tblCellMar>
          <w:top w:w="0" w:type="dxa"/>
          <w:left w:w="0" w:type="dxa"/>
          <w:bottom w:w="0" w:type="dxa"/>
          <w:right w:w="0" w:type="dxa"/>
        </w:tblCellMar>
      </w:tblPr>
      <w:tr>
        <w:trPr>
          <w:trHeight w:val="230"/>
        </w:trPr>
        <w:tc>
          <w:tcPr>
            <w:tcW w:w="1240" w:type="dxa"/>
            <w:vAlign w:val="bottom"/>
            <w:tcBorders>
              <w:bottom w:val="single" w:sz="8" w:color="auto"/>
            </w:tcBorders>
          </w:tcPr>
          <w:p>
            <w:pPr>
              <w:spacing w:after="0"/>
              <w:rPr>
                <w:sz w:val="19"/>
                <w:szCs w:val="19"/>
                <w:color w:val="auto"/>
              </w:rPr>
            </w:pPr>
          </w:p>
        </w:tc>
        <w:tc>
          <w:tcPr>
            <w:tcW w:w="3600" w:type="dxa"/>
            <w:vAlign w:val="bottom"/>
            <w:tcBorders>
              <w:bottom w:val="single" w:sz="8" w:color="auto"/>
              <w:right w:val="single" w:sz="8" w:color="auto"/>
            </w:tcBorders>
          </w:tcPr>
          <w:p>
            <w:pPr>
              <w:spacing w:after="0"/>
              <w:rPr>
                <w:sz w:val="19"/>
                <w:szCs w:val="19"/>
                <w:color w:val="auto"/>
              </w:rPr>
            </w:pPr>
          </w:p>
        </w:tc>
        <w:tc>
          <w:tcPr>
            <w:tcW w:w="2420" w:type="dxa"/>
            <w:vAlign w:val="bottom"/>
            <w:tcBorders>
              <w:top w:val="single" w:sz="8" w:color="auto"/>
              <w:bottom w:val="single" w:sz="8" w:color="auto"/>
              <w:right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w w:val="99"/>
                <w:shd w:val="clear" w:color="auto" w:fill="E5E5E5"/>
              </w:rPr>
              <w:t>2019 Absolute Performance</w:t>
            </w:r>
          </w:p>
        </w:tc>
        <w:tc>
          <w:tcPr>
            <w:tcW w:w="240" w:type="dxa"/>
            <w:vAlign w:val="bottom"/>
            <w:tcBorders>
              <w:top w:val="single" w:sz="8" w:color="auto"/>
              <w:bottom w:val="single" w:sz="8" w:color="auto"/>
            </w:tcBorders>
            <w:shd w:val="clear" w:color="auto" w:fill="E5E5E5"/>
          </w:tcPr>
          <w:p>
            <w:pPr>
              <w:spacing w:after="0"/>
              <w:rPr>
                <w:sz w:val="19"/>
                <w:szCs w:val="19"/>
                <w:color w:val="auto"/>
              </w:rPr>
            </w:pPr>
          </w:p>
        </w:tc>
        <w:tc>
          <w:tcPr>
            <w:tcW w:w="2440" w:type="dxa"/>
            <w:vAlign w:val="bottom"/>
            <w:tcBorders>
              <w:top w:val="single" w:sz="8" w:color="auto"/>
              <w:bottom w:val="single" w:sz="8" w:color="auto"/>
              <w:right w:val="single" w:sz="8" w:color="auto"/>
            </w:tcBorders>
            <w:gridSpan w:val="2"/>
            <w:shd w:val="clear" w:color="auto" w:fill="E5E5E5"/>
          </w:tcPr>
          <w:p>
            <w:pPr>
              <w:jc w:val="center"/>
              <w:ind w:right="20"/>
              <w:spacing w:after="0"/>
              <w:rPr>
                <w:sz w:val="20"/>
                <w:szCs w:val="20"/>
                <w:color w:val="auto"/>
              </w:rPr>
            </w:pPr>
            <w:r>
              <w:rPr>
                <w:rFonts w:ascii="Arial" w:cs="Arial" w:eastAsia="Arial" w:hAnsi="Arial"/>
                <w:sz w:val="18"/>
                <w:szCs w:val="18"/>
                <w:color w:val="auto"/>
                <w:w w:val="99"/>
                <w:shd w:val="clear" w:color="auto" w:fill="E5E5E5"/>
              </w:rPr>
              <w:t>2019 Relative Performance *</w:t>
            </w:r>
          </w:p>
        </w:tc>
        <w:tc>
          <w:tcPr>
            <w:tcW w:w="0" w:type="dxa"/>
            <w:vAlign w:val="bottom"/>
          </w:tcPr>
          <w:p>
            <w:pPr>
              <w:spacing w:after="0"/>
              <w:rPr>
                <w:sz w:val="1"/>
                <w:szCs w:val="1"/>
                <w:color w:val="auto"/>
              </w:rPr>
            </w:pPr>
          </w:p>
        </w:tc>
      </w:tr>
      <w:tr>
        <w:trPr>
          <w:trHeight w:val="250"/>
        </w:trPr>
        <w:tc>
          <w:tcPr>
            <w:tcW w:w="4840" w:type="dxa"/>
            <w:vAlign w:val="bottom"/>
            <w:tcBorders>
              <w:left w:val="single" w:sz="8" w:color="auto"/>
              <w:bottom w:val="single" w:sz="8" w:color="auto"/>
              <w:right w:val="single" w:sz="8" w:color="auto"/>
            </w:tcBorders>
            <w:gridSpan w:val="2"/>
            <w:shd w:val="clear" w:color="auto" w:fill="E5E5E5"/>
          </w:tcPr>
          <w:p>
            <w:pPr>
              <w:ind w:left="340"/>
              <w:spacing w:after="0"/>
              <w:rPr>
                <w:sz w:val="20"/>
                <w:szCs w:val="20"/>
                <w:color w:val="auto"/>
              </w:rPr>
            </w:pPr>
            <w:r>
              <w:rPr>
                <w:rFonts w:ascii="Arial" w:cs="Arial" w:eastAsia="Arial" w:hAnsi="Arial"/>
                <w:sz w:val="18"/>
                <w:szCs w:val="18"/>
                <w:color w:val="auto"/>
              </w:rPr>
              <w:t>Revenue Growth: Total TI</w:t>
            </w:r>
          </w:p>
        </w:tc>
        <w:tc>
          <w:tcPr>
            <w:tcW w:w="2420" w:type="dxa"/>
            <w:vAlign w:val="bottom"/>
            <w:tcBorders>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rPr>
              <w:t>-8.9%</w:t>
            </w:r>
          </w:p>
        </w:tc>
        <w:tc>
          <w:tcPr>
            <w:tcW w:w="240" w:type="dxa"/>
            <w:vAlign w:val="bottom"/>
            <w:tcBorders>
              <w:bottom w:val="single" w:sz="8" w:color="auto"/>
            </w:tcBorders>
          </w:tcPr>
          <w:p>
            <w:pPr>
              <w:spacing w:after="0"/>
              <w:rPr>
                <w:sz w:val="21"/>
                <w:szCs w:val="21"/>
                <w:color w:val="auto"/>
              </w:rPr>
            </w:pPr>
          </w:p>
        </w:tc>
        <w:tc>
          <w:tcPr>
            <w:tcW w:w="24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Below median</w:t>
            </w:r>
          </w:p>
        </w:tc>
        <w:tc>
          <w:tcPr>
            <w:tcW w:w="0" w:type="dxa"/>
            <w:vAlign w:val="bottom"/>
          </w:tcPr>
          <w:p>
            <w:pPr>
              <w:spacing w:after="0"/>
              <w:rPr>
                <w:sz w:val="1"/>
                <w:szCs w:val="1"/>
                <w:color w:val="auto"/>
              </w:rPr>
            </w:pPr>
          </w:p>
        </w:tc>
      </w:tr>
      <w:tr>
        <w:trPr>
          <w:trHeight w:val="250"/>
        </w:trPr>
        <w:tc>
          <w:tcPr>
            <w:tcW w:w="4840" w:type="dxa"/>
            <w:vAlign w:val="bottom"/>
            <w:tcBorders>
              <w:left w:val="single" w:sz="8" w:color="auto"/>
              <w:bottom w:val="single" w:sz="8" w:color="auto"/>
              <w:right w:val="single" w:sz="8" w:color="auto"/>
            </w:tcBorders>
            <w:gridSpan w:val="2"/>
            <w:shd w:val="clear" w:color="auto" w:fill="E5E5E5"/>
          </w:tcPr>
          <w:p>
            <w:pPr>
              <w:ind w:left="340"/>
              <w:spacing w:after="0"/>
              <w:rPr>
                <w:sz w:val="20"/>
                <w:szCs w:val="20"/>
                <w:color w:val="auto"/>
              </w:rPr>
            </w:pPr>
            <w:r>
              <w:rPr>
                <w:rFonts w:ascii="Arial" w:cs="Arial" w:eastAsia="Arial" w:hAnsi="Arial"/>
                <w:sz w:val="18"/>
                <w:szCs w:val="18"/>
                <w:color w:val="auto"/>
              </w:rPr>
              <w:t>Profit from Operations as a % of Revenue (PFO%)</w:t>
            </w:r>
          </w:p>
        </w:tc>
        <w:tc>
          <w:tcPr>
            <w:tcW w:w="2420" w:type="dxa"/>
            <w:vAlign w:val="bottom"/>
            <w:tcBorders>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rPr>
              <w:t>39.8%</w:t>
            </w:r>
          </w:p>
        </w:tc>
        <w:tc>
          <w:tcPr>
            <w:tcW w:w="240" w:type="dxa"/>
            <w:vAlign w:val="bottom"/>
            <w:tcBorders>
              <w:bottom w:val="single" w:sz="8" w:color="auto"/>
            </w:tcBorders>
          </w:tcPr>
          <w:p>
            <w:pPr>
              <w:spacing w:after="0"/>
              <w:rPr>
                <w:sz w:val="21"/>
                <w:szCs w:val="21"/>
                <w:color w:val="auto"/>
              </w:rPr>
            </w:pPr>
          </w:p>
        </w:tc>
        <w:tc>
          <w:tcPr>
            <w:tcW w:w="24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rPr>
              <w:t>Above median</w:t>
            </w:r>
          </w:p>
        </w:tc>
        <w:tc>
          <w:tcPr>
            <w:tcW w:w="0" w:type="dxa"/>
            <w:vAlign w:val="bottom"/>
          </w:tcPr>
          <w:p>
            <w:pPr>
              <w:spacing w:after="0"/>
              <w:rPr>
                <w:sz w:val="1"/>
                <w:szCs w:val="1"/>
                <w:color w:val="auto"/>
              </w:rPr>
            </w:pPr>
          </w:p>
        </w:tc>
      </w:tr>
      <w:tr>
        <w:trPr>
          <w:trHeight w:val="250"/>
        </w:trPr>
        <w:tc>
          <w:tcPr>
            <w:tcW w:w="4840" w:type="dxa"/>
            <w:vAlign w:val="bottom"/>
            <w:tcBorders>
              <w:left w:val="single" w:sz="8" w:color="auto"/>
              <w:bottom w:val="single" w:sz="8" w:color="auto"/>
              <w:right w:val="single" w:sz="8" w:color="auto"/>
            </w:tcBorders>
            <w:gridSpan w:val="2"/>
            <w:shd w:val="clear" w:color="auto" w:fill="E5E5E5"/>
          </w:tcPr>
          <w:p>
            <w:pPr>
              <w:ind w:left="340"/>
              <w:spacing w:after="0"/>
              <w:rPr>
                <w:sz w:val="20"/>
                <w:szCs w:val="20"/>
                <w:color w:val="auto"/>
              </w:rPr>
            </w:pPr>
            <w:r>
              <w:rPr>
                <w:rFonts w:ascii="Arial" w:cs="Arial" w:eastAsia="Arial" w:hAnsi="Arial"/>
                <w:sz w:val="18"/>
                <w:szCs w:val="18"/>
                <w:color w:val="auto"/>
              </w:rPr>
              <w:t>Total Shareholder Return (TSR)</w:t>
            </w:r>
          </w:p>
        </w:tc>
        <w:tc>
          <w:tcPr>
            <w:tcW w:w="2420" w:type="dxa"/>
            <w:vAlign w:val="bottom"/>
            <w:tcBorders>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rPr>
              <w:t>39.6%</w:t>
            </w:r>
          </w:p>
        </w:tc>
        <w:tc>
          <w:tcPr>
            <w:tcW w:w="240" w:type="dxa"/>
            <w:vAlign w:val="bottom"/>
            <w:tcBorders>
              <w:bottom w:val="single" w:sz="8" w:color="auto"/>
            </w:tcBorders>
          </w:tcPr>
          <w:p>
            <w:pPr>
              <w:spacing w:after="0"/>
              <w:rPr>
                <w:sz w:val="21"/>
                <w:szCs w:val="21"/>
                <w:color w:val="auto"/>
              </w:rPr>
            </w:pPr>
          </w:p>
        </w:tc>
        <w:tc>
          <w:tcPr>
            <w:tcW w:w="24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Below median</w:t>
            </w: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p>
        </w:tc>
        <w:tc>
          <w:tcPr>
            <w:tcW w:w="36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1240" w:type="dxa"/>
            <w:vAlign w:val="bottom"/>
            <w:tcBorders>
              <w:right w:val="single" w:sz="8" w:color="auto"/>
            </w:tcBorders>
          </w:tcPr>
          <w:p>
            <w:pPr>
              <w:spacing w:after="0"/>
              <w:rPr>
                <w:sz w:val="24"/>
                <w:szCs w:val="24"/>
                <w:color w:val="auto"/>
              </w:rPr>
            </w:pPr>
          </w:p>
        </w:tc>
        <w:tc>
          <w:tcPr>
            <w:tcW w:w="3600" w:type="dxa"/>
            <w:vAlign w:val="bottom"/>
            <w:tcBorders>
              <w:right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rPr>
              <w:t>Year-on-Year Change in CEO Bonus</w:t>
            </w:r>
          </w:p>
        </w:tc>
        <w:tc>
          <w:tcPr>
            <w:tcW w:w="2660" w:type="dxa"/>
            <w:vAlign w:val="bottom"/>
            <w:gridSpan w:val="2"/>
            <w:vMerge w:val="restart"/>
          </w:tcPr>
          <w:p>
            <w:pPr>
              <w:ind w:left="1660"/>
              <w:spacing w:after="0"/>
              <w:rPr>
                <w:sz w:val="20"/>
                <w:szCs w:val="20"/>
                <w:color w:val="auto"/>
              </w:rPr>
            </w:pPr>
            <w:r>
              <w:rPr>
                <w:rFonts w:ascii="Arial" w:cs="Arial" w:eastAsia="Arial" w:hAnsi="Arial"/>
                <w:sz w:val="18"/>
                <w:szCs w:val="18"/>
                <w:color w:val="auto"/>
              </w:rPr>
              <w:t>-7% change</w:t>
            </w:r>
          </w:p>
        </w:tc>
        <w:tc>
          <w:tcPr>
            <w:tcW w:w="1220" w:type="dxa"/>
            <w:vAlign w:val="bottom"/>
            <w:tcBorders>
              <w:right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240" w:type="dxa"/>
            <w:vAlign w:val="bottom"/>
            <w:tcBorders>
              <w:right w:val="single" w:sz="8" w:color="auto"/>
            </w:tcBorders>
          </w:tcPr>
          <w:p>
            <w:pPr>
              <w:spacing w:after="0"/>
              <w:rPr>
                <w:sz w:val="10"/>
                <w:szCs w:val="10"/>
                <w:color w:val="auto"/>
              </w:rPr>
            </w:pPr>
          </w:p>
        </w:tc>
        <w:tc>
          <w:tcPr>
            <w:tcW w:w="3600" w:type="dxa"/>
            <w:vAlign w:val="bottom"/>
            <w:tcBorders>
              <w:right w:val="single" w:sz="8" w:color="auto"/>
            </w:tcBorders>
            <w:vMerge w:val="restart"/>
            <w:shd w:val="clear" w:color="auto" w:fill="E5E5E5"/>
          </w:tcPr>
          <w:p>
            <w:pPr>
              <w:ind w:left="280"/>
              <w:spacing w:after="0"/>
              <w:rPr>
                <w:sz w:val="20"/>
                <w:szCs w:val="20"/>
                <w:color w:val="auto"/>
              </w:rPr>
            </w:pPr>
            <w:r>
              <w:rPr>
                <w:rFonts w:ascii="Arial" w:cs="Arial" w:eastAsia="Arial" w:hAnsi="Arial"/>
                <w:sz w:val="18"/>
                <w:szCs w:val="18"/>
                <w:color w:val="auto"/>
              </w:rPr>
              <w:t>(2019 bonus compared with 2018)</w:t>
            </w:r>
          </w:p>
        </w:tc>
        <w:tc>
          <w:tcPr>
            <w:tcW w:w="2660" w:type="dxa"/>
            <w:vAlign w:val="bottom"/>
            <w:gridSpan w:val="2"/>
            <w:vMerge w:val="continue"/>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tcBorders>
              <w:right w:val="single" w:sz="8" w:color="auto"/>
            </w:tcBorders>
          </w:tcPr>
          <w:p>
            <w:pPr>
              <w:spacing w:after="0"/>
              <w:rPr>
                <w:sz w:val="8"/>
                <w:szCs w:val="8"/>
                <w:color w:val="auto"/>
              </w:rPr>
            </w:pPr>
          </w:p>
        </w:tc>
        <w:tc>
          <w:tcPr>
            <w:tcW w:w="3600" w:type="dxa"/>
            <w:vAlign w:val="bottom"/>
            <w:tcBorders>
              <w:right w:val="single" w:sz="8" w:color="auto"/>
            </w:tcBorders>
            <w:vMerge w:val="continue"/>
            <w:shd w:val="clear" w:color="auto" w:fill="E5E5E5"/>
          </w:tcPr>
          <w:p>
            <w:pPr>
              <w:spacing w:after="0"/>
              <w:rPr>
                <w:sz w:val="8"/>
                <w:szCs w:val="8"/>
                <w:color w:val="auto"/>
              </w:rPr>
            </w:pPr>
          </w:p>
        </w:tc>
        <w:tc>
          <w:tcPr>
            <w:tcW w:w="2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240" w:type="dxa"/>
            <w:vAlign w:val="bottom"/>
            <w:tcBorders>
              <w:right w:val="single" w:sz="8" w:color="auto"/>
            </w:tcBorders>
          </w:tcPr>
          <w:p>
            <w:pPr>
              <w:spacing w:after="0"/>
              <w:rPr>
                <w:sz w:val="9"/>
                <w:szCs w:val="9"/>
                <w:color w:val="auto"/>
              </w:rPr>
            </w:pPr>
          </w:p>
        </w:tc>
        <w:tc>
          <w:tcPr>
            <w:tcW w:w="3600" w:type="dxa"/>
            <w:vAlign w:val="bottom"/>
            <w:tcBorders>
              <w:bottom w:val="single" w:sz="8" w:color="auto"/>
              <w:right w:val="single" w:sz="8" w:color="auto"/>
            </w:tcBorders>
            <w:shd w:val="clear" w:color="auto" w:fill="E5E5E5"/>
          </w:tcPr>
          <w:p>
            <w:pPr>
              <w:spacing w:after="0"/>
              <w:rPr>
                <w:sz w:val="9"/>
                <w:szCs w:val="9"/>
                <w:color w:val="auto"/>
              </w:rPr>
            </w:pPr>
          </w:p>
        </w:tc>
        <w:tc>
          <w:tcPr>
            <w:tcW w:w="24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1080" w:right="80" w:hanging="316"/>
        <w:spacing w:after="0" w:line="238" w:lineRule="auto"/>
        <w:tabs>
          <w:tab w:leader="none" w:pos="10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Relative to semiconductor competitors as outlined under “Comparator group;” includes estimates and projections of certain competitors’ financial results. See “Analysis of compensation determinations – Bonus – Assessment of 2019 performance” for details of the Compensation Committee’s assessment of TI’s performance. (It is important to note that the median growth rate of competitor companies includes the benefit of acquisitions, whereas TI’s growth rate is entirely organic.)</w:t>
      </w:r>
    </w:p>
    <w:p>
      <w:pPr>
        <w:spacing w:after="0" w:line="231" w:lineRule="exact"/>
        <w:rPr>
          <w:rFonts w:ascii="Arial" w:cs="Arial" w:eastAsia="Arial" w:hAnsi="Arial"/>
          <w:sz w:val="18"/>
          <w:szCs w:val="18"/>
          <w:color w:val="auto"/>
        </w:rPr>
      </w:pPr>
    </w:p>
    <w:p>
      <w:pPr>
        <w:ind w:left="760" w:right="180" w:hanging="320"/>
        <w:spacing w:after="0" w:line="234"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executive compensation program is designed to encourage executive officers to pursue strategies that serve the interests of the company and shareholders, and not to promote excessive risk-taking by our executives. It is built on a foundation of sound corporate governance and includes:</w:t>
      </w:r>
    </w:p>
    <w:p>
      <w:pPr>
        <w:spacing w:after="0" w:line="2" w:lineRule="exact"/>
        <w:rPr>
          <w:rFonts w:ascii="Arial" w:cs="Arial" w:eastAsia="Arial" w:hAnsi="Arial"/>
          <w:sz w:val="18"/>
          <w:szCs w:val="18"/>
          <w:color w:val="auto"/>
        </w:rPr>
      </w:pPr>
    </w:p>
    <w:p>
      <w:pPr>
        <w:ind w:left="1080" w:right="200" w:hanging="324"/>
        <w:spacing w:after="0" w:line="246" w:lineRule="auto"/>
        <w:rPr>
          <w:rFonts w:ascii="Arial" w:cs="Arial" w:eastAsia="Arial" w:hAnsi="Arial"/>
          <w:sz w:val="18"/>
          <w:szCs w:val="18"/>
          <w:color w:val="auto"/>
        </w:rPr>
      </w:pPr>
      <w:r>
        <w:rPr>
          <w:rFonts w:ascii="Arial" w:cs="Arial" w:eastAsia="Arial" w:hAnsi="Arial"/>
          <w:sz w:val="15"/>
          <w:szCs w:val="15"/>
          <w:color w:val="auto"/>
        </w:rPr>
        <w:t>¡</w:t>
      </w:r>
      <w:r>
        <w:rPr>
          <w:rFonts w:ascii="Arial" w:cs="Arial" w:eastAsia="Arial" w:hAnsi="Arial"/>
          <w:sz w:val="18"/>
          <w:szCs w:val="18"/>
          <w:color w:val="auto"/>
        </w:rPr>
        <w:t>Executive officers do not have employment contracts and are not guaranteed salary increases, bonus amounts or awards of equity compensation.</w:t>
      </w:r>
    </w:p>
    <w:p>
      <w:pPr>
        <w:spacing w:after="0" w:line="124" w:lineRule="exact"/>
        <w:rPr>
          <w:sz w:val="20"/>
          <w:szCs w:val="20"/>
          <w:color w:val="auto"/>
        </w:rPr>
      </w:pPr>
    </w:p>
    <w:p>
      <w:pPr>
        <w:ind w:left="120"/>
        <w:spacing w:after="0"/>
        <w:tabs>
          <w:tab w:leader="none" w:pos="4020" w:val="left"/>
          <w:tab w:leader="none" w:pos="5500" w:val="left"/>
          <w:tab w:leader="none" w:pos="5700" w:val="left"/>
        </w:tabs>
        <w:rPr>
          <w:sz w:val="20"/>
          <w:szCs w:val="20"/>
          <w:color w:val="auto"/>
        </w:rPr>
      </w:pPr>
      <w:r>
        <w:rPr>
          <w:rFonts w:ascii="Arial" w:cs="Arial" w:eastAsia="Arial" w:hAnsi="Arial"/>
          <w:sz w:val="13"/>
          <w:szCs w:val="13"/>
          <w:color w:val="666666"/>
        </w:rPr>
        <w:t>20</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2020 PROXY STATEMENT</w:t>
      </w:r>
    </w:p>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80" w:right="220" w:hanging="316"/>
        <w:spacing w:after="0" w:line="234" w:lineRule="auto"/>
        <w:tabs>
          <w:tab w:leader="none" w:pos="1080" w:val="left"/>
        </w:tabs>
        <w:numPr>
          <w:ilvl w:val="0"/>
          <w:numId w:val="46"/>
        </w:numPr>
        <w:rPr>
          <w:rFonts w:ascii="Arial" w:cs="Arial" w:eastAsia="Arial" w:hAnsi="Arial"/>
          <w:sz w:val="15"/>
          <w:szCs w:val="15"/>
          <w:color w:val="auto"/>
        </w:rPr>
      </w:pPr>
      <w:r>
        <w:rPr>
          <w:rFonts w:ascii="Arial" w:cs="Arial" w:eastAsia="Arial" w:hAnsi="Arial"/>
          <w:sz w:val="18"/>
          <w:szCs w:val="18"/>
          <w:color w:val="auto"/>
        </w:rPr>
        <w:t>We have never repriced stock options. We do not grant reload options. We grant equity compensation with double-trigger change-in-control terms, which accelerate the vesting of grants only if the grantee has been terminated involuntarily within a limited time after a change in control of the company.</w:t>
      </w:r>
    </w:p>
    <w:p>
      <w:pPr>
        <w:spacing w:after="0" w:line="2" w:lineRule="exact"/>
        <w:rPr>
          <w:rFonts w:ascii="Arial" w:cs="Arial" w:eastAsia="Arial" w:hAnsi="Arial"/>
          <w:sz w:val="15"/>
          <w:szCs w:val="15"/>
          <w:color w:val="auto"/>
        </w:rPr>
      </w:pPr>
    </w:p>
    <w:p>
      <w:pPr>
        <w:ind w:left="1080" w:hanging="316"/>
        <w:spacing w:after="0" w:line="234" w:lineRule="auto"/>
        <w:tabs>
          <w:tab w:leader="none" w:pos="1080" w:val="left"/>
        </w:tabs>
        <w:numPr>
          <w:ilvl w:val="0"/>
          <w:numId w:val="46"/>
        </w:numPr>
        <w:rPr>
          <w:rFonts w:ascii="Arial" w:cs="Arial" w:eastAsia="Arial" w:hAnsi="Arial"/>
          <w:sz w:val="15"/>
          <w:szCs w:val="15"/>
          <w:color w:val="auto"/>
        </w:rPr>
      </w:pPr>
      <w:r>
        <w:rPr>
          <w:rFonts w:ascii="Arial" w:cs="Arial" w:eastAsia="Arial" w:hAnsi="Arial"/>
          <w:sz w:val="18"/>
          <w:szCs w:val="18"/>
          <w:color w:val="auto"/>
        </w:rPr>
        <w:t>Bonus and equity compensation awards are subject to claw back as described under “Recoupment policy” below.</w:t>
      </w:r>
    </w:p>
    <w:p>
      <w:pPr>
        <w:ind w:left="1080" w:hanging="316"/>
        <w:spacing w:after="0" w:line="234" w:lineRule="auto"/>
        <w:tabs>
          <w:tab w:leader="none" w:pos="1080" w:val="left"/>
        </w:tabs>
        <w:numPr>
          <w:ilvl w:val="0"/>
          <w:numId w:val="46"/>
        </w:numPr>
        <w:rPr>
          <w:rFonts w:ascii="Arial" w:cs="Arial" w:eastAsia="Arial" w:hAnsi="Arial"/>
          <w:sz w:val="15"/>
          <w:szCs w:val="15"/>
          <w:color w:val="auto"/>
        </w:rPr>
      </w:pPr>
      <w:r>
        <w:rPr>
          <w:rFonts w:ascii="Arial" w:cs="Arial" w:eastAsia="Arial" w:hAnsi="Arial"/>
          <w:sz w:val="18"/>
          <w:szCs w:val="18"/>
          <w:color w:val="auto"/>
        </w:rPr>
        <w:t>We do not provide excessive perquisites. We provide no tax gross-ups for perquisites.</w:t>
      </w:r>
    </w:p>
    <w:p>
      <w:pPr>
        <w:ind w:left="1080" w:hanging="316"/>
        <w:spacing w:after="0" w:line="234" w:lineRule="auto"/>
        <w:tabs>
          <w:tab w:leader="none" w:pos="1080" w:val="left"/>
        </w:tabs>
        <w:numPr>
          <w:ilvl w:val="0"/>
          <w:numId w:val="46"/>
        </w:numPr>
        <w:rPr>
          <w:rFonts w:ascii="Arial" w:cs="Arial" w:eastAsia="Arial" w:hAnsi="Arial"/>
          <w:sz w:val="15"/>
          <w:szCs w:val="15"/>
          <w:color w:val="auto"/>
        </w:rPr>
      </w:pPr>
      <w:r>
        <w:rPr>
          <w:rFonts w:ascii="Arial" w:cs="Arial" w:eastAsia="Arial" w:hAnsi="Arial"/>
          <w:sz w:val="18"/>
          <w:szCs w:val="18"/>
          <w:color w:val="auto"/>
        </w:rPr>
        <w:t>We do not guarantee a return or provide above-market returns on compensation that has been deferred.</w:t>
      </w:r>
    </w:p>
    <w:p>
      <w:pPr>
        <w:ind w:left="1080" w:right="300" w:hanging="316"/>
        <w:spacing w:after="0" w:line="246" w:lineRule="auto"/>
        <w:tabs>
          <w:tab w:leader="none" w:pos="1080" w:val="left"/>
        </w:tabs>
        <w:numPr>
          <w:ilvl w:val="0"/>
          <w:numId w:val="46"/>
        </w:numPr>
        <w:rPr>
          <w:rFonts w:ascii="Arial" w:cs="Arial" w:eastAsia="Arial" w:hAnsi="Arial"/>
          <w:sz w:val="15"/>
          <w:szCs w:val="15"/>
          <w:color w:val="auto"/>
        </w:rPr>
      </w:pPr>
      <w:r>
        <w:rPr>
          <w:rFonts w:ascii="Arial" w:cs="Arial" w:eastAsia="Arial" w:hAnsi="Arial"/>
          <w:sz w:val="18"/>
          <w:szCs w:val="18"/>
          <w:color w:val="auto"/>
        </w:rPr>
        <w:t>Pension benefits are calculated on salary and bonus only; the proceeds earned on equity or other performance awards are not part of the pension calculation.</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Detailed discussion</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philosophy and elements</w:t>
      </w:r>
    </w:p>
    <w:p>
      <w:pPr>
        <w:spacing w:after="0" w:line="230" w:lineRule="exact"/>
        <w:rPr>
          <w:sz w:val="20"/>
          <w:szCs w:val="20"/>
          <w:color w:val="auto"/>
        </w:rPr>
      </w:pPr>
    </w:p>
    <w:p>
      <w:pPr>
        <w:ind w:left="120" w:right="200"/>
        <w:spacing w:after="0"/>
        <w:rPr>
          <w:sz w:val="20"/>
          <w:szCs w:val="20"/>
          <w:color w:val="auto"/>
        </w:rPr>
      </w:pPr>
      <w:r>
        <w:rPr>
          <w:rFonts w:ascii="Arial" w:cs="Arial" w:eastAsia="Arial" w:hAnsi="Arial"/>
          <w:sz w:val="18"/>
          <w:szCs w:val="18"/>
          <w:color w:val="auto"/>
        </w:rPr>
        <w:t>The Compensation Committee of TI’s board of directors is responsible for setting the compensation of all TI executive officers. The committee consults with the other independent directors and its compensation consultant, Pearl Meyer &amp; Partners, before setting annual compensation for the executives. The committee chair regularly reports on committee actions at board meetings.</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primary elements of our executive compensation program are as follows: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Near-term compensation, paid in cash</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Base Salary</w:t>
      </w:r>
    </w:p>
    <w:p>
      <w:pPr>
        <w:spacing w:after="0" w:line="14"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1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Purpose</w:t>
            </w:r>
          </w:p>
        </w:tc>
        <w:tc>
          <w:tcPr>
            <w:tcW w:w="99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Basic, least variable form of compensation, designed to provide a stable source of income.</w:t>
            </w:r>
          </w:p>
        </w:tc>
      </w:tr>
      <w:tr>
        <w:trPr>
          <w:trHeight w:val="397"/>
        </w:trPr>
        <w:tc>
          <w:tcPr>
            <w:tcW w:w="1080" w:type="dxa"/>
            <w:vAlign w:val="bottom"/>
          </w:tcPr>
          <w:p>
            <w:pPr>
              <w:spacing w:after="0"/>
              <w:rPr>
                <w:sz w:val="20"/>
                <w:szCs w:val="20"/>
                <w:color w:val="auto"/>
              </w:rPr>
            </w:pPr>
            <w:r>
              <w:rPr>
                <w:rFonts w:ascii="Arial" w:cs="Arial" w:eastAsia="Arial" w:hAnsi="Arial"/>
                <w:sz w:val="18"/>
                <w:szCs w:val="18"/>
                <w:color w:val="auto"/>
              </w:rPr>
              <w:t>Strategy</w:t>
            </w:r>
          </w:p>
        </w:tc>
        <w:tc>
          <w:tcPr>
            <w:tcW w:w="9940" w:type="dxa"/>
            <w:vAlign w:val="bottom"/>
          </w:tcPr>
          <w:p>
            <w:pPr>
              <w:ind w:left="140"/>
              <w:spacing w:after="0"/>
              <w:rPr>
                <w:sz w:val="20"/>
                <w:szCs w:val="20"/>
                <w:color w:val="auto"/>
              </w:rPr>
            </w:pPr>
            <w:r>
              <w:rPr>
                <w:rFonts w:ascii="Arial" w:cs="Arial" w:eastAsia="Arial" w:hAnsi="Arial"/>
                <w:sz w:val="18"/>
                <w:szCs w:val="18"/>
                <w:color w:val="auto"/>
              </w:rPr>
              <w:t>Generally, target market median, giving appropriate consideration to job scope and tenure, to attract and retain highly</w:t>
            </w:r>
          </w:p>
        </w:tc>
      </w:tr>
      <w:tr>
        <w:trPr>
          <w:trHeight w:val="217"/>
        </w:trPr>
        <w:tc>
          <w:tcPr>
            <w:tcW w:w="1080" w:type="dxa"/>
            <w:vAlign w:val="bottom"/>
          </w:tcPr>
          <w:p>
            <w:pPr>
              <w:spacing w:after="0"/>
              <w:rPr>
                <w:sz w:val="18"/>
                <w:szCs w:val="18"/>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qualified executives.</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Terms</w:t>
            </w:r>
          </w:p>
        </w:tc>
        <w:tc>
          <w:tcPr>
            <w:tcW w:w="9940" w:type="dxa"/>
            <w:vAlign w:val="bottom"/>
          </w:tcPr>
          <w:p>
            <w:pPr>
              <w:ind w:left="140"/>
              <w:spacing w:after="0"/>
              <w:rPr>
                <w:sz w:val="20"/>
                <w:szCs w:val="20"/>
                <w:color w:val="auto"/>
              </w:rPr>
            </w:pPr>
            <w:r>
              <w:rPr>
                <w:rFonts w:ascii="Arial" w:cs="Arial" w:eastAsia="Arial" w:hAnsi="Arial"/>
                <w:sz w:val="18"/>
                <w:szCs w:val="18"/>
                <w:color w:val="auto"/>
              </w:rPr>
              <w:t>Paid twice monthly.</w:t>
            </w:r>
          </w:p>
        </w:tc>
      </w:tr>
      <w:tr>
        <w:trPr>
          <w:trHeight w:val="39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Profit Sharing</w:t>
            </w:r>
          </w:p>
        </w:tc>
        <w:tc>
          <w:tcPr>
            <w:tcW w:w="9940" w:type="dxa"/>
            <w:vAlign w:val="bottom"/>
            <w:tcBorders>
              <w:bottom w:val="single" w:sz="8" w:color="auto"/>
            </w:tcBorders>
          </w:tcPr>
          <w:p>
            <w:pPr>
              <w:spacing w:after="0"/>
              <w:rPr>
                <w:sz w:val="24"/>
                <w:szCs w:val="24"/>
                <w:color w:val="auto"/>
              </w:rPr>
            </w:pPr>
          </w:p>
        </w:tc>
      </w:tr>
      <w:tr>
        <w:trPr>
          <w:trHeight w:val="195"/>
        </w:trPr>
        <w:tc>
          <w:tcPr>
            <w:tcW w:w="1080" w:type="dxa"/>
            <w:vAlign w:val="bottom"/>
          </w:tcPr>
          <w:p>
            <w:pPr>
              <w:spacing w:after="0" w:line="195" w:lineRule="exact"/>
              <w:rPr>
                <w:sz w:val="20"/>
                <w:szCs w:val="20"/>
                <w:color w:val="auto"/>
              </w:rPr>
            </w:pPr>
            <w:r>
              <w:rPr>
                <w:rFonts w:ascii="Arial" w:cs="Arial" w:eastAsia="Arial" w:hAnsi="Arial"/>
                <w:sz w:val="18"/>
                <w:szCs w:val="18"/>
                <w:color w:val="auto"/>
              </w:rPr>
              <w:t>Purpose</w:t>
            </w:r>
          </w:p>
        </w:tc>
        <w:tc>
          <w:tcPr>
            <w:tcW w:w="9940" w:type="dxa"/>
            <w:vAlign w:val="bottom"/>
          </w:tcPr>
          <w:p>
            <w:pPr>
              <w:ind w:left="140"/>
              <w:spacing w:after="0" w:line="195" w:lineRule="exact"/>
              <w:rPr>
                <w:sz w:val="20"/>
                <w:szCs w:val="20"/>
                <w:color w:val="auto"/>
              </w:rPr>
            </w:pPr>
            <w:r>
              <w:rPr>
                <w:rFonts w:ascii="Arial" w:cs="Arial" w:eastAsia="Arial" w:hAnsi="Arial"/>
                <w:sz w:val="18"/>
                <w:szCs w:val="18"/>
                <w:color w:val="auto"/>
              </w:rPr>
              <w:t>Broad-based program designed to emphasize that each employee contributes to the company’s profitability and can share</w:t>
            </w:r>
          </w:p>
        </w:tc>
      </w:tr>
      <w:tr>
        <w:trPr>
          <w:trHeight w:val="217"/>
        </w:trPr>
        <w:tc>
          <w:tcPr>
            <w:tcW w:w="1080" w:type="dxa"/>
            <w:vAlign w:val="bottom"/>
          </w:tcPr>
          <w:p>
            <w:pPr>
              <w:spacing w:after="0"/>
              <w:rPr>
                <w:sz w:val="18"/>
                <w:szCs w:val="18"/>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in it.</w:t>
            </w:r>
          </w:p>
        </w:tc>
      </w:tr>
      <w:tr>
        <w:trPr>
          <w:trHeight w:val="404"/>
        </w:trPr>
        <w:tc>
          <w:tcPr>
            <w:tcW w:w="1080" w:type="dxa"/>
            <w:vAlign w:val="bottom"/>
          </w:tcPr>
          <w:p>
            <w:pPr>
              <w:spacing w:after="0"/>
              <w:rPr>
                <w:sz w:val="20"/>
                <w:szCs w:val="20"/>
                <w:color w:val="auto"/>
              </w:rPr>
            </w:pPr>
            <w:r>
              <w:rPr>
                <w:rFonts w:ascii="Arial" w:cs="Arial" w:eastAsia="Arial" w:hAnsi="Arial"/>
                <w:sz w:val="18"/>
                <w:szCs w:val="18"/>
                <w:color w:val="auto"/>
              </w:rPr>
              <w:t>Strategy</w:t>
            </w:r>
          </w:p>
        </w:tc>
        <w:tc>
          <w:tcPr>
            <w:tcW w:w="9940" w:type="dxa"/>
            <w:vAlign w:val="bottom"/>
          </w:tcPr>
          <w:p>
            <w:pPr>
              <w:ind w:left="140"/>
              <w:spacing w:after="0"/>
              <w:rPr>
                <w:sz w:val="20"/>
                <w:szCs w:val="20"/>
                <w:color w:val="auto"/>
              </w:rPr>
            </w:pPr>
            <w:r>
              <w:rPr>
                <w:rFonts w:ascii="Arial" w:cs="Arial" w:eastAsia="Arial" w:hAnsi="Arial"/>
                <w:sz w:val="18"/>
                <w:szCs w:val="18"/>
                <w:color w:val="auto"/>
              </w:rPr>
              <w:t>Pay according to a formula that focuses employees on a company goal, and at a level that will affect behavior. Profit</w:t>
            </w:r>
          </w:p>
        </w:tc>
      </w:tr>
      <w:tr>
        <w:trPr>
          <w:trHeight w:val="217"/>
        </w:trPr>
        <w:tc>
          <w:tcPr>
            <w:tcW w:w="1080" w:type="dxa"/>
            <w:vAlign w:val="bottom"/>
          </w:tcPr>
          <w:p>
            <w:pPr>
              <w:spacing w:after="0"/>
              <w:rPr>
                <w:sz w:val="18"/>
                <w:szCs w:val="18"/>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sharing is paid in addition to any performance bonus awarded for the year.</w:t>
            </w:r>
          </w:p>
        </w:tc>
      </w:tr>
      <w:tr>
        <w:trPr>
          <w:trHeight w:val="431"/>
        </w:trPr>
        <w:tc>
          <w:tcPr>
            <w:tcW w:w="1080" w:type="dxa"/>
            <w:vAlign w:val="bottom"/>
          </w:tcPr>
          <w:p>
            <w:pPr>
              <w:spacing w:after="0"/>
              <w:rPr>
                <w:sz w:val="24"/>
                <w:szCs w:val="24"/>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For the last 15 years, the formula has been based on company-level annual operating profit margin. The formula was set</w:t>
            </w:r>
          </w:p>
        </w:tc>
      </w:tr>
      <w:tr>
        <w:trPr>
          <w:trHeight w:val="217"/>
        </w:trPr>
        <w:tc>
          <w:tcPr>
            <w:tcW w:w="1080" w:type="dxa"/>
            <w:vAlign w:val="bottom"/>
          </w:tcPr>
          <w:p>
            <w:pPr>
              <w:spacing w:after="0"/>
              <w:rPr>
                <w:sz w:val="18"/>
                <w:szCs w:val="18"/>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by the TI board. The committee’s practice has been not to adjust amounts earned under the formula.</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Terms</w:t>
            </w:r>
          </w:p>
        </w:tc>
        <w:tc>
          <w:tcPr>
            <w:tcW w:w="9940" w:type="dxa"/>
            <w:vAlign w:val="bottom"/>
          </w:tcPr>
          <w:p>
            <w:pPr>
              <w:ind w:left="140"/>
              <w:spacing w:after="0"/>
              <w:rPr>
                <w:sz w:val="20"/>
                <w:szCs w:val="20"/>
                <w:color w:val="auto"/>
              </w:rPr>
            </w:pPr>
            <w:r>
              <w:rPr>
                <w:rFonts w:ascii="Arial" w:cs="Arial" w:eastAsia="Arial" w:hAnsi="Arial"/>
                <w:sz w:val="18"/>
                <w:szCs w:val="18"/>
                <w:color w:val="auto"/>
              </w:rPr>
              <w:t>Payable in a single cash payment shortly after the end of the performance year.</w:t>
            </w:r>
          </w:p>
        </w:tc>
      </w:tr>
      <w:tr>
        <w:trPr>
          <w:trHeight w:val="445"/>
        </w:trPr>
        <w:tc>
          <w:tcPr>
            <w:tcW w:w="1080" w:type="dxa"/>
            <w:vAlign w:val="bottom"/>
          </w:tcPr>
          <w:p>
            <w:pPr>
              <w:spacing w:after="0"/>
              <w:rPr>
                <w:sz w:val="24"/>
                <w:szCs w:val="24"/>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As in recent years, the formula for 2019 was:</w:t>
            </w:r>
          </w:p>
        </w:tc>
      </w:tr>
    </w:tbl>
    <w:p>
      <w:pPr>
        <w:spacing w:after="0" w:line="224" w:lineRule="exact"/>
        <w:rPr>
          <w:sz w:val="20"/>
          <w:szCs w:val="20"/>
          <w:color w:val="auto"/>
        </w:rPr>
      </w:pPr>
    </w:p>
    <w:p>
      <w:pPr>
        <w:ind w:left="1780" w:hanging="206"/>
        <w:spacing w:after="0"/>
        <w:tabs>
          <w:tab w:leader="none" w:pos="1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Below 10% company-level annual operating profit as a percentage of revenue (“Margin”): no profit sharing.</w:t>
      </w:r>
    </w:p>
    <w:p>
      <w:pPr>
        <w:ind w:left="1760" w:hanging="186"/>
        <w:spacing w:after="0" w:line="234" w:lineRule="auto"/>
        <w:tabs>
          <w:tab w:leader="none" w:pos="1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10% Margin: profit sharing = 2% of base salary.</w:t>
      </w:r>
    </w:p>
    <w:p>
      <w:pPr>
        <w:jc w:val="both"/>
        <w:ind w:left="1820" w:right="140" w:hanging="246"/>
        <w:spacing w:after="0"/>
        <w:tabs>
          <w:tab w:leader="none" w:pos="1758"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Margin above 10%: profit sharing increases by 0.5% of base salary for each percentage point of Margin between 10% and 24%, and 1% of base salary for each percentage point of Margin above 24%. The maximum profit sharing is 20% of base salary.</w:t>
      </w:r>
    </w:p>
    <w:p>
      <w:pPr>
        <w:spacing w:after="0" w:line="230" w:lineRule="exact"/>
        <w:rPr>
          <w:sz w:val="20"/>
          <w:szCs w:val="20"/>
          <w:color w:val="auto"/>
        </w:rPr>
      </w:pPr>
    </w:p>
    <w:p>
      <w:pPr>
        <w:ind w:left="1340" w:right="580"/>
        <w:spacing w:after="0" w:line="246" w:lineRule="auto"/>
        <w:rPr>
          <w:sz w:val="20"/>
          <w:szCs w:val="20"/>
          <w:color w:val="auto"/>
        </w:rPr>
      </w:pPr>
      <w:r>
        <w:rPr>
          <w:rFonts w:ascii="Arial" w:cs="Arial" w:eastAsia="Arial" w:hAnsi="Arial"/>
          <w:sz w:val="18"/>
          <w:szCs w:val="18"/>
          <w:color w:val="auto"/>
        </w:rPr>
        <w:t>In 2019, TI delivered Margin of 39.8%. As a result, all eligible employees, including executive officers, received profit sharing of 20% of base salary.</w:t>
      </w:r>
    </w:p>
    <w:p>
      <w:pPr>
        <w:spacing w:after="0" w:line="138" w:lineRule="exact"/>
        <w:rPr>
          <w:sz w:val="20"/>
          <w:szCs w:val="20"/>
          <w:color w:val="auto"/>
        </w:rPr>
      </w:pPr>
    </w:p>
    <w:tbl>
      <w:tblPr>
        <w:tblLayout w:type="fixed"/>
        <w:tblInd w:w="4040" w:type="dxa"/>
        <w:tblCellMar>
          <w:top w:w="0" w:type="dxa"/>
          <w:left w:w="0" w:type="dxa"/>
          <w:bottom w:w="0" w:type="dxa"/>
          <w:right w:w="0" w:type="dxa"/>
        </w:tblCellMar>
      </w:tblPr>
      <w:tr>
        <w:trPr>
          <w:trHeight w:val="152"/>
        </w:trPr>
        <w:tc>
          <w:tcPr>
            <w:tcW w:w="5080" w:type="dxa"/>
            <w:vAlign w:val="bottom"/>
          </w:tcPr>
          <w:p>
            <w:pPr>
              <w:spacing w:after="0"/>
              <w:rPr>
                <w:sz w:val="20"/>
                <w:szCs w:val="20"/>
                <w:color w:val="auto"/>
              </w:rPr>
            </w:pPr>
            <w:r>
              <w:rPr>
                <w:rFonts w:ascii="Arial" w:cs="Arial" w:eastAsia="Arial" w:hAnsi="Arial"/>
                <w:sz w:val="13"/>
                <w:szCs w:val="13"/>
                <w:color w:val="666666"/>
              </w:rPr>
              <w:t>TEXAS INSTRUMENTS  •  2020 PROXY STATEMENT</w:t>
            </w:r>
          </w:p>
        </w:tc>
        <w:tc>
          <w:tcPr>
            <w:tcW w:w="2000" w:type="dxa"/>
            <w:vAlign w:val="bottom"/>
          </w:tcPr>
          <w:p>
            <w:pPr>
              <w:jc w:val="right"/>
              <w:spacing w:after="0"/>
              <w:rPr>
                <w:sz w:val="20"/>
                <w:szCs w:val="20"/>
                <w:color w:val="auto"/>
              </w:rPr>
            </w:pPr>
            <w:r>
              <w:rPr>
                <w:rFonts w:ascii="Arial" w:cs="Arial" w:eastAsia="Arial" w:hAnsi="Arial"/>
                <w:sz w:val="13"/>
                <w:szCs w:val="13"/>
                <w:color w:val="666666"/>
              </w:rPr>
              <w:t>21</w:t>
            </w:r>
          </w:p>
        </w:tc>
      </w:tr>
    </w:tbl>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Performance Bonus</w:t>
      </w:r>
    </w:p>
    <w:p>
      <w:pPr>
        <w:spacing w:after="0" w:line="14"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Purpose</w:t>
            </w:r>
          </w:p>
        </w:tc>
        <w:tc>
          <w:tcPr>
            <w:tcW w:w="10080" w:type="dxa"/>
            <w:vAlign w:val="bottom"/>
            <w:tcBorders>
              <w:top w:val="single" w:sz="8" w:color="auto"/>
            </w:tcBorders>
            <w:gridSpan w:val="2"/>
          </w:tcPr>
          <w:p>
            <w:pPr>
              <w:ind w:left="280"/>
              <w:spacing w:after="0" w:line="195" w:lineRule="exact"/>
              <w:rPr>
                <w:sz w:val="20"/>
                <w:szCs w:val="20"/>
                <w:color w:val="auto"/>
              </w:rPr>
            </w:pPr>
            <w:r>
              <w:rPr>
                <w:rFonts w:ascii="Arial" w:cs="Arial" w:eastAsia="Arial" w:hAnsi="Arial"/>
                <w:sz w:val="18"/>
                <w:szCs w:val="18"/>
                <w:color w:val="auto"/>
              </w:rPr>
              <w:t>To motivate executives and reward them according to the company’s relative and absolute performance and the</w:t>
            </w:r>
          </w:p>
        </w:tc>
      </w:tr>
      <w:tr>
        <w:trPr>
          <w:trHeight w:val="217"/>
        </w:trPr>
        <w:tc>
          <w:tcPr>
            <w:tcW w:w="940" w:type="dxa"/>
            <w:vAlign w:val="bottom"/>
          </w:tcPr>
          <w:p>
            <w:pPr>
              <w:spacing w:after="0"/>
              <w:rPr>
                <w:sz w:val="18"/>
                <w:szCs w:val="18"/>
                <w:color w:val="auto"/>
              </w:rPr>
            </w:pPr>
          </w:p>
        </w:tc>
        <w:tc>
          <w:tcPr>
            <w:tcW w:w="10080" w:type="dxa"/>
            <w:vAlign w:val="bottom"/>
            <w:gridSpan w:val="2"/>
          </w:tcPr>
          <w:p>
            <w:pPr>
              <w:ind w:left="280"/>
              <w:spacing w:after="0"/>
              <w:rPr>
                <w:sz w:val="20"/>
                <w:szCs w:val="20"/>
                <w:color w:val="auto"/>
              </w:rPr>
            </w:pPr>
            <w:r>
              <w:rPr>
                <w:rFonts w:ascii="Arial" w:cs="Arial" w:eastAsia="Arial" w:hAnsi="Arial"/>
                <w:sz w:val="18"/>
                <w:szCs w:val="18"/>
                <w:color w:val="auto"/>
              </w:rPr>
              <w:t>executive’s individual performance.</w:t>
            </w:r>
          </w:p>
        </w:tc>
      </w:tr>
      <w:tr>
        <w:trPr>
          <w:trHeight w:val="402"/>
        </w:trPr>
        <w:tc>
          <w:tcPr>
            <w:tcW w:w="940" w:type="dxa"/>
            <w:vAlign w:val="bottom"/>
          </w:tcPr>
          <w:p>
            <w:pPr>
              <w:spacing w:after="0"/>
              <w:rPr>
                <w:sz w:val="20"/>
                <w:szCs w:val="20"/>
                <w:color w:val="auto"/>
              </w:rPr>
            </w:pPr>
            <w:r>
              <w:rPr>
                <w:rFonts w:ascii="Arial" w:cs="Arial" w:eastAsia="Arial" w:hAnsi="Arial"/>
                <w:sz w:val="18"/>
                <w:szCs w:val="18"/>
                <w:color w:val="auto"/>
              </w:rPr>
              <w:t>Strategy</w:t>
            </w:r>
          </w:p>
        </w:tc>
        <w:tc>
          <w:tcPr>
            <w:tcW w:w="10080" w:type="dxa"/>
            <w:vAlign w:val="bottom"/>
            <w:gridSpan w:val="2"/>
          </w:tcPr>
          <w:p>
            <w:pPr>
              <w:ind w:left="280"/>
              <w:spacing w:after="0"/>
              <w:rPr>
                <w:sz w:val="20"/>
                <w:szCs w:val="20"/>
                <w:color w:val="auto"/>
              </w:rPr>
            </w:pPr>
            <w:r>
              <w:rPr>
                <w:rFonts w:ascii="Arial" w:cs="Arial" w:eastAsia="Arial" w:hAnsi="Arial"/>
                <w:sz w:val="18"/>
                <w:szCs w:val="18"/>
                <w:color w:val="auto"/>
              </w:rPr>
              <w:t>Determined primarily on the basis of one-year and three-year company performance on certain measures (revenue growth</w:t>
            </w:r>
          </w:p>
        </w:tc>
      </w:tr>
      <w:tr>
        <w:trPr>
          <w:trHeight w:val="205"/>
        </w:trPr>
        <w:tc>
          <w:tcPr>
            <w:tcW w:w="940" w:type="dxa"/>
            <w:vAlign w:val="bottom"/>
          </w:tcPr>
          <w:p>
            <w:pPr>
              <w:spacing w:after="0"/>
              <w:rPr>
                <w:sz w:val="17"/>
                <w:szCs w:val="17"/>
                <w:color w:val="auto"/>
              </w:rPr>
            </w:pPr>
          </w:p>
        </w:tc>
        <w:tc>
          <w:tcPr>
            <w:tcW w:w="10080" w:type="dxa"/>
            <w:vAlign w:val="bottom"/>
            <w:gridSpan w:val="2"/>
          </w:tcPr>
          <w:p>
            <w:pPr>
              <w:ind w:left="280"/>
              <w:spacing w:after="0" w:line="205" w:lineRule="exact"/>
              <w:rPr>
                <w:sz w:val="20"/>
                <w:szCs w:val="20"/>
                <w:color w:val="auto"/>
              </w:rPr>
            </w:pPr>
            <w:r>
              <w:rPr>
                <w:rFonts w:ascii="Arial" w:cs="Arial" w:eastAsia="Arial" w:hAnsi="Arial"/>
                <w:sz w:val="18"/>
                <w:szCs w:val="18"/>
                <w:color w:val="auto"/>
              </w:rPr>
              <w:t>percent, operating margin and total shareholder return</w:t>
            </w:r>
            <w:r>
              <w:rPr>
                <w:rFonts w:ascii="Arial" w:cs="Arial" w:eastAsia="Arial" w:hAnsi="Arial"/>
                <w:sz w:val="15"/>
                <w:szCs w:val="15"/>
                <w:color w:val="auto"/>
              </w:rPr>
              <w:t>1</w:t>
            </w:r>
            <w:r>
              <w:rPr>
                <w:rFonts w:ascii="Arial" w:cs="Arial" w:eastAsia="Arial" w:hAnsi="Arial"/>
                <w:sz w:val="18"/>
                <w:szCs w:val="18"/>
                <w:color w:val="auto"/>
              </w:rPr>
              <w:t>) as compared with competitors and on our strategic progress in</w:t>
            </w:r>
          </w:p>
        </w:tc>
      </w:tr>
      <w:tr>
        <w:trPr>
          <w:trHeight w:val="203"/>
        </w:trPr>
        <w:tc>
          <w:tcPr>
            <w:tcW w:w="940" w:type="dxa"/>
            <w:vAlign w:val="bottom"/>
          </w:tcPr>
          <w:p>
            <w:pPr>
              <w:spacing w:after="0"/>
              <w:rPr>
                <w:sz w:val="17"/>
                <w:szCs w:val="17"/>
                <w:color w:val="auto"/>
              </w:rPr>
            </w:pPr>
          </w:p>
        </w:tc>
        <w:tc>
          <w:tcPr>
            <w:tcW w:w="1008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key markets and with customers. These factors have been chosen to reflect our near-term financial performance as well as</w:t>
            </w:r>
          </w:p>
        </w:tc>
      </w:tr>
      <w:tr>
        <w:trPr>
          <w:trHeight w:val="217"/>
        </w:trPr>
        <w:tc>
          <w:tcPr>
            <w:tcW w:w="940" w:type="dxa"/>
            <w:vAlign w:val="bottom"/>
          </w:tcPr>
          <w:p>
            <w:pPr>
              <w:spacing w:after="0"/>
              <w:rPr>
                <w:sz w:val="18"/>
                <w:szCs w:val="18"/>
                <w:color w:val="auto"/>
              </w:rPr>
            </w:pPr>
          </w:p>
        </w:tc>
        <w:tc>
          <w:tcPr>
            <w:tcW w:w="10080" w:type="dxa"/>
            <w:vAlign w:val="bottom"/>
            <w:gridSpan w:val="2"/>
          </w:tcPr>
          <w:p>
            <w:pPr>
              <w:ind w:left="280"/>
              <w:spacing w:after="0"/>
              <w:rPr>
                <w:sz w:val="20"/>
                <w:szCs w:val="20"/>
                <w:color w:val="auto"/>
              </w:rPr>
            </w:pPr>
            <w:r>
              <w:rPr>
                <w:rFonts w:ascii="Arial" w:cs="Arial" w:eastAsia="Arial" w:hAnsi="Arial"/>
                <w:sz w:val="18"/>
                <w:szCs w:val="18"/>
                <w:color w:val="auto"/>
              </w:rPr>
              <w:t>our progress in building long-term shareholder value.</w:t>
            </w:r>
          </w:p>
        </w:tc>
      </w:tr>
      <w:tr>
        <w:trPr>
          <w:trHeight w:val="431"/>
        </w:trPr>
        <w:tc>
          <w:tcPr>
            <w:tcW w:w="940" w:type="dxa"/>
            <w:vAlign w:val="bottom"/>
          </w:tcPr>
          <w:p>
            <w:pPr>
              <w:spacing w:after="0"/>
              <w:rPr>
                <w:sz w:val="24"/>
                <w:szCs w:val="24"/>
                <w:color w:val="auto"/>
              </w:rPr>
            </w:pPr>
          </w:p>
        </w:tc>
        <w:tc>
          <w:tcPr>
            <w:tcW w:w="10080" w:type="dxa"/>
            <w:vAlign w:val="bottom"/>
            <w:gridSpan w:val="2"/>
          </w:tcPr>
          <w:p>
            <w:pPr>
              <w:ind w:left="280"/>
              <w:spacing w:after="0"/>
              <w:rPr>
                <w:sz w:val="20"/>
                <w:szCs w:val="20"/>
                <w:color w:val="auto"/>
              </w:rPr>
            </w:pPr>
            <w:r>
              <w:rPr>
                <w:rFonts w:ascii="Arial" w:cs="Arial" w:eastAsia="Arial" w:hAnsi="Arial"/>
                <w:sz w:val="18"/>
                <w:szCs w:val="18"/>
                <w:color w:val="auto"/>
              </w:rPr>
              <w:t>The committee aims to pay total cash compensation (base salary, profit sharing and bonus) appropriately above median if</w:t>
            </w:r>
          </w:p>
        </w:tc>
      </w:tr>
      <w:tr>
        <w:trPr>
          <w:trHeight w:val="203"/>
        </w:trPr>
        <w:tc>
          <w:tcPr>
            <w:tcW w:w="940" w:type="dxa"/>
            <w:vAlign w:val="bottom"/>
          </w:tcPr>
          <w:p>
            <w:pPr>
              <w:spacing w:after="0"/>
              <w:rPr>
                <w:sz w:val="17"/>
                <w:szCs w:val="17"/>
                <w:color w:val="auto"/>
              </w:rPr>
            </w:pPr>
          </w:p>
        </w:tc>
        <w:tc>
          <w:tcPr>
            <w:tcW w:w="1008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company performance is above that of competitors, and pay total cash compensation appropriately below the median if</w:t>
            </w:r>
          </w:p>
        </w:tc>
      </w:tr>
      <w:tr>
        <w:trPr>
          <w:trHeight w:val="217"/>
        </w:trPr>
        <w:tc>
          <w:tcPr>
            <w:tcW w:w="940" w:type="dxa"/>
            <w:vAlign w:val="bottom"/>
          </w:tcPr>
          <w:p>
            <w:pPr>
              <w:spacing w:after="0"/>
              <w:rPr>
                <w:sz w:val="18"/>
                <w:szCs w:val="18"/>
                <w:color w:val="auto"/>
              </w:rPr>
            </w:pPr>
          </w:p>
        </w:tc>
        <w:tc>
          <w:tcPr>
            <w:tcW w:w="10080" w:type="dxa"/>
            <w:vAlign w:val="bottom"/>
            <w:gridSpan w:val="2"/>
          </w:tcPr>
          <w:p>
            <w:pPr>
              <w:ind w:left="280"/>
              <w:spacing w:after="0"/>
              <w:rPr>
                <w:sz w:val="20"/>
                <w:szCs w:val="20"/>
                <w:color w:val="auto"/>
              </w:rPr>
            </w:pPr>
            <w:r>
              <w:rPr>
                <w:rFonts w:ascii="Arial" w:cs="Arial" w:eastAsia="Arial" w:hAnsi="Arial"/>
                <w:sz w:val="18"/>
                <w:szCs w:val="18"/>
                <w:color w:val="auto"/>
              </w:rPr>
              <w:t>company performance is below competitors.</w:t>
            </w:r>
          </w:p>
        </w:tc>
      </w:tr>
      <w:tr>
        <w:trPr>
          <w:trHeight w:val="431"/>
        </w:trPr>
        <w:tc>
          <w:tcPr>
            <w:tcW w:w="940" w:type="dxa"/>
            <w:vAlign w:val="bottom"/>
          </w:tcPr>
          <w:p>
            <w:pPr>
              <w:spacing w:after="0"/>
              <w:rPr>
                <w:sz w:val="24"/>
                <w:szCs w:val="24"/>
                <w:color w:val="auto"/>
              </w:rPr>
            </w:pPr>
          </w:p>
        </w:tc>
        <w:tc>
          <w:tcPr>
            <w:tcW w:w="10080" w:type="dxa"/>
            <w:vAlign w:val="bottom"/>
            <w:gridSpan w:val="2"/>
          </w:tcPr>
          <w:p>
            <w:pPr>
              <w:ind w:left="280"/>
              <w:spacing w:after="0"/>
              <w:rPr>
                <w:sz w:val="20"/>
                <w:szCs w:val="20"/>
                <w:color w:val="auto"/>
              </w:rPr>
            </w:pPr>
            <w:r>
              <w:rPr>
                <w:rFonts w:ascii="Arial" w:cs="Arial" w:eastAsia="Arial" w:hAnsi="Arial"/>
                <w:sz w:val="18"/>
                <w:szCs w:val="18"/>
                <w:color w:val="auto"/>
              </w:rPr>
              <w:t>The committee does not rely on formulas or performance targets or thresholds. Instead, it uses its judgment based on its</w:t>
            </w:r>
          </w:p>
        </w:tc>
      </w:tr>
      <w:tr>
        <w:trPr>
          <w:trHeight w:val="217"/>
        </w:trPr>
        <w:tc>
          <w:tcPr>
            <w:tcW w:w="940" w:type="dxa"/>
            <w:vAlign w:val="bottom"/>
          </w:tcPr>
          <w:p>
            <w:pPr>
              <w:spacing w:after="0"/>
              <w:rPr>
                <w:sz w:val="18"/>
                <w:szCs w:val="18"/>
                <w:color w:val="auto"/>
              </w:rPr>
            </w:pPr>
          </w:p>
        </w:tc>
        <w:tc>
          <w:tcPr>
            <w:tcW w:w="10080" w:type="dxa"/>
            <w:vAlign w:val="bottom"/>
            <w:gridSpan w:val="2"/>
          </w:tcPr>
          <w:p>
            <w:pPr>
              <w:ind w:left="280"/>
              <w:spacing w:after="0"/>
              <w:rPr>
                <w:sz w:val="20"/>
                <w:szCs w:val="20"/>
                <w:color w:val="auto"/>
              </w:rPr>
            </w:pPr>
            <w:r>
              <w:rPr>
                <w:rFonts w:ascii="Arial" w:cs="Arial" w:eastAsia="Arial" w:hAnsi="Arial"/>
                <w:sz w:val="18"/>
                <w:szCs w:val="18"/>
                <w:color w:val="auto"/>
              </w:rPr>
              <w:t>assessment of the factors described above.</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Terms</w:t>
            </w:r>
          </w:p>
        </w:tc>
        <w:tc>
          <w:tcPr>
            <w:tcW w:w="10080" w:type="dxa"/>
            <w:vAlign w:val="bottom"/>
            <w:gridSpan w:val="2"/>
          </w:tcPr>
          <w:p>
            <w:pPr>
              <w:ind w:left="280"/>
              <w:spacing w:after="0"/>
              <w:rPr>
                <w:sz w:val="20"/>
                <w:szCs w:val="20"/>
                <w:color w:val="auto"/>
              </w:rPr>
            </w:pPr>
            <w:r>
              <w:rPr>
                <w:rFonts w:ascii="Arial" w:cs="Arial" w:eastAsia="Arial" w:hAnsi="Arial"/>
                <w:sz w:val="18"/>
                <w:szCs w:val="18"/>
                <w:color w:val="auto"/>
              </w:rPr>
              <w:t>Determined by the committee and paid in a single payment after the performance year.</w:t>
            </w:r>
          </w:p>
        </w:tc>
      </w:tr>
      <w:tr>
        <w:trPr>
          <w:trHeight w:val="378"/>
        </w:trPr>
        <w:tc>
          <w:tcPr>
            <w:tcW w:w="3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w w:val="99"/>
              </w:rPr>
              <w:t>Long-term compensation, awarded in equity</w:t>
            </w:r>
          </w:p>
        </w:tc>
        <w:tc>
          <w:tcPr>
            <w:tcW w:w="7520" w:type="dxa"/>
            <w:vAlign w:val="bottom"/>
          </w:tcPr>
          <w:p>
            <w:pPr>
              <w:spacing w:after="0"/>
              <w:rPr>
                <w:sz w:val="24"/>
                <w:szCs w:val="24"/>
                <w:color w:val="auto"/>
              </w:rPr>
            </w:pPr>
          </w:p>
        </w:tc>
      </w:tr>
      <w:tr>
        <w:trPr>
          <w:trHeight w:val="412"/>
        </w:trPr>
        <w:tc>
          <w:tcPr>
            <w:tcW w:w="110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Stock Options and Restricted Stock Units</w:t>
            </w:r>
          </w:p>
        </w:tc>
      </w:tr>
      <w:tr>
        <w:trPr>
          <w:trHeight w:val="195"/>
        </w:trPr>
        <w:tc>
          <w:tcPr>
            <w:tcW w:w="940" w:type="dxa"/>
            <w:vAlign w:val="bottom"/>
          </w:tcPr>
          <w:p>
            <w:pPr>
              <w:spacing w:after="0" w:line="195" w:lineRule="exact"/>
              <w:rPr>
                <w:sz w:val="20"/>
                <w:szCs w:val="20"/>
                <w:color w:val="auto"/>
              </w:rPr>
            </w:pPr>
            <w:r>
              <w:rPr>
                <w:rFonts w:ascii="Arial" w:cs="Arial" w:eastAsia="Arial" w:hAnsi="Arial"/>
                <w:sz w:val="18"/>
                <w:szCs w:val="18"/>
                <w:color w:val="auto"/>
              </w:rPr>
              <w:t>Purpose</w:t>
            </w:r>
          </w:p>
        </w:tc>
        <w:tc>
          <w:tcPr>
            <w:tcW w:w="10080" w:type="dxa"/>
            <w:vAlign w:val="bottom"/>
            <w:gridSpan w:val="2"/>
          </w:tcPr>
          <w:p>
            <w:pPr>
              <w:ind w:left="280"/>
              <w:spacing w:after="0" w:line="195" w:lineRule="exact"/>
              <w:rPr>
                <w:sz w:val="20"/>
                <w:szCs w:val="20"/>
                <w:color w:val="auto"/>
              </w:rPr>
            </w:pPr>
            <w:r>
              <w:rPr>
                <w:rFonts w:ascii="Arial" w:cs="Arial" w:eastAsia="Arial" w:hAnsi="Arial"/>
                <w:sz w:val="18"/>
                <w:szCs w:val="18"/>
                <w:color w:val="auto"/>
              </w:rPr>
              <w:t>Alignment with shareholders; long-term focus; balance retention, particularly with respect to restricted stock units, and</w:t>
            </w:r>
          </w:p>
        </w:tc>
      </w:tr>
      <w:tr>
        <w:trPr>
          <w:trHeight w:val="217"/>
        </w:trPr>
        <w:tc>
          <w:tcPr>
            <w:tcW w:w="940" w:type="dxa"/>
            <w:vAlign w:val="bottom"/>
          </w:tcPr>
          <w:p>
            <w:pPr>
              <w:spacing w:after="0"/>
              <w:rPr>
                <w:sz w:val="18"/>
                <w:szCs w:val="18"/>
                <w:color w:val="auto"/>
              </w:rPr>
            </w:pPr>
          </w:p>
        </w:tc>
        <w:tc>
          <w:tcPr>
            <w:tcW w:w="10080" w:type="dxa"/>
            <w:vAlign w:val="bottom"/>
            <w:gridSpan w:val="2"/>
          </w:tcPr>
          <w:p>
            <w:pPr>
              <w:ind w:left="280"/>
              <w:spacing w:after="0"/>
              <w:rPr>
                <w:sz w:val="20"/>
                <w:szCs w:val="20"/>
                <w:color w:val="auto"/>
              </w:rPr>
            </w:pPr>
            <w:r>
              <w:rPr>
                <w:rFonts w:ascii="Arial" w:cs="Arial" w:eastAsia="Arial" w:hAnsi="Arial"/>
                <w:sz w:val="18"/>
                <w:szCs w:val="18"/>
                <w:color w:val="auto"/>
              </w:rPr>
              <w:t>performance.</w:t>
            </w:r>
          </w:p>
        </w:tc>
      </w:tr>
      <w:tr>
        <w:trPr>
          <w:trHeight w:val="404"/>
        </w:trPr>
        <w:tc>
          <w:tcPr>
            <w:tcW w:w="940" w:type="dxa"/>
            <w:vAlign w:val="bottom"/>
          </w:tcPr>
          <w:p>
            <w:pPr>
              <w:spacing w:after="0"/>
              <w:rPr>
                <w:sz w:val="20"/>
                <w:szCs w:val="20"/>
                <w:color w:val="auto"/>
              </w:rPr>
            </w:pPr>
            <w:r>
              <w:rPr>
                <w:rFonts w:ascii="Arial" w:cs="Arial" w:eastAsia="Arial" w:hAnsi="Arial"/>
                <w:sz w:val="18"/>
                <w:szCs w:val="18"/>
                <w:color w:val="auto"/>
              </w:rPr>
              <w:t>Strategy</w:t>
            </w:r>
          </w:p>
        </w:tc>
        <w:tc>
          <w:tcPr>
            <w:tcW w:w="10080" w:type="dxa"/>
            <w:vAlign w:val="bottom"/>
            <w:gridSpan w:val="2"/>
          </w:tcPr>
          <w:p>
            <w:pPr>
              <w:ind w:left="280"/>
              <w:spacing w:after="0"/>
              <w:rPr>
                <w:sz w:val="20"/>
                <w:szCs w:val="20"/>
                <w:color w:val="auto"/>
              </w:rPr>
            </w:pPr>
            <w:r>
              <w:rPr>
                <w:rFonts w:ascii="Arial" w:cs="Arial" w:eastAsia="Arial" w:hAnsi="Arial"/>
                <w:sz w:val="18"/>
                <w:szCs w:val="18"/>
                <w:color w:val="auto"/>
              </w:rPr>
              <w:t>We grant a combination of nonqualified stock options and restricted stock units, generally targeted at the median level of</w:t>
            </w:r>
          </w:p>
        </w:tc>
      </w:tr>
      <w:tr>
        <w:trPr>
          <w:trHeight w:val="217"/>
        </w:trPr>
        <w:tc>
          <w:tcPr>
            <w:tcW w:w="940" w:type="dxa"/>
            <w:vAlign w:val="bottom"/>
          </w:tcPr>
          <w:p>
            <w:pPr>
              <w:spacing w:after="0"/>
              <w:rPr>
                <w:sz w:val="18"/>
                <w:szCs w:val="18"/>
                <w:color w:val="auto"/>
              </w:rPr>
            </w:pPr>
          </w:p>
        </w:tc>
        <w:tc>
          <w:tcPr>
            <w:tcW w:w="10080" w:type="dxa"/>
            <w:vAlign w:val="bottom"/>
            <w:gridSpan w:val="2"/>
          </w:tcPr>
          <w:p>
            <w:pPr>
              <w:ind w:left="280"/>
              <w:spacing w:after="0"/>
              <w:rPr>
                <w:sz w:val="20"/>
                <w:szCs w:val="20"/>
                <w:color w:val="auto"/>
              </w:rPr>
            </w:pPr>
            <w:r>
              <w:rPr>
                <w:rFonts w:ascii="Arial" w:cs="Arial" w:eastAsia="Arial" w:hAnsi="Arial"/>
                <w:sz w:val="18"/>
                <w:szCs w:val="18"/>
                <w:color w:val="auto"/>
              </w:rPr>
              <w:t>equity compensation awarded to executives in similar positions within the Comparator Group.</w:t>
            </w:r>
          </w:p>
        </w:tc>
      </w:tr>
      <w:tr>
        <w:trPr>
          <w:trHeight w:val="404"/>
        </w:trPr>
        <w:tc>
          <w:tcPr>
            <w:tcW w:w="940" w:type="dxa"/>
            <w:vAlign w:val="bottom"/>
          </w:tcPr>
          <w:p>
            <w:pPr>
              <w:spacing w:after="0"/>
              <w:rPr>
                <w:sz w:val="20"/>
                <w:szCs w:val="20"/>
                <w:color w:val="auto"/>
              </w:rPr>
            </w:pPr>
            <w:r>
              <w:rPr>
                <w:rFonts w:ascii="Arial" w:cs="Arial" w:eastAsia="Arial" w:hAnsi="Arial"/>
                <w:sz w:val="18"/>
                <w:szCs w:val="18"/>
                <w:color w:val="auto"/>
              </w:rPr>
              <w:t>Terms</w:t>
            </w:r>
          </w:p>
        </w:tc>
        <w:tc>
          <w:tcPr>
            <w:tcW w:w="10080" w:type="dxa"/>
            <w:vAlign w:val="bottom"/>
            <w:gridSpan w:val="2"/>
          </w:tcPr>
          <w:p>
            <w:pPr>
              <w:ind w:left="280"/>
              <w:spacing w:after="0"/>
              <w:rPr>
                <w:sz w:val="20"/>
                <w:szCs w:val="20"/>
                <w:color w:val="auto"/>
              </w:rPr>
            </w:pPr>
            <w:r>
              <w:rPr>
                <w:rFonts w:ascii="Arial" w:cs="Arial" w:eastAsia="Arial" w:hAnsi="Arial"/>
                <w:sz w:val="18"/>
                <w:szCs w:val="18"/>
                <w:color w:val="auto"/>
              </w:rPr>
              <w:t>The terms and conditions of stock options and restricted stock units are summarized under “Outstanding equity awards at</w:t>
            </w:r>
          </w:p>
        </w:tc>
      </w:tr>
      <w:tr>
        <w:trPr>
          <w:trHeight w:val="217"/>
        </w:trPr>
        <w:tc>
          <w:tcPr>
            <w:tcW w:w="940" w:type="dxa"/>
            <w:vAlign w:val="bottom"/>
          </w:tcPr>
          <w:p>
            <w:pPr>
              <w:spacing w:after="0"/>
              <w:rPr>
                <w:sz w:val="18"/>
                <w:szCs w:val="18"/>
                <w:color w:val="auto"/>
              </w:rPr>
            </w:pPr>
          </w:p>
        </w:tc>
        <w:tc>
          <w:tcPr>
            <w:tcW w:w="10080" w:type="dxa"/>
            <w:vAlign w:val="bottom"/>
            <w:gridSpan w:val="2"/>
          </w:tcPr>
          <w:p>
            <w:pPr>
              <w:ind w:left="280"/>
              <w:spacing w:after="0"/>
              <w:rPr>
                <w:sz w:val="20"/>
                <w:szCs w:val="20"/>
                <w:color w:val="auto"/>
              </w:rPr>
            </w:pPr>
            <w:r>
              <w:rPr>
                <w:rFonts w:ascii="Arial" w:cs="Arial" w:eastAsia="Arial" w:hAnsi="Arial"/>
                <w:sz w:val="18"/>
                <w:szCs w:val="18"/>
                <w:color w:val="auto"/>
              </w:rPr>
              <w:t>fiscal year-end 2019.” The committee’s grant procedures are described under “Process for equity grants.”</w:t>
            </w:r>
          </w:p>
        </w:tc>
      </w:tr>
    </w:tbl>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Comparator group</w:t>
      </w:r>
    </w:p>
    <w:p>
      <w:pPr>
        <w:spacing w:after="0" w:line="122"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Compensation Committee considers the market level of compensation when setting the salary, bonuses and equity compensation of the executive officers. To estimate the market level of pay, the committee uses information provided by its compensation consultant and TI’s Compensation and Benefits organization about compensation paid to executives in similar positions at a peer group of companies (the “Comparator Group”).</w:t>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committee sets the Comparator Group and reviews it annually. In general, the Comparator Group companies (i) are U.S.-based,</w:t>
      </w:r>
    </w:p>
    <w:p>
      <w:pPr>
        <w:ind w:left="120" w:right="20" w:hanging="4"/>
        <w:spacing w:after="0"/>
        <w:tabs>
          <w:tab w:leader="none" w:pos="37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engage in the semiconductor business, other electronics or information technology activities or use sophisticated manufacturing processes, (iii) have executive positions comparable in complexity to those of TI and (iv) use forms of executive compensation comparable to TI’s.</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Shown in the table below is the Comparator Group used for the compensation decisions for 2019.</w:t>
      </w:r>
    </w:p>
    <w:p>
      <w:pPr>
        <w:sectPr>
          <w:pgSz w:w="11900" w:h="16838" w:orient="portrait"/>
          <w:cols w:equalWidth="0" w:num="1">
            <w:col w:w="11140"/>
          </w:cols>
          <w:pgMar w:left="320" w:top="459" w:right="439" w:bottom="1440" w:gutter="0" w:footer="0" w:header="0"/>
        </w:sectPr>
      </w:pPr>
    </w:p>
    <w:p>
      <w:pPr>
        <w:spacing w:after="0" w:line="28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3M Company</w:t>
      </w:r>
    </w:p>
    <w:p>
      <w:pPr>
        <w:ind w:left="1220"/>
        <w:spacing w:after="0" w:line="234" w:lineRule="auto"/>
        <w:rPr>
          <w:sz w:val="20"/>
          <w:szCs w:val="20"/>
          <w:color w:val="auto"/>
        </w:rPr>
      </w:pPr>
      <w:r>
        <w:rPr>
          <w:rFonts w:ascii="Arial" w:cs="Arial" w:eastAsia="Arial" w:hAnsi="Arial"/>
          <w:sz w:val="18"/>
          <w:szCs w:val="18"/>
          <w:color w:val="auto"/>
        </w:rPr>
        <w:t>Accenture plc</w:t>
      </w:r>
    </w:p>
    <w:p>
      <w:pPr>
        <w:ind w:left="1220"/>
        <w:spacing w:after="0" w:line="235" w:lineRule="auto"/>
        <w:rPr>
          <w:sz w:val="20"/>
          <w:szCs w:val="20"/>
          <w:color w:val="auto"/>
        </w:rPr>
      </w:pPr>
      <w:r>
        <w:rPr>
          <w:rFonts w:ascii="Arial" w:cs="Arial" w:eastAsia="Arial" w:hAnsi="Arial"/>
          <w:sz w:val="18"/>
          <w:szCs w:val="18"/>
          <w:color w:val="auto"/>
        </w:rPr>
        <w:t>Analog Devices, Inc.</w:t>
      </w:r>
    </w:p>
    <w:p>
      <w:pPr>
        <w:ind w:left="1220"/>
        <w:spacing w:after="0" w:line="235" w:lineRule="auto"/>
        <w:rPr>
          <w:sz w:val="20"/>
          <w:szCs w:val="20"/>
          <w:color w:val="auto"/>
        </w:rPr>
      </w:pPr>
      <w:r>
        <w:rPr>
          <w:rFonts w:ascii="Arial" w:cs="Arial" w:eastAsia="Arial" w:hAnsi="Arial"/>
          <w:sz w:val="18"/>
          <w:szCs w:val="18"/>
          <w:color w:val="auto"/>
        </w:rPr>
        <w:t>Applied Materials, Inc.</w:t>
      </w:r>
    </w:p>
    <w:p>
      <w:pPr>
        <w:ind w:left="1220"/>
        <w:spacing w:after="0" w:line="235" w:lineRule="auto"/>
        <w:rPr>
          <w:sz w:val="20"/>
          <w:szCs w:val="20"/>
          <w:color w:val="auto"/>
        </w:rPr>
      </w:pPr>
      <w:r>
        <w:rPr>
          <w:rFonts w:ascii="Arial" w:cs="Arial" w:eastAsia="Arial" w:hAnsi="Arial"/>
          <w:sz w:val="18"/>
          <w:szCs w:val="18"/>
          <w:color w:val="auto"/>
        </w:rPr>
        <w:t>Broadcom Inc.</w:t>
      </w:r>
    </w:p>
    <w:p>
      <w:pPr>
        <w:ind w:left="1220"/>
        <w:spacing w:after="0" w:line="235" w:lineRule="auto"/>
        <w:rPr>
          <w:sz w:val="20"/>
          <w:szCs w:val="20"/>
          <w:color w:val="auto"/>
        </w:rPr>
      </w:pPr>
      <w:r>
        <w:rPr>
          <w:rFonts w:ascii="Arial" w:cs="Arial" w:eastAsia="Arial" w:hAnsi="Arial"/>
          <w:sz w:val="18"/>
          <w:szCs w:val="18"/>
          <w:color w:val="auto"/>
        </w:rPr>
        <w:t>Cisco Systems, Inc.</w:t>
      </w:r>
    </w:p>
    <w:p>
      <w:pPr>
        <w:ind w:left="1220"/>
        <w:spacing w:after="0" w:line="234" w:lineRule="auto"/>
        <w:rPr>
          <w:sz w:val="20"/>
          <w:szCs w:val="20"/>
          <w:color w:val="auto"/>
        </w:rPr>
      </w:pPr>
      <w:r>
        <w:rPr>
          <w:rFonts w:ascii="Arial" w:cs="Arial" w:eastAsia="Arial" w:hAnsi="Arial"/>
          <w:sz w:val="18"/>
          <w:szCs w:val="18"/>
          <w:color w:val="auto"/>
        </w:rPr>
        <w:t>Corning Incorporated</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DXC Technology Company</w:t>
      </w:r>
    </w:p>
    <w:p>
      <w:pPr>
        <w:spacing w:after="0" w:line="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Emerson Electric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177800</wp:posOffset>
            </wp:positionV>
            <wp:extent cx="7715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Honeywell International Inc.</w:t>
      </w:r>
    </w:p>
    <w:p>
      <w:pPr>
        <w:spacing w:after="0" w:line="234" w:lineRule="auto"/>
        <w:rPr>
          <w:sz w:val="20"/>
          <w:szCs w:val="20"/>
          <w:color w:val="auto"/>
        </w:rPr>
      </w:pPr>
      <w:r>
        <w:rPr>
          <w:rFonts w:ascii="Arial" w:cs="Arial" w:eastAsia="Arial" w:hAnsi="Arial"/>
          <w:sz w:val="18"/>
          <w:szCs w:val="18"/>
          <w:color w:val="auto"/>
        </w:rPr>
        <w:t>Intel Corporation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Medtronic Public Limited Company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Motorola Solutions, Inc.</w:t>
      </w:r>
    </w:p>
    <w:p>
      <w:pPr>
        <w:spacing w:after="0" w:line="234" w:lineRule="auto"/>
        <w:rPr>
          <w:sz w:val="20"/>
          <w:szCs w:val="20"/>
          <w:color w:val="auto"/>
        </w:rPr>
      </w:pPr>
      <w:r>
        <w:rPr>
          <w:rFonts w:ascii="Arial" w:cs="Arial" w:eastAsia="Arial" w:hAnsi="Arial"/>
          <w:sz w:val="18"/>
          <w:szCs w:val="18"/>
          <w:color w:val="auto"/>
        </w:rPr>
        <w:t>Nvidia Corporation</w:t>
      </w:r>
    </w:p>
    <w:p>
      <w:pPr>
        <w:spacing w:after="0" w:line="235" w:lineRule="auto"/>
        <w:rPr>
          <w:sz w:val="20"/>
          <w:szCs w:val="20"/>
          <w:color w:val="auto"/>
        </w:rPr>
      </w:pPr>
      <w:r>
        <w:rPr>
          <w:rFonts w:ascii="Arial" w:cs="Arial" w:eastAsia="Arial" w:hAnsi="Arial"/>
          <w:sz w:val="18"/>
          <w:szCs w:val="18"/>
          <w:color w:val="auto"/>
        </w:rPr>
        <w:t>QUALCOMM Incorporated</w:t>
      </w:r>
    </w:p>
    <w:p>
      <w:pPr>
        <w:spacing w:after="0" w:line="235" w:lineRule="auto"/>
        <w:rPr>
          <w:sz w:val="20"/>
          <w:szCs w:val="20"/>
          <w:color w:val="auto"/>
        </w:rPr>
      </w:pPr>
      <w:r>
        <w:rPr>
          <w:rFonts w:ascii="Arial" w:cs="Arial" w:eastAsia="Arial" w:hAnsi="Arial"/>
          <w:sz w:val="18"/>
          <w:szCs w:val="18"/>
          <w:color w:val="auto"/>
        </w:rPr>
        <w:t>TE Connectivity Ltd.</w:t>
      </w:r>
    </w:p>
    <w:p>
      <w:pPr>
        <w:spacing w:after="0" w:line="235" w:lineRule="auto"/>
        <w:rPr>
          <w:sz w:val="20"/>
          <w:szCs w:val="20"/>
          <w:color w:val="auto"/>
        </w:rPr>
      </w:pPr>
      <w:r>
        <w:rPr>
          <w:rFonts w:ascii="Arial" w:cs="Arial" w:eastAsia="Arial" w:hAnsi="Arial"/>
          <w:sz w:val="18"/>
          <w:szCs w:val="18"/>
          <w:color w:val="auto"/>
        </w:rPr>
        <w:t>Thermo Fisher Scientific Inc.</w:t>
      </w:r>
    </w:p>
    <w:p>
      <w:pPr>
        <w:spacing w:after="0"/>
        <w:rPr>
          <w:sz w:val="20"/>
          <w:szCs w:val="20"/>
          <w:color w:val="auto"/>
        </w:rPr>
      </w:pPr>
      <w:r>
        <w:rPr>
          <w:rFonts w:ascii="Arial" w:cs="Arial" w:eastAsia="Arial" w:hAnsi="Arial"/>
          <w:sz w:val="18"/>
          <w:szCs w:val="18"/>
          <w:color w:val="auto"/>
        </w:rPr>
        <w:t>Western Digital Corporation</w:t>
      </w:r>
    </w:p>
    <w:p>
      <w:pPr>
        <w:spacing w:after="0" w:line="200" w:lineRule="exact"/>
        <w:rPr>
          <w:sz w:val="20"/>
          <w:szCs w:val="20"/>
          <w:color w:val="auto"/>
        </w:rPr>
      </w:pPr>
    </w:p>
    <w:p>
      <w:pPr>
        <w:sectPr>
          <w:pgSz w:w="11900" w:h="16838" w:orient="portrait"/>
          <w:cols w:equalWidth="0" w:num="2">
            <w:col w:w="5020" w:space="720"/>
            <w:col w:w="5400"/>
          </w:cols>
          <w:pgMar w:left="320" w:top="459" w:right="439" w:bottom="1440" w:gutter="0" w:footer="0" w:header="0"/>
          <w:type w:val="continuous"/>
        </w:sectPr>
      </w:pPr>
    </w:p>
    <w:p>
      <w:pPr>
        <w:spacing w:after="0" w:line="133" w:lineRule="exact"/>
        <w:rPr>
          <w:sz w:val="20"/>
          <w:szCs w:val="20"/>
          <w:color w:val="auto"/>
        </w:rPr>
      </w:pPr>
    </w:p>
    <w:p>
      <w:pPr>
        <w:ind w:left="340" w:right="40" w:hanging="224"/>
        <w:spacing w:after="0"/>
        <w:tabs>
          <w:tab w:leader="none" w:pos="340" w:val="left"/>
        </w:tabs>
        <w:numPr>
          <w:ilvl w:val="0"/>
          <w:numId w:val="49"/>
        </w:numPr>
        <w:rPr>
          <w:rFonts w:ascii="Arial" w:cs="Arial" w:eastAsia="Arial" w:hAnsi="Arial"/>
          <w:sz w:val="15"/>
          <w:szCs w:val="15"/>
          <w:color w:val="auto"/>
        </w:rPr>
      </w:pPr>
      <w:r>
        <w:rPr>
          <w:rFonts w:ascii="Arial" w:cs="Arial" w:eastAsia="Arial" w:hAnsi="Arial"/>
          <w:sz w:val="18"/>
          <w:szCs w:val="18"/>
          <w:color w:val="auto"/>
        </w:rPr>
        <w:t>Total shareholder return refers to the percentage change in the value of a shareholder’s investment in a company over the relevant time period, as determined by dividends paid and the change in the company’s share price during the period. See notes to the performance summary table under “Analysis of compensation determinations – Bonus.”</w:t>
      </w:r>
    </w:p>
    <w:p>
      <w:pPr>
        <w:spacing w:after="0" w:line="130" w:lineRule="exact"/>
        <w:rPr>
          <w:sz w:val="20"/>
          <w:szCs w:val="20"/>
          <w:color w:val="auto"/>
        </w:rPr>
      </w:pPr>
    </w:p>
    <w:p>
      <w:pPr>
        <w:ind w:left="120"/>
        <w:spacing w:after="0"/>
        <w:tabs>
          <w:tab w:leader="none" w:pos="4020" w:val="left"/>
          <w:tab w:leader="none" w:pos="5500" w:val="left"/>
          <w:tab w:leader="none" w:pos="5700" w:val="left"/>
        </w:tabs>
        <w:rPr>
          <w:sz w:val="20"/>
          <w:szCs w:val="20"/>
          <w:color w:val="auto"/>
        </w:rPr>
      </w:pPr>
      <w:r>
        <w:rPr>
          <w:rFonts w:ascii="Arial" w:cs="Arial" w:eastAsia="Arial" w:hAnsi="Arial"/>
          <w:sz w:val="13"/>
          <w:szCs w:val="13"/>
          <w:color w:val="666666"/>
        </w:rPr>
        <w:t>22</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2020 PROXY STATEMENT</w:t>
      </w:r>
    </w:p>
    <w:p>
      <w:pPr>
        <w:sectPr>
          <w:pgSz w:w="11900" w:h="16838" w:orient="portrait"/>
          <w:cols w:equalWidth="0" w:num="1">
            <w:col w:w="11140"/>
          </w:cols>
          <w:pgMar w:left="320" w:top="459" w:right="4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60"/>
        <w:spacing w:after="0"/>
        <w:rPr>
          <w:sz w:val="20"/>
          <w:szCs w:val="20"/>
          <w:color w:val="auto"/>
        </w:rPr>
      </w:pPr>
      <w:r>
        <w:rPr>
          <w:rFonts w:ascii="Arial" w:cs="Arial" w:eastAsia="Arial" w:hAnsi="Arial"/>
          <w:sz w:val="18"/>
          <w:szCs w:val="18"/>
          <w:color w:val="auto"/>
        </w:rPr>
        <w:t>The committee set the Comparator Group in July 2018 for the base salary and equity compensation decisions it made in 2019. For a discussion of the factors considered by the committee in setting the Comparator Group in July 2018, please see “Comparator group” on pages 21-22 of the company’s 2019 proxy statement.</w:t>
      </w:r>
    </w:p>
    <w:p>
      <w:pPr>
        <w:spacing w:after="0" w:line="203"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In July 2019, the committee conducted its regular review of the Comparator Group in terms of industry, revenue and market capitalization. With the advice of its compensation consultant, the committee decided to make no change to the group. Accordingly, the committee used the same Comparator Group for the bonus decisions in January 2020 relating to 2019 performance as it used to set salary and equity compensation in January 2019. The table below compares the current Comparator Group to TI in terms of revenue and market capitalization.</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4020" w:type="dxa"/>
            <w:vAlign w:val="bottom"/>
          </w:tcPr>
          <w:p>
            <w:pPr>
              <w:jc w:val="right"/>
              <w:ind w:right="632"/>
              <w:spacing w:after="0"/>
              <w:rPr>
                <w:sz w:val="20"/>
                <w:szCs w:val="20"/>
                <w:color w:val="auto"/>
              </w:rPr>
            </w:pPr>
            <w:r>
              <w:rPr>
                <w:rFonts w:ascii="Arial" w:cs="Arial" w:eastAsia="Arial" w:hAnsi="Arial"/>
                <w:sz w:val="14"/>
                <w:szCs w:val="14"/>
                <w:b w:val="1"/>
                <w:bCs w:val="1"/>
                <w:color w:val="auto"/>
              </w:rPr>
              <w:t>Revenue</w:t>
            </w:r>
          </w:p>
        </w:tc>
        <w:tc>
          <w:tcPr>
            <w:tcW w:w="1600" w:type="dxa"/>
            <w:vAlign w:val="bottom"/>
          </w:tcPr>
          <w:p>
            <w:pPr>
              <w:jc w:val="right"/>
              <w:ind w:right="112"/>
              <w:spacing w:after="0"/>
              <w:rPr>
                <w:sz w:val="20"/>
                <w:szCs w:val="20"/>
                <w:color w:val="auto"/>
              </w:rPr>
            </w:pPr>
            <w:r>
              <w:rPr>
                <w:rFonts w:ascii="Arial" w:cs="Arial" w:eastAsia="Arial" w:hAnsi="Arial"/>
                <w:sz w:val="14"/>
                <w:szCs w:val="14"/>
                <w:b w:val="1"/>
                <w:bCs w:val="1"/>
                <w:color w:val="auto"/>
              </w:rPr>
              <w:t>Market Cap</w:t>
            </w:r>
          </w:p>
        </w:tc>
      </w:tr>
      <w:tr>
        <w:trPr>
          <w:trHeight w:val="189"/>
        </w:trPr>
        <w:tc>
          <w:tcPr>
            <w:tcW w:w="5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Company</w:t>
            </w:r>
          </w:p>
        </w:tc>
        <w:tc>
          <w:tcPr>
            <w:tcW w:w="40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 Billion) *</w:t>
            </w:r>
          </w:p>
        </w:tc>
        <w:tc>
          <w:tcPr>
            <w:tcW w:w="1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 Billion) *</w:t>
            </w:r>
          </w:p>
        </w:tc>
      </w:tr>
      <w:tr>
        <w:trPr>
          <w:trHeight w:val="196"/>
        </w:trPr>
        <w:tc>
          <w:tcPr>
            <w:tcW w:w="540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Intel Corporation</w:t>
            </w:r>
          </w:p>
        </w:tc>
        <w:tc>
          <w:tcPr>
            <w:tcW w:w="4020" w:type="dxa"/>
            <w:vAlign w:val="bottom"/>
            <w:shd w:val="clear" w:color="auto" w:fill="E5E5E5"/>
          </w:tcPr>
          <w:p>
            <w:pPr>
              <w:jc w:val="right"/>
              <w:ind w:right="732"/>
              <w:spacing w:after="0" w:line="196" w:lineRule="exact"/>
              <w:rPr>
                <w:sz w:val="20"/>
                <w:szCs w:val="20"/>
                <w:color w:val="auto"/>
              </w:rPr>
            </w:pPr>
            <w:r>
              <w:rPr>
                <w:rFonts w:ascii="Arial" w:cs="Arial" w:eastAsia="Arial" w:hAnsi="Arial"/>
                <w:sz w:val="18"/>
                <w:szCs w:val="18"/>
                <w:color w:val="auto"/>
              </w:rPr>
              <w:t>70.4</w:t>
            </w:r>
          </w:p>
        </w:tc>
        <w:tc>
          <w:tcPr>
            <w:tcW w:w="1600" w:type="dxa"/>
            <w:vAlign w:val="bottom"/>
            <w:shd w:val="clear" w:color="auto" w:fill="E5E5E5"/>
          </w:tcPr>
          <w:p>
            <w:pPr>
              <w:jc w:val="right"/>
              <w:ind w:right="252"/>
              <w:spacing w:after="0" w:line="196" w:lineRule="exact"/>
              <w:rPr>
                <w:sz w:val="20"/>
                <w:szCs w:val="20"/>
                <w:color w:val="auto"/>
              </w:rPr>
            </w:pPr>
            <w:r>
              <w:rPr>
                <w:rFonts w:ascii="Arial" w:cs="Arial" w:eastAsia="Arial" w:hAnsi="Arial"/>
                <w:sz w:val="18"/>
                <w:szCs w:val="18"/>
                <w:color w:val="auto"/>
              </w:rPr>
              <w:t>264.7</w:t>
            </w: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Cisco Systems, Inc.</w:t>
            </w:r>
          </w:p>
        </w:tc>
        <w:tc>
          <w:tcPr>
            <w:tcW w:w="4020" w:type="dxa"/>
            <w:vAlign w:val="bottom"/>
          </w:tcPr>
          <w:p>
            <w:pPr>
              <w:jc w:val="right"/>
              <w:ind w:right="732"/>
              <w:spacing w:after="0" w:line="202" w:lineRule="exact"/>
              <w:rPr>
                <w:sz w:val="20"/>
                <w:szCs w:val="20"/>
                <w:color w:val="auto"/>
              </w:rPr>
            </w:pPr>
            <w:r>
              <w:rPr>
                <w:rFonts w:ascii="Arial" w:cs="Arial" w:eastAsia="Arial" w:hAnsi="Arial"/>
                <w:sz w:val="18"/>
                <w:szCs w:val="18"/>
                <w:color w:val="auto"/>
              </w:rPr>
              <w:t>52.0</w:t>
            </w:r>
          </w:p>
        </w:tc>
        <w:tc>
          <w:tcPr>
            <w:tcW w:w="16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205.4</w:t>
            </w:r>
          </w:p>
        </w:tc>
      </w:tr>
      <w:tr>
        <w:trPr>
          <w:trHeight w:val="203"/>
        </w:trPr>
        <w:tc>
          <w:tcPr>
            <w:tcW w:w="54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Accenture plc</w:t>
            </w:r>
          </w:p>
        </w:tc>
        <w:tc>
          <w:tcPr>
            <w:tcW w:w="4020" w:type="dxa"/>
            <w:vAlign w:val="bottom"/>
            <w:shd w:val="clear" w:color="auto" w:fill="E5E5E5"/>
          </w:tcPr>
          <w:p>
            <w:pPr>
              <w:jc w:val="right"/>
              <w:ind w:right="732"/>
              <w:spacing w:after="0" w:line="202" w:lineRule="exact"/>
              <w:rPr>
                <w:sz w:val="20"/>
                <w:szCs w:val="20"/>
                <w:color w:val="auto"/>
              </w:rPr>
            </w:pPr>
            <w:r>
              <w:rPr>
                <w:rFonts w:ascii="Arial" w:cs="Arial" w:eastAsia="Arial" w:hAnsi="Arial"/>
                <w:sz w:val="18"/>
                <w:szCs w:val="18"/>
                <w:color w:val="auto"/>
              </w:rPr>
              <w:t>44.0</w:t>
            </w:r>
          </w:p>
        </w:tc>
        <w:tc>
          <w:tcPr>
            <w:tcW w:w="1600" w:type="dxa"/>
            <w:vAlign w:val="bottom"/>
            <w:shd w:val="clear" w:color="auto" w:fill="E5E5E5"/>
          </w:tcPr>
          <w:p>
            <w:pPr>
              <w:jc w:val="right"/>
              <w:ind w:right="252"/>
              <w:spacing w:after="0" w:line="202" w:lineRule="exact"/>
              <w:rPr>
                <w:sz w:val="20"/>
                <w:szCs w:val="20"/>
                <w:color w:val="auto"/>
              </w:rPr>
            </w:pPr>
            <w:r>
              <w:rPr>
                <w:rFonts w:ascii="Arial" w:cs="Arial" w:eastAsia="Arial" w:hAnsi="Arial"/>
                <w:sz w:val="18"/>
                <w:szCs w:val="18"/>
                <w:color w:val="auto"/>
              </w:rPr>
              <w:t>138.2</w:t>
            </w: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Honeywell International Inc.</w:t>
            </w:r>
          </w:p>
        </w:tc>
        <w:tc>
          <w:tcPr>
            <w:tcW w:w="4020" w:type="dxa"/>
            <w:vAlign w:val="bottom"/>
          </w:tcPr>
          <w:p>
            <w:pPr>
              <w:jc w:val="right"/>
              <w:ind w:right="732"/>
              <w:spacing w:after="0" w:line="202" w:lineRule="exact"/>
              <w:rPr>
                <w:sz w:val="20"/>
                <w:szCs w:val="20"/>
                <w:color w:val="auto"/>
              </w:rPr>
            </w:pPr>
            <w:r>
              <w:rPr>
                <w:rFonts w:ascii="Arial" w:cs="Arial" w:eastAsia="Arial" w:hAnsi="Arial"/>
                <w:sz w:val="18"/>
                <w:szCs w:val="18"/>
                <w:color w:val="auto"/>
              </w:rPr>
              <w:t>36.9</w:t>
            </w:r>
          </w:p>
        </w:tc>
        <w:tc>
          <w:tcPr>
            <w:tcW w:w="16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129.2</w:t>
            </w:r>
          </w:p>
        </w:tc>
      </w:tr>
      <w:tr>
        <w:trPr>
          <w:trHeight w:val="203"/>
        </w:trPr>
        <w:tc>
          <w:tcPr>
            <w:tcW w:w="54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3M Company</w:t>
            </w:r>
          </w:p>
        </w:tc>
        <w:tc>
          <w:tcPr>
            <w:tcW w:w="4020" w:type="dxa"/>
            <w:vAlign w:val="bottom"/>
            <w:shd w:val="clear" w:color="auto" w:fill="E5E5E5"/>
          </w:tcPr>
          <w:p>
            <w:pPr>
              <w:jc w:val="right"/>
              <w:ind w:right="732"/>
              <w:spacing w:after="0" w:line="202" w:lineRule="exact"/>
              <w:rPr>
                <w:sz w:val="20"/>
                <w:szCs w:val="20"/>
                <w:color w:val="auto"/>
              </w:rPr>
            </w:pPr>
            <w:r>
              <w:rPr>
                <w:rFonts w:ascii="Arial" w:cs="Arial" w:eastAsia="Arial" w:hAnsi="Arial"/>
                <w:sz w:val="18"/>
                <w:szCs w:val="18"/>
                <w:color w:val="auto"/>
              </w:rPr>
              <w:t>32.0</w:t>
            </w:r>
          </w:p>
        </w:tc>
        <w:tc>
          <w:tcPr>
            <w:tcW w:w="1600" w:type="dxa"/>
            <w:vAlign w:val="bottom"/>
            <w:shd w:val="clear" w:color="auto" w:fill="E5E5E5"/>
          </w:tcPr>
          <w:p>
            <w:pPr>
              <w:jc w:val="right"/>
              <w:ind w:right="252"/>
              <w:spacing w:after="0" w:line="202" w:lineRule="exact"/>
              <w:rPr>
                <w:sz w:val="20"/>
                <w:szCs w:val="20"/>
                <w:color w:val="auto"/>
              </w:rPr>
            </w:pPr>
            <w:r>
              <w:rPr>
                <w:rFonts w:ascii="Arial" w:cs="Arial" w:eastAsia="Arial" w:hAnsi="Arial"/>
                <w:sz w:val="18"/>
                <w:szCs w:val="18"/>
                <w:color w:val="auto"/>
              </w:rPr>
              <w:t>103.5</w:t>
            </w: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Medtronic Public Limited Company</w:t>
            </w:r>
          </w:p>
        </w:tc>
        <w:tc>
          <w:tcPr>
            <w:tcW w:w="4020" w:type="dxa"/>
            <w:vAlign w:val="bottom"/>
          </w:tcPr>
          <w:p>
            <w:pPr>
              <w:jc w:val="right"/>
              <w:ind w:right="732"/>
              <w:spacing w:after="0" w:line="202" w:lineRule="exact"/>
              <w:rPr>
                <w:sz w:val="20"/>
                <w:szCs w:val="20"/>
                <w:color w:val="auto"/>
              </w:rPr>
            </w:pPr>
            <w:r>
              <w:rPr>
                <w:rFonts w:ascii="Arial" w:cs="Arial" w:eastAsia="Arial" w:hAnsi="Arial"/>
                <w:sz w:val="18"/>
                <w:szCs w:val="18"/>
                <w:color w:val="auto"/>
              </w:rPr>
              <w:t>30.9</w:t>
            </w:r>
          </w:p>
        </w:tc>
        <w:tc>
          <w:tcPr>
            <w:tcW w:w="16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153.6</w:t>
            </w:r>
          </w:p>
        </w:tc>
      </w:tr>
      <w:tr>
        <w:trPr>
          <w:trHeight w:val="203"/>
        </w:trPr>
        <w:tc>
          <w:tcPr>
            <w:tcW w:w="54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Thermo Fisher Scientific Inc.</w:t>
            </w:r>
          </w:p>
        </w:tc>
        <w:tc>
          <w:tcPr>
            <w:tcW w:w="4020" w:type="dxa"/>
            <w:vAlign w:val="bottom"/>
            <w:shd w:val="clear" w:color="auto" w:fill="E5E5E5"/>
          </w:tcPr>
          <w:p>
            <w:pPr>
              <w:jc w:val="right"/>
              <w:ind w:right="732"/>
              <w:spacing w:after="0" w:line="202" w:lineRule="exact"/>
              <w:rPr>
                <w:sz w:val="20"/>
                <w:szCs w:val="20"/>
                <w:color w:val="auto"/>
              </w:rPr>
            </w:pPr>
            <w:r>
              <w:rPr>
                <w:rFonts w:ascii="Arial" w:cs="Arial" w:eastAsia="Arial" w:hAnsi="Arial"/>
                <w:sz w:val="18"/>
                <w:szCs w:val="18"/>
                <w:color w:val="auto"/>
              </w:rPr>
              <w:t>25.2</w:t>
            </w:r>
          </w:p>
        </w:tc>
        <w:tc>
          <w:tcPr>
            <w:tcW w:w="1600" w:type="dxa"/>
            <w:vAlign w:val="bottom"/>
            <w:shd w:val="clear" w:color="auto" w:fill="E5E5E5"/>
          </w:tcPr>
          <w:p>
            <w:pPr>
              <w:jc w:val="right"/>
              <w:ind w:right="252"/>
              <w:spacing w:after="0" w:line="202" w:lineRule="exact"/>
              <w:rPr>
                <w:sz w:val="20"/>
                <w:szCs w:val="20"/>
                <w:color w:val="auto"/>
              </w:rPr>
            </w:pPr>
            <w:r>
              <w:rPr>
                <w:rFonts w:ascii="Arial" w:cs="Arial" w:eastAsia="Arial" w:hAnsi="Arial"/>
                <w:sz w:val="18"/>
                <w:szCs w:val="18"/>
                <w:color w:val="auto"/>
              </w:rPr>
              <w:t>130.9</w:t>
            </w: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Broadcom Inc.</w:t>
            </w:r>
          </w:p>
        </w:tc>
        <w:tc>
          <w:tcPr>
            <w:tcW w:w="4020" w:type="dxa"/>
            <w:vAlign w:val="bottom"/>
          </w:tcPr>
          <w:p>
            <w:pPr>
              <w:jc w:val="right"/>
              <w:ind w:right="732"/>
              <w:spacing w:after="0" w:line="202" w:lineRule="exact"/>
              <w:rPr>
                <w:sz w:val="20"/>
                <w:szCs w:val="20"/>
                <w:color w:val="auto"/>
              </w:rPr>
            </w:pPr>
            <w:r>
              <w:rPr>
                <w:rFonts w:ascii="Arial" w:cs="Arial" w:eastAsia="Arial" w:hAnsi="Arial"/>
                <w:sz w:val="18"/>
                <w:szCs w:val="18"/>
                <w:color w:val="auto"/>
              </w:rPr>
              <w:t>22.6</w:t>
            </w:r>
          </w:p>
        </w:tc>
        <w:tc>
          <w:tcPr>
            <w:tcW w:w="16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128.2</w:t>
            </w:r>
          </w:p>
        </w:tc>
      </w:tr>
      <w:tr>
        <w:trPr>
          <w:trHeight w:val="203"/>
        </w:trPr>
        <w:tc>
          <w:tcPr>
            <w:tcW w:w="54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DXC Technology Company</w:t>
            </w:r>
          </w:p>
        </w:tc>
        <w:tc>
          <w:tcPr>
            <w:tcW w:w="4020" w:type="dxa"/>
            <w:vAlign w:val="bottom"/>
            <w:shd w:val="clear" w:color="auto" w:fill="E5E5E5"/>
          </w:tcPr>
          <w:p>
            <w:pPr>
              <w:jc w:val="right"/>
              <w:ind w:right="732"/>
              <w:spacing w:after="0" w:line="202" w:lineRule="exact"/>
              <w:rPr>
                <w:sz w:val="20"/>
                <w:szCs w:val="20"/>
                <w:color w:val="auto"/>
              </w:rPr>
            </w:pPr>
            <w:r>
              <w:rPr>
                <w:rFonts w:ascii="Arial" w:cs="Arial" w:eastAsia="Arial" w:hAnsi="Arial"/>
                <w:sz w:val="18"/>
                <w:szCs w:val="18"/>
                <w:color w:val="auto"/>
              </w:rPr>
              <w:t>20.2</w:t>
            </w:r>
          </w:p>
        </w:tc>
        <w:tc>
          <w:tcPr>
            <w:tcW w:w="1600" w:type="dxa"/>
            <w:vAlign w:val="bottom"/>
            <w:shd w:val="clear" w:color="auto" w:fill="E5E5E5"/>
          </w:tcPr>
          <w:p>
            <w:pPr>
              <w:jc w:val="right"/>
              <w:ind w:right="252"/>
              <w:spacing w:after="0" w:line="202" w:lineRule="exact"/>
              <w:rPr>
                <w:sz w:val="20"/>
                <w:szCs w:val="20"/>
                <w:color w:val="auto"/>
              </w:rPr>
            </w:pPr>
            <w:r>
              <w:rPr>
                <w:rFonts w:ascii="Arial" w:cs="Arial" w:eastAsia="Arial" w:hAnsi="Arial"/>
                <w:sz w:val="18"/>
                <w:szCs w:val="18"/>
                <w:color w:val="auto"/>
              </w:rPr>
              <w:t>9.4</w:t>
            </w: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QUALCOMM Incorporated</w:t>
            </w:r>
          </w:p>
        </w:tc>
        <w:tc>
          <w:tcPr>
            <w:tcW w:w="4020" w:type="dxa"/>
            <w:vAlign w:val="bottom"/>
          </w:tcPr>
          <w:p>
            <w:pPr>
              <w:jc w:val="right"/>
              <w:ind w:right="732"/>
              <w:spacing w:after="0" w:line="202" w:lineRule="exact"/>
              <w:rPr>
                <w:sz w:val="20"/>
                <w:szCs w:val="20"/>
                <w:color w:val="auto"/>
              </w:rPr>
            </w:pPr>
            <w:r>
              <w:rPr>
                <w:rFonts w:ascii="Arial" w:cs="Arial" w:eastAsia="Arial" w:hAnsi="Arial"/>
                <w:sz w:val="18"/>
                <w:szCs w:val="18"/>
                <w:color w:val="auto"/>
              </w:rPr>
              <w:t>19.6</w:t>
            </w:r>
          </w:p>
        </w:tc>
        <w:tc>
          <w:tcPr>
            <w:tcW w:w="16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101.3</w:t>
            </w:r>
          </w:p>
        </w:tc>
      </w:tr>
      <w:tr>
        <w:trPr>
          <w:trHeight w:val="203"/>
        </w:trPr>
        <w:tc>
          <w:tcPr>
            <w:tcW w:w="54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Emerson Electric Co.</w:t>
            </w:r>
          </w:p>
        </w:tc>
        <w:tc>
          <w:tcPr>
            <w:tcW w:w="4020" w:type="dxa"/>
            <w:vAlign w:val="bottom"/>
            <w:shd w:val="clear" w:color="auto" w:fill="E5E5E5"/>
          </w:tcPr>
          <w:p>
            <w:pPr>
              <w:jc w:val="right"/>
              <w:ind w:right="732"/>
              <w:spacing w:after="0" w:line="202" w:lineRule="exact"/>
              <w:rPr>
                <w:sz w:val="20"/>
                <w:szCs w:val="20"/>
                <w:color w:val="auto"/>
              </w:rPr>
            </w:pPr>
            <w:r>
              <w:rPr>
                <w:rFonts w:ascii="Arial" w:cs="Arial" w:eastAsia="Arial" w:hAnsi="Arial"/>
                <w:sz w:val="18"/>
                <w:szCs w:val="18"/>
                <w:color w:val="auto"/>
              </w:rPr>
              <w:t>18.4</w:t>
            </w:r>
          </w:p>
        </w:tc>
        <w:tc>
          <w:tcPr>
            <w:tcW w:w="1600" w:type="dxa"/>
            <w:vAlign w:val="bottom"/>
            <w:shd w:val="clear" w:color="auto" w:fill="E5E5E5"/>
          </w:tcPr>
          <w:p>
            <w:pPr>
              <w:jc w:val="right"/>
              <w:ind w:right="252"/>
              <w:spacing w:after="0" w:line="202" w:lineRule="exact"/>
              <w:rPr>
                <w:sz w:val="20"/>
                <w:szCs w:val="20"/>
                <w:color w:val="auto"/>
              </w:rPr>
            </w:pPr>
            <w:r>
              <w:rPr>
                <w:rFonts w:ascii="Arial" w:cs="Arial" w:eastAsia="Arial" w:hAnsi="Arial"/>
                <w:sz w:val="18"/>
                <w:szCs w:val="18"/>
                <w:color w:val="auto"/>
              </w:rPr>
              <w:t>47.2</w:t>
            </w: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Western Digital Corporation</w:t>
            </w:r>
          </w:p>
        </w:tc>
        <w:tc>
          <w:tcPr>
            <w:tcW w:w="4020" w:type="dxa"/>
            <w:vAlign w:val="bottom"/>
          </w:tcPr>
          <w:p>
            <w:pPr>
              <w:jc w:val="right"/>
              <w:ind w:right="732"/>
              <w:spacing w:after="0" w:line="202" w:lineRule="exact"/>
              <w:rPr>
                <w:sz w:val="20"/>
                <w:szCs w:val="20"/>
                <w:color w:val="auto"/>
              </w:rPr>
            </w:pPr>
            <w:r>
              <w:rPr>
                <w:rFonts w:ascii="Arial" w:cs="Arial" w:eastAsia="Arial" w:hAnsi="Arial"/>
                <w:sz w:val="18"/>
                <w:szCs w:val="18"/>
                <w:color w:val="auto"/>
              </w:rPr>
              <w:t>15.6</w:t>
            </w:r>
          </w:p>
        </w:tc>
        <w:tc>
          <w:tcPr>
            <w:tcW w:w="16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19.5</w:t>
            </w:r>
          </w:p>
        </w:tc>
      </w:tr>
      <w:tr>
        <w:trPr>
          <w:trHeight w:val="203"/>
        </w:trPr>
        <w:tc>
          <w:tcPr>
            <w:tcW w:w="54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Applied Materials, Inc.</w:t>
            </w:r>
          </w:p>
        </w:tc>
        <w:tc>
          <w:tcPr>
            <w:tcW w:w="4020" w:type="dxa"/>
            <w:vAlign w:val="bottom"/>
            <w:shd w:val="clear" w:color="auto" w:fill="E5E5E5"/>
          </w:tcPr>
          <w:p>
            <w:pPr>
              <w:jc w:val="right"/>
              <w:ind w:right="732"/>
              <w:spacing w:after="0" w:line="202" w:lineRule="exact"/>
              <w:rPr>
                <w:sz w:val="20"/>
                <w:szCs w:val="20"/>
                <w:color w:val="auto"/>
              </w:rPr>
            </w:pPr>
            <w:r>
              <w:rPr>
                <w:rFonts w:ascii="Arial" w:cs="Arial" w:eastAsia="Arial" w:hAnsi="Arial"/>
                <w:sz w:val="18"/>
                <w:szCs w:val="18"/>
                <w:color w:val="auto"/>
              </w:rPr>
              <w:t>14.6</w:t>
            </w:r>
          </w:p>
        </w:tc>
        <w:tc>
          <w:tcPr>
            <w:tcW w:w="1600" w:type="dxa"/>
            <w:vAlign w:val="bottom"/>
            <w:shd w:val="clear" w:color="auto" w:fill="E5E5E5"/>
          </w:tcPr>
          <w:p>
            <w:pPr>
              <w:jc w:val="right"/>
              <w:ind w:right="252"/>
              <w:spacing w:after="0" w:line="202" w:lineRule="exact"/>
              <w:rPr>
                <w:sz w:val="20"/>
                <w:szCs w:val="20"/>
                <w:color w:val="auto"/>
              </w:rPr>
            </w:pPr>
            <w:r>
              <w:rPr>
                <w:rFonts w:ascii="Arial" w:cs="Arial" w:eastAsia="Arial" w:hAnsi="Arial"/>
                <w:sz w:val="18"/>
                <w:szCs w:val="18"/>
                <w:color w:val="auto"/>
              </w:rPr>
              <w:t>56.9</w:t>
            </w: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TE Connectivity Ltd.</w:t>
            </w:r>
          </w:p>
        </w:tc>
        <w:tc>
          <w:tcPr>
            <w:tcW w:w="4020" w:type="dxa"/>
            <w:vAlign w:val="bottom"/>
          </w:tcPr>
          <w:p>
            <w:pPr>
              <w:jc w:val="right"/>
              <w:ind w:right="732"/>
              <w:spacing w:after="0" w:line="202" w:lineRule="exact"/>
              <w:rPr>
                <w:sz w:val="20"/>
                <w:szCs w:val="20"/>
                <w:color w:val="auto"/>
              </w:rPr>
            </w:pPr>
            <w:r>
              <w:rPr>
                <w:rFonts w:ascii="Arial" w:cs="Arial" w:eastAsia="Arial" w:hAnsi="Arial"/>
                <w:sz w:val="18"/>
                <w:szCs w:val="18"/>
                <w:color w:val="auto"/>
              </w:rPr>
              <w:t>13.4</w:t>
            </w:r>
          </w:p>
        </w:tc>
        <w:tc>
          <w:tcPr>
            <w:tcW w:w="16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32.3</w:t>
            </w:r>
          </w:p>
        </w:tc>
      </w:tr>
      <w:tr>
        <w:trPr>
          <w:trHeight w:val="203"/>
        </w:trPr>
        <w:tc>
          <w:tcPr>
            <w:tcW w:w="54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Corning Incorporated</w:t>
            </w:r>
          </w:p>
        </w:tc>
        <w:tc>
          <w:tcPr>
            <w:tcW w:w="4020" w:type="dxa"/>
            <w:vAlign w:val="bottom"/>
            <w:shd w:val="clear" w:color="auto" w:fill="E5E5E5"/>
          </w:tcPr>
          <w:p>
            <w:pPr>
              <w:jc w:val="right"/>
              <w:ind w:right="732"/>
              <w:spacing w:after="0" w:line="202" w:lineRule="exact"/>
              <w:rPr>
                <w:sz w:val="20"/>
                <w:szCs w:val="20"/>
                <w:color w:val="auto"/>
              </w:rPr>
            </w:pPr>
            <w:r>
              <w:rPr>
                <w:rFonts w:ascii="Arial" w:cs="Arial" w:eastAsia="Arial" w:hAnsi="Arial"/>
                <w:sz w:val="18"/>
                <w:szCs w:val="18"/>
                <w:color w:val="auto"/>
              </w:rPr>
              <w:t>11.7</w:t>
            </w:r>
          </w:p>
        </w:tc>
        <w:tc>
          <w:tcPr>
            <w:tcW w:w="1600" w:type="dxa"/>
            <w:vAlign w:val="bottom"/>
            <w:shd w:val="clear" w:color="auto" w:fill="E5E5E5"/>
          </w:tcPr>
          <w:p>
            <w:pPr>
              <w:jc w:val="right"/>
              <w:ind w:right="252"/>
              <w:spacing w:after="0" w:line="202" w:lineRule="exact"/>
              <w:rPr>
                <w:sz w:val="20"/>
                <w:szCs w:val="20"/>
                <w:color w:val="auto"/>
              </w:rPr>
            </w:pPr>
            <w:r>
              <w:rPr>
                <w:rFonts w:ascii="Arial" w:cs="Arial" w:eastAsia="Arial" w:hAnsi="Arial"/>
                <w:sz w:val="18"/>
                <w:szCs w:val="18"/>
                <w:color w:val="auto"/>
              </w:rPr>
              <w:t>23.1</w:t>
            </w: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Nvidia Corporation</w:t>
            </w:r>
          </w:p>
        </w:tc>
        <w:tc>
          <w:tcPr>
            <w:tcW w:w="4020" w:type="dxa"/>
            <w:vAlign w:val="bottom"/>
          </w:tcPr>
          <w:p>
            <w:pPr>
              <w:jc w:val="right"/>
              <w:ind w:right="732"/>
              <w:spacing w:after="0" w:line="202" w:lineRule="exact"/>
              <w:rPr>
                <w:sz w:val="20"/>
                <w:szCs w:val="20"/>
                <w:color w:val="auto"/>
              </w:rPr>
            </w:pPr>
            <w:r>
              <w:rPr>
                <w:rFonts w:ascii="Arial" w:cs="Arial" w:eastAsia="Arial" w:hAnsi="Arial"/>
                <w:sz w:val="18"/>
                <w:szCs w:val="18"/>
                <w:color w:val="auto"/>
              </w:rPr>
              <w:t>10.0</w:t>
            </w:r>
          </w:p>
        </w:tc>
        <w:tc>
          <w:tcPr>
            <w:tcW w:w="16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146.8</w:t>
            </w:r>
          </w:p>
        </w:tc>
      </w:tr>
      <w:tr>
        <w:trPr>
          <w:trHeight w:val="203"/>
        </w:trPr>
        <w:tc>
          <w:tcPr>
            <w:tcW w:w="54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Motorola Solutions, Inc.</w:t>
            </w:r>
          </w:p>
        </w:tc>
        <w:tc>
          <w:tcPr>
            <w:tcW w:w="4020" w:type="dxa"/>
            <w:vAlign w:val="bottom"/>
            <w:shd w:val="clear" w:color="auto" w:fill="E5E5E5"/>
          </w:tcPr>
          <w:p>
            <w:pPr>
              <w:jc w:val="right"/>
              <w:ind w:right="732"/>
              <w:spacing w:after="0" w:line="202" w:lineRule="exact"/>
              <w:rPr>
                <w:sz w:val="20"/>
                <w:szCs w:val="20"/>
                <w:color w:val="auto"/>
              </w:rPr>
            </w:pPr>
            <w:r>
              <w:rPr>
                <w:rFonts w:ascii="Arial" w:cs="Arial" w:eastAsia="Arial" w:hAnsi="Arial"/>
                <w:sz w:val="18"/>
                <w:szCs w:val="18"/>
                <w:color w:val="auto"/>
              </w:rPr>
              <w:t>7.8</w:t>
            </w:r>
          </w:p>
        </w:tc>
        <w:tc>
          <w:tcPr>
            <w:tcW w:w="1600" w:type="dxa"/>
            <w:vAlign w:val="bottom"/>
            <w:shd w:val="clear" w:color="auto" w:fill="E5E5E5"/>
          </w:tcPr>
          <w:p>
            <w:pPr>
              <w:jc w:val="right"/>
              <w:ind w:right="252"/>
              <w:spacing w:after="0" w:line="202" w:lineRule="exact"/>
              <w:rPr>
                <w:sz w:val="20"/>
                <w:szCs w:val="20"/>
                <w:color w:val="auto"/>
              </w:rPr>
            </w:pPr>
            <w:r>
              <w:rPr>
                <w:rFonts w:ascii="Arial" w:cs="Arial" w:eastAsia="Arial" w:hAnsi="Arial"/>
                <w:sz w:val="18"/>
                <w:szCs w:val="18"/>
                <w:color w:val="auto"/>
              </w:rPr>
              <w:t>27.7</w:t>
            </w:r>
          </w:p>
        </w:tc>
      </w:tr>
      <w:tr>
        <w:trPr>
          <w:trHeight w:val="217"/>
        </w:trPr>
        <w:tc>
          <w:tcPr>
            <w:tcW w:w="5400" w:type="dxa"/>
            <w:vAlign w:val="bottom"/>
          </w:tcPr>
          <w:p>
            <w:pPr>
              <w:spacing w:after="0"/>
              <w:rPr>
                <w:sz w:val="20"/>
                <w:szCs w:val="20"/>
                <w:color w:val="auto"/>
              </w:rPr>
            </w:pPr>
            <w:r>
              <w:rPr>
                <w:rFonts w:ascii="Arial" w:cs="Arial" w:eastAsia="Arial" w:hAnsi="Arial"/>
                <w:sz w:val="18"/>
                <w:szCs w:val="18"/>
                <w:color w:val="auto"/>
              </w:rPr>
              <w:t>Analog Devices, Inc.</w:t>
            </w:r>
          </w:p>
        </w:tc>
        <w:tc>
          <w:tcPr>
            <w:tcW w:w="4020" w:type="dxa"/>
            <w:vAlign w:val="bottom"/>
          </w:tcPr>
          <w:p>
            <w:pPr>
              <w:jc w:val="right"/>
              <w:ind w:right="732"/>
              <w:spacing w:after="0"/>
              <w:rPr>
                <w:sz w:val="20"/>
                <w:szCs w:val="20"/>
                <w:color w:val="auto"/>
              </w:rPr>
            </w:pPr>
            <w:r>
              <w:rPr>
                <w:rFonts w:ascii="Arial" w:cs="Arial" w:eastAsia="Arial" w:hAnsi="Arial"/>
                <w:sz w:val="18"/>
                <w:szCs w:val="18"/>
                <w:color w:val="auto"/>
              </w:rPr>
              <w:t>6.0</w:t>
            </w:r>
          </w:p>
        </w:tc>
        <w:tc>
          <w:tcPr>
            <w:tcW w:w="1600" w:type="dxa"/>
            <w:vAlign w:val="bottom"/>
          </w:tcPr>
          <w:p>
            <w:pPr>
              <w:jc w:val="right"/>
              <w:ind w:right="252"/>
              <w:spacing w:after="0"/>
              <w:rPr>
                <w:sz w:val="20"/>
                <w:szCs w:val="20"/>
                <w:color w:val="auto"/>
              </w:rPr>
            </w:pPr>
            <w:r>
              <w:rPr>
                <w:rFonts w:ascii="Arial" w:cs="Arial" w:eastAsia="Arial" w:hAnsi="Arial"/>
                <w:sz w:val="18"/>
                <w:szCs w:val="18"/>
                <w:color w:val="auto"/>
              </w:rPr>
              <w:t>44.4</w:t>
            </w:r>
          </w:p>
        </w:tc>
      </w:tr>
      <w:tr>
        <w:trPr>
          <w:trHeight w:val="101"/>
        </w:trPr>
        <w:tc>
          <w:tcPr>
            <w:tcW w:w="5400" w:type="dxa"/>
            <w:vAlign w:val="bottom"/>
            <w:tcBorders>
              <w:bottom w:val="single" w:sz="8" w:color="auto"/>
            </w:tcBorders>
          </w:tcPr>
          <w:p>
            <w:pPr>
              <w:spacing w:after="0"/>
              <w:rPr>
                <w:sz w:val="8"/>
                <w:szCs w:val="8"/>
                <w:color w:val="auto"/>
              </w:rPr>
            </w:pPr>
          </w:p>
        </w:tc>
        <w:tc>
          <w:tcPr>
            <w:tcW w:w="402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r>
      <w:tr>
        <w:trPr>
          <w:trHeight w:val="203"/>
        </w:trPr>
        <w:tc>
          <w:tcPr>
            <w:tcW w:w="54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Median</w:t>
            </w:r>
          </w:p>
        </w:tc>
        <w:tc>
          <w:tcPr>
            <w:tcW w:w="4020" w:type="dxa"/>
            <w:vAlign w:val="bottom"/>
            <w:shd w:val="clear" w:color="auto" w:fill="E5E5E5"/>
          </w:tcPr>
          <w:p>
            <w:pPr>
              <w:jc w:val="right"/>
              <w:ind w:right="732"/>
              <w:spacing w:after="0" w:line="202" w:lineRule="exact"/>
              <w:rPr>
                <w:sz w:val="20"/>
                <w:szCs w:val="20"/>
                <w:color w:val="auto"/>
              </w:rPr>
            </w:pPr>
            <w:r>
              <w:rPr>
                <w:rFonts w:ascii="Arial" w:cs="Arial" w:eastAsia="Arial" w:hAnsi="Arial"/>
                <w:sz w:val="18"/>
                <w:szCs w:val="18"/>
                <w:color w:val="auto"/>
              </w:rPr>
              <w:t>19.9</w:t>
            </w:r>
          </w:p>
        </w:tc>
        <w:tc>
          <w:tcPr>
            <w:tcW w:w="1600" w:type="dxa"/>
            <w:vAlign w:val="bottom"/>
            <w:shd w:val="clear" w:color="auto" w:fill="E5E5E5"/>
          </w:tcPr>
          <w:p>
            <w:pPr>
              <w:jc w:val="right"/>
              <w:ind w:right="252"/>
              <w:spacing w:after="0" w:line="202" w:lineRule="exact"/>
              <w:rPr>
                <w:sz w:val="20"/>
                <w:szCs w:val="20"/>
                <w:color w:val="auto"/>
              </w:rPr>
            </w:pPr>
            <w:r>
              <w:rPr>
                <w:rFonts w:ascii="Arial" w:cs="Arial" w:eastAsia="Arial" w:hAnsi="Arial"/>
                <w:sz w:val="18"/>
                <w:szCs w:val="18"/>
                <w:color w:val="auto"/>
              </w:rPr>
              <w:t>102.4</w:t>
            </w:r>
          </w:p>
        </w:tc>
      </w:tr>
      <w:tr>
        <w:trPr>
          <w:trHeight w:val="217"/>
        </w:trPr>
        <w:tc>
          <w:tcPr>
            <w:tcW w:w="5400" w:type="dxa"/>
            <w:vAlign w:val="bottom"/>
          </w:tcPr>
          <w:p>
            <w:pPr>
              <w:spacing w:after="0"/>
              <w:rPr>
                <w:sz w:val="20"/>
                <w:szCs w:val="20"/>
                <w:color w:val="auto"/>
              </w:rPr>
            </w:pPr>
            <w:r>
              <w:rPr>
                <w:rFonts w:ascii="Arial" w:cs="Arial" w:eastAsia="Arial" w:hAnsi="Arial"/>
                <w:sz w:val="18"/>
                <w:szCs w:val="18"/>
                <w:color w:val="auto"/>
              </w:rPr>
              <w:t>Texas Instruments Incorporated</w:t>
            </w:r>
          </w:p>
        </w:tc>
        <w:tc>
          <w:tcPr>
            <w:tcW w:w="4020" w:type="dxa"/>
            <w:vAlign w:val="bottom"/>
          </w:tcPr>
          <w:p>
            <w:pPr>
              <w:jc w:val="right"/>
              <w:ind w:right="732"/>
              <w:spacing w:after="0"/>
              <w:rPr>
                <w:sz w:val="20"/>
                <w:szCs w:val="20"/>
                <w:color w:val="auto"/>
              </w:rPr>
            </w:pPr>
            <w:r>
              <w:rPr>
                <w:rFonts w:ascii="Arial" w:cs="Arial" w:eastAsia="Arial" w:hAnsi="Arial"/>
                <w:sz w:val="18"/>
                <w:szCs w:val="18"/>
                <w:color w:val="auto"/>
              </w:rPr>
              <w:t>14.8</w:t>
            </w:r>
          </w:p>
        </w:tc>
        <w:tc>
          <w:tcPr>
            <w:tcW w:w="1600" w:type="dxa"/>
            <w:vAlign w:val="bottom"/>
          </w:tcPr>
          <w:p>
            <w:pPr>
              <w:jc w:val="right"/>
              <w:ind w:right="252"/>
              <w:spacing w:after="0"/>
              <w:rPr>
                <w:sz w:val="20"/>
                <w:szCs w:val="20"/>
                <w:color w:val="auto"/>
              </w:rPr>
            </w:pPr>
            <w:r>
              <w:rPr>
                <w:rFonts w:ascii="Arial" w:cs="Arial" w:eastAsia="Arial" w:hAnsi="Arial"/>
                <w:sz w:val="18"/>
                <w:szCs w:val="18"/>
                <w:color w:val="auto"/>
              </w:rPr>
              <w:t>121.1</w:t>
            </w:r>
          </w:p>
        </w:tc>
      </w:tr>
    </w:tbl>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Trailing four-quarter revenue and market capitalization is as reported by Thomson Reuters on January 3, 2020.</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Analysis of compensation determinations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Total compensation</w:t>
      </w:r>
    </w:p>
    <w:p>
      <w:pPr>
        <w:spacing w:after="0" w:line="1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Before finalizing the compensation of the executive officers, the committee reviewed all elements of compensation. The information included total cash compensation (salary, profit sharing and projected bonus), the grant date fair value of equity compensation, the impact that proposed compensation would have on other compensation elements such as pension, and a summary of benefits that the executives would receive under various termination scenarios. The review enabled the committee to see how various compensation elements relate to one another and what impact its decisions would have on the total earnings opportunity of the executives. In assessing the information, the committee did not target a specific level of total compensation or use a formula to allocate compensation among the various elements. Instead, it used its judgment in assessing whether the total was consistent with the objectives of the program. Based on this review, the committee determined that the level of compensation was appropriate.</w:t>
      </w:r>
    </w:p>
    <w:p>
      <w:pPr>
        <w:spacing w:after="0" w:line="135" w:lineRule="exact"/>
        <w:rPr>
          <w:sz w:val="20"/>
          <w:szCs w:val="20"/>
          <w:color w:val="auto"/>
        </w:rPr>
      </w:pPr>
    </w:p>
    <w:tbl>
      <w:tblPr>
        <w:tblLayout w:type="fixed"/>
        <w:tblInd w:w="4040" w:type="dxa"/>
        <w:tblCellMar>
          <w:top w:w="0" w:type="dxa"/>
          <w:left w:w="0" w:type="dxa"/>
          <w:bottom w:w="0" w:type="dxa"/>
          <w:right w:w="0" w:type="dxa"/>
        </w:tblCellMar>
      </w:tblPr>
      <w:tr>
        <w:trPr>
          <w:trHeight w:val="152"/>
        </w:trPr>
        <w:tc>
          <w:tcPr>
            <w:tcW w:w="5080" w:type="dxa"/>
            <w:vAlign w:val="bottom"/>
          </w:tcPr>
          <w:p>
            <w:pPr>
              <w:spacing w:after="0"/>
              <w:rPr>
                <w:sz w:val="20"/>
                <w:szCs w:val="20"/>
                <w:color w:val="auto"/>
              </w:rPr>
            </w:pPr>
            <w:r>
              <w:rPr>
                <w:rFonts w:ascii="Arial" w:cs="Arial" w:eastAsia="Arial" w:hAnsi="Arial"/>
                <w:sz w:val="13"/>
                <w:szCs w:val="13"/>
                <w:color w:val="666666"/>
              </w:rPr>
              <w:t>TEXAS INSTRUMENTS  •  2020 PROXY STATEMENT</w:t>
            </w:r>
          </w:p>
        </w:tc>
        <w:tc>
          <w:tcPr>
            <w:tcW w:w="2000" w:type="dxa"/>
            <w:vAlign w:val="bottom"/>
          </w:tcPr>
          <w:p>
            <w:pPr>
              <w:jc w:val="right"/>
              <w:spacing w:after="0"/>
              <w:rPr>
                <w:sz w:val="20"/>
                <w:szCs w:val="20"/>
                <w:color w:val="auto"/>
              </w:rPr>
            </w:pPr>
            <w:r>
              <w:rPr>
                <w:rFonts w:ascii="Arial" w:cs="Arial" w:eastAsia="Arial" w:hAnsi="Arial"/>
                <w:sz w:val="13"/>
                <w:szCs w:val="13"/>
                <w:color w:val="666666"/>
              </w:rPr>
              <w:t>23</w:t>
            </w:r>
          </w:p>
        </w:tc>
      </w:tr>
    </w:tbl>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Base salary</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committee set the 2019 rate of base salary for the following named executive officers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20" w:type="dxa"/>
            <w:vAlign w:val="bottom"/>
          </w:tcPr>
          <w:p>
            <w:pPr>
              <w:jc w:val="right"/>
              <w:ind w:right="295"/>
              <w:spacing w:after="0"/>
              <w:rPr>
                <w:sz w:val="20"/>
                <w:szCs w:val="20"/>
                <w:color w:val="auto"/>
              </w:rPr>
            </w:pPr>
            <w:r>
              <w:rPr>
                <w:rFonts w:ascii="Arial" w:cs="Arial" w:eastAsia="Arial" w:hAnsi="Arial"/>
                <w:sz w:val="14"/>
                <w:szCs w:val="14"/>
                <w:b w:val="1"/>
                <w:bCs w:val="1"/>
                <w:color w:val="auto"/>
              </w:rPr>
              <w:t>Change from</w:t>
            </w:r>
          </w:p>
        </w:tc>
      </w:tr>
      <w:tr>
        <w:trPr>
          <w:trHeight w:val="189"/>
        </w:trPr>
        <w:tc>
          <w:tcPr>
            <w:tcW w:w="4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Officer</w:t>
            </w:r>
          </w:p>
        </w:tc>
        <w:tc>
          <w:tcPr>
            <w:tcW w:w="4780" w:type="dxa"/>
            <w:vAlign w:val="bottom"/>
            <w:tcBorders>
              <w:bottom w:val="single" w:sz="8" w:color="auto"/>
            </w:tcBorders>
            <w:gridSpan w:val="2"/>
          </w:tcPr>
          <w:p>
            <w:pPr>
              <w:ind w:left="3160"/>
              <w:spacing w:after="0"/>
              <w:rPr>
                <w:sz w:val="20"/>
                <w:szCs w:val="20"/>
                <w:color w:val="auto"/>
              </w:rPr>
            </w:pPr>
            <w:r>
              <w:rPr>
                <w:rFonts w:ascii="Arial" w:cs="Arial" w:eastAsia="Arial" w:hAnsi="Arial"/>
                <w:sz w:val="14"/>
                <w:szCs w:val="14"/>
                <w:b w:val="1"/>
                <w:bCs w:val="1"/>
                <w:color w:val="auto"/>
              </w:rPr>
              <w:t>2019 Annual Rate</w:t>
            </w:r>
          </w:p>
        </w:tc>
        <w:tc>
          <w:tcPr>
            <w:tcW w:w="18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2018 Annual Rate</w:t>
            </w:r>
          </w:p>
        </w:tc>
      </w:tr>
      <w:tr>
        <w:trPr>
          <w:trHeight w:val="196"/>
        </w:trPr>
        <w:tc>
          <w:tcPr>
            <w:tcW w:w="442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R. K. Templeton</w:t>
            </w:r>
          </w:p>
        </w:tc>
        <w:tc>
          <w:tcPr>
            <w:tcW w:w="3420" w:type="dxa"/>
            <w:vAlign w:val="bottom"/>
            <w:shd w:val="clear" w:color="auto" w:fill="E5E5E5"/>
          </w:tcPr>
          <w:p>
            <w:pPr>
              <w:ind w:left="3160"/>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ind w:right="330"/>
              <w:spacing w:after="0" w:line="196" w:lineRule="exact"/>
              <w:rPr>
                <w:sz w:val="20"/>
                <w:szCs w:val="20"/>
                <w:color w:val="auto"/>
              </w:rPr>
            </w:pPr>
            <w:r>
              <w:rPr>
                <w:rFonts w:ascii="Arial" w:cs="Arial" w:eastAsia="Arial" w:hAnsi="Arial"/>
                <w:sz w:val="18"/>
                <w:szCs w:val="18"/>
                <w:color w:val="auto"/>
              </w:rPr>
              <w:t>1,300,000</w:t>
            </w:r>
          </w:p>
        </w:tc>
        <w:tc>
          <w:tcPr>
            <w:tcW w:w="182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R. R. Lizardi</w:t>
            </w:r>
          </w:p>
        </w:tc>
        <w:tc>
          <w:tcPr>
            <w:tcW w:w="3420" w:type="dxa"/>
            <w:vAlign w:val="bottom"/>
          </w:tcPr>
          <w:p>
            <w:pPr>
              <w:ind w:left="316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660,000</w:t>
            </w: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44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 Anderskouv</w:t>
            </w:r>
          </w:p>
        </w:tc>
        <w:tc>
          <w:tcPr>
            <w:tcW w:w="3420" w:type="dxa"/>
            <w:vAlign w:val="bottom"/>
            <w:shd w:val="clear" w:color="auto" w:fill="E5E5E5"/>
          </w:tcPr>
          <w:p>
            <w:pPr>
              <w:ind w:left="316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ind w:right="330"/>
              <w:spacing w:after="0" w:line="202" w:lineRule="exact"/>
              <w:rPr>
                <w:sz w:val="20"/>
                <w:szCs w:val="20"/>
                <w:color w:val="auto"/>
              </w:rPr>
            </w:pPr>
            <w:r>
              <w:rPr>
                <w:rFonts w:ascii="Arial" w:cs="Arial" w:eastAsia="Arial" w:hAnsi="Arial"/>
                <w:sz w:val="18"/>
                <w:szCs w:val="18"/>
                <w:color w:val="auto"/>
              </w:rPr>
              <w:t>715,000</w:t>
            </w:r>
          </w:p>
        </w:tc>
        <w:tc>
          <w:tcPr>
            <w:tcW w:w="1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5.9%</w:t>
            </w: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R. G. Delagi</w:t>
            </w:r>
          </w:p>
        </w:tc>
        <w:tc>
          <w:tcPr>
            <w:tcW w:w="3420" w:type="dxa"/>
            <w:vAlign w:val="bottom"/>
          </w:tcPr>
          <w:p>
            <w:pPr>
              <w:ind w:left="316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730,000</w:t>
            </w: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r>
      <w:tr>
        <w:trPr>
          <w:trHeight w:val="203"/>
        </w:trPr>
        <w:tc>
          <w:tcPr>
            <w:tcW w:w="44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H. Ilan</w:t>
            </w:r>
          </w:p>
        </w:tc>
        <w:tc>
          <w:tcPr>
            <w:tcW w:w="3420" w:type="dxa"/>
            <w:vAlign w:val="bottom"/>
            <w:shd w:val="clear" w:color="auto" w:fill="E5E5E5"/>
          </w:tcPr>
          <w:p>
            <w:pPr>
              <w:ind w:left="316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ind w:right="330"/>
              <w:spacing w:after="0" w:line="202" w:lineRule="exact"/>
              <w:rPr>
                <w:sz w:val="20"/>
                <w:szCs w:val="20"/>
                <w:color w:val="auto"/>
              </w:rPr>
            </w:pPr>
            <w:r>
              <w:rPr>
                <w:rFonts w:ascii="Arial" w:cs="Arial" w:eastAsia="Arial" w:hAnsi="Arial"/>
                <w:sz w:val="18"/>
                <w:szCs w:val="18"/>
                <w:color w:val="auto"/>
              </w:rPr>
              <w:t>715,000</w:t>
            </w:r>
          </w:p>
        </w:tc>
        <w:tc>
          <w:tcPr>
            <w:tcW w:w="1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5.9%</w:t>
            </w:r>
          </w:p>
        </w:tc>
      </w:tr>
    </w:tbl>
    <w:p>
      <w:pPr>
        <w:spacing w:after="0" w:line="215" w:lineRule="exact"/>
        <w:rPr>
          <w:sz w:val="20"/>
          <w:szCs w:val="20"/>
          <w:color w:val="auto"/>
        </w:rPr>
      </w:pPr>
    </w:p>
    <w:p>
      <w:pPr>
        <w:ind w:left="120" w:right="600"/>
        <w:spacing w:after="0"/>
        <w:rPr>
          <w:sz w:val="20"/>
          <w:szCs w:val="20"/>
          <w:color w:val="auto"/>
        </w:rPr>
      </w:pPr>
      <w:r>
        <w:rPr>
          <w:rFonts w:ascii="Arial" w:cs="Arial" w:eastAsia="Arial" w:hAnsi="Arial"/>
          <w:sz w:val="18"/>
          <w:szCs w:val="18"/>
          <w:color w:val="auto"/>
        </w:rPr>
        <w:t>For each of these executive officers, the committee set the 2019 base-salary rate listed above in January 2019. In keeping with its strategy, the committee targeted the annual base-salary rates to be at the estimated median level of salaries expected to be paid to similarly situated executives (considering job scope and tenure) of companies within the Comparator Group in January 2019.</w:t>
      </w:r>
    </w:p>
    <w:p>
      <w:pPr>
        <w:spacing w:after="0" w:line="203" w:lineRule="exact"/>
        <w:rPr>
          <w:sz w:val="20"/>
          <w:szCs w:val="20"/>
          <w:color w:val="auto"/>
        </w:rPr>
      </w:pPr>
    </w:p>
    <w:p>
      <w:pPr>
        <w:ind w:left="120" w:right="240"/>
        <w:spacing w:after="0" w:line="246" w:lineRule="auto"/>
        <w:rPr>
          <w:sz w:val="20"/>
          <w:szCs w:val="20"/>
          <w:color w:val="auto"/>
        </w:rPr>
      </w:pPr>
      <w:r>
        <w:rPr>
          <w:rFonts w:ascii="Arial" w:cs="Arial" w:eastAsia="Arial" w:hAnsi="Arial"/>
          <w:sz w:val="18"/>
          <w:szCs w:val="18"/>
          <w:color w:val="auto"/>
        </w:rPr>
        <w:t>The salary differences between the named executive officers were driven primarily by the market rate of pay (considering job scope and tenure) for each officer and not the application of a formula designed to maintain a differential between the officers.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Equity compensation</w:t>
      </w:r>
    </w:p>
    <w:p>
      <w:pPr>
        <w:spacing w:after="0" w:line="14" w:lineRule="exact"/>
        <w:rPr>
          <w:sz w:val="20"/>
          <w:szCs w:val="20"/>
          <w:color w:val="auto"/>
        </w:rPr>
      </w:pPr>
    </w:p>
    <w:p>
      <w:pPr>
        <w:ind w:left="120" w:right="260"/>
        <w:spacing w:after="0" w:line="238" w:lineRule="auto"/>
        <w:rPr>
          <w:sz w:val="20"/>
          <w:szCs w:val="20"/>
          <w:color w:val="auto"/>
        </w:rPr>
      </w:pPr>
      <w:r>
        <w:rPr>
          <w:rFonts w:ascii="Arial" w:cs="Arial" w:eastAsia="Arial" w:hAnsi="Arial"/>
          <w:sz w:val="18"/>
          <w:szCs w:val="18"/>
          <w:color w:val="auto"/>
        </w:rPr>
        <w:t>In 2019, the committee awarded equity compensation to each of the named executive officers listed below. The grants are shown in the table under “Grants of plan-based awards in 2019.” The grant date fair value of the awards is reflected in that table and in the “Stock Awards” and “Option Awards” columns of the 2019 summary compensation table. The table below is provided to assist the reader in comparing the grant date fair values and number of shares for each of the years shown in the summary compensation table.</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Restricted</w:t>
            </w:r>
          </w:p>
        </w:tc>
      </w:tr>
      <w:tr>
        <w:trPr>
          <w:trHeight w:val="162"/>
        </w:trPr>
        <w:tc>
          <w:tcPr>
            <w:tcW w:w="5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Pr>
          <w:p>
            <w:pPr>
              <w:jc w:val="right"/>
              <w:ind w:right="392"/>
              <w:spacing w:after="0"/>
              <w:rPr>
                <w:sz w:val="20"/>
                <w:szCs w:val="20"/>
                <w:color w:val="auto"/>
              </w:rPr>
            </w:pPr>
            <w:r>
              <w:rPr>
                <w:rFonts w:ascii="Arial" w:cs="Arial" w:eastAsia="Arial" w:hAnsi="Arial"/>
                <w:sz w:val="14"/>
                <w:szCs w:val="14"/>
                <w:b w:val="1"/>
                <w:bCs w:val="1"/>
                <w:color w:val="auto"/>
              </w:rPr>
              <w:t>Grant Date</w:t>
            </w:r>
          </w:p>
        </w:tc>
        <w:tc>
          <w:tcPr>
            <w:tcW w:w="1380" w:type="dxa"/>
            <w:vAlign w:val="bottom"/>
          </w:tcPr>
          <w:p>
            <w:pPr>
              <w:jc w:val="right"/>
              <w:ind w:right="152"/>
              <w:spacing w:after="0"/>
              <w:rPr>
                <w:sz w:val="20"/>
                <w:szCs w:val="20"/>
                <w:color w:val="auto"/>
              </w:rPr>
            </w:pPr>
            <w:r>
              <w:rPr>
                <w:rFonts w:ascii="Arial" w:cs="Arial" w:eastAsia="Arial" w:hAnsi="Arial"/>
                <w:sz w:val="14"/>
                <w:szCs w:val="14"/>
                <w:b w:val="1"/>
                <w:bCs w:val="1"/>
                <w:color w:val="auto"/>
              </w:rPr>
              <w:t>Stock Options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Stock Units</w:t>
            </w:r>
          </w:p>
        </w:tc>
      </w:tr>
      <w:tr>
        <w:trPr>
          <w:trHeight w:val="175"/>
        </w:trPr>
        <w:tc>
          <w:tcPr>
            <w:tcW w:w="5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Officer</w:t>
            </w:r>
          </w:p>
        </w:tc>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Year</w:t>
            </w:r>
          </w:p>
        </w:tc>
        <w:tc>
          <w:tcPr>
            <w:tcW w:w="5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Fair Value *</w:t>
            </w:r>
          </w:p>
        </w:tc>
        <w:tc>
          <w:tcPr>
            <w:tcW w:w="13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(In Shares)</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Shares)</w:t>
            </w:r>
          </w:p>
        </w:tc>
      </w:tr>
      <w:tr>
        <w:trPr>
          <w:trHeight w:val="195"/>
        </w:trPr>
        <w:tc>
          <w:tcPr>
            <w:tcW w:w="5600" w:type="dxa"/>
            <w:vAlign w:val="bottom"/>
            <w:shd w:val="clear" w:color="auto" w:fill="E5E5E5"/>
          </w:tcPr>
          <w:p>
            <w:pPr>
              <w:spacing w:after="0" w:line="195" w:lineRule="exact"/>
              <w:rPr>
                <w:sz w:val="20"/>
                <w:szCs w:val="20"/>
                <w:color w:val="auto"/>
              </w:rPr>
            </w:pPr>
            <w:r>
              <w:rPr>
                <w:rFonts w:ascii="Arial" w:cs="Arial" w:eastAsia="Arial" w:hAnsi="Arial"/>
                <w:sz w:val="18"/>
                <w:szCs w:val="18"/>
                <w:color w:val="auto"/>
              </w:rPr>
              <w:t>R. K. Templeton</w:t>
            </w:r>
          </w:p>
        </w:tc>
        <w:tc>
          <w:tcPr>
            <w:tcW w:w="1040" w:type="dxa"/>
            <w:vAlign w:val="bottom"/>
            <w:shd w:val="clear" w:color="auto" w:fill="E5E5E5"/>
          </w:tcPr>
          <w:p>
            <w:pPr>
              <w:ind w:left="260"/>
              <w:spacing w:after="0" w:line="195" w:lineRule="exact"/>
              <w:rPr>
                <w:sz w:val="20"/>
                <w:szCs w:val="20"/>
                <w:color w:val="auto"/>
              </w:rPr>
            </w:pPr>
            <w:r>
              <w:rPr>
                <w:rFonts w:ascii="Arial" w:cs="Arial" w:eastAsia="Arial" w:hAnsi="Arial"/>
                <w:sz w:val="18"/>
                <w:szCs w:val="18"/>
                <w:color w:val="auto"/>
              </w:rPr>
              <w:t>2019</w:t>
            </w:r>
          </w:p>
        </w:tc>
        <w:tc>
          <w:tcPr>
            <w:tcW w:w="520" w:type="dxa"/>
            <w:vAlign w:val="bottom"/>
            <w:shd w:val="clear" w:color="auto" w:fill="E5E5E5"/>
          </w:tcPr>
          <w:p>
            <w:pPr>
              <w:jc w:val="right"/>
              <w:spacing w:after="0" w:line="195" w:lineRule="exact"/>
              <w:rPr>
                <w:sz w:val="20"/>
                <w:szCs w:val="20"/>
                <w:color w:val="auto"/>
              </w:rPr>
            </w:pPr>
            <w:r>
              <w:rPr>
                <w:rFonts w:ascii="Arial" w:cs="Arial" w:eastAsia="Arial" w:hAnsi="Arial"/>
                <w:sz w:val="18"/>
                <w:szCs w:val="18"/>
                <w:color w:val="auto"/>
              </w:rPr>
              <w:t>$</w:t>
            </w:r>
          </w:p>
        </w:tc>
        <w:tc>
          <w:tcPr>
            <w:tcW w:w="1260" w:type="dxa"/>
            <w:vAlign w:val="bottom"/>
            <w:shd w:val="clear" w:color="auto" w:fill="E5E5E5"/>
          </w:tcPr>
          <w:p>
            <w:pPr>
              <w:jc w:val="right"/>
              <w:ind w:right="232"/>
              <w:spacing w:after="0" w:line="195" w:lineRule="exact"/>
              <w:rPr>
                <w:sz w:val="20"/>
                <w:szCs w:val="20"/>
                <w:color w:val="auto"/>
              </w:rPr>
            </w:pPr>
            <w:r>
              <w:rPr>
                <w:rFonts w:ascii="Arial" w:cs="Arial" w:eastAsia="Arial" w:hAnsi="Arial"/>
                <w:sz w:val="18"/>
                <w:szCs w:val="18"/>
                <w:color w:val="auto"/>
              </w:rPr>
              <w:t>13,000,057</w:t>
            </w:r>
          </w:p>
        </w:tc>
        <w:tc>
          <w:tcPr>
            <w:tcW w:w="1380" w:type="dxa"/>
            <w:vAlign w:val="bottom"/>
            <w:shd w:val="clear" w:color="auto" w:fill="E5E5E5"/>
          </w:tcPr>
          <w:p>
            <w:pPr>
              <w:jc w:val="right"/>
              <w:ind w:right="152"/>
              <w:spacing w:after="0" w:line="195" w:lineRule="exact"/>
              <w:rPr>
                <w:sz w:val="20"/>
                <w:szCs w:val="20"/>
                <w:color w:val="auto"/>
              </w:rPr>
            </w:pPr>
            <w:r>
              <w:rPr>
                <w:rFonts w:ascii="Arial" w:cs="Arial" w:eastAsia="Arial" w:hAnsi="Arial"/>
                <w:sz w:val="18"/>
                <w:szCs w:val="18"/>
                <w:color w:val="auto"/>
              </w:rPr>
              <w:t>294,627</w:t>
            </w:r>
          </w:p>
        </w:tc>
        <w:tc>
          <w:tcPr>
            <w:tcW w:w="1220" w:type="dxa"/>
            <w:vAlign w:val="bottom"/>
            <w:shd w:val="clear" w:color="auto" w:fill="E5E5E5"/>
          </w:tcPr>
          <w:p>
            <w:pPr>
              <w:ind w:left="460"/>
              <w:spacing w:after="0" w:line="195" w:lineRule="exact"/>
              <w:rPr>
                <w:sz w:val="20"/>
                <w:szCs w:val="20"/>
                <w:color w:val="auto"/>
              </w:rPr>
            </w:pPr>
            <w:r>
              <w:rPr>
                <w:rFonts w:ascii="Arial" w:cs="Arial" w:eastAsia="Arial" w:hAnsi="Arial"/>
                <w:sz w:val="18"/>
                <w:szCs w:val="18"/>
                <w:color w:val="auto"/>
              </w:rPr>
              <w:t>62,255</w:t>
            </w:r>
          </w:p>
        </w:tc>
      </w:tr>
      <w:tr>
        <w:trPr>
          <w:trHeight w:val="203"/>
        </w:trPr>
        <w:tc>
          <w:tcPr>
            <w:tcW w:w="5600" w:type="dxa"/>
            <w:vAlign w:val="bottom"/>
            <w:shd w:val="clear" w:color="auto" w:fill="E5E5E5"/>
          </w:tcPr>
          <w:p>
            <w:pPr>
              <w:spacing w:after="0"/>
              <w:rPr>
                <w:sz w:val="17"/>
                <w:szCs w:val="17"/>
                <w:color w:val="auto"/>
              </w:rPr>
            </w:pPr>
          </w:p>
        </w:tc>
        <w:tc>
          <w:tcPr>
            <w:tcW w:w="1040" w:type="dxa"/>
            <w:vAlign w:val="bottom"/>
            <w:shd w:val="clear" w:color="auto" w:fill="E5E5E5"/>
          </w:tcPr>
          <w:p>
            <w:pPr>
              <w:ind w:left="260"/>
              <w:spacing w:after="0" w:line="202" w:lineRule="exact"/>
              <w:rPr>
                <w:sz w:val="20"/>
                <w:szCs w:val="20"/>
                <w:color w:val="auto"/>
              </w:rPr>
            </w:pPr>
            <w:r>
              <w:rPr>
                <w:rFonts w:ascii="Arial" w:cs="Arial" w:eastAsia="Arial" w:hAnsi="Arial"/>
                <w:sz w:val="18"/>
                <w:szCs w:val="18"/>
                <w:color w:val="auto"/>
              </w:rPr>
              <w:t>2018</w:t>
            </w:r>
          </w:p>
        </w:tc>
        <w:tc>
          <w:tcPr>
            <w:tcW w:w="5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E5E5E5"/>
          </w:tcPr>
          <w:p>
            <w:pPr>
              <w:jc w:val="right"/>
              <w:ind w:right="232"/>
              <w:spacing w:after="0" w:line="202" w:lineRule="exact"/>
              <w:rPr>
                <w:sz w:val="20"/>
                <w:szCs w:val="20"/>
                <w:color w:val="auto"/>
              </w:rPr>
            </w:pPr>
            <w:r>
              <w:rPr>
                <w:rFonts w:ascii="Arial" w:cs="Arial" w:eastAsia="Arial" w:hAnsi="Arial"/>
                <w:sz w:val="18"/>
                <w:szCs w:val="18"/>
                <w:color w:val="auto"/>
              </w:rPr>
              <w:t>12,000,110</w:t>
            </w:r>
          </w:p>
        </w:tc>
        <w:tc>
          <w:tcPr>
            <w:tcW w:w="1380" w:type="dxa"/>
            <w:vAlign w:val="bottom"/>
            <w:shd w:val="clear" w:color="auto" w:fill="E5E5E5"/>
          </w:tcPr>
          <w:p>
            <w:pPr>
              <w:jc w:val="right"/>
              <w:ind w:right="152"/>
              <w:spacing w:after="0" w:line="202" w:lineRule="exact"/>
              <w:rPr>
                <w:sz w:val="20"/>
                <w:szCs w:val="20"/>
                <w:color w:val="auto"/>
              </w:rPr>
            </w:pPr>
            <w:r>
              <w:rPr>
                <w:rFonts w:ascii="Arial" w:cs="Arial" w:eastAsia="Arial" w:hAnsi="Arial"/>
                <w:sz w:val="18"/>
                <w:szCs w:val="18"/>
                <w:color w:val="auto"/>
              </w:rPr>
              <w:t>258,403</w:t>
            </w:r>
          </w:p>
        </w:tc>
        <w:tc>
          <w:tcPr>
            <w:tcW w:w="1220" w:type="dxa"/>
            <w:vAlign w:val="bottom"/>
            <w:shd w:val="clear" w:color="auto" w:fill="E5E5E5"/>
          </w:tcPr>
          <w:p>
            <w:pPr>
              <w:ind w:left="460"/>
              <w:spacing w:after="0" w:line="202" w:lineRule="exact"/>
              <w:rPr>
                <w:sz w:val="20"/>
                <w:szCs w:val="20"/>
                <w:color w:val="auto"/>
              </w:rPr>
            </w:pPr>
            <w:r>
              <w:rPr>
                <w:rFonts w:ascii="Arial" w:cs="Arial" w:eastAsia="Arial" w:hAnsi="Arial"/>
                <w:sz w:val="18"/>
                <w:szCs w:val="18"/>
                <w:color w:val="auto"/>
              </w:rPr>
              <w:t>54,472</w:t>
            </w:r>
          </w:p>
        </w:tc>
      </w:tr>
      <w:tr>
        <w:trPr>
          <w:trHeight w:val="203"/>
        </w:trPr>
        <w:tc>
          <w:tcPr>
            <w:tcW w:w="5600" w:type="dxa"/>
            <w:vAlign w:val="bottom"/>
            <w:shd w:val="clear" w:color="auto" w:fill="E5E5E5"/>
          </w:tcPr>
          <w:p>
            <w:pPr>
              <w:spacing w:after="0"/>
              <w:rPr>
                <w:sz w:val="17"/>
                <w:szCs w:val="17"/>
                <w:color w:val="auto"/>
              </w:rPr>
            </w:pPr>
          </w:p>
        </w:tc>
        <w:tc>
          <w:tcPr>
            <w:tcW w:w="1040" w:type="dxa"/>
            <w:vAlign w:val="bottom"/>
            <w:shd w:val="clear" w:color="auto" w:fill="E5E5E5"/>
          </w:tcPr>
          <w:p>
            <w:pPr>
              <w:ind w:left="260"/>
              <w:spacing w:after="0" w:line="203" w:lineRule="exact"/>
              <w:rPr>
                <w:sz w:val="20"/>
                <w:szCs w:val="20"/>
                <w:color w:val="auto"/>
              </w:rPr>
            </w:pPr>
            <w:r>
              <w:rPr>
                <w:rFonts w:ascii="Arial" w:cs="Arial" w:eastAsia="Arial" w:hAnsi="Arial"/>
                <w:sz w:val="18"/>
                <w:szCs w:val="18"/>
                <w:color w:val="auto"/>
              </w:rPr>
              <w:t>2017</w:t>
            </w:r>
          </w:p>
        </w:tc>
        <w:tc>
          <w:tcPr>
            <w:tcW w:w="52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w:t>
            </w:r>
          </w:p>
        </w:tc>
        <w:tc>
          <w:tcPr>
            <w:tcW w:w="1260" w:type="dxa"/>
            <w:vAlign w:val="bottom"/>
            <w:shd w:val="clear" w:color="auto" w:fill="E5E5E5"/>
          </w:tcPr>
          <w:p>
            <w:pPr>
              <w:jc w:val="right"/>
              <w:ind w:right="232"/>
              <w:spacing w:after="0" w:line="203" w:lineRule="exact"/>
              <w:rPr>
                <w:sz w:val="20"/>
                <w:szCs w:val="20"/>
                <w:color w:val="auto"/>
              </w:rPr>
            </w:pPr>
            <w:r>
              <w:rPr>
                <w:rFonts w:ascii="Arial" w:cs="Arial" w:eastAsia="Arial" w:hAnsi="Arial"/>
                <w:sz w:val="18"/>
                <w:szCs w:val="18"/>
                <w:color w:val="auto"/>
              </w:rPr>
              <w:t>11,000,014</w:t>
            </w:r>
          </w:p>
        </w:tc>
        <w:tc>
          <w:tcPr>
            <w:tcW w:w="1380" w:type="dxa"/>
            <w:vAlign w:val="bottom"/>
            <w:shd w:val="clear" w:color="auto" w:fill="E5E5E5"/>
          </w:tcPr>
          <w:p>
            <w:pPr>
              <w:jc w:val="right"/>
              <w:ind w:right="152"/>
              <w:spacing w:after="0" w:line="203" w:lineRule="exact"/>
              <w:rPr>
                <w:sz w:val="20"/>
                <w:szCs w:val="20"/>
                <w:color w:val="auto"/>
              </w:rPr>
            </w:pPr>
            <w:r>
              <w:rPr>
                <w:rFonts w:ascii="Arial" w:cs="Arial" w:eastAsia="Arial" w:hAnsi="Arial"/>
                <w:sz w:val="18"/>
                <w:szCs w:val="18"/>
                <w:color w:val="auto"/>
              </w:rPr>
              <w:t>333,615</w:t>
            </w:r>
          </w:p>
        </w:tc>
        <w:tc>
          <w:tcPr>
            <w:tcW w:w="1220" w:type="dxa"/>
            <w:vAlign w:val="bottom"/>
            <w:shd w:val="clear" w:color="auto" w:fill="E5E5E5"/>
          </w:tcPr>
          <w:p>
            <w:pPr>
              <w:ind w:left="460"/>
              <w:spacing w:after="0" w:line="203" w:lineRule="exact"/>
              <w:rPr>
                <w:sz w:val="20"/>
                <w:szCs w:val="20"/>
                <w:color w:val="auto"/>
              </w:rPr>
            </w:pPr>
            <w:r>
              <w:rPr>
                <w:rFonts w:ascii="Arial" w:cs="Arial" w:eastAsia="Arial" w:hAnsi="Arial"/>
                <w:sz w:val="18"/>
                <w:szCs w:val="18"/>
                <w:color w:val="auto"/>
              </w:rPr>
              <w:t>69,392</w:t>
            </w:r>
          </w:p>
        </w:tc>
      </w:tr>
      <w:tr>
        <w:trPr>
          <w:trHeight w:val="418"/>
        </w:trPr>
        <w:tc>
          <w:tcPr>
            <w:tcW w:w="5600" w:type="dxa"/>
            <w:vAlign w:val="bottom"/>
          </w:tcPr>
          <w:p>
            <w:pPr>
              <w:spacing w:after="0"/>
              <w:rPr>
                <w:sz w:val="20"/>
                <w:szCs w:val="20"/>
                <w:color w:val="auto"/>
              </w:rPr>
            </w:pPr>
            <w:r>
              <w:rPr>
                <w:rFonts w:ascii="Arial" w:cs="Arial" w:eastAsia="Arial" w:hAnsi="Arial"/>
                <w:sz w:val="18"/>
                <w:szCs w:val="18"/>
                <w:color w:val="auto"/>
              </w:rPr>
              <w:t>R. R. Lizardi</w:t>
            </w:r>
          </w:p>
        </w:tc>
        <w:tc>
          <w:tcPr>
            <w:tcW w:w="1040" w:type="dxa"/>
            <w:vAlign w:val="bottom"/>
          </w:tcPr>
          <w:p>
            <w:pPr>
              <w:ind w:left="260"/>
              <w:spacing w:after="0"/>
              <w:rPr>
                <w:sz w:val="20"/>
                <w:szCs w:val="20"/>
                <w:color w:val="auto"/>
              </w:rPr>
            </w:pPr>
            <w:r>
              <w:rPr>
                <w:rFonts w:ascii="Arial" w:cs="Arial" w:eastAsia="Arial" w:hAnsi="Arial"/>
                <w:sz w:val="18"/>
                <w:szCs w:val="18"/>
                <w:color w:val="auto"/>
              </w:rPr>
              <w:t>2019</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32"/>
              <w:spacing w:after="0"/>
              <w:rPr>
                <w:sz w:val="20"/>
                <w:szCs w:val="20"/>
                <w:color w:val="auto"/>
              </w:rPr>
            </w:pPr>
            <w:r>
              <w:rPr>
                <w:rFonts w:ascii="Arial" w:cs="Arial" w:eastAsia="Arial" w:hAnsi="Arial"/>
                <w:sz w:val="18"/>
                <w:szCs w:val="18"/>
                <w:color w:val="auto"/>
              </w:rPr>
              <w:t>3,000,064</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67,991</w:t>
            </w:r>
          </w:p>
        </w:tc>
        <w:tc>
          <w:tcPr>
            <w:tcW w:w="1220" w:type="dxa"/>
            <w:vAlign w:val="bottom"/>
          </w:tcPr>
          <w:p>
            <w:pPr>
              <w:ind w:left="460"/>
              <w:spacing w:after="0"/>
              <w:rPr>
                <w:sz w:val="20"/>
                <w:szCs w:val="20"/>
                <w:color w:val="auto"/>
              </w:rPr>
            </w:pPr>
            <w:r>
              <w:rPr>
                <w:rFonts w:ascii="Arial" w:cs="Arial" w:eastAsia="Arial" w:hAnsi="Arial"/>
                <w:sz w:val="18"/>
                <w:szCs w:val="18"/>
                <w:color w:val="auto"/>
              </w:rPr>
              <w:t>14,367</w:t>
            </w:r>
          </w:p>
        </w:tc>
      </w:tr>
      <w:tr>
        <w:trPr>
          <w:trHeight w:val="203"/>
        </w:trPr>
        <w:tc>
          <w:tcPr>
            <w:tcW w:w="5600" w:type="dxa"/>
            <w:vAlign w:val="bottom"/>
          </w:tcPr>
          <w:p>
            <w:pPr>
              <w:spacing w:after="0"/>
              <w:rPr>
                <w:sz w:val="17"/>
                <w:szCs w:val="17"/>
                <w:color w:val="auto"/>
              </w:rPr>
            </w:pPr>
          </w:p>
        </w:tc>
        <w:tc>
          <w:tcPr>
            <w:tcW w:w="1040" w:type="dxa"/>
            <w:vAlign w:val="bottom"/>
          </w:tcPr>
          <w:p>
            <w:pPr>
              <w:ind w:left="260"/>
              <w:spacing w:after="0" w:line="202" w:lineRule="exact"/>
              <w:rPr>
                <w:sz w:val="20"/>
                <w:szCs w:val="20"/>
                <w:color w:val="auto"/>
              </w:rPr>
            </w:pPr>
            <w:r>
              <w:rPr>
                <w:rFonts w:ascii="Arial" w:cs="Arial" w:eastAsia="Arial" w:hAnsi="Arial"/>
                <w:sz w:val="18"/>
                <w:szCs w:val="18"/>
                <w:color w:val="auto"/>
              </w:rPr>
              <w:t>2018</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2,400,097</w:t>
            </w:r>
          </w:p>
        </w:tc>
        <w:tc>
          <w:tcPr>
            <w:tcW w:w="13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51,681</w:t>
            </w:r>
          </w:p>
        </w:tc>
        <w:tc>
          <w:tcPr>
            <w:tcW w:w="1220" w:type="dxa"/>
            <w:vAlign w:val="bottom"/>
          </w:tcPr>
          <w:p>
            <w:pPr>
              <w:ind w:left="460"/>
              <w:spacing w:after="0" w:line="202" w:lineRule="exact"/>
              <w:rPr>
                <w:sz w:val="20"/>
                <w:szCs w:val="20"/>
                <w:color w:val="auto"/>
              </w:rPr>
            </w:pPr>
            <w:r>
              <w:rPr>
                <w:rFonts w:ascii="Arial" w:cs="Arial" w:eastAsia="Arial" w:hAnsi="Arial"/>
                <w:sz w:val="18"/>
                <w:szCs w:val="18"/>
                <w:color w:val="auto"/>
              </w:rPr>
              <w:t>10,895</w:t>
            </w:r>
          </w:p>
        </w:tc>
      </w:tr>
      <w:tr>
        <w:trPr>
          <w:trHeight w:val="203"/>
        </w:trPr>
        <w:tc>
          <w:tcPr>
            <w:tcW w:w="5600" w:type="dxa"/>
            <w:vAlign w:val="bottom"/>
          </w:tcPr>
          <w:p>
            <w:pPr>
              <w:spacing w:after="0"/>
              <w:rPr>
                <w:sz w:val="17"/>
                <w:szCs w:val="17"/>
                <w:color w:val="auto"/>
              </w:rPr>
            </w:pPr>
          </w:p>
        </w:tc>
        <w:tc>
          <w:tcPr>
            <w:tcW w:w="1040" w:type="dxa"/>
            <w:vAlign w:val="bottom"/>
          </w:tcPr>
          <w:p>
            <w:pPr>
              <w:ind w:left="260"/>
              <w:spacing w:after="0" w:line="202" w:lineRule="exact"/>
              <w:rPr>
                <w:sz w:val="20"/>
                <w:szCs w:val="20"/>
                <w:color w:val="auto"/>
              </w:rPr>
            </w:pPr>
            <w:r>
              <w:rPr>
                <w:rFonts w:ascii="Arial" w:cs="Arial" w:eastAsia="Arial" w:hAnsi="Arial"/>
                <w:sz w:val="18"/>
                <w:szCs w:val="18"/>
                <w:color w:val="auto"/>
              </w:rPr>
              <w:t>2017</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2,000,037</w:t>
            </w:r>
          </w:p>
        </w:tc>
        <w:tc>
          <w:tcPr>
            <w:tcW w:w="13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60,658</w:t>
            </w:r>
          </w:p>
        </w:tc>
        <w:tc>
          <w:tcPr>
            <w:tcW w:w="1220" w:type="dxa"/>
            <w:vAlign w:val="bottom"/>
          </w:tcPr>
          <w:p>
            <w:pPr>
              <w:ind w:left="460"/>
              <w:spacing w:after="0" w:line="202" w:lineRule="exact"/>
              <w:rPr>
                <w:sz w:val="20"/>
                <w:szCs w:val="20"/>
                <w:color w:val="auto"/>
              </w:rPr>
            </w:pPr>
            <w:r>
              <w:rPr>
                <w:rFonts w:ascii="Arial" w:cs="Arial" w:eastAsia="Arial" w:hAnsi="Arial"/>
                <w:sz w:val="18"/>
                <w:szCs w:val="18"/>
                <w:color w:val="auto"/>
              </w:rPr>
              <w:t>12,617</w:t>
            </w:r>
          </w:p>
        </w:tc>
      </w:tr>
      <w:tr>
        <w:trPr>
          <w:trHeight w:val="217"/>
        </w:trPr>
        <w:tc>
          <w:tcPr>
            <w:tcW w:w="5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1,000,023**</w:t>
            </w:r>
          </w:p>
        </w:tc>
        <w:tc>
          <w:tcPr>
            <w:tcW w:w="1380" w:type="dxa"/>
            <w:vAlign w:val="bottom"/>
          </w:tcPr>
          <w:p>
            <w:pPr>
              <w:spacing w:after="0"/>
              <w:rPr>
                <w:sz w:val="18"/>
                <w:szCs w:val="18"/>
                <w:color w:val="auto"/>
              </w:rPr>
            </w:pPr>
          </w:p>
        </w:tc>
        <w:tc>
          <w:tcPr>
            <w:tcW w:w="1220" w:type="dxa"/>
            <w:vAlign w:val="bottom"/>
          </w:tcPr>
          <w:p>
            <w:pPr>
              <w:ind w:left="460"/>
              <w:spacing w:after="0"/>
              <w:rPr>
                <w:sz w:val="20"/>
                <w:szCs w:val="20"/>
                <w:color w:val="auto"/>
              </w:rPr>
            </w:pPr>
            <w:r>
              <w:rPr>
                <w:rFonts w:ascii="Arial" w:cs="Arial" w:eastAsia="Arial" w:hAnsi="Arial"/>
                <w:sz w:val="18"/>
                <w:szCs w:val="18"/>
                <w:color w:val="auto"/>
              </w:rPr>
              <w:t>12,617**</w:t>
            </w:r>
          </w:p>
        </w:tc>
      </w:tr>
      <w:tr>
        <w:trPr>
          <w:trHeight w:val="203"/>
        </w:trPr>
        <w:tc>
          <w:tcPr>
            <w:tcW w:w="5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2"/>
        </w:trPr>
        <w:tc>
          <w:tcPr>
            <w:tcW w:w="5600" w:type="dxa"/>
            <w:vAlign w:val="bottom"/>
            <w:shd w:val="clear" w:color="auto" w:fill="E5E5E5"/>
          </w:tcPr>
          <w:p>
            <w:pPr>
              <w:spacing w:after="0" w:line="201" w:lineRule="exact"/>
              <w:rPr>
                <w:sz w:val="20"/>
                <w:szCs w:val="20"/>
                <w:color w:val="auto"/>
              </w:rPr>
            </w:pPr>
            <w:r>
              <w:rPr>
                <w:rFonts w:ascii="Arial" w:cs="Arial" w:eastAsia="Arial" w:hAnsi="Arial"/>
                <w:sz w:val="18"/>
                <w:szCs w:val="18"/>
                <w:color w:val="auto"/>
              </w:rPr>
              <w:t>N. Anderskouv</w:t>
            </w:r>
          </w:p>
        </w:tc>
        <w:tc>
          <w:tcPr>
            <w:tcW w:w="1040" w:type="dxa"/>
            <w:vAlign w:val="bottom"/>
            <w:shd w:val="clear" w:color="auto" w:fill="E5E5E5"/>
          </w:tcPr>
          <w:p>
            <w:pPr>
              <w:ind w:left="260"/>
              <w:spacing w:after="0" w:line="201" w:lineRule="exact"/>
              <w:rPr>
                <w:sz w:val="20"/>
                <w:szCs w:val="20"/>
                <w:color w:val="auto"/>
              </w:rPr>
            </w:pPr>
            <w:r>
              <w:rPr>
                <w:rFonts w:ascii="Arial" w:cs="Arial" w:eastAsia="Arial" w:hAnsi="Arial"/>
                <w:sz w:val="18"/>
                <w:szCs w:val="18"/>
                <w:color w:val="auto"/>
              </w:rPr>
              <w:t>2019</w:t>
            </w:r>
          </w:p>
        </w:tc>
        <w:tc>
          <w:tcPr>
            <w:tcW w:w="520" w:type="dxa"/>
            <w:vAlign w:val="bottom"/>
            <w:shd w:val="clear" w:color="auto" w:fill="E5E5E5"/>
          </w:tcPr>
          <w:p>
            <w:pPr>
              <w:jc w:val="right"/>
              <w:spacing w:after="0" w:line="201" w:lineRule="exact"/>
              <w:rPr>
                <w:sz w:val="20"/>
                <w:szCs w:val="20"/>
                <w:color w:val="auto"/>
              </w:rPr>
            </w:pPr>
            <w:r>
              <w:rPr>
                <w:rFonts w:ascii="Arial" w:cs="Arial" w:eastAsia="Arial" w:hAnsi="Arial"/>
                <w:sz w:val="18"/>
                <w:szCs w:val="18"/>
                <w:color w:val="auto"/>
              </w:rPr>
              <w:t>$</w:t>
            </w:r>
          </w:p>
        </w:tc>
        <w:tc>
          <w:tcPr>
            <w:tcW w:w="1260" w:type="dxa"/>
            <w:vAlign w:val="bottom"/>
            <w:shd w:val="clear" w:color="auto" w:fill="E5E5E5"/>
          </w:tcPr>
          <w:p>
            <w:pPr>
              <w:jc w:val="right"/>
              <w:ind w:right="232"/>
              <w:spacing w:after="0" w:line="201" w:lineRule="exact"/>
              <w:rPr>
                <w:sz w:val="20"/>
                <w:szCs w:val="20"/>
                <w:color w:val="auto"/>
              </w:rPr>
            </w:pPr>
            <w:r>
              <w:rPr>
                <w:rFonts w:ascii="Arial" w:cs="Arial" w:eastAsia="Arial" w:hAnsi="Arial"/>
                <w:sz w:val="18"/>
                <w:szCs w:val="18"/>
                <w:color w:val="auto"/>
              </w:rPr>
              <w:t>3,800,062</w:t>
            </w:r>
          </w:p>
        </w:tc>
        <w:tc>
          <w:tcPr>
            <w:tcW w:w="1380" w:type="dxa"/>
            <w:vAlign w:val="bottom"/>
            <w:shd w:val="clear" w:color="auto" w:fill="E5E5E5"/>
          </w:tcPr>
          <w:p>
            <w:pPr>
              <w:jc w:val="right"/>
              <w:ind w:right="152"/>
              <w:spacing w:after="0" w:line="201" w:lineRule="exact"/>
              <w:rPr>
                <w:sz w:val="20"/>
                <w:szCs w:val="20"/>
                <w:color w:val="auto"/>
              </w:rPr>
            </w:pPr>
            <w:r>
              <w:rPr>
                <w:rFonts w:ascii="Arial" w:cs="Arial" w:eastAsia="Arial" w:hAnsi="Arial"/>
                <w:sz w:val="18"/>
                <w:szCs w:val="18"/>
                <w:color w:val="auto"/>
              </w:rPr>
              <w:t>86,122</w:t>
            </w:r>
          </w:p>
        </w:tc>
        <w:tc>
          <w:tcPr>
            <w:tcW w:w="1220" w:type="dxa"/>
            <w:vAlign w:val="bottom"/>
            <w:shd w:val="clear" w:color="auto" w:fill="E5E5E5"/>
          </w:tcPr>
          <w:p>
            <w:pPr>
              <w:ind w:left="460"/>
              <w:spacing w:after="0" w:line="201" w:lineRule="exact"/>
              <w:rPr>
                <w:sz w:val="20"/>
                <w:szCs w:val="20"/>
                <w:color w:val="auto"/>
              </w:rPr>
            </w:pPr>
            <w:r>
              <w:rPr>
                <w:rFonts w:ascii="Arial" w:cs="Arial" w:eastAsia="Arial" w:hAnsi="Arial"/>
                <w:sz w:val="18"/>
                <w:szCs w:val="18"/>
                <w:color w:val="auto"/>
              </w:rPr>
              <w:t>18,198</w:t>
            </w:r>
          </w:p>
        </w:tc>
      </w:tr>
      <w:tr>
        <w:trPr>
          <w:trHeight w:val="203"/>
        </w:trPr>
        <w:tc>
          <w:tcPr>
            <w:tcW w:w="5600" w:type="dxa"/>
            <w:vAlign w:val="bottom"/>
            <w:shd w:val="clear" w:color="auto" w:fill="E5E5E5"/>
          </w:tcPr>
          <w:p>
            <w:pPr>
              <w:spacing w:after="0"/>
              <w:rPr>
                <w:sz w:val="17"/>
                <w:szCs w:val="17"/>
                <w:color w:val="auto"/>
              </w:rPr>
            </w:pPr>
          </w:p>
        </w:tc>
        <w:tc>
          <w:tcPr>
            <w:tcW w:w="1040" w:type="dxa"/>
            <w:vAlign w:val="bottom"/>
            <w:shd w:val="clear" w:color="auto" w:fill="E5E5E5"/>
          </w:tcPr>
          <w:p>
            <w:pPr>
              <w:ind w:left="260"/>
              <w:spacing w:after="0" w:line="203" w:lineRule="exact"/>
              <w:rPr>
                <w:sz w:val="20"/>
                <w:szCs w:val="20"/>
                <w:color w:val="auto"/>
              </w:rPr>
            </w:pPr>
            <w:r>
              <w:rPr>
                <w:rFonts w:ascii="Arial" w:cs="Arial" w:eastAsia="Arial" w:hAnsi="Arial"/>
                <w:sz w:val="18"/>
                <w:szCs w:val="18"/>
                <w:color w:val="auto"/>
              </w:rPr>
              <w:t>2018</w:t>
            </w:r>
          </w:p>
        </w:tc>
        <w:tc>
          <w:tcPr>
            <w:tcW w:w="52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w:t>
            </w:r>
          </w:p>
        </w:tc>
        <w:tc>
          <w:tcPr>
            <w:tcW w:w="1260" w:type="dxa"/>
            <w:vAlign w:val="bottom"/>
            <w:shd w:val="clear" w:color="auto" w:fill="E5E5E5"/>
          </w:tcPr>
          <w:p>
            <w:pPr>
              <w:jc w:val="right"/>
              <w:ind w:right="232"/>
              <w:spacing w:after="0" w:line="203" w:lineRule="exact"/>
              <w:rPr>
                <w:sz w:val="20"/>
                <w:szCs w:val="20"/>
                <w:color w:val="auto"/>
              </w:rPr>
            </w:pPr>
            <w:r>
              <w:rPr>
                <w:rFonts w:ascii="Arial" w:cs="Arial" w:eastAsia="Arial" w:hAnsi="Arial"/>
                <w:sz w:val="18"/>
                <w:szCs w:val="18"/>
                <w:color w:val="auto"/>
              </w:rPr>
              <w:t>3,800,103</w:t>
            </w:r>
          </w:p>
        </w:tc>
        <w:tc>
          <w:tcPr>
            <w:tcW w:w="1380" w:type="dxa"/>
            <w:vAlign w:val="bottom"/>
            <w:shd w:val="clear" w:color="auto" w:fill="E5E5E5"/>
          </w:tcPr>
          <w:p>
            <w:pPr>
              <w:jc w:val="right"/>
              <w:ind w:right="152"/>
              <w:spacing w:after="0" w:line="203" w:lineRule="exact"/>
              <w:rPr>
                <w:sz w:val="20"/>
                <w:szCs w:val="20"/>
                <w:color w:val="auto"/>
              </w:rPr>
            </w:pPr>
            <w:r>
              <w:rPr>
                <w:rFonts w:ascii="Arial" w:cs="Arial" w:eastAsia="Arial" w:hAnsi="Arial"/>
                <w:sz w:val="18"/>
                <w:szCs w:val="18"/>
                <w:color w:val="auto"/>
              </w:rPr>
              <w:t>81,828</w:t>
            </w:r>
          </w:p>
        </w:tc>
        <w:tc>
          <w:tcPr>
            <w:tcW w:w="1220" w:type="dxa"/>
            <w:vAlign w:val="bottom"/>
            <w:shd w:val="clear" w:color="auto" w:fill="E5E5E5"/>
          </w:tcPr>
          <w:p>
            <w:pPr>
              <w:ind w:left="460"/>
              <w:spacing w:after="0" w:line="203" w:lineRule="exact"/>
              <w:rPr>
                <w:sz w:val="20"/>
                <w:szCs w:val="20"/>
                <w:color w:val="auto"/>
              </w:rPr>
            </w:pPr>
            <w:r>
              <w:rPr>
                <w:rFonts w:ascii="Arial" w:cs="Arial" w:eastAsia="Arial" w:hAnsi="Arial"/>
                <w:sz w:val="18"/>
                <w:szCs w:val="18"/>
                <w:color w:val="auto"/>
              </w:rPr>
              <w:t>17,250</w:t>
            </w:r>
          </w:p>
        </w:tc>
      </w:tr>
      <w:tr>
        <w:trPr>
          <w:trHeight w:val="418"/>
        </w:trPr>
        <w:tc>
          <w:tcPr>
            <w:tcW w:w="5600" w:type="dxa"/>
            <w:vAlign w:val="bottom"/>
          </w:tcPr>
          <w:p>
            <w:pPr>
              <w:spacing w:after="0"/>
              <w:rPr>
                <w:sz w:val="20"/>
                <w:szCs w:val="20"/>
                <w:color w:val="auto"/>
              </w:rPr>
            </w:pPr>
            <w:r>
              <w:rPr>
                <w:rFonts w:ascii="Arial" w:cs="Arial" w:eastAsia="Arial" w:hAnsi="Arial"/>
                <w:sz w:val="18"/>
                <w:szCs w:val="18"/>
                <w:color w:val="auto"/>
              </w:rPr>
              <w:t>R. G. Delagi</w:t>
            </w:r>
          </w:p>
        </w:tc>
        <w:tc>
          <w:tcPr>
            <w:tcW w:w="1040" w:type="dxa"/>
            <w:vAlign w:val="bottom"/>
          </w:tcPr>
          <w:p>
            <w:pPr>
              <w:ind w:left="260"/>
              <w:spacing w:after="0"/>
              <w:rPr>
                <w:sz w:val="20"/>
                <w:szCs w:val="20"/>
                <w:color w:val="auto"/>
              </w:rPr>
            </w:pPr>
            <w:r>
              <w:rPr>
                <w:rFonts w:ascii="Arial" w:cs="Arial" w:eastAsia="Arial" w:hAnsi="Arial"/>
                <w:sz w:val="18"/>
                <w:szCs w:val="18"/>
                <w:color w:val="auto"/>
              </w:rPr>
              <w:t>2019</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32"/>
              <w:spacing w:after="0"/>
              <w:rPr>
                <w:sz w:val="20"/>
                <w:szCs w:val="20"/>
                <w:color w:val="auto"/>
              </w:rPr>
            </w:pPr>
            <w:r>
              <w:rPr>
                <w:rFonts w:ascii="Arial" w:cs="Arial" w:eastAsia="Arial" w:hAnsi="Arial"/>
                <w:sz w:val="18"/>
                <w:szCs w:val="18"/>
                <w:color w:val="auto"/>
              </w:rPr>
              <w:t>3,600,031</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81,589</w:t>
            </w:r>
          </w:p>
        </w:tc>
        <w:tc>
          <w:tcPr>
            <w:tcW w:w="1220" w:type="dxa"/>
            <w:vAlign w:val="bottom"/>
          </w:tcPr>
          <w:p>
            <w:pPr>
              <w:ind w:left="460"/>
              <w:spacing w:after="0"/>
              <w:rPr>
                <w:sz w:val="20"/>
                <w:szCs w:val="20"/>
                <w:color w:val="auto"/>
              </w:rPr>
            </w:pPr>
            <w:r>
              <w:rPr>
                <w:rFonts w:ascii="Arial" w:cs="Arial" w:eastAsia="Arial" w:hAnsi="Arial"/>
                <w:sz w:val="18"/>
                <w:szCs w:val="18"/>
                <w:color w:val="auto"/>
              </w:rPr>
              <w:t>17,240</w:t>
            </w:r>
          </w:p>
        </w:tc>
      </w:tr>
      <w:tr>
        <w:trPr>
          <w:trHeight w:val="203"/>
        </w:trPr>
        <w:tc>
          <w:tcPr>
            <w:tcW w:w="5600" w:type="dxa"/>
            <w:vAlign w:val="bottom"/>
          </w:tcPr>
          <w:p>
            <w:pPr>
              <w:spacing w:after="0"/>
              <w:rPr>
                <w:sz w:val="17"/>
                <w:szCs w:val="17"/>
                <w:color w:val="auto"/>
              </w:rPr>
            </w:pPr>
          </w:p>
        </w:tc>
        <w:tc>
          <w:tcPr>
            <w:tcW w:w="1040" w:type="dxa"/>
            <w:vAlign w:val="bottom"/>
          </w:tcPr>
          <w:p>
            <w:pPr>
              <w:ind w:left="260"/>
              <w:spacing w:after="0" w:line="202" w:lineRule="exact"/>
              <w:rPr>
                <w:sz w:val="20"/>
                <w:szCs w:val="20"/>
                <w:color w:val="auto"/>
              </w:rPr>
            </w:pPr>
            <w:r>
              <w:rPr>
                <w:rFonts w:ascii="Arial" w:cs="Arial" w:eastAsia="Arial" w:hAnsi="Arial"/>
                <w:sz w:val="18"/>
                <w:szCs w:val="18"/>
                <w:color w:val="auto"/>
              </w:rPr>
              <w:t>2018</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3,600,079</w:t>
            </w:r>
          </w:p>
        </w:tc>
        <w:tc>
          <w:tcPr>
            <w:tcW w:w="13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77,521</w:t>
            </w:r>
          </w:p>
        </w:tc>
        <w:tc>
          <w:tcPr>
            <w:tcW w:w="1220" w:type="dxa"/>
            <w:vAlign w:val="bottom"/>
          </w:tcPr>
          <w:p>
            <w:pPr>
              <w:ind w:left="460"/>
              <w:spacing w:after="0" w:line="202" w:lineRule="exact"/>
              <w:rPr>
                <w:sz w:val="20"/>
                <w:szCs w:val="20"/>
                <w:color w:val="auto"/>
              </w:rPr>
            </w:pPr>
            <w:r>
              <w:rPr>
                <w:rFonts w:ascii="Arial" w:cs="Arial" w:eastAsia="Arial" w:hAnsi="Arial"/>
                <w:sz w:val="18"/>
                <w:szCs w:val="18"/>
                <w:color w:val="auto"/>
              </w:rPr>
              <w:t>16,342</w:t>
            </w:r>
          </w:p>
        </w:tc>
      </w:tr>
      <w:tr>
        <w:trPr>
          <w:trHeight w:val="217"/>
        </w:trPr>
        <w:tc>
          <w:tcPr>
            <w:tcW w:w="5600" w:type="dxa"/>
            <w:vAlign w:val="bottom"/>
          </w:tcPr>
          <w:p>
            <w:pPr>
              <w:spacing w:after="0"/>
              <w:rPr>
                <w:sz w:val="18"/>
                <w:szCs w:val="18"/>
                <w:color w:val="auto"/>
              </w:rPr>
            </w:pPr>
          </w:p>
        </w:tc>
        <w:tc>
          <w:tcPr>
            <w:tcW w:w="1040" w:type="dxa"/>
            <w:vAlign w:val="bottom"/>
          </w:tcPr>
          <w:p>
            <w:pPr>
              <w:ind w:left="260"/>
              <w:spacing w:after="0"/>
              <w:rPr>
                <w:sz w:val="20"/>
                <w:szCs w:val="20"/>
                <w:color w:val="auto"/>
              </w:rPr>
            </w:pPr>
            <w:r>
              <w:rPr>
                <w:rFonts w:ascii="Arial" w:cs="Arial" w:eastAsia="Arial" w:hAnsi="Arial"/>
                <w:sz w:val="18"/>
                <w:szCs w:val="18"/>
                <w:color w:val="auto"/>
              </w:rPr>
              <w:t>2017</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32"/>
              <w:spacing w:after="0"/>
              <w:rPr>
                <w:sz w:val="20"/>
                <w:szCs w:val="20"/>
                <w:color w:val="auto"/>
              </w:rPr>
            </w:pPr>
            <w:r>
              <w:rPr>
                <w:rFonts w:ascii="Arial" w:cs="Arial" w:eastAsia="Arial" w:hAnsi="Arial"/>
                <w:sz w:val="18"/>
                <w:szCs w:val="18"/>
                <w:color w:val="auto"/>
              </w:rPr>
              <w:t>3,600,090</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109,184</w:t>
            </w:r>
          </w:p>
        </w:tc>
        <w:tc>
          <w:tcPr>
            <w:tcW w:w="1220" w:type="dxa"/>
            <w:vAlign w:val="bottom"/>
          </w:tcPr>
          <w:p>
            <w:pPr>
              <w:ind w:left="460"/>
              <w:spacing w:after="0"/>
              <w:rPr>
                <w:sz w:val="20"/>
                <w:szCs w:val="20"/>
                <w:color w:val="auto"/>
              </w:rPr>
            </w:pPr>
            <w:r>
              <w:rPr>
                <w:rFonts w:ascii="Arial" w:cs="Arial" w:eastAsia="Arial" w:hAnsi="Arial"/>
                <w:sz w:val="18"/>
                <w:szCs w:val="18"/>
                <w:color w:val="auto"/>
              </w:rPr>
              <w:t>22,711</w:t>
            </w:r>
          </w:p>
        </w:tc>
      </w:tr>
      <w:tr>
        <w:trPr>
          <w:trHeight w:val="203"/>
        </w:trPr>
        <w:tc>
          <w:tcPr>
            <w:tcW w:w="5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2"/>
        </w:trPr>
        <w:tc>
          <w:tcPr>
            <w:tcW w:w="5600" w:type="dxa"/>
            <w:vAlign w:val="bottom"/>
            <w:shd w:val="clear" w:color="auto" w:fill="E5E5E5"/>
          </w:tcPr>
          <w:p>
            <w:pPr>
              <w:spacing w:after="0" w:line="201" w:lineRule="exact"/>
              <w:rPr>
                <w:sz w:val="20"/>
                <w:szCs w:val="20"/>
                <w:color w:val="auto"/>
              </w:rPr>
            </w:pPr>
            <w:r>
              <w:rPr>
                <w:rFonts w:ascii="Arial" w:cs="Arial" w:eastAsia="Arial" w:hAnsi="Arial"/>
                <w:sz w:val="18"/>
                <w:szCs w:val="18"/>
                <w:color w:val="auto"/>
              </w:rPr>
              <w:t>H. Ilan</w:t>
            </w:r>
          </w:p>
        </w:tc>
        <w:tc>
          <w:tcPr>
            <w:tcW w:w="1040" w:type="dxa"/>
            <w:vAlign w:val="bottom"/>
            <w:shd w:val="clear" w:color="auto" w:fill="E5E5E5"/>
          </w:tcPr>
          <w:p>
            <w:pPr>
              <w:ind w:left="260"/>
              <w:spacing w:after="0" w:line="201" w:lineRule="exact"/>
              <w:rPr>
                <w:sz w:val="20"/>
                <w:szCs w:val="20"/>
                <w:color w:val="auto"/>
              </w:rPr>
            </w:pPr>
            <w:r>
              <w:rPr>
                <w:rFonts w:ascii="Arial" w:cs="Arial" w:eastAsia="Arial" w:hAnsi="Arial"/>
                <w:sz w:val="18"/>
                <w:szCs w:val="18"/>
                <w:color w:val="auto"/>
              </w:rPr>
              <w:t>2019</w:t>
            </w:r>
          </w:p>
        </w:tc>
        <w:tc>
          <w:tcPr>
            <w:tcW w:w="520" w:type="dxa"/>
            <w:vAlign w:val="bottom"/>
            <w:shd w:val="clear" w:color="auto" w:fill="E5E5E5"/>
          </w:tcPr>
          <w:p>
            <w:pPr>
              <w:jc w:val="right"/>
              <w:spacing w:after="0" w:line="201" w:lineRule="exact"/>
              <w:rPr>
                <w:sz w:val="20"/>
                <w:szCs w:val="20"/>
                <w:color w:val="auto"/>
              </w:rPr>
            </w:pPr>
            <w:r>
              <w:rPr>
                <w:rFonts w:ascii="Arial" w:cs="Arial" w:eastAsia="Arial" w:hAnsi="Arial"/>
                <w:sz w:val="18"/>
                <w:szCs w:val="18"/>
                <w:color w:val="auto"/>
              </w:rPr>
              <w:t>$</w:t>
            </w:r>
          </w:p>
        </w:tc>
        <w:tc>
          <w:tcPr>
            <w:tcW w:w="1260" w:type="dxa"/>
            <w:vAlign w:val="bottom"/>
            <w:shd w:val="clear" w:color="auto" w:fill="E5E5E5"/>
          </w:tcPr>
          <w:p>
            <w:pPr>
              <w:jc w:val="right"/>
              <w:ind w:right="232"/>
              <w:spacing w:after="0" w:line="201" w:lineRule="exact"/>
              <w:rPr>
                <w:sz w:val="20"/>
                <w:szCs w:val="20"/>
                <w:color w:val="auto"/>
              </w:rPr>
            </w:pPr>
            <w:r>
              <w:rPr>
                <w:rFonts w:ascii="Arial" w:cs="Arial" w:eastAsia="Arial" w:hAnsi="Arial"/>
                <w:sz w:val="18"/>
                <w:szCs w:val="18"/>
                <w:color w:val="auto"/>
              </w:rPr>
              <w:t>3,800,062</w:t>
            </w:r>
          </w:p>
        </w:tc>
        <w:tc>
          <w:tcPr>
            <w:tcW w:w="1380" w:type="dxa"/>
            <w:vAlign w:val="bottom"/>
            <w:shd w:val="clear" w:color="auto" w:fill="E5E5E5"/>
          </w:tcPr>
          <w:p>
            <w:pPr>
              <w:jc w:val="right"/>
              <w:ind w:right="152"/>
              <w:spacing w:after="0" w:line="201" w:lineRule="exact"/>
              <w:rPr>
                <w:sz w:val="20"/>
                <w:szCs w:val="20"/>
                <w:color w:val="auto"/>
              </w:rPr>
            </w:pPr>
            <w:r>
              <w:rPr>
                <w:rFonts w:ascii="Arial" w:cs="Arial" w:eastAsia="Arial" w:hAnsi="Arial"/>
                <w:sz w:val="18"/>
                <w:szCs w:val="18"/>
                <w:color w:val="auto"/>
              </w:rPr>
              <w:t>86,122</w:t>
            </w:r>
          </w:p>
        </w:tc>
        <w:tc>
          <w:tcPr>
            <w:tcW w:w="1220" w:type="dxa"/>
            <w:vAlign w:val="bottom"/>
            <w:shd w:val="clear" w:color="auto" w:fill="E5E5E5"/>
          </w:tcPr>
          <w:p>
            <w:pPr>
              <w:ind w:left="460"/>
              <w:spacing w:after="0" w:line="201" w:lineRule="exact"/>
              <w:rPr>
                <w:sz w:val="20"/>
                <w:szCs w:val="20"/>
                <w:color w:val="auto"/>
              </w:rPr>
            </w:pPr>
            <w:r>
              <w:rPr>
                <w:rFonts w:ascii="Arial" w:cs="Arial" w:eastAsia="Arial" w:hAnsi="Arial"/>
                <w:sz w:val="18"/>
                <w:szCs w:val="18"/>
                <w:color w:val="auto"/>
              </w:rPr>
              <w:t>18,198</w:t>
            </w:r>
          </w:p>
        </w:tc>
      </w:tr>
      <w:tr>
        <w:trPr>
          <w:trHeight w:val="203"/>
        </w:trPr>
        <w:tc>
          <w:tcPr>
            <w:tcW w:w="5600" w:type="dxa"/>
            <w:vAlign w:val="bottom"/>
            <w:shd w:val="clear" w:color="auto" w:fill="E5E5E5"/>
          </w:tcPr>
          <w:p>
            <w:pPr>
              <w:spacing w:after="0"/>
              <w:rPr>
                <w:sz w:val="17"/>
                <w:szCs w:val="17"/>
                <w:color w:val="auto"/>
              </w:rPr>
            </w:pPr>
          </w:p>
        </w:tc>
        <w:tc>
          <w:tcPr>
            <w:tcW w:w="1040" w:type="dxa"/>
            <w:vAlign w:val="bottom"/>
            <w:shd w:val="clear" w:color="auto" w:fill="E5E5E5"/>
          </w:tcPr>
          <w:p>
            <w:pPr>
              <w:ind w:left="260"/>
              <w:spacing w:after="0" w:line="203" w:lineRule="exact"/>
              <w:rPr>
                <w:sz w:val="20"/>
                <w:szCs w:val="20"/>
                <w:color w:val="auto"/>
              </w:rPr>
            </w:pPr>
            <w:r>
              <w:rPr>
                <w:rFonts w:ascii="Arial" w:cs="Arial" w:eastAsia="Arial" w:hAnsi="Arial"/>
                <w:sz w:val="18"/>
                <w:szCs w:val="18"/>
                <w:color w:val="auto"/>
              </w:rPr>
              <w:t>2018</w:t>
            </w:r>
          </w:p>
        </w:tc>
        <w:tc>
          <w:tcPr>
            <w:tcW w:w="52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w:t>
            </w:r>
          </w:p>
        </w:tc>
        <w:tc>
          <w:tcPr>
            <w:tcW w:w="1260" w:type="dxa"/>
            <w:vAlign w:val="bottom"/>
            <w:shd w:val="clear" w:color="auto" w:fill="E5E5E5"/>
          </w:tcPr>
          <w:p>
            <w:pPr>
              <w:jc w:val="right"/>
              <w:ind w:right="232"/>
              <w:spacing w:after="0" w:line="203" w:lineRule="exact"/>
              <w:rPr>
                <w:sz w:val="20"/>
                <w:szCs w:val="20"/>
                <w:color w:val="auto"/>
              </w:rPr>
            </w:pPr>
            <w:r>
              <w:rPr>
                <w:rFonts w:ascii="Arial" w:cs="Arial" w:eastAsia="Arial" w:hAnsi="Arial"/>
                <w:sz w:val="18"/>
                <w:szCs w:val="18"/>
                <w:color w:val="auto"/>
              </w:rPr>
              <w:t>3,800,103</w:t>
            </w:r>
          </w:p>
        </w:tc>
        <w:tc>
          <w:tcPr>
            <w:tcW w:w="1380" w:type="dxa"/>
            <w:vAlign w:val="bottom"/>
            <w:shd w:val="clear" w:color="auto" w:fill="E5E5E5"/>
          </w:tcPr>
          <w:p>
            <w:pPr>
              <w:jc w:val="right"/>
              <w:ind w:right="152"/>
              <w:spacing w:after="0" w:line="203" w:lineRule="exact"/>
              <w:rPr>
                <w:sz w:val="20"/>
                <w:szCs w:val="20"/>
                <w:color w:val="auto"/>
              </w:rPr>
            </w:pPr>
            <w:r>
              <w:rPr>
                <w:rFonts w:ascii="Arial" w:cs="Arial" w:eastAsia="Arial" w:hAnsi="Arial"/>
                <w:sz w:val="18"/>
                <w:szCs w:val="18"/>
                <w:color w:val="auto"/>
              </w:rPr>
              <w:t>81,828</w:t>
            </w:r>
          </w:p>
        </w:tc>
        <w:tc>
          <w:tcPr>
            <w:tcW w:w="1220" w:type="dxa"/>
            <w:vAlign w:val="bottom"/>
            <w:shd w:val="clear" w:color="auto" w:fill="E5E5E5"/>
          </w:tcPr>
          <w:p>
            <w:pPr>
              <w:ind w:left="460"/>
              <w:spacing w:after="0" w:line="203" w:lineRule="exact"/>
              <w:rPr>
                <w:sz w:val="20"/>
                <w:szCs w:val="20"/>
                <w:color w:val="auto"/>
              </w:rPr>
            </w:pPr>
            <w:r>
              <w:rPr>
                <w:rFonts w:ascii="Arial" w:cs="Arial" w:eastAsia="Arial" w:hAnsi="Arial"/>
                <w:sz w:val="18"/>
                <w:szCs w:val="18"/>
                <w:color w:val="auto"/>
              </w:rPr>
              <w:t>17,250</w:t>
            </w:r>
          </w:p>
        </w:tc>
      </w:tr>
    </w:tbl>
    <w:p>
      <w:pPr>
        <w:spacing w:after="0" w:line="121" w:lineRule="exact"/>
        <w:rPr>
          <w:sz w:val="20"/>
          <w:szCs w:val="20"/>
          <w:color w:val="auto"/>
        </w:rPr>
      </w:pPr>
    </w:p>
    <w:p>
      <w:pPr>
        <w:ind w:left="120" w:right="1460" w:hanging="4"/>
        <w:spacing w:after="0" w:line="246" w:lineRule="auto"/>
        <w:tabs>
          <w:tab w:leader="none" w:pos="5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See Notes 1 and 2 to the summary compensation table for information on how grant date fair value was calculated. ** Retention grant made in January 2017 in recognition of Mr. Lizardi’s new responsibilities as CFO.</w:t>
      </w:r>
    </w:p>
    <w:p>
      <w:pPr>
        <w:spacing w:after="0" w:line="197"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In January 2019, the committee awarded equity compensation to each of the named executive officers listed above. The committee’s general objective was to award to those officers equity compensation that had a grant date fair value at approximately the median market level of the most recently disclosed equity compensation granted by the Comparator Group.</w:t>
      </w:r>
    </w:p>
    <w:p>
      <w:pPr>
        <w:spacing w:after="0" w:line="130" w:lineRule="exact"/>
        <w:rPr>
          <w:sz w:val="20"/>
          <w:szCs w:val="20"/>
          <w:color w:val="auto"/>
        </w:rPr>
      </w:pPr>
    </w:p>
    <w:p>
      <w:pPr>
        <w:ind w:left="120"/>
        <w:spacing w:after="0"/>
        <w:tabs>
          <w:tab w:leader="none" w:pos="4020" w:val="left"/>
          <w:tab w:leader="none" w:pos="5500" w:val="left"/>
          <w:tab w:leader="none" w:pos="5700" w:val="left"/>
        </w:tabs>
        <w:rPr>
          <w:sz w:val="20"/>
          <w:szCs w:val="20"/>
          <w:color w:val="auto"/>
        </w:rPr>
      </w:pPr>
      <w:r>
        <w:rPr>
          <w:rFonts w:ascii="Arial" w:cs="Arial" w:eastAsia="Arial" w:hAnsi="Arial"/>
          <w:sz w:val="13"/>
          <w:szCs w:val="13"/>
          <w:color w:val="666666"/>
        </w:rPr>
        <w:t>24</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2020 PROXY STATEMENT</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In assessing the market level, the committee considered information presented by TI’s Compensation and Benefits organization (prepared using data provided by the committee’s compensation consultant) on the estimated value of the awards expected to be granted to similarly situated executives (considering job scope and tenure) of companies within the Comparator Group. The award value was estimated using the same methodology used for financial accounting.</w:t>
      </w:r>
    </w:p>
    <w:p>
      <w:pPr>
        <w:spacing w:after="0" w:line="205" w:lineRule="exact"/>
        <w:rPr>
          <w:sz w:val="20"/>
          <w:szCs w:val="20"/>
          <w:color w:val="auto"/>
        </w:rPr>
      </w:pPr>
    </w:p>
    <w:p>
      <w:pPr>
        <w:jc w:val="both"/>
        <w:ind w:left="120" w:right="140"/>
        <w:spacing w:after="0"/>
        <w:rPr>
          <w:sz w:val="20"/>
          <w:szCs w:val="20"/>
          <w:color w:val="auto"/>
        </w:rPr>
      </w:pPr>
      <w:r>
        <w:rPr>
          <w:rFonts w:ascii="Arial" w:cs="Arial" w:eastAsia="Arial" w:hAnsi="Arial"/>
          <w:sz w:val="18"/>
          <w:szCs w:val="18"/>
          <w:color w:val="auto"/>
        </w:rPr>
        <w:t>For each officer, the committee set the desired grant value. The committee decided to allocate the value equally between restricted stock units and options for each officer, to give equal emphasis to promoting retention and performance, motivating the executive and aligning interests with those of shareholders.</w:t>
      </w:r>
    </w:p>
    <w:p>
      <w:pPr>
        <w:spacing w:after="0" w:line="203"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Before approving the grants, the committee reviewed the amount of unvested equity compensation held by the officers to assess its retention value. In making this assessment, the committee used its judgment and did not apply any formula, threshold or maximum. This review did not result in an increase or decrease of the awards.</w:t>
      </w:r>
    </w:p>
    <w:p>
      <w:pPr>
        <w:spacing w:after="0" w:line="203" w:lineRule="exact"/>
        <w:rPr>
          <w:sz w:val="20"/>
          <w:szCs w:val="20"/>
          <w:color w:val="auto"/>
        </w:rPr>
      </w:pPr>
    </w:p>
    <w:p>
      <w:pPr>
        <w:ind w:left="120" w:right="540"/>
        <w:spacing w:after="0"/>
        <w:rPr>
          <w:sz w:val="20"/>
          <w:szCs w:val="20"/>
          <w:color w:val="auto"/>
        </w:rPr>
      </w:pPr>
      <w:r>
        <w:rPr>
          <w:rFonts w:ascii="Arial" w:cs="Arial" w:eastAsia="Arial" w:hAnsi="Arial"/>
          <w:sz w:val="18"/>
          <w:szCs w:val="18"/>
          <w:color w:val="auto"/>
        </w:rPr>
        <w:t>The exercise price of the options was the closing price of TI stock on January 25, 2019, the second trading day after the company released its annual and fourth-quarter financial results for 2018. All grants were made under the Texas Instruments 2009 Long-Term Incentive Plan, which shareholders approved in April 2009 and amended in 2016.</w:t>
      </w:r>
    </w:p>
    <w:p>
      <w:pPr>
        <w:spacing w:after="0" w:line="203" w:lineRule="exact"/>
        <w:rPr>
          <w:sz w:val="20"/>
          <w:szCs w:val="20"/>
          <w:color w:val="auto"/>
        </w:rPr>
      </w:pPr>
    </w:p>
    <w:p>
      <w:pPr>
        <w:ind w:left="120" w:right="520"/>
        <w:spacing w:after="0" w:line="261" w:lineRule="auto"/>
        <w:rPr>
          <w:sz w:val="20"/>
          <w:szCs w:val="20"/>
          <w:color w:val="auto"/>
        </w:rPr>
      </w:pPr>
      <w:r>
        <w:rPr>
          <w:rFonts w:ascii="Arial" w:cs="Arial" w:eastAsia="Arial" w:hAnsi="Arial"/>
          <w:sz w:val="17"/>
          <w:szCs w:val="17"/>
          <w:color w:val="auto"/>
        </w:rPr>
        <w:t>All grants have the terms described under “Outstanding equity awards at fiscal year-end 2019.” The differences in the equity awards between the named executive officers were primarily the result of differences in the applicable estimated market level of equity compensation for their positions, and not the application of any formula designed to maintain differentials between the officers.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Bonus</w:t>
      </w:r>
    </w:p>
    <w:p>
      <w:pPr>
        <w:spacing w:after="0" w:line="14" w:lineRule="exact"/>
        <w:rPr>
          <w:sz w:val="20"/>
          <w:szCs w:val="20"/>
          <w:color w:val="auto"/>
        </w:rPr>
      </w:pPr>
    </w:p>
    <w:p>
      <w:pPr>
        <w:ind w:left="120" w:right="40"/>
        <w:spacing w:after="0" w:line="246" w:lineRule="auto"/>
        <w:rPr>
          <w:sz w:val="20"/>
          <w:szCs w:val="20"/>
          <w:color w:val="auto"/>
        </w:rPr>
      </w:pPr>
      <w:r>
        <w:rPr>
          <w:rFonts w:ascii="Arial" w:cs="Arial" w:eastAsia="Arial" w:hAnsi="Arial"/>
          <w:sz w:val="18"/>
          <w:szCs w:val="18"/>
          <w:color w:val="auto"/>
        </w:rPr>
        <w:t>In January 2020, the committee set the 2019 bonus compensation for executive officers based on its assessment of 2019 performance. In setting the bonuses, the committee used the following performance measures to assess the company:</w:t>
      </w:r>
    </w:p>
    <w:p>
      <w:pPr>
        <w:spacing w:after="0" w:line="219" w:lineRule="exact"/>
        <w:rPr>
          <w:sz w:val="20"/>
          <w:szCs w:val="20"/>
          <w:color w:val="auto"/>
        </w:rPr>
      </w:pPr>
    </w:p>
    <w:p>
      <w:pPr>
        <w:ind w:left="760" w:hanging="320"/>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relative one-year and three-year performance of TI as compared with competitor companies, as measured by</w:t>
      </w:r>
    </w:p>
    <w:p>
      <w:pPr>
        <w:ind w:left="1080" w:hanging="316"/>
        <w:spacing w:after="0" w:line="234" w:lineRule="auto"/>
        <w:tabs>
          <w:tab w:leader="none" w:pos="1080" w:val="left"/>
        </w:tabs>
        <w:numPr>
          <w:ilvl w:val="1"/>
          <w:numId w:val="51"/>
        </w:numPr>
        <w:rPr>
          <w:rFonts w:ascii="Arial" w:cs="Arial" w:eastAsia="Arial" w:hAnsi="Arial"/>
          <w:sz w:val="15"/>
          <w:szCs w:val="15"/>
          <w:color w:val="auto"/>
        </w:rPr>
      </w:pPr>
      <w:r>
        <w:rPr>
          <w:rFonts w:ascii="Arial" w:cs="Arial" w:eastAsia="Arial" w:hAnsi="Arial"/>
          <w:sz w:val="18"/>
          <w:szCs w:val="18"/>
          <w:color w:val="auto"/>
        </w:rPr>
        <w:t>revenue growth,</w:t>
      </w:r>
    </w:p>
    <w:p>
      <w:pPr>
        <w:ind w:left="1080" w:hanging="316"/>
        <w:spacing w:after="0" w:line="234" w:lineRule="auto"/>
        <w:tabs>
          <w:tab w:leader="none" w:pos="1080" w:val="left"/>
        </w:tabs>
        <w:numPr>
          <w:ilvl w:val="1"/>
          <w:numId w:val="51"/>
        </w:numPr>
        <w:rPr>
          <w:rFonts w:ascii="Arial" w:cs="Arial" w:eastAsia="Arial" w:hAnsi="Arial"/>
          <w:sz w:val="15"/>
          <w:szCs w:val="15"/>
          <w:color w:val="auto"/>
        </w:rPr>
      </w:pPr>
      <w:r>
        <w:rPr>
          <w:rFonts w:ascii="Arial" w:cs="Arial" w:eastAsia="Arial" w:hAnsi="Arial"/>
          <w:sz w:val="18"/>
          <w:szCs w:val="18"/>
          <w:color w:val="auto"/>
        </w:rPr>
        <w:t>operating profit as a percentage of revenue,</w:t>
      </w:r>
    </w:p>
    <w:p>
      <w:pPr>
        <w:ind w:left="1080" w:hanging="316"/>
        <w:spacing w:after="0" w:line="234" w:lineRule="auto"/>
        <w:tabs>
          <w:tab w:leader="none" w:pos="1080" w:val="left"/>
        </w:tabs>
        <w:numPr>
          <w:ilvl w:val="1"/>
          <w:numId w:val="51"/>
        </w:numPr>
        <w:rPr>
          <w:rFonts w:ascii="Arial" w:cs="Arial" w:eastAsia="Arial" w:hAnsi="Arial"/>
          <w:sz w:val="15"/>
          <w:szCs w:val="15"/>
          <w:color w:val="auto"/>
        </w:rPr>
      </w:pPr>
      <w:r>
        <w:rPr>
          <w:rFonts w:ascii="Arial" w:cs="Arial" w:eastAsia="Arial" w:hAnsi="Arial"/>
          <w:sz w:val="18"/>
          <w:szCs w:val="18"/>
          <w:color w:val="auto"/>
        </w:rPr>
        <w:t>total shareholder return, and</w:t>
      </w:r>
    </w:p>
    <w:p>
      <w:pPr>
        <w:ind w:left="760" w:hanging="320"/>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absolute one-year and three-year performance of TI on the above measures.</w:t>
      </w:r>
    </w:p>
    <w:p>
      <w:pPr>
        <w:spacing w:after="0" w:line="212" w:lineRule="exact"/>
        <w:rPr>
          <w:sz w:val="20"/>
          <w:szCs w:val="20"/>
          <w:color w:val="auto"/>
        </w:rPr>
      </w:pPr>
    </w:p>
    <w:p>
      <w:pPr>
        <w:ind w:left="120" w:right="860"/>
        <w:spacing w:after="0" w:line="246" w:lineRule="auto"/>
        <w:rPr>
          <w:sz w:val="20"/>
          <w:szCs w:val="20"/>
          <w:color w:val="auto"/>
        </w:rPr>
      </w:pPr>
      <w:r>
        <w:rPr>
          <w:rFonts w:ascii="Arial" w:cs="Arial" w:eastAsia="Arial" w:hAnsi="Arial"/>
          <w:sz w:val="18"/>
          <w:szCs w:val="18"/>
          <w:color w:val="auto"/>
        </w:rPr>
        <w:t>In addition, the committee considered strategic progress by reviewing TI competitiveness in key markets with core products and technologies, as well as the strength of relationships with customers.</w:t>
      </w:r>
    </w:p>
    <w:p>
      <w:pPr>
        <w:spacing w:after="0" w:line="197" w:lineRule="exact"/>
        <w:rPr>
          <w:sz w:val="20"/>
          <w:szCs w:val="20"/>
          <w:color w:val="auto"/>
        </w:rPr>
      </w:pPr>
    </w:p>
    <w:p>
      <w:pPr>
        <w:ind w:left="120" w:right="120"/>
        <w:spacing w:after="0" w:line="257" w:lineRule="auto"/>
        <w:rPr>
          <w:sz w:val="20"/>
          <w:szCs w:val="20"/>
          <w:color w:val="auto"/>
        </w:rPr>
      </w:pPr>
      <w:r>
        <w:rPr>
          <w:rFonts w:ascii="Arial" w:cs="Arial" w:eastAsia="Arial" w:hAnsi="Arial"/>
          <w:sz w:val="17"/>
          <w:szCs w:val="17"/>
          <w:color w:val="auto"/>
        </w:rPr>
        <w:t>In assessing performance, the committee did not use formulas, thresholds or multiples. Because market conditions can quickly change in our industry, thresholds established at the beginning of a year could prove irrelevant by year-end. The committee believes its approach, which assesses the company’s relative performance in hindsight after year-end, gives it the insight to most effectively and critically judge results and encourages executives to pursue strategies that serve the long-term interests of the company and its shareholders.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comparison of relative performance, the committee used the following companies (the “competitor companies”):</w:t>
      </w:r>
    </w:p>
    <w:p>
      <w:pPr>
        <w:sectPr>
          <w:pgSz w:w="11900" w:h="16838" w:orient="portrait"/>
          <w:cols w:equalWidth="0" w:num="1">
            <w:col w:w="11120"/>
          </w:cols>
          <w:pgMar w:left="320" w:top="459" w:right="459" w:bottom="1440" w:gutter="0" w:footer="0" w:header="0"/>
        </w:sectPr>
      </w:pPr>
    </w:p>
    <w:p>
      <w:pPr>
        <w:spacing w:after="0" w:line="28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Advanced Micro Devices, Inc.</w:t>
      </w:r>
    </w:p>
    <w:p>
      <w:pPr>
        <w:ind w:left="680"/>
        <w:spacing w:after="0" w:line="234" w:lineRule="auto"/>
        <w:rPr>
          <w:sz w:val="20"/>
          <w:szCs w:val="20"/>
          <w:color w:val="auto"/>
        </w:rPr>
      </w:pPr>
      <w:r>
        <w:rPr>
          <w:rFonts w:ascii="Arial" w:cs="Arial" w:eastAsia="Arial" w:hAnsi="Arial"/>
          <w:sz w:val="18"/>
          <w:szCs w:val="18"/>
          <w:color w:val="auto"/>
        </w:rPr>
        <w:t>Analog Devices, Inc.</w:t>
      </w:r>
    </w:p>
    <w:p>
      <w:pPr>
        <w:ind w:left="680"/>
        <w:spacing w:after="0" w:line="235" w:lineRule="auto"/>
        <w:rPr>
          <w:sz w:val="20"/>
          <w:szCs w:val="20"/>
          <w:color w:val="auto"/>
        </w:rPr>
      </w:pPr>
      <w:r>
        <w:rPr>
          <w:rFonts w:ascii="Arial" w:cs="Arial" w:eastAsia="Arial" w:hAnsi="Arial"/>
          <w:sz w:val="18"/>
          <w:szCs w:val="18"/>
          <w:color w:val="auto"/>
        </w:rPr>
        <w:t>Broadcom Inc.</w:t>
      </w:r>
    </w:p>
    <w:p>
      <w:pPr>
        <w:ind w:left="680"/>
        <w:spacing w:after="0" w:line="235" w:lineRule="auto"/>
        <w:rPr>
          <w:sz w:val="20"/>
          <w:szCs w:val="20"/>
          <w:color w:val="auto"/>
        </w:rPr>
      </w:pPr>
      <w:r>
        <w:rPr>
          <w:rFonts w:ascii="Arial" w:cs="Arial" w:eastAsia="Arial" w:hAnsi="Arial"/>
          <w:sz w:val="18"/>
          <w:szCs w:val="18"/>
          <w:color w:val="auto"/>
        </w:rPr>
        <w:t>Infineon Technologies AG</w:t>
      </w:r>
    </w:p>
    <w:p>
      <w:pPr>
        <w:ind w:left="680"/>
        <w:spacing w:after="0" w:line="235" w:lineRule="auto"/>
        <w:rPr>
          <w:sz w:val="20"/>
          <w:szCs w:val="20"/>
          <w:color w:val="auto"/>
        </w:rPr>
      </w:pPr>
      <w:r>
        <w:rPr>
          <w:rFonts w:ascii="Arial" w:cs="Arial" w:eastAsia="Arial" w:hAnsi="Arial"/>
          <w:sz w:val="18"/>
          <w:szCs w:val="18"/>
          <w:color w:val="auto"/>
        </w:rPr>
        <w:t>Intel Corporation</w:t>
      </w:r>
    </w:p>
    <w:p>
      <w:pPr>
        <w:ind w:left="680"/>
        <w:spacing w:after="0" w:line="235" w:lineRule="auto"/>
        <w:rPr>
          <w:sz w:val="20"/>
          <w:szCs w:val="20"/>
          <w:color w:val="auto"/>
        </w:rPr>
      </w:pPr>
      <w:r>
        <w:rPr>
          <w:rFonts w:ascii="Arial" w:cs="Arial" w:eastAsia="Arial" w:hAnsi="Arial"/>
          <w:sz w:val="18"/>
          <w:szCs w:val="18"/>
          <w:color w:val="auto"/>
        </w:rPr>
        <w:t>Marvell Technology Group Ltd.</w:t>
      </w:r>
    </w:p>
    <w:p>
      <w:pPr>
        <w:ind w:left="680"/>
        <w:spacing w:after="0" w:line="234" w:lineRule="auto"/>
        <w:rPr>
          <w:sz w:val="20"/>
          <w:szCs w:val="20"/>
          <w:color w:val="auto"/>
        </w:rPr>
      </w:pPr>
      <w:r>
        <w:rPr>
          <w:rFonts w:ascii="Arial" w:cs="Arial" w:eastAsia="Arial" w:hAnsi="Arial"/>
          <w:sz w:val="18"/>
          <w:szCs w:val="18"/>
          <w:color w:val="auto"/>
        </w:rPr>
        <w:t>Maxim Integrated Products, Inc.</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Microchip Technology Incorporated</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NVIDIA Corporation</w:t>
      </w:r>
    </w:p>
    <w:p>
      <w:pPr>
        <w:spacing w:after="0" w:line="234" w:lineRule="auto"/>
        <w:rPr>
          <w:sz w:val="20"/>
          <w:szCs w:val="20"/>
          <w:color w:val="auto"/>
        </w:rPr>
      </w:pPr>
      <w:r>
        <w:rPr>
          <w:rFonts w:ascii="Arial" w:cs="Arial" w:eastAsia="Arial" w:hAnsi="Arial"/>
          <w:sz w:val="18"/>
          <w:szCs w:val="18"/>
          <w:color w:val="auto"/>
        </w:rPr>
        <w:t>NXP Semiconductors N.V.</w:t>
      </w:r>
    </w:p>
    <w:p>
      <w:pPr>
        <w:spacing w:after="0" w:line="235" w:lineRule="auto"/>
        <w:rPr>
          <w:sz w:val="20"/>
          <w:szCs w:val="20"/>
          <w:color w:val="auto"/>
        </w:rPr>
      </w:pPr>
      <w:r>
        <w:rPr>
          <w:rFonts w:ascii="Arial" w:cs="Arial" w:eastAsia="Arial" w:hAnsi="Arial"/>
          <w:sz w:val="18"/>
          <w:szCs w:val="18"/>
          <w:color w:val="auto"/>
        </w:rPr>
        <w:t>ON Semiconductor Corporation</w:t>
      </w:r>
    </w:p>
    <w:p>
      <w:pPr>
        <w:spacing w:after="0" w:line="235" w:lineRule="auto"/>
        <w:rPr>
          <w:sz w:val="20"/>
          <w:szCs w:val="20"/>
          <w:color w:val="auto"/>
        </w:rPr>
      </w:pPr>
      <w:r>
        <w:rPr>
          <w:rFonts w:ascii="Arial" w:cs="Arial" w:eastAsia="Arial" w:hAnsi="Arial"/>
          <w:sz w:val="18"/>
          <w:szCs w:val="18"/>
          <w:color w:val="auto"/>
        </w:rPr>
        <w:t>QUALCOMM Incorporated</w:t>
      </w:r>
    </w:p>
    <w:p>
      <w:pPr>
        <w:spacing w:after="0" w:line="235" w:lineRule="auto"/>
        <w:rPr>
          <w:sz w:val="20"/>
          <w:szCs w:val="20"/>
          <w:color w:val="auto"/>
        </w:rPr>
      </w:pPr>
      <w:r>
        <w:rPr>
          <w:rFonts w:ascii="Arial" w:cs="Arial" w:eastAsia="Arial" w:hAnsi="Arial"/>
          <w:sz w:val="18"/>
          <w:szCs w:val="18"/>
          <w:color w:val="auto"/>
        </w:rPr>
        <w:t>Skyworks Solutions, Inc.</w:t>
      </w:r>
    </w:p>
    <w:p>
      <w:pPr>
        <w:spacing w:after="0" w:line="235" w:lineRule="auto"/>
        <w:rPr>
          <w:sz w:val="20"/>
          <w:szCs w:val="20"/>
          <w:color w:val="auto"/>
        </w:rPr>
      </w:pPr>
      <w:r>
        <w:rPr>
          <w:rFonts w:ascii="Arial" w:cs="Arial" w:eastAsia="Arial" w:hAnsi="Arial"/>
          <w:sz w:val="18"/>
          <w:szCs w:val="18"/>
          <w:color w:val="auto"/>
        </w:rPr>
        <w:t>STMicroelectronics N.V.</w:t>
      </w:r>
    </w:p>
    <w:p>
      <w:pPr>
        <w:spacing w:after="0"/>
        <w:rPr>
          <w:sz w:val="20"/>
          <w:szCs w:val="20"/>
          <w:color w:val="auto"/>
        </w:rPr>
      </w:pPr>
      <w:r>
        <w:rPr>
          <w:rFonts w:ascii="Arial" w:cs="Arial" w:eastAsia="Arial" w:hAnsi="Arial"/>
          <w:sz w:val="18"/>
          <w:szCs w:val="18"/>
          <w:color w:val="auto"/>
        </w:rPr>
        <w:t>Xilinx, Inc.</w:t>
      </w:r>
    </w:p>
    <w:p>
      <w:pPr>
        <w:spacing w:after="0" w:line="390" w:lineRule="exact"/>
        <w:rPr>
          <w:sz w:val="20"/>
          <w:szCs w:val="20"/>
          <w:color w:val="auto"/>
        </w:rPr>
      </w:pPr>
    </w:p>
    <w:p>
      <w:pPr>
        <w:sectPr>
          <w:pgSz w:w="11900" w:h="16838" w:orient="portrait"/>
          <w:cols w:equalWidth="0" w:num="2">
            <w:col w:w="3700" w:space="720"/>
            <w:col w:w="6700"/>
          </w:cols>
          <w:pgMar w:left="320" w:top="459" w:right="459" w:bottom="1440" w:gutter="0" w:footer="0" w:header="0"/>
          <w:type w:val="continuous"/>
        </w:sectPr>
      </w:pPr>
    </w:p>
    <w:p>
      <w:pPr>
        <w:spacing w:after="0" w:line="199" w:lineRule="exact"/>
        <w:rPr>
          <w:sz w:val="20"/>
          <w:szCs w:val="20"/>
          <w:color w:val="auto"/>
        </w:rPr>
      </w:pPr>
    </w:p>
    <w:p>
      <w:pPr>
        <w:ind w:left="120" w:right="140"/>
        <w:spacing w:after="0" w:line="246" w:lineRule="auto"/>
        <w:rPr>
          <w:sz w:val="20"/>
          <w:szCs w:val="20"/>
          <w:color w:val="auto"/>
        </w:rPr>
      </w:pPr>
      <w:r>
        <w:rPr>
          <w:rFonts w:ascii="Arial" w:cs="Arial" w:eastAsia="Arial" w:hAnsi="Arial"/>
          <w:sz w:val="18"/>
          <w:szCs w:val="18"/>
          <w:color w:val="auto"/>
        </w:rPr>
        <w:t>To the extent the companies had not released financial results for the year or the most recent quarter, the committee based its evaluation on estimates and projections of the companies’ financial results for 2019.</w:t>
      </w:r>
    </w:p>
    <w:p>
      <w:pPr>
        <w:spacing w:after="0" w:line="124" w:lineRule="exact"/>
        <w:rPr>
          <w:sz w:val="20"/>
          <w:szCs w:val="20"/>
          <w:color w:val="auto"/>
        </w:rPr>
      </w:pPr>
    </w:p>
    <w:tbl>
      <w:tblPr>
        <w:tblLayout w:type="fixed"/>
        <w:tblInd w:w="4040" w:type="dxa"/>
        <w:tblCellMar>
          <w:top w:w="0" w:type="dxa"/>
          <w:left w:w="0" w:type="dxa"/>
          <w:bottom w:w="0" w:type="dxa"/>
          <w:right w:w="0" w:type="dxa"/>
        </w:tblCellMar>
      </w:tblPr>
      <w:tr>
        <w:trPr>
          <w:trHeight w:val="152"/>
        </w:trPr>
        <w:tc>
          <w:tcPr>
            <w:tcW w:w="5080" w:type="dxa"/>
            <w:vAlign w:val="bottom"/>
          </w:tcPr>
          <w:p>
            <w:pPr>
              <w:spacing w:after="0"/>
              <w:rPr>
                <w:sz w:val="20"/>
                <w:szCs w:val="20"/>
                <w:color w:val="auto"/>
              </w:rPr>
            </w:pPr>
            <w:r>
              <w:rPr>
                <w:rFonts w:ascii="Arial" w:cs="Arial" w:eastAsia="Arial" w:hAnsi="Arial"/>
                <w:sz w:val="13"/>
                <w:szCs w:val="13"/>
                <w:color w:val="666666"/>
              </w:rPr>
              <w:t>TEXAS INSTRUMENTS  •  2020 PROXY STATEMENT</w:t>
            </w:r>
          </w:p>
        </w:tc>
        <w:tc>
          <w:tcPr>
            <w:tcW w:w="2000" w:type="dxa"/>
            <w:vAlign w:val="bottom"/>
          </w:tcPr>
          <w:p>
            <w:pPr>
              <w:jc w:val="right"/>
              <w:spacing w:after="0"/>
              <w:rPr>
                <w:sz w:val="20"/>
                <w:szCs w:val="20"/>
                <w:color w:val="auto"/>
              </w:rPr>
            </w:pPr>
            <w:r>
              <w:rPr>
                <w:rFonts w:ascii="Arial" w:cs="Arial" w:eastAsia="Arial" w:hAnsi="Arial"/>
                <w:sz w:val="13"/>
                <w:szCs w:val="13"/>
                <w:color w:val="666666"/>
              </w:rPr>
              <w:t>25</w:t>
            </w:r>
          </w:p>
        </w:tc>
      </w:tr>
    </w:tbl>
    <w:p>
      <w:pPr>
        <w:sectPr>
          <w:pgSz w:w="11900" w:h="16838" w:orient="portrait"/>
          <w:cols w:equalWidth="0" w:num="1">
            <w:col w:w="11120"/>
          </w:cols>
          <w:pgMar w:left="320" w:top="459" w:right="45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This list includes both broad-based and niche suppliers that operate in our key markets or offer technology that competes with our products. The committee considers annually whether the list is still appropriate in terms of revenue, market capitalization and changes in business activities of the companies. The committee made no changes to the list of competitor companies in 2019.</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u w:val="single" w:color="auto"/>
          <w:color w:val="auto"/>
        </w:rPr>
        <w:t>Assessment of 2019 performance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committee spent extensive time in December and January assessing TI’s results and strategic progress for 2019. In setting</w:t>
      </w:r>
    </w:p>
    <w:p>
      <w:pPr>
        <w:ind w:left="560"/>
        <w:spacing w:after="0" w:line="234" w:lineRule="auto"/>
        <w:rPr>
          <w:sz w:val="20"/>
          <w:szCs w:val="20"/>
          <w:color w:val="auto"/>
        </w:rPr>
      </w:pPr>
      <w:r>
        <w:rPr>
          <w:rFonts w:ascii="Arial" w:cs="Arial" w:eastAsia="Arial" w:hAnsi="Arial"/>
          <w:sz w:val="18"/>
          <w:szCs w:val="18"/>
          <w:color w:val="auto"/>
        </w:rPr>
        <w:t>bonuses, the committee considered quantitative and qualitative measures on both an absolute and relative basis and made certain</w:t>
      </w:r>
    </w:p>
    <w:p>
      <w:pPr>
        <w:ind w:left="560"/>
        <w:spacing w:after="0" w:line="235" w:lineRule="auto"/>
        <w:rPr>
          <w:sz w:val="20"/>
          <w:szCs w:val="20"/>
          <w:color w:val="auto"/>
        </w:rPr>
      </w:pPr>
      <w:r>
        <w:rPr>
          <w:rFonts w:ascii="Arial" w:cs="Arial" w:eastAsia="Arial" w:hAnsi="Arial"/>
          <w:sz w:val="18"/>
          <w:szCs w:val="18"/>
          <w:color w:val="auto"/>
        </w:rPr>
        <w:t>that resulting decisions were founded on both solid data and sound judgment. On an absolute basis, operating profit margin was</w:t>
      </w:r>
    </w:p>
    <w:p>
      <w:pPr>
        <w:ind w:left="560"/>
        <w:spacing w:after="0" w:line="235" w:lineRule="auto"/>
        <w:rPr>
          <w:sz w:val="20"/>
          <w:szCs w:val="20"/>
          <w:color w:val="auto"/>
        </w:rPr>
      </w:pPr>
      <w:r>
        <w:rPr>
          <w:rFonts w:ascii="Arial" w:cs="Arial" w:eastAsia="Arial" w:hAnsi="Arial"/>
          <w:sz w:val="18"/>
          <w:szCs w:val="18"/>
          <w:color w:val="auto"/>
        </w:rPr>
        <w:t>positive and better than median relative to competitors while revenue decreased and revenue growth rate remained below median.</w:t>
      </w:r>
    </w:p>
    <w:p>
      <w:pPr>
        <w:ind w:left="560"/>
        <w:spacing w:after="0" w:line="235" w:lineRule="auto"/>
        <w:rPr>
          <w:sz w:val="20"/>
          <w:szCs w:val="20"/>
          <w:color w:val="auto"/>
        </w:rPr>
      </w:pPr>
      <w:r>
        <w:rPr>
          <w:rFonts w:ascii="Arial" w:cs="Arial" w:eastAsia="Arial" w:hAnsi="Arial"/>
          <w:sz w:val="18"/>
          <w:szCs w:val="18"/>
          <w:color w:val="auto"/>
        </w:rPr>
        <w:t>TSR was also positive on an absolute basis and slightly below median relative to competitors. Free cash flow for the year was</w:t>
      </w:r>
    </w:p>
    <w:p>
      <w:pPr>
        <w:ind w:left="560"/>
        <w:spacing w:after="0" w:line="235" w:lineRule="auto"/>
        <w:rPr>
          <w:sz w:val="20"/>
          <w:szCs w:val="20"/>
          <w:color w:val="auto"/>
        </w:rPr>
      </w:pPr>
      <w:r>
        <w:rPr>
          <w:rFonts w:ascii="Arial" w:cs="Arial" w:eastAsia="Arial" w:hAnsi="Arial"/>
          <w:sz w:val="18"/>
          <w:szCs w:val="18"/>
          <w:color w:val="auto"/>
        </w:rPr>
        <w:t>$5.8 billion and 40% of revenue. In aggregate, the committee determined that while the company’s strategic position and operating</w:t>
      </w:r>
    </w:p>
    <w:p>
      <w:pPr>
        <w:ind w:left="560"/>
        <w:spacing w:after="0" w:line="234" w:lineRule="auto"/>
        <w:rPr>
          <w:sz w:val="20"/>
          <w:szCs w:val="20"/>
          <w:color w:val="auto"/>
        </w:rPr>
      </w:pPr>
      <w:r>
        <w:rPr>
          <w:rFonts w:ascii="Arial" w:cs="Arial" w:eastAsia="Arial" w:hAnsi="Arial"/>
          <w:sz w:val="18"/>
          <w:szCs w:val="18"/>
          <w:color w:val="auto"/>
        </w:rPr>
        <w:t>performance continued to be strong, the 2019 relative revenue growth rate was disappointing. Therefore, the committee targeted a</w:t>
      </w:r>
    </w:p>
    <w:p>
      <w:pPr>
        <w:ind w:left="560"/>
        <w:spacing w:after="0" w:line="235" w:lineRule="auto"/>
        <w:rPr>
          <w:sz w:val="20"/>
          <w:szCs w:val="20"/>
          <w:color w:val="auto"/>
        </w:rPr>
      </w:pPr>
      <w:r>
        <w:rPr>
          <w:rFonts w:ascii="Arial" w:cs="Arial" w:eastAsia="Arial" w:hAnsi="Arial"/>
          <w:sz w:val="18"/>
          <w:szCs w:val="18"/>
          <w:color w:val="auto"/>
        </w:rPr>
        <w:t>bonus decrease of 5 percent for 2019, with business performance influencing individual decisions for named executive officers.</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Details on the committee’s assessment are below.</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Revenue and margin</w:t>
      </w:r>
    </w:p>
    <w:p>
      <w:pPr>
        <w:spacing w:after="0" w:line="117" w:lineRule="exact"/>
        <w:rPr>
          <w:sz w:val="20"/>
          <w:szCs w:val="20"/>
          <w:color w:val="auto"/>
        </w:rPr>
      </w:pPr>
    </w:p>
    <w:p>
      <w:pPr>
        <w:ind w:left="1200" w:hanging="315"/>
        <w:spacing w:after="0"/>
        <w:tabs>
          <w:tab w:leader="none" w:pos="1200" w:val="left"/>
        </w:tabs>
        <w:numPr>
          <w:ilvl w:val="0"/>
          <w:numId w:val="52"/>
        </w:numPr>
        <w:rPr>
          <w:rFonts w:ascii="Arial" w:cs="Arial" w:eastAsia="Arial" w:hAnsi="Arial"/>
          <w:sz w:val="18"/>
          <w:szCs w:val="18"/>
          <w:color w:val="auto"/>
        </w:rPr>
      </w:pPr>
      <w:r>
        <w:rPr>
          <w:rFonts w:ascii="Arial" w:cs="Arial" w:eastAsia="Arial" w:hAnsi="Arial"/>
          <w:sz w:val="18"/>
          <w:szCs w:val="18"/>
          <w:i w:val="1"/>
          <w:iCs w:val="1"/>
          <w:u w:val="single" w:color="auto"/>
          <w:color w:val="auto"/>
        </w:rPr>
        <w:t>Annual performance</w:t>
      </w:r>
    </w:p>
    <w:p>
      <w:pPr>
        <w:spacing w:after="0" w:line="13" w:lineRule="exact"/>
        <w:rPr>
          <w:rFonts w:ascii="Arial" w:cs="Arial" w:eastAsia="Arial" w:hAnsi="Arial"/>
          <w:sz w:val="18"/>
          <w:szCs w:val="18"/>
          <w:color w:val="auto"/>
        </w:rPr>
      </w:pPr>
    </w:p>
    <w:p>
      <w:pPr>
        <w:ind w:left="1540" w:right="380" w:hanging="331"/>
        <w:spacing w:after="0" w:line="234" w:lineRule="auto"/>
        <w:tabs>
          <w:tab w:leader="none" w:pos="1540" w:val="left"/>
        </w:tabs>
        <w:numPr>
          <w:ilvl w:val="1"/>
          <w:numId w:val="52"/>
        </w:numPr>
        <w:rPr>
          <w:rFonts w:ascii="Arial" w:cs="Arial" w:eastAsia="Arial" w:hAnsi="Arial"/>
          <w:sz w:val="15"/>
          <w:szCs w:val="15"/>
          <w:color w:val="auto"/>
        </w:rPr>
      </w:pPr>
      <w:r>
        <w:rPr>
          <w:rFonts w:ascii="Arial" w:cs="Arial" w:eastAsia="Arial" w:hAnsi="Arial"/>
          <w:sz w:val="18"/>
          <w:szCs w:val="18"/>
          <w:color w:val="auto"/>
        </w:rPr>
        <w:t>TI’s revenue was lower in 2019 than in the prior year, decreasing by 8.9 percent, and was below the median growth rate of competitor companies. It is important to note that the median growth rate of competitor companies includes the benefit of acquisitions, whereas TI’s growth rate is entirely organic.</w:t>
      </w:r>
    </w:p>
    <w:p>
      <w:pPr>
        <w:spacing w:after="0" w:line="2" w:lineRule="exact"/>
        <w:rPr>
          <w:rFonts w:ascii="Arial" w:cs="Arial" w:eastAsia="Arial" w:hAnsi="Arial"/>
          <w:sz w:val="15"/>
          <w:szCs w:val="15"/>
          <w:color w:val="auto"/>
        </w:rPr>
      </w:pPr>
    </w:p>
    <w:p>
      <w:pPr>
        <w:ind w:left="1540" w:right="880" w:hanging="331"/>
        <w:spacing w:after="0" w:line="234" w:lineRule="auto"/>
        <w:tabs>
          <w:tab w:leader="none" w:pos="1540" w:val="left"/>
        </w:tabs>
        <w:numPr>
          <w:ilvl w:val="1"/>
          <w:numId w:val="52"/>
        </w:numPr>
        <w:rPr>
          <w:rFonts w:ascii="Arial" w:cs="Arial" w:eastAsia="Arial" w:hAnsi="Arial"/>
          <w:sz w:val="15"/>
          <w:szCs w:val="15"/>
          <w:color w:val="auto"/>
        </w:rPr>
      </w:pPr>
      <w:r>
        <w:rPr>
          <w:rFonts w:ascii="Arial" w:cs="Arial" w:eastAsia="Arial" w:hAnsi="Arial"/>
          <w:sz w:val="18"/>
          <w:szCs w:val="18"/>
          <w:color w:val="auto"/>
        </w:rPr>
        <w:t>Revenues for the company’s core businesses of Analog and Embedded Processing declined 5.4 percent and 17.2 percent, respectively.</w:t>
      </w:r>
    </w:p>
    <w:p>
      <w:pPr>
        <w:spacing w:after="0" w:line="1" w:lineRule="exact"/>
        <w:rPr>
          <w:rFonts w:ascii="Arial" w:cs="Arial" w:eastAsia="Arial" w:hAnsi="Arial"/>
          <w:sz w:val="15"/>
          <w:szCs w:val="15"/>
          <w:color w:val="auto"/>
        </w:rPr>
      </w:pPr>
    </w:p>
    <w:p>
      <w:pPr>
        <w:ind w:left="1540" w:right="420" w:hanging="331"/>
        <w:spacing w:after="0" w:line="234" w:lineRule="auto"/>
        <w:tabs>
          <w:tab w:leader="none" w:pos="1540" w:val="left"/>
        </w:tabs>
        <w:numPr>
          <w:ilvl w:val="1"/>
          <w:numId w:val="52"/>
        </w:numPr>
        <w:rPr>
          <w:rFonts w:ascii="Arial" w:cs="Arial" w:eastAsia="Arial" w:hAnsi="Arial"/>
          <w:sz w:val="15"/>
          <w:szCs w:val="15"/>
          <w:color w:val="auto"/>
        </w:rPr>
      </w:pPr>
      <w:r>
        <w:rPr>
          <w:rFonts w:ascii="Arial" w:cs="Arial" w:eastAsia="Arial" w:hAnsi="Arial"/>
          <w:sz w:val="18"/>
          <w:szCs w:val="18"/>
          <w:color w:val="auto"/>
        </w:rPr>
        <w:t>Operating profit margin was 39.8 percent, which was above the median comparison with competitors but below the prior year.</w:t>
      </w:r>
    </w:p>
    <w:p>
      <w:pPr>
        <w:spacing w:after="0" w:line="1" w:lineRule="exact"/>
        <w:rPr>
          <w:rFonts w:ascii="Arial" w:cs="Arial" w:eastAsia="Arial" w:hAnsi="Arial"/>
          <w:sz w:val="15"/>
          <w:szCs w:val="15"/>
          <w:color w:val="auto"/>
        </w:rPr>
      </w:pPr>
    </w:p>
    <w:p>
      <w:pPr>
        <w:ind w:left="1200" w:hanging="315"/>
        <w:spacing w:after="0" w:line="234" w:lineRule="auto"/>
        <w:tabs>
          <w:tab w:leader="none" w:pos="1200" w:val="left"/>
        </w:tabs>
        <w:numPr>
          <w:ilvl w:val="0"/>
          <w:numId w:val="52"/>
        </w:numPr>
        <w:rPr>
          <w:rFonts w:ascii="Arial" w:cs="Arial" w:eastAsia="Arial" w:hAnsi="Arial"/>
          <w:sz w:val="18"/>
          <w:szCs w:val="18"/>
          <w:color w:val="auto"/>
        </w:rPr>
      </w:pPr>
      <w:r>
        <w:rPr>
          <w:rFonts w:ascii="Arial" w:cs="Arial" w:eastAsia="Arial" w:hAnsi="Arial"/>
          <w:sz w:val="18"/>
          <w:szCs w:val="18"/>
          <w:i w:val="1"/>
          <w:iCs w:val="1"/>
          <w:u w:val="single" w:color="auto"/>
          <w:color w:val="auto"/>
        </w:rPr>
        <w:t>Three-year performance</w:t>
      </w:r>
    </w:p>
    <w:p>
      <w:pPr>
        <w:ind w:left="1540" w:right="780" w:hanging="331"/>
        <w:spacing w:after="0" w:line="234" w:lineRule="auto"/>
        <w:tabs>
          <w:tab w:leader="none" w:pos="1540" w:val="left"/>
        </w:tabs>
        <w:numPr>
          <w:ilvl w:val="1"/>
          <w:numId w:val="52"/>
        </w:numPr>
        <w:rPr>
          <w:rFonts w:ascii="Arial" w:cs="Arial" w:eastAsia="Arial" w:hAnsi="Arial"/>
          <w:sz w:val="15"/>
          <w:szCs w:val="15"/>
          <w:color w:val="auto"/>
        </w:rPr>
      </w:pPr>
      <w:r>
        <w:rPr>
          <w:rFonts w:ascii="Arial" w:cs="Arial" w:eastAsia="Arial" w:hAnsi="Arial"/>
          <w:sz w:val="18"/>
          <w:szCs w:val="18"/>
          <w:color w:val="auto"/>
        </w:rPr>
        <w:t>Compound annual revenue growth for 2017-2019 was 2.5 percent, which was below the median competitor comparison. It is important to note that the median growth rate of competitor companies includes the benefit of acquisitions, whereas TI’s growth rate is entirely organic.</w:t>
      </w:r>
    </w:p>
    <w:p>
      <w:pPr>
        <w:spacing w:after="0" w:line="2" w:lineRule="exact"/>
        <w:rPr>
          <w:rFonts w:ascii="Arial" w:cs="Arial" w:eastAsia="Arial" w:hAnsi="Arial"/>
          <w:sz w:val="15"/>
          <w:szCs w:val="15"/>
          <w:color w:val="auto"/>
        </w:rPr>
      </w:pPr>
    </w:p>
    <w:p>
      <w:pPr>
        <w:ind w:left="1540" w:hanging="331"/>
        <w:spacing w:after="0"/>
        <w:tabs>
          <w:tab w:leader="none" w:pos="1540" w:val="left"/>
        </w:tabs>
        <w:numPr>
          <w:ilvl w:val="1"/>
          <w:numId w:val="52"/>
        </w:numPr>
        <w:rPr>
          <w:rFonts w:ascii="Arial" w:cs="Arial" w:eastAsia="Arial" w:hAnsi="Arial"/>
          <w:sz w:val="15"/>
          <w:szCs w:val="15"/>
          <w:color w:val="auto"/>
        </w:rPr>
      </w:pPr>
      <w:r>
        <w:rPr>
          <w:rFonts w:ascii="Arial" w:cs="Arial" w:eastAsia="Arial" w:hAnsi="Arial"/>
          <w:sz w:val="18"/>
          <w:szCs w:val="18"/>
          <w:color w:val="auto"/>
        </w:rPr>
        <w:t>Average operating profit for 2017-2019 was 41.0 percent, which was above the median competitor comparison.</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Total shareholder return (TSR)</w:t>
      </w:r>
    </w:p>
    <w:p>
      <w:pPr>
        <w:spacing w:after="0" w:line="131" w:lineRule="exact"/>
        <w:rPr>
          <w:sz w:val="20"/>
          <w:szCs w:val="20"/>
          <w:color w:val="auto"/>
        </w:rPr>
      </w:pPr>
    </w:p>
    <w:p>
      <w:pPr>
        <w:ind w:left="1200" w:hanging="315"/>
        <w:spacing w:after="0"/>
        <w:tabs>
          <w:tab w:leader="none" w:pos="12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TSR was 39.6 percent, slightly below the median TSR as compared with competitor companies.</w:t>
      </w:r>
    </w:p>
    <w:p>
      <w:pPr>
        <w:ind w:left="1200" w:right="120" w:hanging="315"/>
        <w:spacing w:after="0" w:line="234" w:lineRule="auto"/>
        <w:tabs>
          <w:tab w:leader="none" w:pos="12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 again generated strong cash, with free cash flow at 40.3 percent of revenue.</w:t>
      </w:r>
      <w:r>
        <w:rPr>
          <w:rFonts w:ascii="Arial" w:cs="Arial" w:eastAsia="Arial" w:hAnsi="Arial"/>
          <w:sz w:val="15"/>
          <w:szCs w:val="15"/>
          <w:color w:val="auto"/>
        </w:rPr>
        <w:t>2</w:t>
      </w:r>
      <w:r>
        <w:rPr>
          <w:rFonts w:ascii="Arial" w:cs="Arial" w:eastAsia="Arial" w:hAnsi="Arial"/>
          <w:sz w:val="18"/>
          <w:szCs w:val="18"/>
          <w:color w:val="auto"/>
        </w:rPr>
        <w:t xml:space="preserve"> Approximately 103 percent of free cash flow was returned to shareholders in 2019 through share repurchases and dividends. Share repurchases of $3.0 billion reduced outstanding shares by 1.4 percent (net of stock issuances during the year). The quarterly dividend rate increased 16.9 percent (the 18</w:t>
      </w:r>
      <w:r>
        <w:rPr>
          <w:rFonts w:ascii="Arial" w:cs="Arial" w:eastAsia="Arial" w:hAnsi="Arial"/>
          <w:sz w:val="15"/>
          <w:szCs w:val="15"/>
          <w:color w:val="auto"/>
        </w:rPr>
        <w:t>th</w:t>
      </w:r>
      <w:r>
        <w:rPr>
          <w:rFonts w:ascii="Arial" w:cs="Arial" w:eastAsia="Arial" w:hAnsi="Arial"/>
          <w:sz w:val="18"/>
          <w:szCs w:val="18"/>
          <w:color w:val="auto"/>
        </w:rPr>
        <w:t xml:space="preserve"> increase in the last 16 years). Share repurchases and dividend increases are important elements of TI’s capital management strategy.</w:t>
      </w:r>
    </w:p>
    <w:p>
      <w:pPr>
        <w:spacing w:after="0" w:line="3" w:lineRule="exact"/>
        <w:rPr>
          <w:rFonts w:ascii="Arial" w:cs="Arial" w:eastAsia="Arial" w:hAnsi="Arial"/>
          <w:sz w:val="18"/>
          <w:szCs w:val="18"/>
          <w:color w:val="auto"/>
        </w:rPr>
      </w:pPr>
    </w:p>
    <w:p>
      <w:pPr>
        <w:ind w:left="1200" w:hanging="315"/>
        <w:spacing w:after="0" w:line="234" w:lineRule="auto"/>
        <w:tabs>
          <w:tab w:leader="none" w:pos="12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balance sheet remained robust, ending the year with cash and short-term investments of $5.4 billion.</w:t>
      </w:r>
    </w:p>
    <w:p>
      <w:pPr>
        <w:ind w:left="1200" w:right="860" w:hanging="315"/>
        <w:spacing w:after="0" w:line="246" w:lineRule="auto"/>
        <w:tabs>
          <w:tab w:leader="none" w:pos="12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three-year compound annual growth rate for TSR was 23.9 percent, which was above the median competitor comparison.</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Strategic progress</w:t>
      </w:r>
    </w:p>
    <w:p>
      <w:pPr>
        <w:spacing w:after="0" w:line="135" w:lineRule="exact"/>
        <w:rPr>
          <w:sz w:val="20"/>
          <w:szCs w:val="20"/>
          <w:color w:val="auto"/>
        </w:rPr>
      </w:pPr>
    </w:p>
    <w:p>
      <w:pPr>
        <w:ind w:left="1200" w:hanging="315"/>
        <w:spacing w:after="0" w:line="234" w:lineRule="auto"/>
        <w:tabs>
          <w:tab w:leader="none" w:pos="1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company’s business model is designed around four sustainable competitive advantages that in combination put us in a unique class of companies. These advantages include (i) manufacturing and technology, (ii) breadth of differentiated product portfolio, (iii) channel reach of sales force and TI.com and (iv) diversity and longevity of product, market and customer positions. In 2019, the company continued to strengthen and leverage these advantages.</w:t>
      </w:r>
    </w:p>
    <w:p>
      <w:pPr>
        <w:spacing w:after="0" w:line="2" w:lineRule="exact"/>
        <w:rPr>
          <w:rFonts w:ascii="Arial" w:cs="Arial" w:eastAsia="Arial" w:hAnsi="Arial"/>
          <w:sz w:val="18"/>
          <w:szCs w:val="18"/>
          <w:color w:val="auto"/>
        </w:rPr>
      </w:pPr>
    </w:p>
    <w:p>
      <w:pPr>
        <w:ind w:left="1200" w:right="100" w:hanging="315"/>
        <w:spacing w:after="0" w:line="261" w:lineRule="auto"/>
        <w:tabs>
          <w:tab w:leader="none" w:pos="12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company’s strategic focus is on analog and embedded processing, with a particular emphasis on designing and selling those products into the industrial and automotive markets, which we believe represent the best growth opportunities. Focused investments in these areas continue to provide the foundation for strong results in the near and long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67310</wp:posOffset>
            </wp:positionV>
            <wp:extent cx="7715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9" w:lineRule="exact"/>
        <w:rPr>
          <w:sz w:val="20"/>
          <w:szCs w:val="20"/>
          <w:color w:val="auto"/>
        </w:rPr>
      </w:pPr>
    </w:p>
    <w:p>
      <w:pPr>
        <w:ind w:left="340" w:right="280" w:hanging="224"/>
        <w:spacing w:after="0" w:line="246" w:lineRule="auto"/>
        <w:tabs>
          <w:tab w:leader="none" w:pos="340" w:val="left"/>
        </w:tabs>
        <w:numPr>
          <w:ilvl w:val="0"/>
          <w:numId w:val="55"/>
        </w:numPr>
        <w:rPr>
          <w:rFonts w:ascii="Arial" w:cs="Arial" w:eastAsia="Arial" w:hAnsi="Arial"/>
          <w:sz w:val="15"/>
          <w:szCs w:val="15"/>
          <w:color w:val="auto"/>
        </w:rPr>
      </w:pPr>
      <w:r>
        <w:rPr>
          <w:rFonts w:ascii="Arial" w:cs="Arial" w:eastAsia="Arial" w:hAnsi="Arial"/>
          <w:sz w:val="18"/>
          <w:szCs w:val="18"/>
          <w:color w:val="auto"/>
        </w:rPr>
        <w:t>Free cash flow was calculated by subtracting Capital expenditures from the GAAP-based Cash flows from operating activities. For a reconciliation to GAAP, see Appendix A to this proxy statement.</w:t>
      </w:r>
    </w:p>
    <w:p>
      <w:pPr>
        <w:spacing w:after="0" w:line="124" w:lineRule="exact"/>
        <w:rPr>
          <w:sz w:val="20"/>
          <w:szCs w:val="20"/>
          <w:color w:val="auto"/>
        </w:rPr>
      </w:pPr>
    </w:p>
    <w:p>
      <w:pPr>
        <w:ind w:left="120"/>
        <w:spacing w:after="0"/>
        <w:tabs>
          <w:tab w:leader="none" w:pos="4020" w:val="left"/>
          <w:tab w:leader="none" w:pos="5500" w:val="left"/>
          <w:tab w:leader="none" w:pos="5700" w:val="left"/>
        </w:tabs>
        <w:rPr>
          <w:sz w:val="20"/>
          <w:szCs w:val="20"/>
          <w:color w:val="auto"/>
        </w:rPr>
      </w:pPr>
      <w:r>
        <w:rPr>
          <w:rFonts w:ascii="Arial" w:cs="Arial" w:eastAsia="Arial" w:hAnsi="Arial"/>
          <w:sz w:val="13"/>
          <w:szCs w:val="13"/>
          <w:color w:val="666666"/>
        </w:rPr>
        <w:t>26</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2020 PROXY STATEMENT</w:t>
      </w:r>
    </w:p>
    <w:p>
      <w:pPr>
        <w:sectPr>
          <w:pgSz w:w="11900" w:h="16838" w:orient="portrait"/>
          <w:cols w:equalWidth="0" w:num="1">
            <w:col w:w="11080"/>
          </w:cols>
          <w:pgMar w:left="320" w:top="459" w:right="4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540" w:right="680" w:hanging="331"/>
        <w:spacing w:after="0" w:line="234" w:lineRule="auto"/>
        <w:tabs>
          <w:tab w:leader="none" w:pos="1540" w:val="left"/>
        </w:tabs>
        <w:numPr>
          <w:ilvl w:val="1"/>
          <w:numId w:val="56"/>
        </w:numPr>
        <w:rPr>
          <w:rFonts w:ascii="Arial" w:cs="Arial" w:eastAsia="Arial" w:hAnsi="Arial"/>
          <w:sz w:val="15"/>
          <w:szCs w:val="15"/>
          <w:color w:val="auto"/>
        </w:rPr>
      </w:pPr>
      <w:r>
        <w:rPr>
          <w:rFonts w:ascii="Arial" w:cs="Arial" w:eastAsia="Arial" w:hAnsi="Arial"/>
          <w:sz w:val="18"/>
          <w:szCs w:val="18"/>
          <w:color w:val="auto"/>
        </w:rPr>
        <w:t>TI’s broad analog and embedded processing product portfolio includes tens of thousands of products, with more products added each year, offering strong differentiation and longevity. In 2019, greater than 90 percent of TI’s revenue came from Analog and Embedded Processing semiconductors.</w:t>
      </w:r>
    </w:p>
    <w:p>
      <w:pPr>
        <w:spacing w:after="0" w:line="2" w:lineRule="exact"/>
        <w:rPr>
          <w:rFonts w:ascii="Arial" w:cs="Arial" w:eastAsia="Arial" w:hAnsi="Arial"/>
          <w:sz w:val="15"/>
          <w:szCs w:val="15"/>
          <w:color w:val="auto"/>
        </w:rPr>
      </w:pPr>
    </w:p>
    <w:p>
      <w:pPr>
        <w:ind w:left="1540" w:right="820" w:hanging="331"/>
        <w:spacing w:after="0" w:line="234" w:lineRule="auto"/>
        <w:tabs>
          <w:tab w:leader="none" w:pos="1540" w:val="left"/>
        </w:tabs>
        <w:numPr>
          <w:ilvl w:val="1"/>
          <w:numId w:val="56"/>
        </w:numPr>
        <w:rPr>
          <w:rFonts w:ascii="Arial" w:cs="Arial" w:eastAsia="Arial" w:hAnsi="Arial"/>
          <w:sz w:val="15"/>
          <w:szCs w:val="15"/>
          <w:color w:val="auto"/>
        </w:rPr>
      </w:pPr>
      <w:r>
        <w:rPr>
          <w:rFonts w:ascii="Arial" w:cs="Arial" w:eastAsia="Arial" w:hAnsi="Arial"/>
          <w:sz w:val="18"/>
          <w:szCs w:val="18"/>
          <w:color w:val="auto"/>
        </w:rPr>
        <w:t>We believe the industrial and automotive markets represent the best growth opportunity for the industry for the foreseeable future because of the increasing semiconductor content in these markets. In 2019, approximately 57 percent of TI’s revenue came from industrial and automotive markets, up from approximately 56 percent in 2018.</w:t>
      </w:r>
    </w:p>
    <w:p>
      <w:pPr>
        <w:spacing w:after="0" w:line="2" w:lineRule="exact"/>
        <w:rPr>
          <w:rFonts w:ascii="Arial" w:cs="Arial" w:eastAsia="Arial" w:hAnsi="Arial"/>
          <w:sz w:val="15"/>
          <w:szCs w:val="15"/>
          <w:color w:val="auto"/>
        </w:rPr>
      </w:pPr>
    </w:p>
    <w:p>
      <w:pPr>
        <w:ind w:left="1200" w:right="720" w:hanging="315"/>
        <w:spacing w:after="0" w:line="234" w:lineRule="auto"/>
        <w:tabs>
          <w:tab w:leader="none" w:pos="12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TI’s revenue continues to come from a diverse base of thousands of applications. This is an intentional strategy that prevents dependence on a single market, customer or product.</w:t>
      </w:r>
    </w:p>
    <w:p>
      <w:pPr>
        <w:spacing w:after="0" w:line="1" w:lineRule="exact"/>
        <w:rPr>
          <w:rFonts w:ascii="Arial" w:cs="Arial" w:eastAsia="Arial" w:hAnsi="Arial"/>
          <w:sz w:val="18"/>
          <w:szCs w:val="18"/>
          <w:color w:val="auto"/>
        </w:rPr>
      </w:pPr>
    </w:p>
    <w:p>
      <w:pPr>
        <w:ind w:left="1200" w:right="60" w:hanging="315"/>
        <w:spacing w:after="0" w:line="234" w:lineRule="auto"/>
        <w:tabs>
          <w:tab w:leader="none" w:pos="12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Over the past several years, TI has been investing in new capabilities to establish closer direct relationships with customers to provide better insight into their needs and allow TI to provide better service and greater assurance of supply, among other benefits. As part of this strategy, in 2019, TI made further progress in evolving its distribution network to better align with establishing more direct relationships with customers. As TI expands its direct customer relationships over the next several years, the company will not have as much business flowing through the distribution channel and therefore will require fewer distributors. TI’s investments in new and improved capabilities to directly support our customers include website and e-commerce enhancements as well as inventory consignment programs and order fulfillment services.</w:t>
      </w:r>
    </w:p>
    <w:p>
      <w:pPr>
        <w:spacing w:after="0" w:line="4" w:lineRule="exact"/>
        <w:rPr>
          <w:rFonts w:ascii="Arial" w:cs="Arial" w:eastAsia="Arial" w:hAnsi="Arial"/>
          <w:sz w:val="18"/>
          <w:szCs w:val="18"/>
          <w:color w:val="auto"/>
        </w:rPr>
      </w:pPr>
    </w:p>
    <w:p>
      <w:pPr>
        <w:ind w:left="1200" w:right="160" w:hanging="315"/>
        <w:spacing w:after="0" w:line="234" w:lineRule="auto"/>
        <w:tabs>
          <w:tab w:leader="none" w:pos="12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2019, the company announced plans to expand its 300-millimeter footprint by building the next factory in Richardson, Texas. TI’s in-house capability to manufacture high volumes of Analog semiconductors on 300-millimeter wafers remains a competitive advantage due to the inherent cost advantage associated with 300-millimeter technology versus prior generation. This cost advantage is the result of more chips being produced per wafer, thereby improving margins and cash generation.</w:t>
      </w:r>
    </w:p>
    <w:p>
      <w:pPr>
        <w:spacing w:after="0" w:line="3" w:lineRule="exact"/>
        <w:rPr>
          <w:rFonts w:ascii="Arial" w:cs="Arial" w:eastAsia="Arial" w:hAnsi="Arial"/>
          <w:sz w:val="18"/>
          <w:szCs w:val="18"/>
          <w:color w:val="auto"/>
        </w:rPr>
      </w:pPr>
    </w:p>
    <w:p>
      <w:pPr>
        <w:ind w:left="1200" w:right="200" w:hanging="315"/>
        <w:spacing w:after="0" w:line="246" w:lineRule="auto"/>
        <w:tabs>
          <w:tab w:leader="none" w:pos="12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total, the committee determined that TI’s strategic position was strengthened by management’s decisions and actions in 2019.</w:t>
      </w:r>
    </w:p>
    <w:p>
      <w:pPr>
        <w:spacing w:after="0" w:line="17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u w:val="single" w:color="auto"/>
          <w:color w:val="auto"/>
        </w:rPr>
        <w:t>Performance summary</w:t>
      </w:r>
    </w:p>
    <w:p>
      <w:pPr>
        <w:spacing w:after="0" w:line="244" w:lineRule="exact"/>
        <w:rPr>
          <w:sz w:val="20"/>
          <w:szCs w:val="20"/>
          <w:color w:val="auto"/>
        </w:rPr>
      </w:pPr>
    </w:p>
    <w:tbl>
      <w:tblPr>
        <w:tblLayout w:type="fixed"/>
        <w:tblInd w:w="1220" w:type="dxa"/>
        <w:tblCellMar>
          <w:top w:w="0" w:type="dxa"/>
          <w:left w:w="0" w:type="dxa"/>
          <w:bottom w:w="0" w:type="dxa"/>
          <w:right w:w="0" w:type="dxa"/>
        </w:tblCellMar>
      </w:tblPr>
      <w:tr>
        <w:trPr>
          <w:trHeight w:val="175"/>
        </w:trPr>
        <w:tc>
          <w:tcPr>
            <w:tcW w:w="486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1-Year</w:t>
            </w:r>
          </w:p>
        </w:tc>
        <w:tc>
          <w:tcPr>
            <w:tcW w:w="170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b w:val="1"/>
                <w:bCs w:val="1"/>
                <w:color w:val="auto"/>
              </w:rPr>
              <w:t>3-Year</w:t>
            </w:r>
          </w:p>
        </w:tc>
      </w:tr>
      <w:tr>
        <w:trPr>
          <w:trHeight w:val="196"/>
        </w:trPr>
        <w:tc>
          <w:tcPr>
            <w:tcW w:w="486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Revenue growth: total TI</w:t>
            </w:r>
          </w:p>
        </w:tc>
        <w:tc>
          <w:tcPr>
            <w:tcW w:w="2240" w:type="dxa"/>
            <w:vAlign w:val="bottom"/>
            <w:shd w:val="clear" w:color="auto" w:fill="E5E5E5"/>
          </w:tcPr>
          <w:p>
            <w:pPr>
              <w:jc w:val="right"/>
              <w:ind w:right="233"/>
              <w:spacing w:after="0" w:line="196" w:lineRule="exact"/>
              <w:rPr>
                <w:sz w:val="20"/>
                <w:szCs w:val="20"/>
                <w:color w:val="auto"/>
              </w:rPr>
            </w:pPr>
            <w:r>
              <w:rPr>
                <w:rFonts w:ascii="Arial" w:cs="Arial" w:eastAsia="Arial" w:hAnsi="Arial"/>
                <w:sz w:val="18"/>
                <w:szCs w:val="18"/>
                <w:color w:val="auto"/>
              </w:rPr>
              <w:t>-8.9%</w:t>
            </w:r>
          </w:p>
        </w:tc>
        <w:tc>
          <w:tcPr>
            <w:tcW w:w="98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2.5%</w:t>
            </w:r>
          </w:p>
        </w:tc>
        <w:tc>
          <w:tcPr>
            <w:tcW w:w="720" w:type="dxa"/>
            <w:vAlign w:val="bottom"/>
            <w:shd w:val="clear" w:color="auto" w:fill="E5E5E5"/>
          </w:tcPr>
          <w:p>
            <w:pPr>
              <w:ind w:left="60"/>
              <w:spacing w:after="0" w:line="196" w:lineRule="exact"/>
              <w:rPr>
                <w:sz w:val="20"/>
                <w:szCs w:val="20"/>
                <w:color w:val="auto"/>
              </w:rPr>
            </w:pPr>
            <w:r>
              <w:rPr>
                <w:rFonts w:ascii="Arial" w:cs="Arial" w:eastAsia="Arial" w:hAnsi="Arial"/>
                <w:sz w:val="18"/>
                <w:szCs w:val="18"/>
                <w:color w:val="auto"/>
              </w:rPr>
              <w:t>CAGR</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Operating margin</w:t>
            </w:r>
          </w:p>
        </w:tc>
        <w:tc>
          <w:tcPr>
            <w:tcW w:w="224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39.8%</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41.0%</w:t>
            </w:r>
          </w:p>
        </w:tc>
        <w:tc>
          <w:tcPr>
            <w:tcW w:w="720" w:type="dxa"/>
            <w:vAlign w:val="bottom"/>
          </w:tcPr>
          <w:p>
            <w:pPr>
              <w:ind w:left="60"/>
              <w:spacing w:after="0" w:line="202" w:lineRule="exact"/>
              <w:rPr>
                <w:sz w:val="20"/>
                <w:szCs w:val="20"/>
                <w:color w:val="auto"/>
              </w:rPr>
            </w:pPr>
            <w:r>
              <w:rPr>
                <w:rFonts w:ascii="Arial" w:cs="Arial" w:eastAsia="Arial" w:hAnsi="Arial"/>
                <w:sz w:val="18"/>
                <w:szCs w:val="18"/>
                <w:color w:val="auto"/>
                <w:w w:val="98"/>
              </w:rPr>
              <w:t>average</w:t>
            </w:r>
          </w:p>
        </w:tc>
      </w:tr>
      <w:tr>
        <w:trPr>
          <w:trHeight w:val="203"/>
        </w:trPr>
        <w:tc>
          <w:tcPr>
            <w:tcW w:w="48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Free cash flow as % of revenue</w:t>
            </w:r>
          </w:p>
        </w:tc>
        <w:tc>
          <w:tcPr>
            <w:tcW w:w="2240" w:type="dxa"/>
            <w:vAlign w:val="bottom"/>
            <w:shd w:val="clear" w:color="auto" w:fill="E5E5E5"/>
          </w:tcPr>
          <w:p>
            <w:pPr>
              <w:jc w:val="right"/>
              <w:ind w:right="233"/>
              <w:spacing w:after="0" w:line="202" w:lineRule="exact"/>
              <w:rPr>
                <w:sz w:val="20"/>
                <w:szCs w:val="20"/>
                <w:color w:val="auto"/>
              </w:rPr>
            </w:pPr>
            <w:r>
              <w:rPr>
                <w:rFonts w:ascii="Arial" w:cs="Arial" w:eastAsia="Arial" w:hAnsi="Arial"/>
                <w:sz w:val="18"/>
                <w:szCs w:val="18"/>
                <w:color w:val="auto"/>
              </w:rPr>
              <w:t>40.3%</w:t>
            </w: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36.6%</w:t>
            </w:r>
          </w:p>
        </w:tc>
        <w:tc>
          <w:tcPr>
            <w:tcW w:w="72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w w:val="98"/>
              </w:rPr>
              <w:t>average</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 of free cash flow returned to shareholders</w:t>
            </w:r>
          </w:p>
        </w:tc>
        <w:tc>
          <w:tcPr>
            <w:tcW w:w="2240" w:type="dxa"/>
            <w:vAlign w:val="bottom"/>
          </w:tcPr>
          <w:p>
            <w:pPr>
              <w:jc w:val="right"/>
              <w:ind w:right="233"/>
              <w:spacing w:after="0" w:line="202" w:lineRule="exact"/>
              <w:rPr>
                <w:sz w:val="20"/>
                <w:szCs w:val="20"/>
                <w:color w:val="auto"/>
              </w:rPr>
            </w:pPr>
            <w:r>
              <w:rPr>
                <w:rFonts w:ascii="Arial" w:cs="Arial" w:eastAsia="Arial" w:hAnsi="Arial"/>
                <w:sz w:val="18"/>
                <w:szCs w:val="18"/>
                <w:color w:val="auto"/>
              </w:rPr>
              <w:t>102.9%</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110.6%</w:t>
            </w:r>
          </w:p>
        </w:tc>
        <w:tc>
          <w:tcPr>
            <w:tcW w:w="720" w:type="dxa"/>
            <w:vAlign w:val="bottom"/>
          </w:tcPr>
          <w:p>
            <w:pPr>
              <w:ind w:left="60"/>
              <w:spacing w:after="0" w:line="202" w:lineRule="exact"/>
              <w:rPr>
                <w:sz w:val="20"/>
                <w:szCs w:val="20"/>
                <w:color w:val="auto"/>
              </w:rPr>
            </w:pPr>
            <w:r>
              <w:rPr>
                <w:rFonts w:ascii="Arial" w:cs="Arial" w:eastAsia="Arial" w:hAnsi="Arial"/>
                <w:sz w:val="18"/>
                <w:szCs w:val="18"/>
                <w:color w:val="auto"/>
                <w:w w:val="98"/>
              </w:rPr>
              <w:t>average</w:t>
            </w:r>
          </w:p>
        </w:tc>
      </w:tr>
      <w:tr>
        <w:trPr>
          <w:trHeight w:val="203"/>
        </w:trPr>
        <w:tc>
          <w:tcPr>
            <w:tcW w:w="48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Increase in quarterly dividend rate</w:t>
            </w:r>
          </w:p>
        </w:tc>
        <w:tc>
          <w:tcPr>
            <w:tcW w:w="2240" w:type="dxa"/>
            <w:vAlign w:val="bottom"/>
            <w:shd w:val="clear" w:color="auto" w:fill="E5E5E5"/>
          </w:tcPr>
          <w:p>
            <w:pPr>
              <w:jc w:val="right"/>
              <w:ind w:right="233"/>
              <w:spacing w:after="0" w:line="202" w:lineRule="exact"/>
              <w:rPr>
                <w:sz w:val="20"/>
                <w:szCs w:val="20"/>
                <w:color w:val="auto"/>
              </w:rPr>
            </w:pPr>
            <w:r>
              <w:rPr>
                <w:rFonts w:ascii="Arial" w:cs="Arial" w:eastAsia="Arial" w:hAnsi="Arial"/>
                <w:sz w:val="18"/>
                <w:szCs w:val="18"/>
                <w:color w:val="auto"/>
              </w:rPr>
              <w:t>16.9%</w:t>
            </w: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80.0%</w:t>
            </w:r>
          </w:p>
        </w:tc>
        <w:tc>
          <w:tcPr>
            <w:tcW w:w="720" w:type="dxa"/>
            <w:vAlign w:val="bottom"/>
            <w:shd w:val="clear" w:color="auto" w:fill="E5E5E5"/>
          </w:tcPr>
          <w:p>
            <w:pPr>
              <w:spacing w:after="0"/>
              <w:rPr>
                <w:sz w:val="17"/>
                <w:szCs w:val="17"/>
                <w:color w:val="auto"/>
              </w:rPr>
            </w:pPr>
          </w:p>
        </w:tc>
      </w:tr>
      <w:tr>
        <w:trPr>
          <w:trHeight w:val="217"/>
        </w:trPr>
        <w:tc>
          <w:tcPr>
            <w:tcW w:w="4860" w:type="dxa"/>
            <w:vAlign w:val="bottom"/>
          </w:tcPr>
          <w:p>
            <w:pPr>
              <w:spacing w:after="0"/>
              <w:rPr>
                <w:sz w:val="20"/>
                <w:szCs w:val="20"/>
                <w:color w:val="auto"/>
              </w:rPr>
            </w:pPr>
            <w:r>
              <w:rPr>
                <w:rFonts w:ascii="Arial" w:cs="Arial" w:eastAsia="Arial" w:hAnsi="Arial"/>
                <w:sz w:val="18"/>
                <w:szCs w:val="18"/>
                <w:color w:val="auto"/>
              </w:rPr>
              <w:t>Total shareholder return (TSR)</w:t>
            </w:r>
          </w:p>
        </w:tc>
        <w:tc>
          <w:tcPr>
            <w:tcW w:w="2240" w:type="dxa"/>
            <w:vAlign w:val="bottom"/>
          </w:tcPr>
          <w:p>
            <w:pPr>
              <w:jc w:val="right"/>
              <w:ind w:right="233"/>
              <w:spacing w:after="0"/>
              <w:rPr>
                <w:sz w:val="20"/>
                <w:szCs w:val="20"/>
                <w:color w:val="auto"/>
              </w:rPr>
            </w:pPr>
            <w:r>
              <w:rPr>
                <w:rFonts w:ascii="Arial" w:cs="Arial" w:eastAsia="Arial" w:hAnsi="Arial"/>
                <w:sz w:val="18"/>
                <w:szCs w:val="18"/>
                <w:color w:val="auto"/>
              </w:rPr>
              <w:t>39.6%</w:t>
            </w:r>
          </w:p>
        </w:tc>
        <w:tc>
          <w:tcPr>
            <w:tcW w:w="980" w:type="dxa"/>
            <w:vAlign w:val="bottom"/>
          </w:tcPr>
          <w:p>
            <w:pPr>
              <w:jc w:val="right"/>
              <w:spacing w:after="0"/>
              <w:rPr>
                <w:sz w:val="20"/>
                <w:szCs w:val="20"/>
                <w:color w:val="auto"/>
              </w:rPr>
            </w:pPr>
            <w:r>
              <w:rPr>
                <w:rFonts w:ascii="Arial" w:cs="Arial" w:eastAsia="Arial" w:hAnsi="Arial"/>
                <w:sz w:val="18"/>
                <w:szCs w:val="18"/>
                <w:color w:val="auto"/>
              </w:rPr>
              <w:t>23.9%</w:t>
            </w:r>
          </w:p>
        </w:tc>
        <w:tc>
          <w:tcPr>
            <w:tcW w:w="720" w:type="dxa"/>
            <w:vAlign w:val="bottom"/>
          </w:tcPr>
          <w:p>
            <w:pPr>
              <w:spacing w:after="0"/>
              <w:rPr>
                <w:sz w:val="18"/>
                <w:szCs w:val="18"/>
                <w:color w:val="auto"/>
              </w:rPr>
            </w:pPr>
          </w:p>
        </w:tc>
      </w:tr>
    </w:tbl>
    <w:p>
      <w:pPr>
        <w:spacing w:after="0" w:line="198" w:lineRule="exact"/>
        <w:rPr>
          <w:sz w:val="20"/>
          <w:szCs w:val="20"/>
          <w:color w:val="auto"/>
        </w:rPr>
      </w:pPr>
    </w:p>
    <w:p>
      <w:pPr>
        <w:ind w:left="1220" w:right="1140"/>
        <w:spacing w:after="0" w:line="249" w:lineRule="auto"/>
        <w:rPr>
          <w:sz w:val="20"/>
          <w:szCs w:val="20"/>
          <w:color w:val="auto"/>
        </w:rPr>
      </w:pPr>
      <w:r>
        <w:rPr>
          <w:rFonts w:ascii="Arial" w:cs="Arial" w:eastAsia="Arial" w:hAnsi="Arial"/>
          <w:sz w:val="18"/>
          <w:szCs w:val="18"/>
          <w:color w:val="auto"/>
        </w:rPr>
        <w:t>CAGR (compound annual growth rate) is calculated using the formula (Ending Value/Beginning Value)</w:t>
      </w:r>
      <w:r>
        <w:rPr>
          <w:rFonts w:ascii="Arial" w:cs="Arial" w:eastAsia="Arial" w:hAnsi="Arial"/>
          <w:sz w:val="15"/>
          <w:szCs w:val="15"/>
          <w:color w:val="auto"/>
        </w:rPr>
        <w:t>1/number</w:t>
      </w:r>
      <w:r>
        <w:rPr>
          <w:rFonts w:ascii="Arial" w:cs="Arial" w:eastAsia="Arial" w:hAnsi="Arial"/>
          <w:sz w:val="18"/>
          <w:szCs w:val="18"/>
          <w:color w:val="auto"/>
        </w:rPr>
        <w:t xml:space="preserve"> </w:t>
      </w:r>
      <w:r>
        <w:rPr>
          <w:rFonts w:ascii="Arial" w:cs="Arial" w:eastAsia="Arial" w:hAnsi="Arial"/>
          <w:sz w:val="15"/>
          <w:szCs w:val="15"/>
          <w:color w:val="auto"/>
        </w:rPr>
        <w:t xml:space="preserve">of years </w:t>
      </w:r>
      <w:r>
        <w:rPr>
          <w:rFonts w:ascii="Arial" w:cs="Arial" w:eastAsia="Arial" w:hAnsi="Arial"/>
          <w:sz w:val="17"/>
          <w:szCs w:val="17"/>
          <w:color w:val="auto"/>
        </w:rPr>
        <w:t>minus 1.</w:t>
      </w:r>
    </w:p>
    <w:p>
      <w:pPr>
        <w:spacing w:after="0" w:line="194" w:lineRule="exact"/>
        <w:rPr>
          <w:sz w:val="20"/>
          <w:szCs w:val="20"/>
          <w:color w:val="auto"/>
        </w:rPr>
      </w:pPr>
    </w:p>
    <w:p>
      <w:pPr>
        <w:ind w:left="1220" w:right="1240"/>
        <w:spacing w:after="0" w:line="246" w:lineRule="auto"/>
        <w:rPr>
          <w:sz w:val="20"/>
          <w:szCs w:val="20"/>
          <w:color w:val="auto"/>
        </w:rPr>
      </w:pPr>
      <w:r>
        <w:rPr>
          <w:rFonts w:ascii="Arial" w:cs="Arial" w:eastAsia="Arial" w:hAnsi="Arial"/>
          <w:sz w:val="18"/>
          <w:szCs w:val="18"/>
          <w:color w:val="auto"/>
        </w:rPr>
        <w:t>One-year and three-year TSR percentages are obtained from a report generated using a subscription service to Equilar, an executive compensation and corporate governance data firm.</w:t>
      </w:r>
    </w:p>
    <w:p>
      <w:pPr>
        <w:spacing w:after="0" w:line="197" w:lineRule="exact"/>
        <w:rPr>
          <w:sz w:val="20"/>
          <w:szCs w:val="20"/>
          <w:color w:val="auto"/>
        </w:rPr>
      </w:pPr>
    </w:p>
    <w:p>
      <w:pPr>
        <w:ind w:left="560" w:right="420"/>
        <w:spacing w:after="0" w:line="238" w:lineRule="auto"/>
        <w:rPr>
          <w:sz w:val="20"/>
          <w:szCs w:val="20"/>
          <w:color w:val="auto"/>
        </w:rPr>
      </w:pPr>
      <w:r>
        <w:rPr>
          <w:rFonts w:ascii="Arial" w:cs="Arial" w:eastAsia="Arial" w:hAnsi="Arial"/>
          <w:sz w:val="18"/>
          <w:szCs w:val="18"/>
          <w:color w:val="auto"/>
        </w:rPr>
        <w:t>Before setting the bonuses for the named executive officers, the committee considered the officers’ individual performance. The performance of Mr. Templeton was judged according to the performance of the company. For the other officers, the committee considered the factors described below in assessing individual performance. In making this assessment, the committee did not apply any formula or performance targets.</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Lizardi is the chief financial officer. The committee noted the financial management of the company.</w:t>
      </w:r>
    </w:p>
    <w:p>
      <w:pPr>
        <w:spacing w:after="0" w:line="212" w:lineRule="exact"/>
        <w:rPr>
          <w:sz w:val="20"/>
          <w:szCs w:val="20"/>
          <w:color w:val="auto"/>
        </w:rPr>
      </w:pPr>
    </w:p>
    <w:p>
      <w:pPr>
        <w:ind w:left="560" w:right="1120"/>
        <w:spacing w:after="0" w:line="246" w:lineRule="auto"/>
        <w:rPr>
          <w:sz w:val="20"/>
          <w:szCs w:val="20"/>
          <w:color w:val="auto"/>
        </w:rPr>
      </w:pPr>
      <w:r>
        <w:rPr>
          <w:rFonts w:ascii="Arial" w:cs="Arial" w:eastAsia="Arial" w:hAnsi="Arial"/>
          <w:sz w:val="18"/>
          <w:szCs w:val="18"/>
          <w:color w:val="auto"/>
        </w:rPr>
        <w:t>Mr. Anderskouv is responsible for our power product line within our analog business. The committee noted the financial performance and strategic position of this product line.</w:t>
      </w:r>
    </w:p>
    <w:p>
      <w:pPr>
        <w:spacing w:after="0" w:line="197" w:lineRule="exact"/>
        <w:rPr>
          <w:sz w:val="20"/>
          <w:szCs w:val="20"/>
          <w:color w:val="auto"/>
        </w:rPr>
      </w:pPr>
    </w:p>
    <w:p>
      <w:pPr>
        <w:ind w:left="560" w:right="760"/>
        <w:spacing w:after="0" w:line="246" w:lineRule="auto"/>
        <w:rPr>
          <w:sz w:val="20"/>
          <w:szCs w:val="20"/>
          <w:color w:val="auto"/>
        </w:rPr>
      </w:pPr>
      <w:r>
        <w:rPr>
          <w:rFonts w:ascii="Arial" w:cs="Arial" w:eastAsia="Arial" w:hAnsi="Arial"/>
          <w:sz w:val="18"/>
          <w:szCs w:val="18"/>
          <w:color w:val="auto"/>
        </w:rPr>
        <w:t>Mr. Delagi was responsible for our embedded processing business prior to announcing his retirement plans. The committee noted the financial performance and strategic position of these product lines.</w:t>
      </w:r>
    </w:p>
    <w:p>
      <w:pPr>
        <w:spacing w:after="0" w:line="197" w:lineRule="exact"/>
        <w:rPr>
          <w:sz w:val="20"/>
          <w:szCs w:val="20"/>
          <w:color w:val="auto"/>
        </w:rPr>
      </w:pPr>
    </w:p>
    <w:p>
      <w:pPr>
        <w:ind w:left="560" w:right="1300"/>
        <w:spacing w:after="0" w:line="246" w:lineRule="auto"/>
        <w:rPr>
          <w:sz w:val="20"/>
          <w:szCs w:val="20"/>
          <w:color w:val="auto"/>
        </w:rPr>
      </w:pPr>
      <w:r>
        <w:rPr>
          <w:rFonts w:ascii="Arial" w:cs="Arial" w:eastAsia="Arial" w:hAnsi="Arial"/>
          <w:sz w:val="18"/>
          <w:szCs w:val="18"/>
          <w:color w:val="auto"/>
        </w:rPr>
        <w:t>Mr. Ilan is responsible for our signal chain product line within our analog business. The committee noted the financial performance and strategic position of this product line.</w:t>
      </w:r>
    </w:p>
    <w:p>
      <w:pPr>
        <w:spacing w:after="0" w:line="124" w:lineRule="exact"/>
        <w:rPr>
          <w:sz w:val="20"/>
          <w:szCs w:val="20"/>
          <w:color w:val="auto"/>
        </w:rPr>
      </w:pPr>
    </w:p>
    <w:tbl>
      <w:tblPr>
        <w:tblLayout w:type="fixed"/>
        <w:tblInd w:w="4040" w:type="dxa"/>
        <w:tblCellMar>
          <w:top w:w="0" w:type="dxa"/>
          <w:left w:w="0" w:type="dxa"/>
          <w:bottom w:w="0" w:type="dxa"/>
          <w:right w:w="0" w:type="dxa"/>
        </w:tblCellMar>
      </w:tblPr>
      <w:tr>
        <w:trPr>
          <w:trHeight w:val="152"/>
        </w:trPr>
        <w:tc>
          <w:tcPr>
            <w:tcW w:w="5080" w:type="dxa"/>
            <w:vAlign w:val="bottom"/>
          </w:tcPr>
          <w:p>
            <w:pPr>
              <w:spacing w:after="0"/>
              <w:rPr>
                <w:sz w:val="20"/>
                <w:szCs w:val="20"/>
                <w:color w:val="auto"/>
              </w:rPr>
            </w:pPr>
            <w:r>
              <w:rPr>
                <w:rFonts w:ascii="Arial" w:cs="Arial" w:eastAsia="Arial" w:hAnsi="Arial"/>
                <w:sz w:val="13"/>
                <w:szCs w:val="13"/>
                <w:color w:val="666666"/>
              </w:rPr>
              <w:t>TEXAS INSTRUMENTS  •  2020 PROXY STATEMENT</w:t>
            </w:r>
          </w:p>
        </w:tc>
        <w:tc>
          <w:tcPr>
            <w:tcW w:w="2000" w:type="dxa"/>
            <w:vAlign w:val="bottom"/>
          </w:tcPr>
          <w:p>
            <w:pPr>
              <w:jc w:val="right"/>
              <w:spacing w:after="0"/>
              <w:rPr>
                <w:sz w:val="20"/>
                <w:szCs w:val="20"/>
                <w:color w:val="auto"/>
              </w:rPr>
            </w:pPr>
            <w:r>
              <w:rPr>
                <w:rFonts w:ascii="Arial" w:cs="Arial" w:eastAsia="Arial" w:hAnsi="Arial"/>
                <w:sz w:val="13"/>
                <w:szCs w:val="13"/>
                <w:color w:val="666666"/>
              </w:rPr>
              <w:t>27</w:t>
            </w:r>
          </w:p>
        </w:tc>
      </w:tr>
    </w:tbl>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right="460"/>
        <w:spacing w:after="0" w:line="238" w:lineRule="auto"/>
        <w:rPr>
          <w:sz w:val="20"/>
          <w:szCs w:val="20"/>
          <w:color w:val="auto"/>
        </w:rPr>
      </w:pPr>
      <w:r>
        <w:rPr>
          <w:rFonts w:ascii="Arial" w:cs="Arial" w:eastAsia="Arial" w:hAnsi="Arial"/>
          <w:sz w:val="18"/>
          <w:szCs w:val="18"/>
          <w:color w:val="auto"/>
        </w:rPr>
        <w:t>The bonuses awarded for 2019 performance are shown in the table below. The differences in the amounts awarded to the named executive officers were primarily the result of differences in the officers’ level of responsibility and related performance and the applicable market level of total cash compensation expected to be paid to similarly situated officers at companies within the Comparator Group.</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Results of the compensation decisions</w:t>
      </w:r>
    </w:p>
    <w:p>
      <w:pPr>
        <w:spacing w:after="0" w:line="14" w:lineRule="exact"/>
        <w:rPr>
          <w:sz w:val="20"/>
          <w:szCs w:val="20"/>
          <w:color w:val="auto"/>
        </w:rPr>
      </w:pPr>
    </w:p>
    <w:p>
      <w:pPr>
        <w:ind w:left="120" w:right="280"/>
        <w:spacing w:after="0" w:line="238" w:lineRule="auto"/>
        <w:rPr>
          <w:sz w:val="20"/>
          <w:szCs w:val="20"/>
          <w:color w:val="auto"/>
        </w:rPr>
      </w:pPr>
      <w:r>
        <w:rPr>
          <w:rFonts w:ascii="Arial" w:cs="Arial" w:eastAsia="Arial" w:hAnsi="Arial"/>
          <w:sz w:val="18"/>
          <w:szCs w:val="18"/>
          <w:color w:val="auto"/>
        </w:rPr>
        <w:t>Results of the compensation decisions made by the committee relating to the named executive officers are summarized in the following table. This table is provided as a supplement to the summary compensation table for investors who may find it useful to see the data presented in this form. Although the committee does not target a specific level of total compensation, it considers information similar to that in the table to ensure that the sum of these elements is, in its judgment, in a reasonable range.</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center"/>
              <w:ind w:right="233"/>
              <w:spacing w:after="0"/>
              <w:rPr>
                <w:sz w:val="20"/>
                <w:szCs w:val="20"/>
                <w:color w:val="auto"/>
              </w:rPr>
            </w:pPr>
            <w:r>
              <w:rPr>
                <w:rFonts w:ascii="Arial" w:cs="Arial" w:eastAsia="Arial" w:hAnsi="Arial"/>
                <w:sz w:val="14"/>
                <w:szCs w:val="14"/>
                <w:b w:val="1"/>
                <w:bCs w:val="1"/>
                <w:color w:val="auto"/>
              </w:rPr>
              <w:t>Equity</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3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3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351"/>
              <w:spacing w:after="0"/>
              <w:rPr>
                <w:sz w:val="20"/>
                <w:szCs w:val="20"/>
                <w:color w:val="auto"/>
              </w:rPr>
            </w:pPr>
            <w:r>
              <w:rPr>
                <w:rFonts w:ascii="Arial" w:cs="Arial" w:eastAsia="Arial" w:hAnsi="Arial"/>
                <w:sz w:val="14"/>
                <w:szCs w:val="14"/>
                <w:b w:val="1"/>
                <w:bCs w:val="1"/>
                <w:color w:val="auto"/>
              </w:rPr>
              <w:t>Salary</w:t>
            </w:r>
          </w:p>
        </w:tc>
        <w:tc>
          <w:tcPr>
            <w:tcW w:w="300" w:type="dxa"/>
            <w:vAlign w:val="bottom"/>
          </w:tcPr>
          <w:p>
            <w:pPr>
              <w:spacing w:after="0"/>
              <w:rPr>
                <w:sz w:val="14"/>
                <w:szCs w:val="14"/>
                <w:color w:val="auto"/>
              </w:rPr>
            </w:pPr>
          </w:p>
        </w:tc>
        <w:tc>
          <w:tcPr>
            <w:tcW w:w="860" w:type="dxa"/>
            <w:vAlign w:val="bottom"/>
          </w:tcPr>
          <w:p>
            <w:pPr>
              <w:jc w:val="right"/>
              <w:ind w:right="292"/>
              <w:spacing w:after="0"/>
              <w:rPr>
                <w:sz w:val="20"/>
                <w:szCs w:val="20"/>
                <w:color w:val="auto"/>
              </w:rPr>
            </w:pPr>
            <w:r>
              <w:rPr>
                <w:rFonts w:ascii="Arial" w:cs="Arial" w:eastAsia="Arial" w:hAnsi="Arial"/>
                <w:sz w:val="14"/>
                <w:szCs w:val="14"/>
                <w:b w:val="1"/>
                <w:bCs w:val="1"/>
                <w:color w:val="auto"/>
              </w:rPr>
              <w:t>Profit</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center"/>
              <w:ind w:right="213"/>
              <w:spacing w:after="0"/>
              <w:rPr>
                <w:sz w:val="20"/>
                <w:szCs w:val="20"/>
                <w:color w:val="auto"/>
              </w:rPr>
            </w:pPr>
            <w:r>
              <w:rPr>
                <w:rFonts w:ascii="Arial" w:cs="Arial" w:eastAsia="Arial" w:hAnsi="Arial"/>
                <w:sz w:val="14"/>
                <w:szCs w:val="14"/>
                <w:b w:val="1"/>
                <w:bCs w:val="1"/>
                <w:color w:val="auto"/>
              </w:rPr>
              <w:t>(Grant Date</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5"/>
        </w:trPr>
        <w:tc>
          <w:tcPr>
            <w:tcW w:w="3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Officer</w:t>
            </w:r>
          </w:p>
        </w:tc>
        <w:tc>
          <w:tcPr>
            <w:tcW w:w="9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Year</w:t>
            </w:r>
          </w:p>
        </w:tc>
        <w:tc>
          <w:tcPr>
            <w:tcW w:w="13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(Annual Rate)</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Sharing</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Bonus</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rPr>
              <w:t>Fair Value)</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Total</w:t>
            </w:r>
          </w:p>
        </w:tc>
      </w:tr>
      <w:tr>
        <w:trPr>
          <w:trHeight w:val="195"/>
        </w:trPr>
        <w:tc>
          <w:tcPr>
            <w:tcW w:w="3580" w:type="dxa"/>
            <w:vAlign w:val="bottom"/>
            <w:shd w:val="clear" w:color="auto" w:fill="E5E5E5"/>
          </w:tcPr>
          <w:p>
            <w:pPr>
              <w:spacing w:after="0" w:line="195" w:lineRule="exact"/>
              <w:rPr>
                <w:sz w:val="20"/>
                <w:szCs w:val="20"/>
                <w:color w:val="auto"/>
              </w:rPr>
            </w:pPr>
            <w:r>
              <w:rPr>
                <w:rFonts w:ascii="Arial" w:cs="Arial" w:eastAsia="Arial" w:hAnsi="Arial"/>
                <w:sz w:val="18"/>
                <w:szCs w:val="18"/>
                <w:color w:val="auto"/>
              </w:rPr>
              <w:t>R. K. Templeton</w:t>
            </w:r>
          </w:p>
        </w:tc>
        <w:tc>
          <w:tcPr>
            <w:tcW w:w="940" w:type="dxa"/>
            <w:vAlign w:val="bottom"/>
            <w:shd w:val="clear" w:color="auto" w:fill="E5E5E5"/>
          </w:tcPr>
          <w:p>
            <w:pPr>
              <w:ind w:left="360"/>
              <w:spacing w:after="0" w:line="195" w:lineRule="exact"/>
              <w:rPr>
                <w:sz w:val="20"/>
                <w:szCs w:val="20"/>
                <w:color w:val="auto"/>
              </w:rPr>
            </w:pPr>
            <w:r>
              <w:rPr>
                <w:rFonts w:ascii="Arial" w:cs="Arial" w:eastAsia="Arial" w:hAnsi="Arial"/>
                <w:sz w:val="18"/>
                <w:szCs w:val="18"/>
                <w:color w:val="auto"/>
              </w:rPr>
              <w:t>2019</w:t>
            </w:r>
          </w:p>
        </w:tc>
        <w:tc>
          <w:tcPr>
            <w:tcW w:w="300" w:type="dxa"/>
            <w:vAlign w:val="bottom"/>
            <w:shd w:val="clear" w:color="auto" w:fill="E5E5E5"/>
          </w:tcPr>
          <w:p>
            <w:pPr>
              <w:ind w:left="180"/>
              <w:spacing w:after="0" w:line="195"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E5E5E5"/>
          </w:tcPr>
          <w:p>
            <w:pPr>
              <w:jc w:val="right"/>
              <w:ind w:right="71"/>
              <w:spacing w:after="0" w:line="195" w:lineRule="exact"/>
              <w:rPr>
                <w:sz w:val="20"/>
                <w:szCs w:val="20"/>
                <w:color w:val="auto"/>
              </w:rPr>
            </w:pPr>
            <w:r>
              <w:rPr>
                <w:rFonts w:ascii="Arial" w:cs="Arial" w:eastAsia="Arial" w:hAnsi="Arial"/>
                <w:sz w:val="18"/>
                <w:szCs w:val="18"/>
                <w:color w:val="auto"/>
              </w:rPr>
              <w:t>1,300,000</w:t>
            </w:r>
          </w:p>
        </w:tc>
        <w:tc>
          <w:tcPr>
            <w:tcW w:w="300" w:type="dxa"/>
            <w:vAlign w:val="bottom"/>
            <w:shd w:val="clear" w:color="auto" w:fill="E5E5E5"/>
          </w:tcPr>
          <w:p>
            <w:pPr>
              <w:jc w:val="right"/>
              <w:spacing w:after="0" w:line="195" w:lineRule="exact"/>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72"/>
              <w:spacing w:after="0" w:line="195" w:lineRule="exact"/>
              <w:rPr>
                <w:sz w:val="20"/>
                <w:szCs w:val="20"/>
                <w:color w:val="auto"/>
              </w:rPr>
            </w:pPr>
            <w:r>
              <w:rPr>
                <w:rFonts w:ascii="Arial" w:cs="Arial" w:eastAsia="Arial" w:hAnsi="Arial"/>
                <w:sz w:val="18"/>
                <w:szCs w:val="18"/>
                <w:color w:val="auto"/>
              </w:rPr>
              <w:t>259,167</w:t>
            </w:r>
          </w:p>
        </w:tc>
        <w:tc>
          <w:tcPr>
            <w:tcW w:w="320" w:type="dxa"/>
            <w:vAlign w:val="bottom"/>
            <w:shd w:val="clear" w:color="auto" w:fill="E5E5E5"/>
          </w:tcPr>
          <w:p>
            <w:pPr>
              <w:jc w:val="right"/>
              <w:spacing w:after="0" w:line="195"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91"/>
              <w:spacing w:after="0" w:line="195" w:lineRule="exact"/>
              <w:rPr>
                <w:sz w:val="20"/>
                <w:szCs w:val="20"/>
                <w:color w:val="auto"/>
              </w:rPr>
            </w:pPr>
            <w:r>
              <w:rPr>
                <w:rFonts w:ascii="Arial" w:cs="Arial" w:eastAsia="Arial" w:hAnsi="Arial"/>
                <w:sz w:val="18"/>
                <w:szCs w:val="18"/>
                <w:color w:val="auto"/>
                <w:w w:val="99"/>
              </w:rPr>
              <w:t>3,550,000</w:t>
            </w:r>
          </w:p>
        </w:tc>
        <w:tc>
          <w:tcPr>
            <w:tcW w:w="300" w:type="dxa"/>
            <w:vAlign w:val="bottom"/>
            <w:shd w:val="clear" w:color="auto" w:fill="E5E5E5"/>
          </w:tcPr>
          <w:p>
            <w:pPr>
              <w:jc w:val="right"/>
              <w:spacing w:after="0" w:line="195" w:lineRule="exact"/>
              <w:rPr>
                <w:sz w:val="20"/>
                <w:szCs w:val="20"/>
                <w:color w:val="auto"/>
              </w:rPr>
            </w:pPr>
            <w:r>
              <w:rPr>
                <w:rFonts w:ascii="Arial" w:cs="Arial" w:eastAsia="Arial" w:hAnsi="Arial"/>
                <w:sz w:val="18"/>
                <w:szCs w:val="18"/>
                <w:color w:val="auto"/>
              </w:rPr>
              <w:t>$</w:t>
            </w:r>
          </w:p>
        </w:tc>
        <w:tc>
          <w:tcPr>
            <w:tcW w:w="1120" w:type="dxa"/>
            <w:vAlign w:val="bottom"/>
            <w:shd w:val="clear" w:color="auto" w:fill="E5E5E5"/>
          </w:tcPr>
          <w:p>
            <w:pPr>
              <w:jc w:val="right"/>
              <w:ind w:right="93"/>
              <w:spacing w:after="0" w:line="195" w:lineRule="exact"/>
              <w:rPr>
                <w:sz w:val="20"/>
                <w:szCs w:val="20"/>
                <w:color w:val="auto"/>
              </w:rPr>
            </w:pPr>
            <w:r>
              <w:rPr>
                <w:rFonts w:ascii="Arial" w:cs="Arial" w:eastAsia="Arial" w:hAnsi="Arial"/>
                <w:sz w:val="18"/>
                <w:szCs w:val="18"/>
                <w:color w:val="auto"/>
              </w:rPr>
              <w:t>13,000,057</w:t>
            </w:r>
          </w:p>
        </w:tc>
        <w:tc>
          <w:tcPr>
            <w:tcW w:w="300" w:type="dxa"/>
            <w:vAlign w:val="bottom"/>
            <w:shd w:val="clear" w:color="auto" w:fill="E5E5E5"/>
          </w:tcPr>
          <w:p>
            <w:pPr>
              <w:jc w:val="right"/>
              <w:spacing w:after="0" w:line="195"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spacing w:after="0" w:line="195" w:lineRule="exact"/>
              <w:rPr>
                <w:sz w:val="20"/>
                <w:szCs w:val="20"/>
                <w:color w:val="auto"/>
              </w:rPr>
            </w:pPr>
            <w:r>
              <w:rPr>
                <w:rFonts w:ascii="Arial" w:cs="Arial" w:eastAsia="Arial" w:hAnsi="Arial"/>
                <w:sz w:val="18"/>
                <w:szCs w:val="18"/>
                <w:color w:val="auto"/>
              </w:rPr>
              <w:t>18,109,224</w:t>
            </w:r>
          </w:p>
        </w:tc>
      </w:tr>
      <w:tr>
        <w:trPr>
          <w:trHeight w:val="203"/>
        </w:trPr>
        <w:tc>
          <w:tcPr>
            <w:tcW w:w="3580" w:type="dxa"/>
            <w:vAlign w:val="bottom"/>
            <w:shd w:val="clear" w:color="auto" w:fill="E5E5E5"/>
          </w:tcPr>
          <w:p>
            <w:pPr>
              <w:spacing w:after="0"/>
              <w:rPr>
                <w:sz w:val="17"/>
                <w:szCs w:val="17"/>
                <w:color w:val="auto"/>
              </w:rPr>
            </w:pPr>
          </w:p>
        </w:tc>
        <w:tc>
          <w:tcPr>
            <w:tcW w:w="940" w:type="dxa"/>
            <w:vAlign w:val="bottom"/>
            <w:shd w:val="clear" w:color="auto" w:fill="E5E5E5"/>
          </w:tcPr>
          <w:p>
            <w:pPr>
              <w:ind w:left="360"/>
              <w:spacing w:after="0" w:line="202" w:lineRule="exact"/>
              <w:rPr>
                <w:sz w:val="20"/>
                <w:szCs w:val="20"/>
                <w:color w:val="auto"/>
              </w:rPr>
            </w:pPr>
            <w:r>
              <w:rPr>
                <w:rFonts w:ascii="Arial" w:cs="Arial" w:eastAsia="Arial" w:hAnsi="Arial"/>
                <w:sz w:val="18"/>
                <w:szCs w:val="18"/>
                <w:color w:val="auto"/>
              </w:rPr>
              <w:t>2018</w:t>
            </w:r>
          </w:p>
        </w:tc>
        <w:tc>
          <w:tcPr>
            <w:tcW w:w="30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E5E5E5"/>
          </w:tcPr>
          <w:p>
            <w:pPr>
              <w:jc w:val="right"/>
              <w:ind w:right="71"/>
              <w:spacing w:after="0" w:line="202" w:lineRule="exact"/>
              <w:rPr>
                <w:sz w:val="20"/>
                <w:szCs w:val="20"/>
                <w:color w:val="auto"/>
              </w:rPr>
            </w:pPr>
            <w:r>
              <w:rPr>
                <w:rFonts w:ascii="Arial" w:cs="Arial" w:eastAsia="Arial" w:hAnsi="Arial"/>
                <w:sz w:val="18"/>
                <w:szCs w:val="18"/>
                <w:color w:val="auto"/>
              </w:rPr>
              <w:t>1,250,000</w:t>
            </w:r>
          </w:p>
        </w:tc>
        <w:tc>
          <w:tcPr>
            <w:tcW w:w="3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72"/>
              <w:spacing w:after="0" w:line="202" w:lineRule="exact"/>
              <w:rPr>
                <w:sz w:val="20"/>
                <w:szCs w:val="20"/>
                <w:color w:val="auto"/>
              </w:rPr>
            </w:pPr>
            <w:r>
              <w:rPr>
                <w:rFonts w:ascii="Arial" w:cs="Arial" w:eastAsia="Arial" w:hAnsi="Arial"/>
                <w:sz w:val="18"/>
                <w:szCs w:val="18"/>
                <w:color w:val="auto"/>
              </w:rPr>
              <w:t>226,250</w:t>
            </w:r>
          </w:p>
        </w:tc>
        <w:tc>
          <w:tcPr>
            <w:tcW w:w="3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91"/>
              <w:spacing w:after="0" w:line="202" w:lineRule="exact"/>
              <w:rPr>
                <w:sz w:val="20"/>
                <w:szCs w:val="20"/>
                <w:color w:val="auto"/>
              </w:rPr>
            </w:pPr>
            <w:r>
              <w:rPr>
                <w:rFonts w:ascii="Arial" w:cs="Arial" w:eastAsia="Arial" w:hAnsi="Arial"/>
                <w:sz w:val="18"/>
                <w:szCs w:val="18"/>
                <w:color w:val="auto"/>
                <w:w w:val="99"/>
              </w:rPr>
              <w:t>3,800,000</w:t>
            </w:r>
          </w:p>
        </w:tc>
        <w:tc>
          <w:tcPr>
            <w:tcW w:w="3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E5E5E5"/>
          </w:tcPr>
          <w:p>
            <w:pPr>
              <w:jc w:val="right"/>
              <w:ind w:right="93"/>
              <w:spacing w:after="0" w:line="202" w:lineRule="exact"/>
              <w:rPr>
                <w:sz w:val="20"/>
                <w:szCs w:val="20"/>
                <w:color w:val="auto"/>
              </w:rPr>
            </w:pPr>
            <w:r>
              <w:rPr>
                <w:rFonts w:ascii="Arial" w:cs="Arial" w:eastAsia="Arial" w:hAnsi="Arial"/>
                <w:sz w:val="18"/>
                <w:szCs w:val="18"/>
                <w:color w:val="auto"/>
              </w:rPr>
              <w:t>12,000,110</w:t>
            </w:r>
          </w:p>
        </w:tc>
        <w:tc>
          <w:tcPr>
            <w:tcW w:w="3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17,276,360</w:t>
            </w:r>
          </w:p>
        </w:tc>
      </w:tr>
      <w:tr>
        <w:trPr>
          <w:trHeight w:val="203"/>
        </w:trPr>
        <w:tc>
          <w:tcPr>
            <w:tcW w:w="3580" w:type="dxa"/>
            <w:vAlign w:val="bottom"/>
            <w:shd w:val="clear" w:color="auto" w:fill="E5E5E5"/>
          </w:tcPr>
          <w:p>
            <w:pPr>
              <w:spacing w:after="0"/>
              <w:rPr>
                <w:sz w:val="17"/>
                <w:szCs w:val="17"/>
                <w:color w:val="auto"/>
              </w:rPr>
            </w:pPr>
          </w:p>
        </w:tc>
        <w:tc>
          <w:tcPr>
            <w:tcW w:w="940" w:type="dxa"/>
            <w:vAlign w:val="bottom"/>
            <w:shd w:val="clear" w:color="auto" w:fill="E5E5E5"/>
          </w:tcPr>
          <w:p>
            <w:pPr>
              <w:ind w:left="360"/>
              <w:spacing w:after="0" w:line="203" w:lineRule="exact"/>
              <w:rPr>
                <w:sz w:val="20"/>
                <w:szCs w:val="20"/>
                <w:color w:val="auto"/>
              </w:rPr>
            </w:pPr>
            <w:r>
              <w:rPr>
                <w:rFonts w:ascii="Arial" w:cs="Arial" w:eastAsia="Arial" w:hAnsi="Arial"/>
                <w:sz w:val="18"/>
                <w:szCs w:val="18"/>
                <w:color w:val="auto"/>
              </w:rPr>
              <w:t>2017</w:t>
            </w:r>
          </w:p>
        </w:tc>
        <w:tc>
          <w:tcPr>
            <w:tcW w:w="300" w:type="dxa"/>
            <w:vAlign w:val="bottom"/>
            <w:shd w:val="clear" w:color="auto" w:fill="E5E5E5"/>
          </w:tcPr>
          <w:p>
            <w:pPr>
              <w:ind w:left="18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E5E5E5"/>
          </w:tcPr>
          <w:p>
            <w:pPr>
              <w:jc w:val="right"/>
              <w:ind w:right="71"/>
              <w:spacing w:after="0" w:line="203" w:lineRule="exact"/>
              <w:rPr>
                <w:sz w:val="20"/>
                <w:szCs w:val="20"/>
                <w:color w:val="auto"/>
              </w:rPr>
            </w:pPr>
            <w:r>
              <w:rPr>
                <w:rFonts w:ascii="Arial" w:cs="Arial" w:eastAsia="Arial" w:hAnsi="Arial"/>
                <w:sz w:val="18"/>
                <w:szCs w:val="18"/>
                <w:color w:val="auto"/>
              </w:rPr>
              <w:t>1,190,000</w:t>
            </w:r>
          </w:p>
        </w:tc>
        <w:tc>
          <w:tcPr>
            <w:tcW w:w="30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72"/>
              <w:spacing w:after="0" w:line="203" w:lineRule="exact"/>
              <w:rPr>
                <w:sz w:val="20"/>
                <w:szCs w:val="20"/>
                <w:color w:val="auto"/>
              </w:rPr>
            </w:pPr>
            <w:r>
              <w:rPr>
                <w:rFonts w:ascii="Arial" w:cs="Arial" w:eastAsia="Arial" w:hAnsi="Arial"/>
                <w:sz w:val="18"/>
                <w:szCs w:val="18"/>
                <w:color w:val="auto"/>
              </w:rPr>
              <w:t>237,601</w:t>
            </w:r>
          </w:p>
        </w:tc>
        <w:tc>
          <w:tcPr>
            <w:tcW w:w="32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91"/>
              <w:spacing w:after="0" w:line="203" w:lineRule="exact"/>
              <w:rPr>
                <w:sz w:val="20"/>
                <w:szCs w:val="20"/>
                <w:color w:val="auto"/>
              </w:rPr>
            </w:pPr>
            <w:r>
              <w:rPr>
                <w:rFonts w:ascii="Arial" w:cs="Arial" w:eastAsia="Arial" w:hAnsi="Arial"/>
                <w:sz w:val="18"/>
                <w:szCs w:val="18"/>
                <w:color w:val="auto"/>
                <w:w w:val="99"/>
              </w:rPr>
              <w:t>3,625,000</w:t>
            </w:r>
          </w:p>
        </w:tc>
        <w:tc>
          <w:tcPr>
            <w:tcW w:w="30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w:t>
            </w:r>
          </w:p>
        </w:tc>
        <w:tc>
          <w:tcPr>
            <w:tcW w:w="1120" w:type="dxa"/>
            <w:vAlign w:val="bottom"/>
            <w:shd w:val="clear" w:color="auto" w:fill="E5E5E5"/>
          </w:tcPr>
          <w:p>
            <w:pPr>
              <w:jc w:val="right"/>
              <w:ind w:right="93"/>
              <w:spacing w:after="0" w:line="203" w:lineRule="exact"/>
              <w:rPr>
                <w:sz w:val="20"/>
                <w:szCs w:val="20"/>
                <w:color w:val="auto"/>
              </w:rPr>
            </w:pPr>
            <w:r>
              <w:rPr>
                <w:rFonts w:ascii="Arial" w:cs="Arial" w:eastAsia="Arial" w:hAnsi="Arial"/>
                <w:sz w:val="18"/>
                <w:szCs w:val="18"/>
                <w:color w:val="auto"/>
              </w:rPr>
              <w:t>11,000,014</w:t>
            </w:r>
          </w:p>
        </w:tc>
        <w:tc>
          <w:tcPr>
            <w:tcW w:w="30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16,052,615</w:t>
            </w:r>
          </w:p>
        </w:tc>
      </w:tr>
      <w:tr>
        <w:trPr>
          <w:trHeight w:val="418"/>
        </w:trPr>
        <w:tc>
          <w:tcPr>
            <w:tcW w:w="3580" w:type="dxa"/>
            <w:vAlign w:val="bottom"/>
          </w:tcPr>
          <w:p>
            <w:pPr>
              <w:spacing w:after="0"/>
              <w:rPr>
                <w:sz w:val="20"/>
                <w:szCs w:val="20"/>
                <w:color w:val="auto"/>
              </w:rPr>
            </w:pPr>
            <w:r>
              <w:rPr>
                <w:rFonts w:ascii="Arial" w:cs="Arial" w:eastAsia="Arial" w:hAnsi="Arial"/>
                <w:sz w:val="18"/>
                <w:szCs w:val="18"/>
                <w:color w:val="auto"/>
              </w:rPr>
              <w:t>R. R. Lizardi</w:t>
            </w:r>
          </w:p>
        </w:tc>
        <w:tc>
          <w:tcPr>
            <w:tcW w:w="940" w:type="dxa"/>
            <w:vAlign w:val="bottom"/>
          </w:tcPr>
          <w:p>
            <w:pPr>
              <w:ind w:left="360"/>
              <w:spacing w:after="0"/>
              <w:rPr>
                <w:sz w:val="20"/>
                <w:szCs w:val="20"/>
                <w:color w:val="auto"/>
              </w:rPr>
            </w:pPr>
            <w:r>
              <w:rPr>
                <w:rFonts w:ascii="Arial" w:cs="Arial" w:eastAsia="Arial" w:hAnsi="Arial"/>
                <w:sz w:val="18"/>
                <w:szCs w:val="18"/>
                <w:color w:val="auto"/>
              </w:rPr>
              <w:t>2019</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660,000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131,000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950,000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3,000,065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4,741,065</w:t>
            </w:r>
          </w:p>
        </w:tc>
      </w:tr>
      <w:tr>
        <w:trPr>
          <w:trHeight w:val="203"/>
        </w:trPr>
        <w:tc>
          <w:tcPr>
            <w:tcW w:w="3580" w:type="dxa"/>
            <w:vAlign w:val="bottom"/>
          </w:tcPr>
          <w:p>
            <w:pPr>
              <w:spacing w:after="0"/>
              <w:rPr>
                <w:sz w:val="17"/>
                <w:szCs w:val="17"/>
                <w:color w:val="auto"/>
              </w:rPr>
            </w:pPr>
          </w:p>
        </w:tc>
        <w:tc>
          <w:tcPr>
            <w:tcW w:w="940" w:type="dxa"/>
            <w:vAlign w:val="bottom"/>
          </w:tcPr>
          <w:p>
            <w:pPr>
              <w:ind w:left="360"/>
              <w:spacing w:after="0" w:line="202" w:lineRule="exact"/>
              <w:rPr>
                <w:sz w:val="20"/>
                <w:szCs w:val="20"/>
                <w:color w:val="auto"/>
              </w:rPr>
            </w:pPr>
            <w:r>
              <w:rPr>
                <w:rFonts w:ascii="Arial" w:cs="Arial" w:eastAsia="Arial" w:hAnsi="Arial"/>
                <w:sz w:val="18"/>
                <w:szCs w:val="18"/>
                <w:color w:val="auto"/>
              </w:rPr>
              <w:t>2018</w:t>
            </w:r>
          </w:p>
        </w:tc>
        <w:tc>
          <w:tcPr>
            <w:tcW w:w="30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1"/>
              <w:spacing w:after="0" w:line="202" w:lineRule="exact"/>
              <w:rPr>
                <w:sz w:val="20"/>
                <w:szCs w:val="20"/>
                <w:color w:val="auto"/>
              </w:rPr>
            </w:pPr>
            <w:r>
              <w:rPr>
                <w:rFonts w:ascii="Arial" w:cs="Arial" w:eastAsia="Arial" w:hAnsi="Arial"/>
                <w:sz w:val="18"/>
                <w:szCs w:val="18"/>
                <w:color w:val="auto"/>
              </w:rPr>
              <w:t>600,000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118,333</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91"/>
              <w:spacing w:after="0" w:line="202" w:lineRule="exact"/>
              <w:rPr>
                <w:sz w:val="20"/>
                <w:szCs w:val="20"/>
                <w:color w:val="auto"/>
              </w:rPr>
            </w:pPr>
            <w:r>
              <w:rPr>
                <w:rFonts w:ascii="Arial" w:cs="Arial" w:eastAsia="Arial" w:hAnsi="Arial"/>
                <w:sz w:val="18"/>
                <w:szCs w:val="18"/>
                <w:color w:val="auto"/>
                <w:w w:val="99"/>
              </w:rPr>
              <w:t>1,000,000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2,400,097</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4,118,430</w:t>
            </w:r>
          </w:p>
        </w:tc>
      </w:tr>
      <w:tr>
        <w:trPr>
          <w:trHeight w:val="217"/>
        </w:trPr>
        <w:tc>
          <w:tcPr>
            <w:tcW w:w="3580" w:type="dxa"/>
            <w:vAlign w:val="bottom"/>
          </w:tcPr>
          <w:p>
            <w:pPr>
              <w:spacing w:after="0"/>
              <w:rPr>
                <w:sz w:val="18"/>
                <w:szCs w:val="18"/>
                <w:color w:val="auto"/>
              </w:rPr>
            </w:pPr>
          </w:p>
        </w:tc>
        <w:tc>
          <w:tcPr>
            <w:tcW w:w="940" w:type="dxa"/>
            <w:vAlign w:val="bottom"/>
          </w:tcPr>
          <w:p>
            <w:pPr>
              <w:ind w:left="360"/>
              <w:spacing w:after="0"/>
              <w:rPr>
                <w:sz w:val="20"/>
                <w:szCs w:val="20"/>
                <w:color w:val="auto"/>
              </w:rPr>
            </w:pPr>
            <w:r>
              <w:rPr>
                <w:rFonts w:ascii="Arial" w:cs="Arial" w:eastAsia="Arial" w:hAnsi="Arial"/>
                <w:sz w:val="18"/>
                <w:szCs w:val="18"/>
                <w:color w:val="auto"/>
              </w:rPr>
              <w:t>2017</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500,000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97,667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850,000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3,000,060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4,447,727</w:t>
            </w:r>
          </w:p>
        </w:tc>
      </w:tr>
      <w:tr>
        <w:trPr>
          <w:trHeight w:val="203"/>
        </w:trPr>
        <w:tc>
          <w:tcPr>
            <w:tcW w:w="3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2"/>
        </w:trPr>
        <w:tc>
          <w:tcPr>
            <w:tcW w:w="3580" w:type="dxa"/>
            <w:vAlign w:val="bottom"/>
            <w:shd w:val="clear" w:color="auto" w:fill="E5E5E5"/>
          </w:tcPr>
          <w:p>
            <w:pPr>
              <w:spacing w:after="0" w:line="201" w:lineRule="exact"/>
              <w:rPr>
                <w:sz w:val="20"/>
                <w:szCs w:val="20"/>
                <w:color w:val="auto"/>
              </w:rPr>
            </w:pPr>
            <w:r>
              <w:rPr>
                <w:rFonts w:ascii="Arial" w:cs="Arial" w:eastAsia="Arial" w:hAnsi="Arial"/>
                <w:sz w:val="18"/>
                <w:szCs w:val="18"/>
                <w:color w:val="auto"/>
              </w:rPr>
              <w:t>N. Anderskouv</w:t>
            </w:r>
          </w:p>
        </w:tc>
        <w:tc>
          <w:tcPr>
            <w:tcW w:w="940" w:type="dxa"/>
            <w:vAlign w:val="bottom"/>
            <w:shd w:val="clear" w:color="auto" w:fill="E5E5E5"/>
          </w:tcPr>
          <w:p>
            <w:pPr>
              <w:ind w:left="360"/>
              <w:spacing w:after="0" w:line="201" w:lineRule="exact"/>
              <w:rPr>
                <w:sz w:val="20"/>
                <w:szCs w:val="20"/>
                <w:color w:val="auto"/>
              </w:rPr>
            </w:pPr>
            <w:r>
              <w:rPr>
                <w:rFonts w:ascii="Arial" w:cs="Arial" w:eastAsia="Arial" w:hAnsi="Arial"/>
                <w:sz w:val="18"/>
                <w:szCs w:val="18"/>
                <w:color w:val="auto"/>
              </w:rPr>
              <w:t>2019</w:t>
            </w:r>
          </w:p>
        </w:tc>
        <w:tc>
          <w:tcPr>
            <w:tcW w:w="300" w:type="dxa"/>
            <w:vAlign w:val="bottom"/>
            <w:shd w:val="clear" w:color="auto" w:fill="E5E5E5"/>
          </w:tcPr>
          <w:p>
            <w:pPr>
              <w:ind w:left="180"/>
              <w:spacing w:after="0" w:line="201"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E5E5E5"/>
          </w:tcPr>
          <w:p>
            <w:pPr>
              <w:jc w:val="right"/>
              <w:ind w:right="71"/>
              <w:spacing w:after="0" w:line="201" w:lineRule="exact"/>
              <w:rPr>
                <w:sz w:val="20"/>
                <w:szCs w:val="20"/>
                <w:color w:val="auto"/>
              </w:rPr>
            </w:pPr>
            <w:r>
              <w:rPr>
                <w:rFonts w:ascii="Arial" w:cs="Arial" w:eastAsia="Arial" w:hAnsi="Arial"/>
                <w:sz w:val="18"/>
                <w:szCs w:val="18"/>
                <w:color w:val="auto"/>
              </w:rPr>
              <w:t>715,000</w:t>
            </w:r>
          </w:p>
        </w:tc>
        <w:tc>
          <w:tcPr>
            <w:tcW w:w="300" w:type="dxa"/>
            <w:vAlign w:val="bottom"/>
            <w:shd w:val="clear" w:color="auto" w:fill="E5E5E5"/>
          </w:tcPr>
          <w:p>
            <w:pPr>
              <w:jc w:val="right"/>
              <w:spacing w:after="0" w:line="201" w:lineRule="exact"/>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72"/>
              <w:spacing w:after="0" w:line="201" w:lineRule="exact"/>
              <w:rPr>
                <w:sz w:val="20"/>
                <w:szCs w:val="20"/>
                <w:color w:val="auto"/>
              </w:rPr>
            </w:pPr>
            <w:r>
              <w:rPr>
                <w:rFonts w:ascii="Arial" w:cs="Arial" w:eastAsia="Arial" w:hAnsi="Arial"/>
                <w:sz w:val="18"/>
                <w:szCs w:val="18"/>
                <w:color w:val="auto"/>
              </w:rPr>
              <w:t>142,333</w:t>
            </w:r>
          </w:p>
        </w:tc>
        <w:tc>
          <w:tcPr>
            <w:tcW w:w="320" w:type="dxa"/>
            <w:vAlign w:val="bottom"/>
            <w:shd w:val="clear" w:color="auto" w:fill="E5E5E5"/>
          </w:tcPr>
          <w:p>
            <w:pPr>
              <w:jc w:val="right"/>
              <w:spacing w:after="0" w:line="201"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91"/>
              <w:spacing w:after="0" w:line="201" w:lineRule="exact"/>
              <w:rPr>
                <w:sz w:val="20"/>
                <w:szCs w:val="20"/>
                <w:color w:val="auto"/>
              </w:rPr>
            </w:pPr>
            <w:r>
              <w:rPr>
                <w:rFonts w:ascii="Arial" w:cs="Arial" w:eastAsia="Arial" w:hAnsi="Arial"/>
                <w:sz w:val="18"/>
                <w:szCs w:val="18"/>
                <w:color w:val="auto"/>
                <w:w w:val="99"/>
              </w:rPr>
              <w:t>1,140,000</w:t>
            </w:r>
          </w:p>
        </w:tc>
        <w:tc>
          <w:tcPr>
            <w:tcW w:w="300" w:type="dxa"/>
            <w:vAlign w:val="bottom"/>
            <w:shd w:val="clear" w:color="auto" w:fill="E5E5E5"/>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shd w:val="clear" w:color="auto" w:fill="E5E5E5"/>
          </w:tcPr>
          <w:p>
            <w:pPr>
              <w:jc w:val="right"/>
              <w:ind w:right="93"/>
              <w:spacing w:after="0" w:line="201" w:lineRule="exact"/>
              <w:rPr>
                <w:sz w:val="20"/>
                <w:szCs w:val="20"/>
                <w:color w:val="auto"/>
              </w:rPr>
            </w:pPr>
            <w:r>
              <w:rPr>
                <w:rFonts w:ascii="Arial" w:cs="Arial" w:eastAsia="Arial" w:hAnsi="Arial"/>
                <w:sz w:val="18"/>
                <w:szCs w:val="18"/>
                <w:color w:val="auto"/>
              </w:rPr>
              <w:t>3,800,062</w:t>
            </w:r>
          </w:p>
        </w:tc>
        <w:tc>
          <w:tcPr>
            <w:tcW w:w="300" w:type="dxa"/>
            <w:vAlign w:val="bottom"/>
            <w:shd w:val="clear" w:color="auto" w:fill="E5E5E5"/>
          </w:tcPr>
          <w:p>
            <w:pPr>
              <w:jc w:val="right"/>
              <w:spacing w:after="0" w:line="201"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spacing w:after="0" w:line="201" w:lineRule="exact"/>
              <w:rPr>
                <w:sz w:val="20"/>
                <w:szCs w:val="20"/>
                <w:color w:val="auto"/>
              </w:rPr>
            </w:pPr>
            <w:r>
              <w:rPr>
                <w:rFonts w:ascii="Arial" w:cs="Arial" w:eastAsia="Arial" w:hAnsi="Arial"/>
                <w:sz w:val="18"/>
                <w:szCs w:val="18"/>
                <w:color w:val="auto"/>
              </w:rPr>
              <w:t>5,797,395</w:t>
            </w:r>
          </w:p>
        </w:tc>
      </w:tr>
      <w:tr>
        <w:trPr>
          <w:trHeight w:val="203"/>
        </w:trPr>
        <w:tc>
          <w:tcPr>
            <w:tcW w:w="3580" w:type="dxa"/>
            <w:vAlign w:val="bottom"/>
            <w:shd w:val="clear" w:color="auto" w:fill="E5E5E5"/>
          </w:tcPr>
          <w:p>
            <w:pPr>
              <w:spacing w:after="0"/>
              <w:rPr>
                <w:sz w:val="17"/>
                <w:szCs w:val="17"/>
                <w:color w:val="auto"/>
              </w:rPr>
            </w:pPr>
          </w:p>
        </w:tc>
        <w:tc>
          <w:tcPr>
            <w:tcW w:w="940" w:type="dxa"/>
            <w:vAlign w:val="bottom"/>
            <w:shd w:val="clear" w:color="auto" w:fill="E5E5E5"/>
          </w:tcPr>
          <w:p>
            <w:pPr>
              <w:ind w:left="360"/>
              <w:spacing w:after="0" w:line="203" w:lineRule="exact"/>
              <w:rPr>
                <w:sz w:val="20"/>
                <w:szCs w:val="20"/>
                <w:color w:val="auto"/>
              </w:rPr>
            </w:pPr>
            <w:r>
              <w:rPr>
                <w:rFonts w:ascii="Arial" w:cs="Arial" w:eastAsia="Arial" w:hAnsi="Arial"/>
                <w:sz w:val="18"/>
                <w:szCs w:val="18"/>
                <w:color w:val="auto"/>
              </w:rPr>
              <w:t>2018</w:t>
            </w:r>
          </w:p>
        </w:tc>
        <w:tc>
          <w:tcPr>
            <w:tcW w:w="300" w:type="dxa"/>
            <w:vAlign w:val="bottom"/>
            <w:shd w:val="clear" w:color="auto" w:fill="E5E5E5"/>
          </w:tcPr>
          <w:p>
            <w:pPr>
              <w:ind w:left="18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E5E5E5"/>
          </w:tcPr>
          <w:p>
            <w:pPr>
              <w:jc w:val="right"/>
              <w:ind w:right="71"/>
              <w:spacing w:after="0" w:line="203" w:lineRule="exact"/>
              <w:rPr>
                <w:sz w:val="20"/>
                <w:szCs w:val="20"/>
                <w:color w:val="auto"/>
              </w:rPr>
            </w:pPr>
            <w:r>
              <w:rPr>
                <w:rFonts w:ascii="Arial" w:cs="Arial" w:eastAsia="Arial" w:hAnsi="Arial"/>
                <w:sz w:val="18"/>
                <w:szCs w:val="18"/>
                <w:color w:val="auto"/>
              </w:rPr>
              <w:t>675,000</w:t>
            </w:r>
          </w:p>
        </w:tc>
        <w:tc>
          <w:tcPr>
            <w:tcW w:w="30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72"/>
              <w:spacing w:after="0" w:line="203" w:lineRule="exact"/>
              <w:rPr>
                <w:sz w:val="20"/>
                <w:szCs w:val="20"/>
                <w:color w:val="auto"/>
              </w:rPr>
            </w:pPr>
            <w:r>
              <w:rPr>
                <w:rFonts w:ascii="Arial" w:cs="Arial" w:eastAsia="Arial" w:hAnsi="Arial"/>
                <w:sz w:val="18"/>
                <w:szCs w:val="18"/>
                <w:color w:val="auto"/>
              </w:rPr>
              <w:t>133,750</w:t>
            </w:r>
          </w:p>
        </w:tc>
        <w:tc>
          <w:tcPr>
            <w:tcW w:w="32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91"/>
              <w:spacing w:after="0" w:line="203" w:lineRule="exact"/>
              <w:rPr>
                <w:sz w:val="20"/>
                <w:szCs w:val="20"/>
                <w:color w:val="auto"/>
              </w:rPr>
            </w:pPr>
            <w:r>
              <w:rPr>
                <w:rFonts w:ascii="Arial" w:cs="Arial" w:eastAsia="Arial" w:hAnsi="Arial"/>
                <w:sz w:val="18"/>
                <w:szCs w:val="18"/>
                <w:color w:val="auto"/>
                <w:w w:val="99"/>
              </w:rPr>
              <w:t>1,200,000</w:t>
            </w:r>
          </w:p>
        </w:tc>
        <w:tc>
          <w:tcPr>
            <w:tcW w:w="30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w:t>
            </w:r>
          </w:p>
        </w:tc>
        <w:tc>
          <w:tcPr>
            <w:tcW w:w="1120" w:type="dxa"/>
            <w:vAlign w:val="bottom"/>
            <w:shd w:val="clear" w:color="auto" w:fill="E5E5E5"/>
          </w:tcPr>
          <w:p>
            <w:pPr>
              <w:jc w:val="right"/>
              <w:ind w:right="93"/>
              <w:spacing w:after="0" w:line="203" w:lineRule="exact"/>
              <w:rPr>
                <w:sz w:val="20"/>
                <w:szCs w:val="20"/>
                <w:color w:val="auto"/>
              </w:rPr>
            </w:pPr>
            <w:r>
              <w:rPr>
                <w:rFonts w:ascii="Arial" w:cs="Arial" w:eastAsia="Arial" w:hAnsi="Arial"/>
                <w:sz w:val="18"/>
                <w:szCs w:val="18"/>
                <w:color w:val="auto"/>
              </w:rPr>
              <w:t>3,800,103</w:t>
            </w:r>
          </w:p>
        </w:tc>
        <w:tc>
          <w:tcPr>
            <w:tcW w:w="30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5,808,853</w:t>
            </w:r>
          </w:p>
        </w:tc>
      </w:tr>
      <w:tr>
        <w:trPr>
          <w:trHeight w:val="418"/>
        </w:trPr>
        <w:tc>
          <w:tcPr>
            <w:tcW w:w="3580" w:type="dxa"/>
            <w:vAlign w:val="bottom"/>
          </w:tcPr>
          <w:p>
            <w:pPr>
              <w:spacing w:after="0"/>
              <w:rPr>
                <w:sz w:val="20"/>
                <w:szCs w:val="20"/>
                <w:color w:val="auto"/>
              </w:rPr>
            </w:pPr>
            <w:r>
              <w:rPr>
                <w:rFonts w:ascii="Arial" w:cs="Arial" w:eastAsia="Arial" w:hAnsi="Arial"/>
                <w:sz w:val="18"/>
                <w:szCs w:val="18"/>
                <w:color w:val="auto"/>
              </w:rPr>
              <w:t>R. G. Delagi</w:t>
            </w:r>
          </w:p>
        </w:tc>
        <w:tc>
          <w:tcPr>
            <w:tcW w:w="940" w:type="dxa"/>
            <w:vAlign w:val="bottom"/>
          </w:tcPr>
          <w:p>
            <w:pPr>
              <w:ind w:left="360"/>
              <w:spacing w:after="0"/>
              <w:rPr>
                <w:sz w:val="20"/>
                <w:szCs w:val="20"/>
                <w:color w:val="auto"/>
              </w:rPr>
            </w:pPr>
            <w:r>
              <w:rPr>
                <w:rFonts w:ascii="Arial" w:cs="Arial" w:eastAsia="Arial" w:hAnsi="Arial"/>
                <w:sz w:val="18"/>
                <w:szCs w:val="18"/>
                <w:color w:val="auto"/>
              </w:rPr>
              <w:t>2019</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730,000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145,750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980,000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3,600,031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5,455,781</w:t>
            </w:r>
          </w:p>
        </w:tc>
      </w:tr>
      <w:tr>
        <w:trPr>
          <w:trHeight w:val="203"/>
        </w:trPr>
        <w:tc>
          <w:tcPr>
            <w:tcW w:w="3580" w:type="dxa"/>
            <w:vAlign w:val="bottom"/>
          </w:tcPr>
          <w:p>
            <w:pPr>
              <w:spacing w:after="0"/>
              <w:rPr>
                <w:sz w:val="17"/>
                <w:szCs w:val="17"/>
                <w:color w:val="auto"/>
              </w:rPr>
            </w:pPr>
          </w:p>
        </w:tc>
        <w:tc>
          <w:tcPr>
            <w:tcW w:w="940" w:type="dxa"/>
            <w:vAlign w:val="bottom"/>
          </w:tcPr>
          <w:p>
            <w:pPr>
              <w:ind w:left="360"/>
              <w:spacing w:after="0" w:line="202" w:lineRule="exact"/>
              <w:rPr>
                <w:sz w:val="20"/>
                <w:szCs w:val="20"/>
                <w:color w:val="auto"/>
              </w:rPr>
            </w:pPr>
            <w:r>
              <w:rPr>
                <w:rFonts w:ascii="Arial" w:cs="Arial" w:eastAsia="Arial" w:hAnsi="Arial"/>
                <w:sz w:val="18"/>
                <w:szCs w:val="18"/>
                <w:color w:val="auto"/>
              </w:rPr>
              <w:t>2018</w:t>
            </w:r>
          </w:p>
        </w:tc>
        <w:tc>
          <w:tcPr>
            <w:tcW w:w="30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1"/>
              <w:spacing w:after="0" w:line="202" w:lineRule="exact"/>
              <w:rPr>
                <w:sz w:val="20"/>
                <w:szCs w:val="20"/>
                <w:color w:val="auto"/>
              </w:rPr>
            </w:pPr>
            <w:r>
              <w:rPr>
                <w:rFonts w:ascii="Arial" w:cs="Arial" w:eastAsia="Arial" w:hAnsi="Arial"/>
                <w:sz w:val="18"/>
                <w:szCs w:val="18"/>
                <w:color w:val="auto"/>
              </w:rPr>
              <w:t>715,000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142,750</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91"/>
              <w:spacing w:after="0" w:line="202" w:lineRule="exact"/>
              <w:rPr>
                <w:sz w:val="20"/>
                <w:szCs w:val="20"/>
                <w:color w:val="auto"/>
              </w:rPr>
            </w:pPr>
            <w:r>
              <w:rPr>
                <w:rFonts w:ascii="Arial" w:cs="Arial" w:eastAsia="Arial" w:hAnsi="Arial"/>
                <w:sz w:val="18"/>
                <w:szCs w:val="18"/>
                <w:color w:val="auto"/>
                <w:w w:val="99"/>
              </w:rPr>
              <w:t>1,150,000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3,600,079</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5,607,829</w:t>
            </w:r>
          </w:p>
        </w:tc>
      </w:tr>
      <w:tr>
        <w:trPr>
          <w:trHeight w:val="217"/>
        </w:trPr>
        <w:tc>
          <w:tcPr>
            <w:tcW w:w="3580" w:type="dxa"/>
            <w:vAlign w:val="bottom"/>
          </w:tcPr>
          <w:p>
            <w:pPr>
              <w:spacing w:after="0"/>
              <w:rPr>
                <w:sz w:val="18"/>
                <w:szCs w:val="18"/>
                <w:color w:val="auto"/>
              </w:rPr>
            </w:pPr>
          </w:p>
        </w:tc>
        <w:tc>
          <w:tcPr>
            <w:tcW w:w="940" w:type="dxa"/>
            <w:vAlign w:val="bottom"/>
          </w:tcPr>
          <w:p>
            <w:pPr>
              <w:ind w:left="360"/>
              <w:spacing w:after="0"/>
              <w:rPr>
                <w:sz w:val="20"/>
                <w:szCs w:val="20"/>
                <w:color w:val="auto"/>
              </w:rPr>
            </w:pPr>
            <w:r>
              <w:rPr>
                <w:rFonts w:ascii="Arial" w:cs="Arial" w:eastAsia="Arial" w:hAnsi="Arial"/>
                <w:sz w:val="18"/>
                <w:szCs w:val="18"/>
                <w:color w:val="auto"/>
              </w:rPr>
              <w:t>2017</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700,000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139,750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w w:val="99"/>
              </w:rPr>
              <w:t>1,100,000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3,600,090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5,539,840</w:t>
            </w:r>
          </w:p>
        </w:tc>
      </w:tr>
      <w:tr>
        <w:trPr>
          <w:trHeight w:val="203"/>
        </w:trPr>
        <w:tc>
          <w:tcPr>
            <w:tcW w:w="3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2"/>
        </w:trPr>
        <w:tc>
          <w:tcPr>
            <w:tcW w:w="3580" w:type="dxa"/>
            <w:vAlign w:val="bottom"/>
            <w:shd w:val="clear" w:color="auto" w:fill="E5E5E5"/>
          </w:tcPr>
          <w:p>
            <w:pPr>
              <w:spacing w:after="0" w:line="201" w:lineRule="exact"/>
              <w:rPr>
                <w:sz w:val="20"/>
                <w:szCs w:val="20"/>
                <w:color w:val="auto"/>
              </w:rPr>
            </w:pPr>
            <w:r>
              <w:rPr>
                <w:rFonts w:ascii="Arial" w:cs="Arial" w:eastAsia="Arial" w:hAnsi="Arial"/>
                <w:sz w:val="18"/>
                <w:szCs w:val="18"/>
                <w:color w:val="auto"/>
              </w:rPr>
              <w:t>H. Ilan</w:t>
            </w:r>
          </w:p>
        </w:tc>
        <w:tc>
          <w:tcPr>
            <w:tcW w:w="940" w:type="dxa"/>
            <w:vAlign w:val="bottom"/>
            <w:shd w:val="clear" w:color="auto" w:fill="E5E5E5"/>
          </w:tcPr>
          <w:p>
            <w:pPr>
              <w:ind w:left="360"/>
              <w:spacing w:after="0" w:line="201" w:lineRule="exact"/>
              <w:rPr>
                <w:sz w:val="20"/>
                <w:szCs w:val="20"/>
                <w:color w:val="auto"/>
              </w:rPr>
            </w:pPr>
            <w:r>
              <w:rPr>
                <w:rFonts w:ascii="Arial" w:cs="Arial" w:eastAsia="Arial" w:hAnsi="Arial"/>
                <w:sz w:val="18"/>
                <w:szCs w:val="18"/>
                <w:color w:val="auto"/>
              </w:rPr>
              <w:t>2019</w:t>
            </w:r>
          </w:p>
        </w:tc>
        <w:tc>
          <w:tcPr>
            <w:tcW w:w="300" w:type="dxa"/>
            <w:vAlign w:val="bottom"/>
            <w:shd w:val="clear" w:color="auto" w:fill="E5E5E5"/>
          </w:tcPr>
          <w:p>
            <w:pPr>
              <w:ind w:left="180"/>
              <w:spacing w:after="0" w:line="201"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E5E5E5"/>
          </w:tcPr>
          <w:p>
            <w:pPr>
              <w:jc w:val="right"/>
              <w:ind w:right="71"/>
              <w:spacing w:after="0" w:line="201" w:lineRule="exact"/>
              <w:rPr>
                <w:sz w:val="20"/>
                <w:szCs w:val="20"/>
                <w:color w:val="auto"/>
              </w:rPr>
            </w:pPr>
            <w:r>
              <w:rPr>
                <w:rFonts w:ascii="Arial" w:cs="Arial" w:eastAsia="Arial" w:hAnsi="Arial"/>
                <w:sz w:val="18"/>
                <w:szCs w:val="18"/>
                <w:color w:val="auto"/>
              </w:rPr>
              <w:t>715,000</w:t>
            </w:r>
          </w:p>
        </w:tc>
        <w:tc>
          <w:tcPr>
            <w:tcW w:w="300" w:type="dxa"/>
            <w:vAlign w:val="bottom"/>
            <w:shd w:val="clear" w:color="auto" w:fill="E5E5E5"/>
          </w:tcPr>
          <w:p>
            <w:pPr>
              <w:jc w:val="right"/>
              <w:spacing w:after="0" w:line="201" w:lineRule="exact"/>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72"/>
              <w:spacing w:after="0" w:line="201" w:lineRule="exact"/>
              <w:rPr>
                <w:sz w:val="20"/>
                <w:szCs w:val="20"/>
                <w:color w:val="auto"/>
              </w:rPr>
            </w:pPr>
            <w:r>
              <w:rPr>
                <w:rFonts w:ascii="Arial" w:cs="Arial" w:eastAsia="Arial" w:hAnsi="Arial"/>
                <w:sz w:val="18"/>
                <w:szCs w:val="18"/>
                <w:color w:val="auto"/>
              </w:rPr>
              <w:t>142,333</w:t>
            </w:r>
          </w:p>
        </w:tc>
        <w:tc>
          <w:tcPr>
            <w:tcW w:w="320" w:type="dxa"/>
            <w:vAlign w:val="bottom"/>
            <w:shd w:val="clear" w:color="auto" w:fill="E5E5E5"/>
          </w:tcPr>
          <w:p>
            <w:pPr>
              <w:jc w:val="right"/>
              <w:spacing w:after="0" w:line="201"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91"/>
              <w:spacing w:after="0" w:line="201" w:lineRule="exact"/>
              <w:rPr>
                <w:sz w:val="20"/>
                <w:szCs w:val="20"/>
                <w:color w:val="auto"/>
              </w:rPr>
            </w:pPr>
            <w:r>
              <w:rPr>
                <w:rFonts w:ascii="Arial" w:cs="Arial" w:eastAsia="Arial" w:hAnsi="Arial"/>
                <w:sz w:val="18"/>
                <w:szCs w:val="18"/>
                <w:color w:val="auto"/>
                <w:w w:val="99"/>
              </w:rPr>
              <w:t>1,140,000</w:t>
            </w:r>
          </w:p>
        </w:tc>
        <w:tc>
          <w:tcPr>
            <w:tcW w:w="300" w:type="dxa"/>
            <w:vAlign w:val="bottom"/>
            <w:shd w:val="clear" w:color="auto" w:fill="E5E5E5"/>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shd w:val="clear" w:color="auto" w:fill="E5E5E5"/>
          </w:tcPr>
          <w:p>
            <w:pPr>
              <w:jc w:val="right"/>
              <w:ind w:right="93"/>
              <w:spacing w:after="0" w:line="201" w:lineRule="exact"/>
              <w:rPr>
                <w:sz w:val="20"/>
                <w:szCs w:val="20"/>
                <w:color w:val="auto"/>
              </w:rPr>
            </w:pPr>
            <w:r>
              <w:rPr>
                <w:rFonts w:ascii="Arial" w:cs="Arial" w:eastAsia="Arial" w:hAnsi="Arial"/>
                <w:sz w:val="18"/>
                <w:szCs w:val="18"/>
                <w:color w:val="auto"/>
              </w:rPr>
              <w:t>3,800,062</w:t>
            </w:r>
          </w:p>
        </w:tc>
        <w:tc>
          <w:tcPr>
            <w:tcW w:w="300" w:type="dxa"/>
            <w:vAlign w:val="bottom"/>
            <w:shd w:val="clear" w:color="auto" w:fill="E5E5E5"/>
          </w:tcPr>
          <w:p>
            <w:pPr>
              <w:jc w:val="right"/>
              <w:spacing w:after="0" w:line="201"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spacing w:after="0" w:line="201" w:lineRule="exact"/>
              <w:rPr>
                <w:sz w:val="20"/>
                <w:szCs w:val="20"/>
                <w:color w:val="auto"/>
              </w:rPr>
            </w:pPr>
            <w:r>
              <w:rPr>
                <w:rFonts w:ascii="Arial" w:cs="Arial" w:eastAsia="Arial" w:hAnsi="Arial"/>
                <w:sz w:val="18"/>
                <w:szCs w:val="18"/>
                <w:color w:val="auto"/>
              </w:rPr>
              <w:t>5,797,395</w:t>
            </w:r>
          </w:p>
        </w:tc>
      </w:tr>
      <w:tr>
        <w:trPr>
          <w:trHeight w:val="203"/>
        </w:trPr>
        <w:tc>
          <w:tcPr>
            <w:tcW w:w="3580" w:type="dxa"/>
            <w:vAlign w:val="bottom"/>
            <w:shd w:val="clear" w:color="auto" w:fill="E5E5E5"/>
          </w:tcPr>
          <w:p>
            <w:pPr>
              <w:spacing w:after="0"/>
              <w:rPr>
                <w:sz w:val="17"/>
                <w:szCs w:val="17"/>
                <w:color w:val="auto"/>
              </w:rPr>
            </w:pPr>
          </w:p>
        </w:tc>
        <w:tc>
          <w:tcPr>
            <w:tcW w:w="940" w:type="dxa"/>
            <w:vAlign w:val="bottom"/>
            <w:shd w:val="clear" w:color="auto" w:fill="E5E5E5"/>
          </w:tcPr>
          <w:p>
            <w:pPr>
              <w:ind w:left="360"/>
              <w:spacing w:after="0" w:line="203" w:lineRule="exact"/>
              <w:rPr>
                <w:sz w:val="20"/>
                <w:szCs w:val="20"/>
                <w:color w:val="auto"/>
              </w:rPr>
            </w:pPr>
            <w:r>
              <w:rPr>
                <w:rFonts w:ascii="Arial" w:cs="Arial" w:eastAsia="Arial" w:hAnsi="Arial"/>
                <w:sz w:val="18"/>
                <w:szCs w:val="18"/>
                <w:color w:val="auto"/>
              </w:rPr>
              <w:t>2018</w:t>
            </w:r>
          </w:p>
        </w:tc>
        <w:tc>
          <w:tcPr>
            <w:tcW w:w="300" w:type="dxa"/>
            <w:vAlign w:val="bottom"/>
            <w:shd w:val="clear" w:color="auto" w:fill="E5E5E5"/>
          </w:tcPr>
          <w:p>
            <w:pPr>
              <w:ind w:left="18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E5E5E5"/>
          </w:tcPr>
          <w:p>
            <w:pPr>
              <w:jc w:val="right"/>
              <w:ind w:right="71"/>
              <w:spacing w:after="0" w:line="203" w:lineRule="exact"/>
              <w:rPr>
                <w:sz w:val="20"/>
                <w:szCs w:val="20"/>
                <w:color w:val="auto"/>
              </w:rPr>
            </w:pPr>
            <w:r>
              <w:rPr>
                <w:rFonts w:ascii="Arial" w:cs="Arial" w:eastAsia="Arial" w:hAnsi="Arial"/>
                <w:sz w:val="18"/>
                <w:szCs w:val="18"/>
                <w:color w:val="auto"/>
              </w:rPr>
              <w:t>675,000</w:t>
            </w:r>
          </w:p>
        </w:tc>
        <w:tc>
          <w:tcPr>
            <w:tcW w:w="30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72"/>
              <w:spacing w:after="0" w:line="203" w:lineRule="exact"/>
              <w:rPr>
                <w:sz w:val="20"/>
                <w:szCs w:val="20"/>
                <w:color w:val="auto"/>
              </w:rPr>
            </w:pPr>
            <w:r>
              <w:rPr>
                <w:rFonts w:ascii="Arial" w:cs="Arial" w:eastAsia="Arial" w:hAnsi="Arial"/>
                <w:sz w:val="18"/>
                <w:szCs w:val="18"/>
                <w:color w:val="auto"/>
              </w:rPr>
              <w:t>133,750</w:t>
            </w:r>
          </w:p>
        </w:tc>
        <w:tc>
          <w:tcPr>
            <w:tcW w:w="32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91"/>
              <w:spacing w:after="0" w:line="203" w:lineRule="exact"/>
              <w:rPr>
                <w:sz w:val="20"/>
                <w:szCs w:val="20"/>
                <w:color w:val="auto"/>
              </w:rPr>
            </w:pPr>
            <w:r>
              <w:rPr>
                <w:rFonts w:ascii="Arial" w:cs="Arial" w:eastAsia="Arial" w:hAnsi="Arial"/>
                <w:sz w:val="18"/>
                <w:szCs w:val="18"/>
                <w:color w:val="auto"/>
                <w:w w:val="99"/>
              </w:rPr>
              <w:t>1,200,000</w:t>
            </w:r>
          </w:p>
        </w:tc>
        <w:tc>
          <w:tcPr>
            <w:tcW w:w="30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w:t>
            </w:r>
          </w:p>
        </w:tc>
        <w:tc>
          <w:tcPr>
            <w:tcW w:w="1120" w:type="dxa"/>
            <w:vAlign w:val="bottom"/>
            <w:shd w:val="clear" w:color="auto" w:fill="E5E5E5"/>
          </w:tcPr>
          <w:p>
            <w:pPr>
              <w:jc w:val="right"/>
              <w:ind w:right="93"/>
              <w:spacing w:after="0" w:line="203" w:lineRule="exact"/>
              <w:rPr>
                <w:sz w:val="20"/>
                <w:szCs w:val="20"/>
                <w:color w:val="auto"/>
              </w:rPr>
            </w:pPr>
            <w:r>
              <w:rPr>
                <w:rFonts w:ascii="Arial" w:cs="Arial" w:eastAsia="Arial" w:hAnsi="Arial"/>
                <w:sz w:val="18"/>
                <w:szCs w:val="18"/>
                <w:color w:val="auto"/>
              </w:rPr>
              <w:t>3,800,103</w:t>
            </w:r>
          </w:p>
        </w:tc>
        <w:tc>
          <w:tcPr>
            <w:tcW w:w="30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5,808,853</w:t>
            </w:r>
          </w:p>
        </w:tc>
      </w:tr>
    </w:tbl>
    <w:p>
      <w:pPr>
        <w:spacing w:after="0" w:line="215"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This table shows the annual rate of base salary for each named executive officer. In the summary compensation table, the “Salary” column shows the actual salary paid in the year. This table has separate columns for profit sharing and bonus. In the summary compensation table, profit sharing and bonus are aggregated in the column for “Non-Equity Incentive Plan Compensation,” in accordance with SEC requirements. Please see Notes 2 and 3 to the summary compensation table for information about how grant date fair value was calculated.</w:t>
      </w:r>
    </w:p>
    <w:p>
      <w:pPr>
        <w:spacing w:after="0" w:line="202" w:lineRule="exact"/>
        <w:rPr>
          <w:sz w:val="20"/>
          <w:szCs w:val="20"/>
          <w:color w:val="auto"/>
        </w:rPr>
      </w:pPr>
    </w:p>
    <w:p>
      <w:pPr>
        <w:ind w:left="120" w:right="640"/>
        <w:spacing w:after="0" w:line="234" w:lineRule="auto"/>
        <w:rPr>
          <w:sz w:val="20"/>
          <w:szCs w:val="20"/>
          <w:color w:val="auto"/>
        </w:rPr>
      </w:pPr>
      <w:r>
        <w:rPr>
          <w:rFonts w:ascii="Arial" w:cs="Arial" w:eastAsia="Arial" w:hAnsi="Arial"/>
          <w:sz w:val="18"/>
          <w:szCs w:val="18"/>
          <w:color w:val="auto"/>
        </w:rPr>
        <w:t>For Messrs. Templeton and Lizardi, the “Total” for 2019 was higher than for 2018 primarily due to the higher equity awards in 2019, reflecting an effort to align with the projected market range for similarly situated executives in our comparator group.</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compensation decisions shown above resulted in the following 2019 compensation mix for the named executive officers:</w:t>
      </w:r>
    </w:p>
    <w:p>
      <w:pPr>
        <w:spacing w:after="0" w:line="200" w:lineRule="exact"/>
        <w:rPr>
          <w:sz w:val="20"/>
          <w:szCs w:val="20"/>
          <w:color w:val="auto"/>
        </w:rPr>
      </w:pPr>
    </w:p>
    <w:p>
      <w:pPr>
        <w:spacing w:after="0" w:line="260" w:lineRule="exact"/>
        <w:rPr>
          <w:sz w:val="20"/>
          <w:szCs w:val="20"/>
          <w:color w:val="auto"/>
        </w:rPr>
      </w:pPr>
    </w:p>
    <w:p>
      <w:pPr>
        <w:ind w:left="3100"/>
        <w:spacing w:after="0"/>
        <w:tabs>
          <w:tab w:leader="none" w:pos="6940" w:val="left"/>
        </w:tabs>
        <w:rPr>
          <w:sz w:val="20"/>
          <w:szCs w:val="20"/>
          <w:color w:val="auto"/>
        </w:rPr>
      </w:pPr>
      <w:r>
        <w:rPr>
          <w:rFonts w:ascii="Arial" w:cs="Arial" w:eastAsia="Arial" w:hAnsi="Arial"/>
          <w:sz w:val="18"/>
          <w:szCs w:val="18"/>
          <w:b w:val="1"/>
          <w:bCs w:val="1"/>
          <w:color w:val="auto"/>
        </w:rPr>
        <w:t>CEO</w:t>
      </w:r>
      <w:r>
        <w:rPr>
          <w:sz w:val="20"/>
          <w:szCs w:val="20"/>
          <w:color w:val="auto"/>
        </w:rPr>
        <w:tab/>
      </w:r>
      <w:r>
        <w:rPr>
          <w:rFonts w:ascii="Arial" w:cs="Arial" w:eastAsia="Arial" w:hAnsi="Arial"/>
          <w:sz w:val="18"/>
          <w:szCs w:val="18"/>
          <w:b w:val="1"/>
          <w:bCs w:val="1"/>
          <w:color w:val="auto"/>
        </w:rPr>
        <w:t>Other NEOs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148590</wp:posOffset>
            </wp:positionV>
            <wp:extent cx="4174490" cy="21259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174490" cy="212598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0"/>
        <w:spacing w:after="0"/>
        <w:tabs>
          <w:tab w:leader="none" w:pos="4020" w:val="left"/>
          <w:tab w:leader="none" w:pos="5500" w:val="left"/>
          <w:tab w:leader="none" w:pos="5700" w:val="left"/>
        </w:tabs>
        <w:rPr>
          <w:sz w:val="20"/>
          <w:szCs w:val="20"/>
          <w:color w:val="auto"/>
        </w:rPr>
      </w:pPr>
      <w:r>
        <w:rPr>
          <w:rFonts w:ascii="Arial" w:cs="Arial" w:eastAsia="Arial" w:hAnsi="Arial"/>
          <w:sz w:val="13"/>
          <w:szCs w:val="13"/>
          <w:color w:val="666666"/>
        </w:rPr>
        <w:t>28</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2020 PROXY STATEMENT</w:t>
      </w:r>
    </w:p>
    <w:p>
      <w:pPr>
        <w:sectPr>
          <w:pgSz w:w="11900" w:h="16838" w:orient="portrait"/>
          <w:cols w:equalWidth="0" w:num="1">
            <w:col w:w="11140"/>
          </w:cols>
          <w:pgMar w:left="320" w:top="459" w:right="4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Equity dilution</w:t>
      </w:r>
    </w:p>
    <w:p>
      <w:pPr>
        <w:spacing w:after="0" w:line="122" w:lineRule="exact"/>
        <w:rPr>
          <w:sz w:val="20"/>
          <w:szCs w:val="20"/>
          <w:color w:val="auto"/>
        </w:rPr>
      </w:pPr>
    </w:p>
    <w:p>
      <w:pPr>
        <w:jc w:val="both"/>
        <w:ind w:left="120"/>
        <w:spacing w:after="0" w:line="261" w:lineRule="auto"/>
        <w:rPr>
          <w:sz w:val="20"/>
          <w:szCs w:val="20"/>
          <w:color w:val="auto"/>
        </w:rPr>
      </w:pPr>
      <w:r>
        <w:rPr>
          <w:rFonts w:ascii="Arial" w:cs="Arial" w:eastAsia="Arial" w:hAnsi="Arial"/>
          <w:sz w:val="17"/>
          <w:szCs w:val="17"/>
          <w:color w:val="auto"/>
        </w:rPr>
        <w:t>The Compensation Committee’s goal is to keep net annual dilution from equity compensation under 2 percent. “Net annual dilution” means the number of shares under equity awards granted by the committee each year to all employees (net of award forfeitures) as a percentage of the shares of the company’s outstanding common stock. Equity awards granted in 2019 resulted in 0.5 percent net annual dilution.</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Process for equity grants</w:t>
      </w:r>
    </w:p>
    <w:p>
      <w:pPr>
        <w:spacing w:after="0" w:line="122"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The Compensation Committee makes grant decisions for equity compensation at its January meeting each year. The dates on which these meetings occur are generally set three years in advance. The January meetings of the board and the committee generally occur in the week or two before we announce our financial results for the previous quarter and year.</w:t>
      </w:r>
    </w:p>
    <w:p>
      <w:pPr>
        <w:spacing w:after="0" w:line="203" w:lineRule="exact"/>
        <w:rPr>
          <w:sz w:val="20"/>
          <w:szCs w:val="20"/>
          <w:color w:val="auto"/>
        </w:rPr>
      </w:pPr>
    </w:p>
    <w:p>
      <w:pPr>
        <w:ind w:left="120" w:right="320"/>
        <w:spacing w:after="0" w:line="246" w:lineRule="auto"/>
        <w:rPr>
          <w:sz w:val="20"/>
          <w:szCs w:val="20"/>
          <w:color w:val="auto"/>
        </w:rPr>
      </w:pPr>
      <w:r>
        <w:rPr>
          <w:rFonts w:ascii="Arial" w:cs="Arial" w:eastAsia="Arial" w:hAnsi="Arial"/>
          <w:sz w:val="18"/>
          <w:szCs w:val="18"/>
          <w:color w:val="auto"/>
        </w:rPr>
        <w:t>On occasion, the committee may grant stock options or restricted stock units to executives at times other than January. For example, it has done so in connection with job promotions and for purposes of retention.</w:t>
      </w:r>
    </w:p>
    <w:p>
      <w:pPr>
        <w:spacing w:after="0" w:line="197" w:lineRule="exact"/>
        <w:rPr>
          <w:sz w:val="20"/>
          <w:szCs w:val="20"/>
          <w:color w:val="auto"/>
        </w:rPr>
      </w:pPr>
    </w:p>
    <w:p>
      <w:pPr>
        <w:ind w:left="120" w:right="480"/>
        <w:spacing w:after="0" w:line="246" w:lineRule="auto"/>
        <w:rPr>
          <w:sz w:val="20"/>
          <w:szCs w:val="20"/>
          <w:color w:val="auto"/>
        </w:rPr>
      </w:pPr>
      <w:r>
        <w:rPr>
          <w:rFonts w:ascii="Arial" w:cs="Arial" w:eastAsia="Arial" w:hAnsi="Arial"/>
          <w:sz w:val="18"/>
          <w:szCs w:val="18"/>
          <w:color w:val="auto"/>
        </w:rPr>
        <w:t>We do not back-date stock options or restricted stock units. We do not accelerate or delay the release of information due to plans for making equity grants.</w:t>
      </w:r>
    </w:p>
    <w:p>
      <w:pPr>
        <w:spacing w:after="0" w:line="197"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If the committee meeting falls in the same month as the release of the company’s financial results, the committee’s practice is to make grants effective (i) on the second trading day after the results have been released or (ii) on the meeting day if later. In other months, its practice is to make them effective on the day of committee action. The exercise price of stock options is the closing price of TI stock on the effective date of the grant.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Recoupment policy</w:t>
      </w:r>
    </w:p>
    <w:p>
      <w:pPr>
        <w:spacing w:after="0" w:line="122"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The committee has a policy concerning recoupment (“claw back”) of executive bonuses and equity compensation. Under the policy, in the event of a material restatement of TI’s financial results due to misconduct, the committee will review the facts and circumstances and take the actions it considers appropriate with respect to the compensation of any executive officer whose fraud or willful misconduct contributed to the need for such restatement. Such action may include (a) seeking reimbursement of any bonus paid to such officer exceeding the amount that, in the judgment of the committee, would have been paid had the financial results been properly reported and (b) seeking to recover profits received by such officer during the 12 months after the restated period under equity compensation awards. All determinations by the committee with respect to this policy are final and binding on all interested parties.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Most recent stockholder advisory vote on executive compensation</w:t>
      </w:r>
    </w:p>
    <w:p>
      <w:pPr>
        <w:spacing w:after="0" w:line="122" w:lineRule="exact"/>
        <w:rPr>
          <w:sz w:val="20"/>
          <w:szCs w:val="20"/>
          <w:color w:val="auto"/>
        </w:rPr>
      </w:pPr>
    </w:p>
    <w:p>
      <w:pPr>
        <w:ind w:left="120" w:right="40"/>
        <w:spacing w:after="0" w:line="257" w:lineRule="auto"/>
        <w:rPr>
          <w:sz w:val="20"/>
          <w:szCs w:val="20"/>
          <w:color w:val="auto"/>
        </w:rPr>
      </w:pPr>
      <w:r>
        <w:rPr>
          <w:rFonts w:ascii="Arial" w:cs="Arial" w:eastAsia="Arial" w:hAnsi="Arial"/>
          <w:sz w:val="17"/>
          <w:szCs w:val="17"/>
          <w:color w:val="auto"/>
        </w:rPr>
        <w:t>In April 2019, our shareholders cast an advisory vote on the company’s executive compensation decisions and policies as disclosed in the proxy statement issued by the company in March 2019. Approximately 93 percent of the shares voted on the matter were cast in support of the compensation decisions and policies as disclosed. The committee considered this result and determined that it was not necessary at this time to make any material changes to the company’s compensation policies and practices in response to the advisory vote.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Benefits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Retirement plans</w:t>
      </w:r>
    </w:p>
    <w:p>
      <w:pPr>
        <w:spacing w:after="0" w:line="14" w:lineRule="exact"/>
        <w:rPr>
          <w:sz w:val="20"/>
          <w:szCs w:val="20"/>
          <w:color w:val="auto"/>
        </w:rPr>
      </w:pPr>
    </w:p>
    <w:p>
      <w:pPr>
        <w:ind w:left="120" w:right="400"/>
        <w:spacing w:after="0" w:line="246" w:lineRule="auto"/>
        <w:rPr>
          <w:sz w:val="20"/>
          <w:szCs w:val="20"/>
          <w:color w:val="auto"/>
        </w:rPr>
      </w:pPr>
      <w:r>
        <w:rPr>
          <w:rFonts w:ascii="Arial" w:cs="Arial" w:eastAsia="Arial" w:hAnsi="Arial"/>
          <w:sz w:val="18"/>
          <w:szCs w:val="18"/>
          <w:color w:val="auto"/>
        </w:rPr>
        <w:t>The executive officers participate in our retirement plans under the same rules that apply to other U.S. employees. We maintain these plans to have a competitive benefits program and for retention.</w:t>
      </w:r>
    </w:p>
    <w:p>
      <w:pPr>
        <w:spacing w:after="0" w:line="19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Like other established U.S. manufacturers, we have had a U.S. qualified defined benefit pension plan for many years. At its origin, the plan was designed to be consistent with those offered by other employers in the diverse markets in which we operated, which at the time included consumer and defense electronics, as well as semiconductors and materials products. In order to limit the cost of the plan, we closed the plan to new participants in 1997. We gave U.S. employees as of November 1997 the choice to continue participating in the plan, or to have their plan benefits frozen (i.e., no benefit increase attributable to years of service or change in eligible earnings) and begin participating in an enhanced defined contribution plan. Mr. Templeton chose not to continue participating in the defined benefit plan. As a result, his benefits under that plan were frozen in 1997, and he participates in the enhanced defined contribution plan described below. Mr. Delagi continued his participation in the defined benefit pension plan until his retirement on February 5, 2020. Messrs. Lizardi, Anderskouv and Ilan joined the company after 1997 and are not eligible to participate in the defined benefit plan.</w:t>
      </w:r>
    </w:p>
    <w:p>
      <w:pPr>
        <w:spacing w:after="0" w:line="134" w:lineRule="exact"/>
        <w:rPr>
          <w:sz w:val="20"/>
          <w:szCs w:val="20"/>
          <w:color w:val="auto"/>
        </w:rPr>
      </w:pPr>
    </w:p>
    <w:tbl>
      <w:tblPr>
        <w:tblLayout w:type="fixed"/>
        <w:tblInd w:w="4040" w:type="dxa"/>
        <w:tblCellMar>
          <w:top w:w="0" w:type="dxa"/>
          <w:left w:w="0" w:type="dxa"/>
          <w:bottom w:w="0" w:type="dxa"/>
          <w:right w:w="0" w:type="dxa"/>
        </w:tblCellMar>
      </w:tblPr>
      <w:tr>
        <w:trPr>
          <w:trHeight w:val="152"/>
        </w:trPr>
        <w:tc>
          <w:tcPr>
            <w:tcW w:w="5080" w:type="dxa"/>
            <w:vAlign w:val="bottom"/>
          </w:tcPr>
          <w:p>
            <w:pPr>
              <w:spacing w:after="0"/>
              <w:rPr>
                <w:sz w:val="20"/>
                <w:szCs w:val="20"/>
                <w:color w:val="auto"/>
              </w:rPr>
            </w:pPr>
            <w:r>
              <w:rPr>
                <w:rFonts w:ascii="Arial" w:cs="Arial" w:eastAsia="Arial" w:hAnsi="Arial"/>
                <w:sz w:val="13"/>
                <w:szCs w:val="13"/>
                <w:color w:val="666666"/>
              </w:rPr>
              <w:t>TEXAS INSTRUMENTS  •  2020 PROXY STATEMENT</w:t>
            </w:r>
          </w:p>
        </w:tc>
        <w:tc>
          <w:tcPr>
            <w:tcW w:w="2000" w:type="dxa"/>
            <w:vAlign w:val="bottom"/>
          </w:tcPr>
          <w:p>
            <w:pPr>
              <w:jc w:val="right"/>
              <w:spacing w:after="0"/>
              <w:rPr>
                <w:sz w:val="20"/>
                <w:szCs w:val="20"/>
                <w:color w:val="auto"/>
              </w:rPr>
            </w:pPr>
            <w:r>
              <w:rPr>
                <w:rFonts w:ascii="Arial" w:cs="Arial" w:eastAsia="Arial" w:hAnsi="Arial"/>
                <w:sz w:val="13"/>
                <w:szCs w:val="13"/>
                <w:color w:val="666666"/>
              </w:rPr>
              <w:t>29</w:t>
            </w:r>
          </w:p>
        </w:tc>
      </w:tr>
    </w:tbl>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80"/>
        <w:spacing w:after="0" w:line="238" w:lineRule="auto"/>
        <w:rPr>
          <w:sz w:val="20"/>
          <w:szCs w:val="20"/>
          <w:color w:val="auto"/>
        </w:rPr>
      </w:pPr>
      <w:r>
        <w:rPr>
          <w:rFonts w:ascii="Arial" w:cs="Arial" w:eastAsia="Arial" w:hAnsi="Arial"/>
          <w:sz w:val="18"/>
          <w:szCs w:val="18"/>
          <w:color w:val="auto"/>
        </w:rPr>
        <w:t>The Internal Revenue Code (IRC) imposes certain limits on the retirement benefits that may be provided under a qualified plan. To maintain the desired level of benefits, we have non-qualified defined benefit pension plans for participants in the qualified pension plan. Under the non-qualified plans, participants receive benefits that would ordinarily be paid under the qualified pension plan but for the limitations under the IRC. For additional information about the defined benefit plans, please see “2019 pension benefits.”</w:t>
      </w:r>
    </w:p>
    <w:p>
      <w:pPr>
        <w:spacing w:after="0" w:line="205"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Employees accruing benefits in the qualified pension plan, including Mr. Delagi prior to his retirement, also are eligible to participate in a defined contribution plan that provides employer matching contributions. All other employees are eligible to participate in the enhanced defined contribution plan, in which Messrs. Templeton, Lizardi, Anderskouv and Ilan participate. This plan provides for (i) a fixed employer contribution plus an employer matching contribution for employees hired on or before December 31, 2003 or (ii) an employer matching contribution for employees hired after December 31, 2003.</w:t>
      </w:r>
    </w:p>
    <w:p>
      <w:pPr>
        <w:spacing w:after="0" w:line="202"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In general, if an employee who participates in the pension plan (including an employee whose benefits are frozen as described above) dies after having met the requirements for normal or early retirement, his or her beneficiary will receive a benefit equal to the lump-sum amount that the participant would have received if he or she had retired before death. Having already reached the age of 55 and at least 20 years of employment, Mr. Templeton is eligible for early retirement under the pension plans. Mr. Delagi retired effective February 5, 2020, so the lump sum payment option is no longer available to his beneficiary.</w:t>
      </w:r>
    </w:p>
    <w:p>
      <w:pPr>
        <w:spacing w:after="0" w:line="202" w:lineRule="exact"/>
        <w:rPr>
          <w:sz w:val="20"/>
          <w:szCs w:val="20"/>
          <w:color w:val="auto"/>
        </w:rPr>
      </w:pPr>
    </w:p>
    <w:p>
      <w:pPr>
        <w:ind w:left="120" w:right="140"/>
        <w:spacing w:after="0" w:line="255" w:lineRule="auto"/>
        <w:rPr>
          <w:sz w:val="20"/>
          <w:szCs w:val="20"/>
          <w:color w:val="auto"/>
        </w:rPr>
      </w:pPr>
      <w:r>
        <w:rPr>
          <w:rFonts w:ascii="Arial" w:cs="Arial" w:eastAsia="Arial" w:hAnsi="Arial"/>
          <w:sz w:val="17"/>
          <w:szCs w:val="17"/>
          <w:color w:val="auto"/>
        </w:rPr>
        <w:t>Because benefits under the qualified and non-qualified defined benefit pension plans are calculated on the basis of eligible earnings (salary and bonus), an increase in salary or bonus may result in an increase in benefits under the plans. Salary or bonus increases for Mr. Templeton do not result in greater benefits for him under the company’s defined benefit pension plans because his benefits under those plans were frozen in 1997. Messrs. Lizardi, Anderskouv and Ilan do not participate in the company’s defined benefit pension plans. The committee considers the potential effect on the executives’ retirement benefits when it sets salary and performance bonus levels.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Deferred compensation</w:t>
      </w:r>
    </w:p>
    <w:p>
      <w:pPr>
        <w:spacing w:after="0" w:line="14"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Any U.S. employee whose base salary and management responsibility exceed a certain level may defer the receipt of a portion of his or her salary, bonus and profit sharing. Rules of the U.S. Department of Labor require that this plan be limited to a select group of management or highly compensated employees. The plan allows employees to defer the receipt of their compensation in a tax-efficient manner. Eligible employees include, but are not limited to, the executive officers. We have the plan to be competitive with the benefits packages offered by other companies.</w:t>
      </w:r>
    </w:p>
    <w:p>
      <w:pPr>
        <w:spacing w:after="0" w:line="202"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executive officers’ deferred compensation account balances are unsecured and all amounts remain part of the company’s operating assets. The value of the deferred amounts tracks the performance of investment alternatives selected by the participant. These alternatives are identical to those offered to participants in the defined contribution plans described above. The company does not guarantee any minimum return on the amounts deferred. In accordance with SEC rules, no earnings on deferred compensation are shown in the summary compensation table for 2019 because no “above market” rates were earned on deferred amounts in that year.</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Employee stock purchase plan</w:t>
      </w:r>
    </w:p>
    <w:p>
      <w:pPr>
        <w:spacing w:after="0" w:line="14"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We have an employee stock purchase plan. Under the plan, which our shareholders approved, all employees in the U.S. and certain other countries may purchase a limited number of shares of the company’s common stock at a 15 percent discount. The plan is designed to offer the broad-based employee population an opportunity to acquire an equity interest in the company and thereby align their interests with those of shareholders. Consistent with our general approach to benefit programs, executive officers are also eligible to participate.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Health-related benefits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Executive officers are eligible under the same plans as all other U.S. employees for medical, dental, vision, disability and life insurance.</w:t>
      </w:r>
    </w:p>
    <w:p>
      <w:pPr>
        <w:ind w:left="120"/>
        <w:spacing w:after="0"/>
        <w:rPr>
          <w:sz w:val="20"/>
          <w:szCs w:val="20"/>
          <w:color w:val="auto"/>
        </w:rPr>
      </w:pPr>
      <w:r>
        <w:rPr>
          <w:rFonts w:ascii="Arial" w:cs="Arial" w:eastAsia="Arial" w:hAnsi="Arial"/>
          <w:sz w:val="18"/>
          <w:szCs w:val="18"/>
          <w:color w:val="auto"/>
        </w:rPr>
        <w:t>These benefits are intended to be competitive with benefits offered in the semiconductor industry.</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Other benefits</w:t>
      </w:r>
    </w:p>
    <w:p>
      <w:pPr>
        <w:spacing w:after="0" w:line="1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Executive officers receive only a few benefits that are not available to all other U.S. employees. They are eligible for a company-paid physical and financial counseling. In addition, the board of directors has determined that for security reasons, it is in the company’s interest to allow Mr. Templeton, at his option, to use company aircraft for personal air travel. Please see Footnote 6 of the summary compensation table for 2019 and “Potential payments upon termination or change in control – Termination – Perquisites” for further details. The company provides no tax gross-ups for perquisites to any of the executive officers.</w:t>
      </w:r>
    </w:p>
    <w:p>
      <w:pPr>
        <w:spacing w:after="0" w:line="130" w:lineRule="exact"/>
        <w:rPr>
          <w:sz w:val="20"/>
          <w:szCs w:val="20"/>
          <w:color w:val="auto"/>
        </w:rPr>
      </w:pPr>
    </w:p>
    <w:p>
      <w:pPr>
        <w:ind w:left="120"/>
        <w:spacing w:after="0"/>
        <w:tabs>
          <w:tab w:leader="none" w:pos="4020" w:val="left"/>
          <w:tab w:leader="none" w:pos="5500" w:val="left"/>
          <w:tab w:leader="none" w:pos="5700" w:val="left"/>
        </w:tabs>
        <w:rPr>
          <w:sz w:val="20"/>
          <w:szCs w:val="20"/>
          <w:color w:val="auto"/>
        </w:rPr>
      </w:pPr>
      <w:r>
        <w:rPr>
          <w:rFonts w:ascii="Arial" w:cs="Arial" w:eastAsia="Arial" w:hAnsi="Arial"/>
          <w:sz w:val="13"/>
          <w:szCs w:val="13"/>
          <w:color w:val="666666"/>
        </w:rPr>
        <w:t>30</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2020 PROXY STATEMENT</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following employment termination or change in control</w:t>
      </w:r>
    </w:p>
    <w:p>
      <w:pPr>
        <w:spacing w:after="0" w:line="122"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None of the executive officers has an employment contract. Executive officers are eligible for benefits on the same terms as other U.S. employees upon termination of employment or a change in control of the company. The current programs are described under “Potential payments upon termination or change in control.” None of the few additional benefits that the executive officers receive continue after termination of employment, except that financial counseling is provided for a transition period following retirement. The committee reviews the potential impact of these programs before finalizing the annual compensation for the named executive officers. The committee did not raise or lower compensation for 2019 based on this review.</w:t>
      </w:r>
    </w:p>
    <w:p>
      <w:pPr>
        <w:spacing w:after="0" w:line="205"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The Texas Instruments 2009 Long-Term Incentive Plan generally establishes double-trigger change-in-control terms for grants made in 2010 and later years. Under those terms, options become fully exercisable and shares are issued under restricted stock unit awards (to the extent permitted by Section 409A of the IRC) if the grantee is involuntarily terminated within 24 months after a change in control of TI. These terms are intended to encourage employees to remain with the company through a transaction while reducing employee uncertainty and distraction in the period leading up to any such event.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 ownership guidelines and policy against hedging</w:t>
      </w:r>
    </w:p>
    <w:p>
      <w:pPr>
        <w:spacing w:after="0" w:line="122"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Our board of directors has established stock ownership guidelines for executive officers. The guideline for the CEO is four times base salary or 125,000 shares, whichever is less. The guideline for other executive officers is three times base salary or 25,000 shares, whichever is less. Executive officers have five years from their election as executive officers to reach these targets. Directly owned shares and restricted stock units count toward satisfying the guidelines.</w:t>
      </w:r>
    </w:p>
    <w:p>
      <w:pPr>
        <w:spacing w:after="0" w:line="205" w:lineRule="exact"/>
        <w:rPr>
          <w:sz w:val="20"/>
          <w:szCs w:val="20"/>
          <w:color w:val="auto"/>
        </w:rPr>
      </w:pPr>
    </w:p>
    <w:p>
      <w:pPr>
        <w:jc w:val="both"/>
        <w:ind w:left="120" w:right="280"/>
        <w:spacing w:after="0"/>
        <w:rPr>
          <w:sz w:val="20"/>
          <w:szCs w:val="20"/>
          <w:color w:val="auto"/>
        </w:rPr>
      </w:pPr>
      <w:r>
        <w:rPr>
          <w:rFonts w:ascii="Arial" w:cs="Arial" w:eastAsia="Arial" w:hAnsi="Arial"/>
          <w:sz w:val="18"/>
          <w:szCs w:val="18"/>
          <w:color w:val="auto"/>
        </w:rPr>
        <w:t>Short sales of TI stock by our executive officers are prohibited. It is against TI policy for any employee, including an executive officer, to engage in trading in “puts” (options to sell at a fixed price), “calls” (similar options to buy), or other options or hedging techniques on TI stock</w:t>
      </w:r>
      <w:r>
        <w:rPr>
          <w:rFonts w:ascii="Arial" w:cs="Arial" w:eastAsia="Arial" w:hAnsi="Arial"/>
          <w:sz w:val="18"/>
          <w:szCs w:val="18"/>
          <w:i w:val="1"/>
          <w:iCs w:val="1"/>
          <w:color w:val="auto"/>
        </w:rPr>
        <w: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Consideration of tax and accounting treatment of compensation</w:t>
      </w:r>
    </w:p>
    <w:p>
      <w:pPr>
        <w:spacing w:after="0" w:line="122"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Current tax law limits the tax deductibility of annual compensation paid to any publicly held corporation’s “covered employees,” which includes all of our named executive officers. The Compensation Committee considers the impact of this deductibility limit as one factor in its determination of compensation.</w:t>
      </w:r>
    </w:p>
    <w:p>
      <w:pPr>
        <w:spacing w:after="0" w:line="203" w:lineRule="exact"/>
        <w:rPr>
          <w:sz w:val="20"/>
          <w:szCs w:val="20"/>
          <w:color w:val="auto"/>
        </w:rPr>
      </w:pPr>
    </w:p>
    <w:p>
      <w:pPr>
        <w:jc w:val="both"/>
        <w:ind w:left="120" w:right="140"/>
        <w:spacing w:after="0"/>
        <w:rPr>
          <w:sz w:val="20"/>
          <w:szCs w:val="20"/>
          <w:color w:val="auto"/>
        </w:rPr>
      </w:pPr>
      <w:r>
        <w:rPr>
          <w:rFonts w:ascii="Arial" w:cs="Arial" w:eastAsia="Arial" w:hAnsi="Arial"/>
          <w:sz w:val="18"/>
          <w:szCs w:val="18"/>
          <w:color w:val="auto"/>
        </w:rPr>
        <w:t>When setting equity compensation, the committee considers the cost for financial reporting purposes of equity compensation it intends to grant. Its consideration of the cost of grants made in 2019 is discussed under “Analysis of compensation determination for 2019 – Equity compensation.”</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Compensation Committee report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Compensation Committee of the board of directors has furnished the following report:</w:t>
      </w:r>
    </w:p>
    <w:p>
      <w:pPr>
        <w:spacing w:after="0" w:line="212"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The committee has reviewed and discussed the Compensation Discussion and Analysis (CD&amp;A) with the company’s management. Based on that review and discussion, the committee has recommended to the board of directors that the CD&amp;A be included in the company’s annual report on Form 10-K for 2019 and the company’s proxy statement for the 2020 annual meeting of stockholders.</w:t>
      </w:r>
    </w:p>
    <w:p>
      <w:pPr>
        <w:sectPr>
          <w:pgSz w:w="11900" w:h="16838" w:orient="portrait"/>
          <w:cols w:equalWidth="0" w:num="1">
            <w:col w:w="11120"/>
          </w:cols>
          <w:pgMar w:left="320" w:top="459" w:right="459" w:bottom="1440" w:gutter="0" w:footer="0" w:header="0"/>
        </w:sectPr>
      </w:pPr>
    </w:p>
    <w:p>
      <w:pPr>
        <w:spacing w:after="0" w:line="230"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Pamela H. Patsley, Chair</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1460"/>
        <w:spacing w:after="0"/>
        <w:rPr>
          <w:sz w:val="20"/>
          <w:szCs w:val="20"/>
          <w:color w:val="auto"/>
        </w:rPr>
      </w:pPr>
      <w:r>
        <w:rPr>
          <w:rFonts w:ascii="Arial" w:cs="Arial" w:eastAsia="Arial" w:hAnsi="Arial"/>
          <w:sz w:val="17"/>
          <w:szCs w:val="17"/>
          <w:color w:val="auto"/>
        </w:rPr>
        <w:t>Carrie S. Cox</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Martin S. Craighead</w:t>
      </w:r>
    </w:p>
    <w:p>
      <w:pPr>
        <w:spacing w:after="0" w:line="150" w:lineRule="exact"/>
        <w:rPr>
          <w:sz w:val="20"/>
          <w:szCs w:val="20"/>
          <w:color w:val="auto"/>
        </w:rPr>
      </w:pPr>
    </w:p>
    <w:p>
      <w:pPr>
        <w:sectPr>
          <w:pgSz w:w="11900" w:h="16838" w:orient="portrait"/>
          <w:cols w:equalWidth="0" w:num="3">
            <w:col w:w="4740" w:space="720"/>
            <w:col w:w="2540" w:space="720"/>
            <w:col w:w="2400"/>
          </w:cols>
          <w:pgMar w:left="320" w:top="459" w:right="459" w:bottom="1440" w:gutter="0" w:footer="0" w:header="0"/>
          <w:type w:val="continuous"/>
        </w:sectPr>
      </w:pPr>
    </w:p>
    <w:p>
      <w:pPr>
        <w:ind w:left="4040"/>
        <w:spacing w:after="0"/>
        <w:rPr>
          <w:sz w:val="20"/>
          <w:szCs w:val="20"/>
          <w:color w:val="auto"/>
        </w:rPr>
      </w:pPr>
      <w:r>
        <w:rPr>
          <w:rFonts w:ascii="Arial" w:cs="Arial" w:eastAsia="Arial" w:hAnsi="Arial"/>
          <w:sz w:val="12"/>
          <w:szCs w:val="12"/>
          <w:color w:val="666666"/>
        </w:rPr>
        <w:t>TEXAS INSTRUMENTS</w:t>
      </w:r>
    </w:p>
    <w:p>
      <w:pPr>
        <w:spacing w:after="0" w:line="20" w:lineRule="exact"/>
        <w:rPr>
          <w:sz w:val="20"/>
          <w:szCs w:val="20"/>
          <w:color w:val="auto"/>
        </w:rPr>
      </w:pPr>
      <w:r>
        <w:rPr>
          <w:sz w:val="20"/>
          <w:szCs w:val="20"/>
          <w:color w:val="auto"/>
        </w:rPr>
        <w:br w:type="column"/>
      </w:r>
    </w:p>
    <w:p>
      <w:pPr>
        <w:spacing w:after="0"/>
        <w:tabs>
          <w:tab w:leader="none" w:pos="180" w:val="left"/>
        </w:tabs>
        <w:rPr>
          <w:sz w:val="20"/>
          <w:szCs w:val="20"/>
          <w:color w:val="auto"/>
        </w:rPr>
      </w:pPr>
      <w:r>
        <w:rPr>
          <w:rFonts w:ascii="Arial" w:cs="Arial" w:eastAsia="Arial" w:hAnsi="Arial"/>
          <w:sz w:val="12"/>
          <w:szCs w:val="12"/>
          <w:color w:val="666666"/>
        </w:rPr>
        <w:t>•</w:t>
        <w:tab/>
        <w:t>2020 PROXY STATEMENT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666666"/>
        </w:rPr>
        <w:t>31</w:t>
      </w:r>
    </w:p>
    <w:p>
      <w:pPr>
        <w:sectPr>
          <w:pgSz w:w="11900" w:h="16838" w:orient="portrait"/>
          <w:cols w:equalWidth="0" w:num="3">
            <w:col w:w="5380" w:space="140"/>
            <w:col w:w="4740" w:space="720"/>
            <w:col w:w="140"/>
          </w:cols>
          <w:pgMar w:left="320" w:top="459" w:right="45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2019 summary compensation table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shows the compensation of the CEO, the CFO and each of the other three most highly compensated individuals who were executive officers during 2019 (collectively called the “named executive officers” (NEOs)) for services in all capacities to the company in 2019.</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ind w:right="113"/>
              <w:spacing w:after="0"/>
              <w:rPr>
                <w:sz w:val="20"/>
                <w:szCs w:val="20"/>
                <w:color w:val="auto"/>
              </w:rPr>
            </w:pPr>
            <w:r>
              <w:rPr>
                <w:rFonts w:ascii="Arial" w:cs="Arial" w:eastAsia="Arial" w:hAnsi="Arial"/>
                <w:sz w:val="14"/>
                <w:szCs w:val="14"/>
                <w:b w:val="1"/>
                <w:bCs w:val="1"/>
                <w:color w:val="auto"/>
              </w:rPr>
              <w:t>Change in</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2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rPr>
              <w:t>Pension Value</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2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ind w:right="113"/>
              <w:spacing w:after="0"/>
              <w:rPr>
                <w:sz w:val="20"/>
                <w:szCs w:val="20"/>
                <w:color w:val="auto"/>
              </w:rPr>
            </w:pPr>
            <w:r>
              <w:rPr>
                <w:rFonts w:ascii="Arial" w:cs="Arial" w:eastAsia="Arial" w:hAnsi="Arial"/>
                <w:sz w:val="14"/>
                <w:szCs w:val="14"/>
                <w:b w:val="1"/>
                <w:bCs w:val="1"/>
                <w:color w:val="auto"/>
              </w:rPr>
              <w:t>and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2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92"/>
              <w:spacing w:after="0"/>
              <w:rPr>
                <w:sz w:val="20"/>
                <w:szCs w:val="20"/>
                <w:color w:val="auto"/>
              </w:rPr>
            </w:pPr>
            <w:r>
              <w:rPr>
                <w:rFonts w:ascii="Arial" w:cs="Arial" w:eastAsia="Arial" w:hAnsi="Arial"/>
                <w:sz w:val="14"/>
                <w:szCs w:val="14"/>
                <w:b w:val="1"/>
                <w:bCs w:val="1"/>
                <w:color w:val="auto"/>
              </w:rPr>
              <w:t>Non-Equity</w:t>
            </w: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rPr>
              <w:t>Nonqualified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2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9"/>
              </w:rPr>
              <w:t>Stock</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Incentive Plan</w:t>
            </w:r>
          </w:p>
        </w:tc>
        <w:tc>
          <w:tcPr>
            <w:tcW w:w="220" w:type="dxa"/>
            <w:vAlign w:val="bottom"/>
          </w:tcPr>
          <w:p>
            <w:pPr>
              <w:spacing w:after="0"/>
              <w:rPr>
                <w:sz w:val="14"/>
                <w:szCs w:val="14"/>
                <w:color w:val="auto"/>
              </w:rPr>
            </w:pPr>
          </w:p>
        </w:tc>
        <w:tc>
          <w:tcPr>
            <w:tcW w:w="980" w:type="dxa"/>
            <w:vAlign w:val="bottom"/>
          </w:tcPr>
          <w:p>
            <w:pPr>
              <w:jc w:val="center"/>
              <w:ind w:right="133"/>
              <w:spacing w:after="0"/>
              <w:rPr>
                <w:sz w:val="20"/>
                <w:szCs w:val="20"/>
                <w:color w:val="auto"/>
              </w:rPr>
            </w:pPr>
            <w:r>
              <w:rPr>
                <w:rFonts w:ascii="Arial" w:cs="Arial" w:eastAsia="Arial" w:hAnsi="Arial"/>
                <w:sz w:val="14"/>
                <w:szCs w:val="14"/>
                <w:b w:val="1"/>
                <w:bCs w:val="1"/>
                <w:color w:val="auto"/>
              </w:rPr>
              <w:t>Deferred</w:t>
            </w:r>
          </w:p>
        </w:tc>
        <w:tc>
          <w:tcPr>
            <w:tcW w:w="220" w:type="dxa"/>
            <w:vAlign w:val="bottom"/>
          </w:tcPr>
          <w:p>
            <w:pPr>
              <w:spacing w:after="0"/>
              <w:rPr>
                <w:sz w:val="14"/>
                <w:szCs w:val="14"/>
                <w:color w:val="auto"/>
              </w:rPr>
            </w:pPr>
          </w:p>
        </w:tc>
        <w:tc>
          <w:tcPr>
            <w:tcW w:w="920" w:type="dxa"/>
            <w:vAlign w:val="bottom"/>
          </w:tcPr>
          <w:p>
            <w:pPr>
              <w:jc w:val="right"/>
              <w:ind w:right="172"/>
              <w:spacing w:after="0"/>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2520" w:type="dxa"/>
            <w:vAlign w:val="bottom"/>
          </w:tcPr>
          <w:p>
            <w:pPr>
              <w:spacing w:after="0"/>
              <w:rPr>
                <w:sz w:val="20"/>
                <w:szCs w:val="20"/>
                <w:color w:val="auto"/>
              </w:rPr>
            </w:pPr>
            <w:r>
              <w:rPr>
                <w:rFonts w:ascii="Arial" w:cs="Arial" w:eastAsia="Arial" w:hAnsi="Arial"/>
                <w:sz w:val="14"/>
                <w:szCs w:val="14"/>
                <w:b w:val="1"/>
                <w:bCs w:val="1"/>
                <w:color w:val="auto"/>
              </w:rPr>
              <w:t>Name and Principal</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232"/>
              <w:spacing w:after="0"/>
              <w:rPr>
                <w:sz w:val="20"/>
                <w:szCs w:val="20"/>
                <w:color w:val="auto"/>
              </w:rPr>
            </w:pPr>
            <w:r>
              <w:rPr>
                <w:rFonts w:ascii="Arial" w:cs="Arial" w:eastAsia="Arial" w:hAnsi="Arial"/>
                <w:sz w:val="14"/>
                <w:szCs w:val="14"/>
                <w:b w:val="1"/>
                <w:bCs w:val="1"/>
                <w:color w:val="auto"/>
              </w:rPr>
              <w:t>Salary</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Compensation</w:t>
            </w: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Compensation</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9"/>
        </w:trPr>
        <w:tc>
          <w:tcPr>
            <w:tcW w:w="2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c>
          <w:tcPr>
            <w:tcW w:w="5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Year</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(2)</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(3)</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 (4)</w:t>
            </w: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Earnings ($) (5)</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 (6)</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Total ($)</w:t>
            </w:r>
          </w:p>
        </w:tc>
      </w:tr>
      <w:tr>
        <w:trPr>
          <w:trHeight w:val="195"/>
        </w:trPr>
        <w:tc>
          <w:tcPr>
            <w:tcW w:w="2520" w:type="dxa"/>
            <w:vAlign w:val="bottom"/>
            <w:shd w:val="clear" w:color="auto" w:fill="E5E5E5"/>
          </w:tcPr>
          <w:p>
            <w:pPr>
              <w:spacing w:after="0" w:line="195" w:lineRule="exact"/>
              <w:rPr>
                <w:sz w:val="20"/>
                <w:szCs w:val="20"/>
                <w:color w:val="auto"/>
              </w:rPr>
            </w:pPr>
            <w:r>
              <w:rPr>
                <w:rFonts w:ascii="Arial" w:cs="Arial" w:eastAsia="Arial" w:hAnsi="Arial"/>
                <w:sz w:val="18"/>
                <w:szCs w:val="18"/>
                <w:color w:val="auto"/>
              </w:rPr>
              <w:t>Richard K. Templeton</w:t>
            </w:r>
          </w:p>
        </w:tc>
        <w:tc>
          <w:tcPr>
            <w:tcW w:w="580" w:type="dxa"/>
            <w:vAlign w:val="bottom"/>
            <w:shd w:val="clear" w:color="auto" w:fill="E5E5E5"/>
          </w:tcPr>
          <w:p>
            <w:pPr>
              <w:ind w:left="120"/>
              <w:spacing w:after="0" w:line="195" w:lineRule="exact"/>
              <w:rPr>
                <w:sz w:val="20"/>
                <w:szCs w:val="20"/>
                <w:color w:val="auto"/>
              </w:rPr>
            </w:pPr>
            <w:r>
              <w:rPr>
                <w:rFonts w:ascii="Arial" w:cs="Arial" w:eastAsia="Arial" w:hAnsi="Arial"/>
                <w:sz w:val="18"/>
                <w:szCs w:val="18"/>
                <w:color w:val="auto"/>
              </w:rPr>
              <w:t>2019</w:t>
            </w:r>
          </w:p>
        </w:tc>
        <w:tc>
          <w:tcPr>
            <w:tcW w:w="200" w:type="dxa"/>
            <w:vAlign w:val="bottom"/>
            <w:shd w:val="clear" w:color="auto" w:fill="E5E5E5"/>
          </w:tcPr>
          <w:p>
            <w:pPr>
              <w:jc w:val="right"/>
              <w:spacing w:after="0" w:line="195" w:lineRule="exact"/>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spacing w:after="0" w:line="195" w:lineRule="exact"/>
              <w:rPr>
                <w:sz w:val="20"/>
                <w:szCs w:val="20"/>
                <w:color w:val="auto"/>
              </w:rPr>
            </w:pPr>
            <w:r>
              <w:rPr>
                <w:rFonts w:ascii="Arial" w:cs="Arial" w:eastAsia="Arial" w:hAnsi="Arial"/>
                <w:sz w:val="18"/>
                <w:szCs w:val="18"/>
                <w:color w:val="auto"/>
                <w:w w:val="99"/>
              </w:rPr>
              <w:t>1,295,833</w:t>
            </w:r>
          </w:p>
        </w:tc>
        <w:tc>
          <w:tcPr>
            <w:tcW w:w="1080" w:type="dxa"/>
            <w:vAlign w:val="bottom"/>
            <w:shd w:val="clear" w:color="auto" w:fill="E5E5E5"/>
          </w:tcPr>
          <w:p>
            <w:pPr>
              <w:jc w:val="center"/>
              <w:spacing w:after="0" w:line="195" w:lineRule="exact"/>
              <w:rPr>
                <w:sz w:val="20"/>
                <w:szCs w:val="20"/>
                <w:color w:val="auto"/>
              </w:rPr>
            </w:pPr>
            <w:r>
              <w:rPr>
                <w:rFonts w:ascii="Arial" w:cs="Arial" w:eastAsia="Arial" w:hAnsi="Arial"/>
                <w:sz w:val="18"/>
                <w:szCs w:val="18"/>
                <w:color w:val="auto"/>
              </w:rPr>
              <w:t>$ 6,500,045</w:t>
            </w:r>
          </w:p>
        </w:tc>
        <w:tc>
          <w:tcPr>
            <w:tcW w:w="1080" w:type="dxa"/>
            <w:vAlign w:val="bottom"/>
            <w:shd w:val="clear" w:color="auto" w:fill="E5E5E5"/>
          </w:tcPr>
          <w:p>
            <w:pPr>
              <w:jc w:val="center"/>
              <w:spacing w:after="0" w:line="195" w:lineRule="exact"/>
              <w:rPr>
                <w:sz w:val="20"/>
                <w:szCs w:val="20"/>
                <w:color w:val="auto"/>
              </w:rPr>
            </w:pPr>
            <w:r>
              <w:rPr>
                <w:rFonts w:ascii="Arial" w:cs="Arial" w:eastAsia="Arial" w:hAnsi="Arial"/>
                <w:sz w:val="18"/>
                <w:szCs w:val="18"/>
                <w:color w:val="auto"/>
              </w:rPr>
              <w:t>$ 6,500,012</w:t>
            </w:r>
          </w:p>
        </w:tc>
        <w:tc>
          <w:tcPr>
            <w:tcW w:w="180" w:type="dxa"/>
            <w:vAlign w:val="bottom"/>
            <w:shd w:val="clear" w:color="auto" w:fill="E5E5E5"/>
          </w:tcPr>
          <w:p>
            <w:pPr>
              <w:ind w:left="60"/>
              <w:spacing w:after="0" w:line="195"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E5E5E5"/>
          </w:tcPr>
          <w:p>
            <w:pPr>
              <w:jc w:val="right"/>
              <w:spacing w:after="0" w:line="195" w:lineRule="exact"/>
              <w:rPr>
                <w:sz w:val="20"/>
                <w:szCs w:val="20"/>
                <w:color w:val="auto"/>
              </w:rPr>
            </w:pPr>
            <w:r>
              <w:rPr>
                <w:rFonts w:ascii="Arial" w:cs="Arial" w:eastAsia="Arial" w:hAnsi="Arial"/>
                <w:sz w:val="18"/>
                <w:szCs w:val="18"/>
                <w:color w:val="auto"/>
              </w:rPr>
              <w:t>3,809,167</w:t>
            </w:r>
          </w:p>
        </w:tc>
        <w:tc>
          <w:tcPr>
            <w:tcW w:w="220" w:type="dxa"/>
            <w:vAlign w:val="bottom"/>
            <w:shd w:val="clear" w:color="auto" w:fill="E5E5E5"/>
          </w:tcPr>
          <w:p>
            <w:pPr>
              <w:jc w:val="right"/>
              <w:spacing w:after="0" w:line="195" w:lineRule="exact"/>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spacing w:after="0" w:line="195" w:lineRule="exact"/>
              <w:rPr>
                <w:sz w:val="20"/>
                <w:szCs w:val="20"/>
                <w:color w:val="auto"/>
              </w:rPr>
            </w:pPr>
            <w:r>
              <w:rPr>
                <w:rFonts w:ascii="Arial" w:cs="Arial" w:eastAsia="Arial" w:hAnsi="Arial"/>
                <w:sz w:val="18"/>
                <w:szCs w:val="18"/>
                <w:color w:val="auto"/>
              </w:rPr>
              <w:t>202,588</w:t>
            </w:r>
          </w:p>
        </w:tc>
        <w:tc>
          <w:tcPr>
            <w:tcW w:w="220" w:type="dxa"/>
            <w:vAlign w:val="bottom"/>
            <w:shd w:val="clear" w:color="auto" w:fill="E5E5E5"/>
          </w:tcPr>
          <w:p>
            <w:pPr>
              <w:ind w:left="60"/>
              <w:spacing w:after="0" w:line="195" w:lineRule="exact"/>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spacing w:after="0" w:line="195" w:lineRule="exact"/>
              <w:rPr>
                <w:sz w:val="20"/>
                <w:szCs w:val="20"/>
                <w:color w:val="auto"/>
              </w:rPr>
            </w:pPr>
            <w:r>
              <w:rPr>
                <w:rFonts w:ascii="Arial" w:cs="Arial" w:eastAsia="Arial" w:hAnsi="Arial"/>
                <w:sz w:val="18"/>
                <w:szCs w:val="18"/>
                <w:color w:val="auto"/>
              </w:rPr>
              <w:t>326,162</w:t>
            </w:r>
          </w:p>
        </w:tc>
        <w:tc>
          <w:tcPr>
            <w:tcW w:w="200" w:type="dxa"/>
            <w:vAlign w:val="bottom"/>
            <w:shd w:val="clear" w:color="auto" w:fill="E5E5E5"/>
          </w:tcPr>
          <w:p>
            <w:pPr>
              <w:jc w:val="right"/>
              <w:spacing w:after="0" w:line="195"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spacing w:after="0" w:line="195" w:lineRule="exact"/>
              <w:rPr>
                <w:sz w:val="20"/>
                <w:szCs w:val="20"/>
                <w:color w:val="auto"/>
              </w:rPr>
            </w:pPr>
            <w:r>
              <w:rPr>
                <w:rFonts w:ascii="Arial" w:cs="Arial" w:eastAsia="Arial" w:hAnsi="Arial"/>
                <w:sz w:val="18"/>
                <w:szCs w:val="18"/>
                <w:color w:val="auto"/>
              </w:rPr>
              <w:t>18,633,807</w:t>
            </w:r>
          </w:p>
        </w:tc>
      </w:tr>
      <w:tr>
        <w:trPr>
          <w:trHeight w:val="203"/>
        </w:trPr>
        <w:tc>
          <w:tcPr>
            <w:tcW w:w="2520" w:type="dxa"/>
            <w:vAlign w:val="bottom"/>
            <w:shd w:val="clear" w:color="auto" w:fill="E5E5E5"/>
          </w:tcPr>
          <w:p>
            <w:pPr>
              <w:ind w:left="180"/>
              <w:spacing w:after="0" w:line="202" w:lineRule="exact"/>
              <w:rPr>
                <w:sz w:val="20"/>
                <w:szCs w:val="20"/>
                <w:color w:val="auto"/>
              </w:rPr>
            </w:pPr>
            <w:r>
              <w:rPr>
                <w:rFonts w:ascii="Arial" w:cs="Arial" w:eastAsia="Arial" w:hAnsi="Arial"/>
                <w:sz w:val="18"/>
                <w:szCs w:val="18"/>
                <w:color w:val="auto"/>
              </w:rPr>
              <w:t>Chairman, President &amp;</w:t>
            </w:r>
          </w:p>
        </w:tc>
        <w:tc>
          <w:tcPr>
            <w:tcW w:w="580" w:type="dxa"/>
            <w:vAlign w:val="bottom"/>
            <w:shd w:val="clear" w:color="auto" w:fill="E5E5E5"/>
          </w:tcPr>
          <w:p>
            <w:pPr>
              <w:ind w:left="120"/>
              <w:spacing w:after="0" w:line="202" w:lineRule="exact"/>
              <w:rPr>
                <w:sz w:val="20"/>
                <w:szCs w:val="20"/>
                <w:color w:val="auto"/>
              </w:rPr>
            </w:pPr>
            <w:r>
              <w:rPr>
                <w:rFonts w:ascii="Arial" w:cs="Arial" w:eastAsia="Arial" w:hAnsi="Arial"/>
                <w:sz w:val="18"/>
                <w:szCs w:val="18"/>
                <w:color w:val="auto"/>
              </w:rPr>
              <w:t>2018</w:t>
            </w:r>
          </w:p>
        </w:tc>
        <w:tc>
          <w:tcPr>
            <w:tcW w:w="2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99"/>
              </w:rPr>
              <w:t>1,131,252</w:t>
            </w:r>
          </w:p>
        </w:tc>
        <w:tc>
          <w:tcPr>
            <w:tcW w:w="108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rPr>
              <w:t>$ 6,000,091</w:t>
            </w:r>
          </w:p>
        </w:tc>
        <w:tc>
          <w:tcPr>
            <w:tcW w:w="108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rPr>
              <w:t>$ 6,000,019</w:t>
            </w:r>
          </w:p>
        </w:tc>
        <w:tc>
          <w:tcPr>
            <w:tcW w:w="18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4,026,250</w:t>
            </w:r>
          </w:p>
        </w:tc>
        <w:tc>
          <w:tcPr>
            <w:tcW w:w="220" w:type="dxa"/>
            <w:vAlign w:val="bottom"/>
            <w:shd w:val="clear" w:color="auto" w:fill="E5E5E5"/>
          </w:tcPr>
          <w:p>
            <w:pPr>
              <w:spacing w:after="0"/>
              <w:rPr>
                <w:sz w:val="17"/>
                <w:szCs w:val="17"/>
                <w:color w:val="auto"/>
              </w:rPr>
            </w:pP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418,612</w:t>
            </w:r>
          </w:p>
        </w:tc>
        <w:tc>
          <w:tcPr>
            <w:tcW w:w="2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17,576,224</w:t>
            </w:r>
          </w:p>
        </w:tc>
      </w:tr>
      <w:tr>
        <w:trPr>
          <w:trHeight w:val="203"/>
        </w:trPr>
        <w:tc>
          <w:tcPr>
            <w:tcW w:w="2520" w:type="dxa"/>
            <w:vAlign w:val="bottom"/>
            <w:shd w:val="clear" w:color="auto" w:fill="E5E5E5"/>
          </w:tcPr>
          <w:p>
            <w:pPr>
              <w:ind w:left="180"/>
              <w:spacing w:after="0" w:line="203" w:lineRule="exact"/>
              <w:rPr>
                <w:sz w:val="20"/>
                <w:szCs w:val="20"/>
                <w:color w:val="auto"/>
              </w:rPr>
            </w:pPr>
            <w:r>
              <w:rPr>
                <w:rFonts w:ascii="Arial" w:cs="Arial" w:eastAsia="Arial" w:hAnsi="Arial"/>
                <w:sz w:val="18"/>
                <w:szCs w:val="18"/>
                <w:color w:val="auto"/>
              </w:rPr>
              <w:t>Chief Executive Officer</w:t>
            </w:r>
          </w:p>
        </w:tc>
        <w:tc>
          <w:tcPr>
            <w:tcW w:w="580" w:type="dxa"/>
            <w:vAlign w:val="bottom"/>
            <w:shd w:val="clear" w:color="auto" w:fill="E5E5E5"/>
          </w:tcPr>
          <w:p>
            <w:pPr>
              <w:ind w:left="120"/>
              <w:spacing w:after="0" w:line="203" w:lineRule="exact"/>
              <w:rPr>
                <w:sz w:val="20"/>
                <w:szCs w:val="20"/>
                <w:color w:val="auto"/>
              </w:rPr>
            </w:pPr>
            <w:r>
              <w:rPr>
                <w:rFonts w:ascii="Arial" w:cs="Arial" w:eastAsia="Arial" w:hAnsi="Arial"/>
                <w:sz w:val="18"/>
                <w:szCs w:val="18"/>
                <w:color w:val="auto"/>
                <w:shd w:val="clear" w:color="auto" w:fill="E5E5E5"/>
              </w:rPr>
              <w:t>2017</w:t>
            </w:r>
          </w:p>
        </w:tc>
        <w:tc>
          <w:tcPr>
            <w:tcW w:w="20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shd w:val="clear" w:color="auto" w:fill="E5E5E5"/>
              </w:rPr>
              <w:t>$</w:t>
            </w:r>
          </w:p>
        </w:tc>
        <w:tc>
          <w:tcPr>
            <w:tcW w:w="88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w w:val="99"/>
                <w:shd w:val="clear" w:color="auto" w:fill="E5E5E5"/>
              </w:rPr>
              <w:t>1,188,004</w:t>
            </w:r>
          </w:p>
        </w:tc>
        <w:tc>
          <w:tcPr>
            <w:tcW w:w="1080" w:type="dxa"/>
            <w:vAlign w:val="bottom"/>
            <w:shd w:val="clear" w:color="auto" w:fill="E5E5E5"/>
          </w:tcPr>
          <w:p>
            <w:pPr>
              <w:jc w:val="center"/>
              <w:spacing w:after="0" w:line="203" w:lineRule="exact"/>
              <w:rPr>
                <w:sz w:val="20"/>
                <w:szCs w:val="20"/>
                <w:color w:val="auto"/>
              </w:rPr>
            </w:pPr>
            <w:r>
              <w:rPr>
                <w:rFonts w:ascii="Arial" w:cs="Arial" w:eastAsia="Arial" w:hAnsi="Arial"/>
                <w:sz w:val="18"/>
                <w:szCs w:val="18"/>
                <w:color w:val="auto"/>
                <w:shd w:val="clear" w:color="auto" w:fill="E5E5E5"/>
              </w:rPr>
              <w:t>$ 5,500,010</w:t>
            </w:r>
          </w:p>
        </w:tc>
        <w:tc>
          <w:tcPr>
            <w:tcW w:w="1080" w:type="dxa"/>
            <w:vAlign w:val="bottom"/>
            <w:shd w:val="clear" w:color="auto" w:fill="E5E5E5"/>
          </w:tcPr>
          <w:p>
            <w:pPr>
              <w:jc w:val="center"/>
              <w:spacing w:after="0" w:line="203" w:lineRule="exact"/>
              <w:rPr>
                <w:sz w:val="20"/>
                <w:szCs w:val="20"/>
                <w:color w:val="auto"/>
              </w:rPr>
            </w:pPr>
            <w:r>
              <w:rPr>
                <w:rFonts w:ascii="Arial" w:cs="Arial" w:eastAsia="Arial" w:hAnsi="Arial"/>
                <w:sz w:val="18"/>
                <w:szCs w:val="18"/>
                <w:color w:val="auto"/>
                <w:shd w:val="clear" w:color="auto" w:fill="E5E5E5"/>
              </w:rPr>
              <w:t>$ 5,500,004</w:t>
            </w:r>
          </w:p>
        </w:tc>
        <w:tc>
          <w:tcPr>
            <w:tcW w:w="180" w:type="dxa"/>
            <w:vAlign w:val="bottom"/>
            <w:shd w:val="clear" w:color="auto" w:fill="E5E5E5"/>
          </w:tcPr>
          <w:p>
            <w:pPr>
              <w:ind w:left="60"/>
              <w:spacing w:after="0" w:line="203" w:lineRule="exact"/>
              <w:rPr>
                <w:sz w:val="20"/>
                <w:szCs w:val="20"/>
                <w:color w:val="auto"/>
              </w:rPr>
            </w:pPr>
            <w:r>
              <w:rPr>
                <w:rFonts w:ascii="Arial" w:cs="Arial" w:eastAsia="Arial" w:hAnsi="Arial"/>
                <w:sz w:val="18"/>
                <w:szCs w:val="18"/>
                <w:color w:val="auto"/>
                <w:w w:val="99"/>
                <w:shd w:val="clear" w:color="auto" w:fill="E5E5E5"/>
              </w:rPr>
              <w:t>$</w:t>
            </w:r>
          </w:p>
        </w:tc>
        <w:tc>
          <w:tcPr>
            <w:tcW w:w="96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shd w:val="clear" w:color="auto" w:fill="E5E5E5"/>
              </w:rPr>
              <w:t>3,862,601</w:t>
            </w:r>
          </w:p>
        </w:tc>
        <w:tc>
          <w:tcPr>
            <w:tcW w:w="22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shd w:val="clear" w:color="auto" w:fill="E5E5E5"/>
              </w:rPr>
              <w:t>$</w:t>
            </w:r>
          </w:p>
        </w:tc>
        <w:tc>
          <w:tcPr>
            <w:tcW w:w="98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shd w:val="clear" w:color="auto" w:fill="E5E5E5"/>
              </w:rPr>
              <w:t>166,278</w:t>
            </w:r>
          </w:p>
        </w:tc>
        <w:tc>
          <w:tcPr>
            <w:tcW w:w="220" w:type="dxa"/>
            <w:vAlign w:val="bottom"/>
            <w:shd w:val="clear" w:color="auto" w:fill="E5E5E5"/>
          </w:tcPr>
          <w:p>
            <w:pPr>
              <w:ind w:left="60"/>
              <w:spacing w:after="0" w:line="203" w:lineRule="exact"/>
              <w:rPr>
                <w:sz w:val="20"/>
                <w:szCs w:val="20"/>
                <w:color w:val="auto"/>
              </w:rPr>
            </w:pPr>
            <w:r>
              <w:rPr>
                <w:rFonts w:ascii="Arial" w:cs="Arial" w:eastAsia="Arial" w:hAnsi="Arial"/>
                <w:sz w:val="18"/>
                <w:szCs w:val="18"/>
                <w:color w:val="auto"/>
                <w:shd w:val="clear" w:color="auto" w:fill="E5E5E5"/>
              </w:rPr>
              <w:t>$</w:t>
            </w:r>
          </w:p>
        </w:tc>
        <w:tc>
          <w:tcPr>
            <w:tcW w:w="92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shd w:val="clear" w:color="auto" w:fill="E5E5E5"/>
              </w:rPr>
              <w:t>329,825</w:t>
            </w:r>
          </w:p>
        </w:tc>
        <w:tc>
          <w:tcPr>
            <w:tcW w:w="20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shd w:val="clear" w:color="auto" w:fill="E5E5E5"/>
              </w:rPr>
              <w:t>$</w:t>
            </w:r>
          </w:p>
        </w:tc>
        <w:tc>
          <w:tcPr>
            <w:tcW w:w="100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shd w:val="clear" w:color="auto" w:fill="E5E5E5"/>
              </w:rPr>
              <w:t>16,546,722</w:t>
            </w:r>
          </w:p>
        </w:tc>
      </w:tr>
      <w:tr>
        <w:trPr>
          <w:trHeight w:val="418"/>
        </w:trPr>
        <w:tc>
          <w:tcPr>
            <w:tcW w:w="2520" w:type="dxa"/>
            <w:vAlign w:val="bottom"/>
          </w:tcPr>
          <w:p>
            <w:pPr>
              <w:spacing w:after="0"/>
              <w:rPr>
                <w:sz w:val="20"/>
                <w:szCs w:val="20"/>
                <w:color w:val="auto"/>
              </w:rPr>
            </w:pPr>
            <w:r>
              <w:rPr>
                <w:rFonts w:ascii="Arial" w:cs="Arial" w:eastAsia="Arial" w:hAnsi="Arial"/>
                <w:sz w:val="18"/>
                <w:szCs w:val="18"/>
                <w:color w:val="auto"/>
              </w:rPr>
              <w:t>Rafael R. Lizardi</w:t>
            </w:r>
          </w:p>
        </w:tc>
        <w:tc>
          <w:tcPr>
            <w:tcW w:w="580" w:type="dxa"/>
            <w:vAlign w:val="bottom"/>
          </w:tcPr>
          <w:p>
            <w:pPr>
              <w:ind w:left="120"/>
              <w:spacing w:after="0"/>
              <w:rPr>
                <w:sz w:val="20"/>
                <w:szCs w:val="20"/>
                <w:color w:val="auto"/>
              </w:rPr>
            </w:pPr>
            <w:r>
              <w:rPr>
                <w:rFonts w:ascii="Arial" w:cs="Arial" w:eastAsia="Arial" w:hAnsi="Arial"/>
                <w:sz w:val="18"/>
                <w:szCs w:val="18"/>
                <w:color w:val="auto"/>
              </w:rPr>
              <w:t>2019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655,000</w:t>
            </w:r>
          </w:p>
        </w:tc>
        <w:tc>
          <w:tcPr>
            <w:tcW w:w="1080" w:type="dxa"/>
            <w:vAlign w:val="bottom"/>
          </w:tcPr>
          <w:p>
            <w:pPr>
              <w:jc w:val="center"/>
              <w:spacing w:after="0"/>
              <w:rPr>
                <w:sz w:val="20"/>
                <w:szCs w:val="20"/>
                <w:color w:val="auto"/>
              </w:rPr>
            </w:pPr>
            <w:r>
              <w:rPr>
                <w:rFonts w:ascii="Arial" w:cs="Arial" w:eastAsia="Arial" w:hAnsi="Arial"/>
                <w:sz w:val="18"/>
                <w:szCs w:val="18"/>
                <w:color w:val="auto"/>
              </w:rPr>
              <w:t>$ 1,500,058</w:t>
            </w:r>
          </w:p>
        </w:tc>
        <w:tc>
          <w:tcPr>
            <w:tcW w:w="1080" w:type="dxa"/>
            <w:vAlign w:val="bottom"/>
          </w:tcPr>
          <w:p>
            <w:pPr>
              <w:jc w:val="center"/>
              <w:spacing w:after="0"/>
              <w:rPr>
                <w:sz w:val="20"/>
                <w:szCs w:val="20"/>
                <w:color w:val="auto"/>
              </w:rPr>
            </w:pPr>
            <w:r>
              <w:rPr>
                <w:rFonts w:ascii="Arial" w:cs="Arial" w:eastAsia="Arial" w:hAnsi="Arial"/>
                <w:sz w:val="18"/>
                <w:szCs w:val="18"/>
                <w:color w:val="auto"/>
              </w:rPr>
              <w:t>$ 1,500,006</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1,081,000</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125,671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4,861,735</w:t>
            </w:r>
          </w:p>
        </w:tc>
      </w:tr>
      <w:tr>
        <w:trPr>
          <w:trHeight w:val="203"/>
        </w:trPr>
        <w:tc>
          <w:tcPr>
            <w:tcW w:w="2520" w:type="dxa"/>
            <w:vAlign w:val="bottom"/>
          </w:tcPr>
          <w:p>
            <w:pPr>
              <w:ind w:left="180"/>
              <w:spacing w:after="0" w:line="202" w:lineRule="exact"/>
              <w:rPr>
                <w:sz w:val="20"/>
                <w:szCs w:val="20"/>
                <w:color w:val="auto"/>
              </w:rPr>
            </w:pPr>
            <w:r>
              <w:rPr>
                <w:rFonts w:ascii="Arial" w:cs="Arial" w:eastAsia="Arial" w:hAnsi="Arial"/>
                <w:sz w:val="18"/>
                <w:szCs w:val="18"/>
                <w:color w:val="auto"/>
              </w:rPr>
              <w:t>Senior Vice President &amp;</w:t>
            </w: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2018</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591,667</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rPr>
              <w:t>$ 1,200,084</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rPr>
              <w:t>$ 1,200,013</w:t>
            </w:r>
          </w:p>
        </w:tc>
        <w:tc>
          <w:tcPr>
            <w:tcW w:w="18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1,118,333</w:t>
            </w:r>
          </w:p>
        </w:tc>
        <w:tc>
          <w:tcPr>
            <w:tcW w:w="2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77,072</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4,187,169</w:t>
            </w:r>
          </w:p>
        </w:tc>
      </w:tr>
      <w:tr>
        <w:trPr>
          <w:trHeight w:val="217"/>
        </w:trPr>
        <w:tc>
          <w:tcPr>
            <w:tcW w:w="2520" w:type="dxa"/>
            <w:vAlign w:val="bottom"/>
          </w:tcPr>
          <w:p>
            <w:pPr>
              <w:ind w:left="180"/>
              <w:spacing w:after="0"/>
              <w:rPr>
                <w:sz w:val="20"/>
                <w:szCs w:val="20"/>
                <w:color w:val="auto"/>
              </w:rPr>
            </w:pPr>
            <w:r>
              <w:rPr>
                <w:rFonts w:ascii="Arial" w:cs="Arial" w:eastAsia="Arial" w:hAnsi="Arial"/>
                <w:sz w:val="18"/>
                <w:szCs w:val="18"/>
                <w:color w:val="auto"/>
              </w:rPr>
              <w:t>Chief Financial Officer</w:t>
            </w:r>
          </w:p>
        </w:tc>
        <w:tc>
          <w:tcPr>
            <w:tcW w:w="580" w:type="dxa"/>
            <w:vAlign w:val="bottom"/>
          </w:tcPr>
          <w:p>
            <w:pPr>
              <w:ind w:left="120"/>
              <w:spacing w:after="0"/>
              <w:rPr>
                <w:sz w:val="20"/>
                <w:szCs w:val="20"/>
                <w:color w:val="auto"/>
              </w:rPr>
            </w:pPr>
            <w:r>
              <w:rPr>
                <w:rFonts w:ascii="Arial" w:cs="Arial" w:eastAsia="Arial" w:hAnsi="Arial"/>
                <w:sz w:val="18"/>
                <w:szCs w:val="18"/>
                <w:color w:val="auto"/>
              </w:rPr>
              <w:t>2017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488,333</w:t>
            </w:r>
          </w:p>
        </w:tc>
        <w:tc>
          <w:tcPr>
            <w:tcW w:w="1080" w:type="dxa"/>
            <w:vAlign w:val="bottom"/>
          </w:tcPr>
          <w:p>
            <w:pPr>
              <w:jc w:val="center"/>
              <w:spacing w:after="0"/>
              <w:rPr>
                <w:sz w:val="20"/>
                <w:szCs w:val="20"/>
                <w:color w:val="auto"/>
              </w:rPr>
            </w:pPr>
            <w:r>
              <w:rPr>
                <w:rFonts w:ascii="Arial" w:cs="Arial" w:eastAsia="Arial" w:hAnsi="Arial"/>
                <w:sz w:val="18"/>
                <w:szCs w:val="18"/>
                <w:color w:val="auto"/>
              </w:rPr>
              <w:t>$ 2,000,047</w:t>
            </w:r>
          </w:p>
        </w:tc>
        <w:tc>
          <w:tcPr>
            <w:tcW w:w="1080" w:type="dxa"/>
            <w:vAlign w:val="bottom"/>
          </w:tcPr>
          <w:p>
            <w:pPr>
              <w:jc w:val="center"/>
              <w:spacing w:after="0"/>
              <w:rPr>
                <w:sz w:val="20"/>
                <w:szCs w:val="20"/>
                <w:color w:val="auto"/>
              </w:rPr>
            </w:pPr>
            <w:r>
              <w:rPr>
                <w:rFonts w:ascii="Arial" w:cs="Arial" w:eastAsia="Arial" w:hAnsi="Arial"/>
                <w:sz w:val="18"/>
                <w:szCs w:val="18"/>
                <w:color w:val="auto"/>
              </w:rPr>
              <w:t>$ 1,000,013</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947,667</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60,814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4,496,874</w:t>
            </w:r>
          </w:p>
        </w:tc>
      </w:tr>
      <w:tr>
        <w:trPr>
          <w:trHeight w:val="203"/>
        </w:trPr>
        <w:tc>
          <w:tcPr>
            <w:tcW w:w="2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2"/>
        </w:trPr>
        <w:tc>
          <w:tcPr>
            <w:tcW w:w="2520" w:type="dxa"/>
            <w:vAlign w:val="bottom"/>
            <w:shd w:val="clear" w:color="auto" w:fill="E5E5E5"/>
          </w:tcPr>
          <w:p>
            <w:pPr>
              <w:spacing w:after="0" w:line="201" w:lineRule="exact"/>
              <w:rPr>
                <w:sz w:val="20"/>
                <w:szCs w:val="20"/>
                <w:color w:val="auto"/>
              </w:rPr>
            </w:pPr>
            <w:r>
              <w:rPr>
                <w:rFonts w:ascii="Arial" w:cs="Arial" w:eastAsia="Arial" w:hAnsi="Arial"/>
                <w:sz w:val="18"/>
                <w:szCs w:val="18"/>
                <w:color w:val="auto"/>
              </w:rPr>
              <w:t>Niels Anderskouv</w:t>
            </w:r>
          </w:p>
        </w:tc>
        <w:tc>
          <w:tcPr>
            <w:tcW w:w="580" w:type="dxa"/>
            <w:vAlign w:val="bottom"/>
            <w:shd w:val="clear" w:color="auto" w:fill="E5E5E5"/>
          </w:tcPr>
          <w:p>
            <w:pPr>
              <w:ind w:left="120"/>
              <w:spacing w:after="0" w:line="201" w:lineRule="exact"/>
              <w:rPr>
                <w:sz w:val="20"/>
                <w:szCs w:val="20"/>
                <w:color w:val="auto"/>
              </w:rPr>
            </w:pPr>
            <w:r>
              <w:rPr>
                <w:rFonts w:ascii="Arial" w:cs="Arial" w:eastAsia="Arial" w:hAnsi="Arial"/>
                <w:sz w:val="18"/>
                <w:szCs w:val="18"/>
                <w:color w:val="auto"/>
              </w:rPr>
              <w:t>2019</w:t>
            </w:r>
          </w:p>
        </w:tc>
        <w:tc>
          <w:tcPr>
            <w:tcW w:w="200" w:type="dxa"/>
            <w:vAlign w:val="bottom"/>
            <w:shd w:val="clear" w:color="auto" w:fill="E5E5E5"/>
          </w:tcPr>
          <w:p>
            <w:pPr>
              <w:jc w:val="right"/>
              <w:spacing w:after="0" w:line="201" w:lineRule="exact"/>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spacing w:after="0" w:line="201" w:lineRule="exact"/>
              <w:rPr>
                <w:sz w:val="20"/>
                <w:szCs w:val="20"/>
                <w:color w:val="auto"/>
              </w:rPr>
            </w:pPr>
            <w:r>
              <w:rPr>
                <w:rFonts w:ascii="Arial" w:cs="Arial" w:eastAsia="Arial" w:hAnsi="Arial"/>
                <w:sz w:val="18"/>
                <w:szCs w:val="18"/>
                <w:color w:val="auto"/>
              </w:rPr>
              <w:t>711,667</w:t>
            </w:r>
          </w:p>
        </w:tc>
        <w:tc>
          <w:tcPr>
            <w:tcW w:w="1080" w:type="dxa"/>
            <w:vAlign w:val="bottom"/>
            <w:shd w:val="clear" w:color="auto" w:fill="E5E5E5"/>
          </w:tcPr>
          <w:p>
            <w:pPr>
              <w:jc w:val="center"/>
              <w:spacing w:after="0" w:line="201" w:lineRule="exact"/>
              <w:rPr>
                <w:sz w:val="20"/>
                <w:szCs w:val="20"/>
                <w:color w:val="auto"/>
              </w:rPr>
            </w:pPr>
            <w:r>
              <w:rPr>
                <w:rFonts w:ascii="Arial" w:cs="Arial" w:eastAsia="Arial" w:hAnsi="Arial"/>
                <w:sz w:val="18"/>
                <w:szCs w:val="18"/>
                <w:color w:val="auto"/>
              </w:rPr>
              <w:t>$ 1,900,053</w:t>
            </w:r>
          </w:p>
        </w:tc>
        <w:tc>
          <w:tcPr>
            <w:tcW w:w="1080" w:type="dxa"/>
            <w:vAlign w:val="bottom"/>
            <w:shd w:val="clear" w:color="auto" w:fill="E5E5E5"/>
          </w:tcPr>
          <w:p>
            <w:pPr>
              <w:jc w:val="center"/>
              <w:spacing w:after="0" w:line="201" w:lineRule="exact"/>
              <w:rPr>
                <w:sz w:val="20"/>
                <w:szCs w:val="20"/>
                <w:color w:val="auto"/>
              </w:rPr>
            </w:pPr>
            <w:r>
              <w:rPr>
                <w:rFonts w:ascii="Arial" w:cs="Arial" w:eastAsia="Arial" w:hAnsi="Arial"/>
                <w:sz w:val="18"/>
                <w:szCs w:val="18"/>
                <w:color w:val="auto"/>
              </w:rPr>
              <w:t>$ 1,900,009</w:t>
            </w:r>
          </w:p>
        </w:tc>
        <w:tc>
          <w:tcPr>
            <w:tcW w:w="180" w:type="dxa"/>
            <w:vAlign w:val="bottom"/>
            <w:shd w:val="clear" w:color="auto" w:fill="E5E5E5"/>
          </w:tcPr>
          <w:p>
            <w:pPr>
              <w:ind w:left="60"/>
              <w:spacing w:after="0" w:line="201"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E5E5E5"/>
          </w:tcPr>
          <w:p>
            <w:pPr>
              <w:jc w:val="right"/>
              <w:spacing w:after="0" w:line="201" w:lineRule="exact"/>
              <w:rPr>
                <w:sz w:val="20"/>
                <w:szCs w:val="20"/>
                <w:color w:val="auto"/>
              </w:rPr>
            </w:pPr>
            <w:r>
              <w:rPr>
                <w:rFonts w:ascii="Arial" w:cs="Arial" w:eastAsia="Arial" w:hAnsi="Arial"/>
                <w:sz w:val="18"/>
                <w:szCs w:val="18"/>
                <w:color w:val="auto"/>
              </w:rPr>
              <w:t>1,282,333</w:t>
            </w:r>
          </w:p>
        </w:tc>
        <w:tc>
          <w:tcPr>
            <w:tcW w:w="220" w:type="dxa"/>
            <w:vAlign w:val="bottom"/>
            <w:shd w:val="clear" w:color="auto" w:fill="E5E5E5"/>
          </w:tcPr>
          <w:p>
            <w:pPr>
              <w:spacing w:after="0"/>
              <w:rPr>
                <w:sz w:val="17"/>
                <w:szCs w:val="17"/>
                <w:color w:val="auto"/>
              </w:rPr>
            </w:pPr>
          </w:p>
        </w:tc>
        <w:tc>
          <w:tcPr>
            <w:tcW w:w="980" w:type="dxa"/>
            <w:vAlign w:val="bottom"/>
            <w:shd w:val="clear" w:color="auto" w:fill="E5E5E5"/>
          </w:tcPr>
          <w:p>
            <w:pPr>
              <w:jc w:val="right"/>
              <w:spacing w:after="0" w:line="201"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60"/>
              <w:spacing w:after="0" w:line="201" w:lineRule="exact"/>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spacing w:after="0" w:line="201" w:lineRule="exact"/>
              <w:rPr>
                <w:sz w:val="20"/>
                <w:szCs w:val="20"/>
                <w:color w:val="auto"/>
              </w:rPr>
            </w:pPr>
            <w:r>
              <w:rPr>
                <w:rFonts w:ascii="Arial" w:cs="Arial" w:eastAsia="Arial" w:hAnsi="Arial"/>
                <w:sz w:val="18"/>
                <w:szCs w:val="18"/>
                <w:color w:val="auto"/>
              </w:rPr>
              <w:t>103,898</w:t>
            </w:r>
          </w:p>
        </w:tc>
        <w:tc>
          <w:tcPr>
            <w:tcW w:w="200" w:type="dxa"/>
            <w:vAlign w:val="bottom"/>
            <w:shd w:val="clear" w:color="auto" w:fill="E5E5E5"/>
          </w:tcPr>
          <w:p>
            <w:pPr>
              <w:jc w:val="right"/>
              <w:spacing w:after="0" w:line="201"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spacing w:after="0" w:line="201" w:lineRule="exact"/>
              <w:rPr>
                <w:sz w:val="20"/>
                <w:szCs w:val="20"/>
                <w:color w:val="auto"/>
              </w:rPr>
            </w:pPr>
            <w:r>
              <w:rPr>
                <w:rFonts w:ascii="Arial" w:cs="Arial" w:eastAsia="Arial" w:hAnsi="Arial"/>
                <w:sz w:val="18"/>
                <w:szCs w:val="18"/>
                <w:color w:val="auto"/>
              </w:rPr>
              <w:t>5,897,960</w:t>
            </w:r>
          </w:p>
        </w:tc>
      </w:tr>
      <w:tr>
        <w:trPr>
          <w:trHeight w:val="203"/>
        </w:trPr>
        <w:tc>
          <w:tcPr>
            <w:tcW w:w="2520" w:type="dxa"/>
            <w:vAlign w:val="bottom"/>
            <w:shd w:val="clear" w:color="auto" w:fill="E5E5E5"/>
          </w:tcPr>
          <w:p>
            <w:pPr>
              <w:ind w:left="180"/>
              <w:spacing w:after="0" w:line="203" w:lineRule="exact"/>
              <w:rPr>
                <w:sz w:val="20"/>
                <w:szCs w:val="20"/>
                <w:color w:val="auto"/>
              </w:rPr>
            </w:pPr>
            <w:r>
              <w:rPr>
                <w:rFonts w:ascii="Arial" w:cs="Arial" w:eastAsia="Arial" w:hAnsi="Arial"/>
                <w:sz w:val="18"/>
                <w:szCs w:val="18"/>
                <w:color w:val="auto"/>
              </w:rPr>
              <w:t>Senior Vice President</w:t>
            </w:r>
          </w:p>
        </w:tc>
        <w:tc>
          <w:tcPr>
            <w:tcW w:w="580" w:type="dxa"/>
            <w:vAlign w:val="bottom"/>
            <w:shd w:val="clear" w:color="auto" w:fill="E5E5E5"/>
          </w:tcPr>
          <w:p>
            <w:pPr>
              <w:ind w:left="120"/>
              <w:spacing w:after="0" w:line="203" w:lineRule="exact"/>
              <w:rPr>
                <w:sz w:val="20"/>
                <w:szCs w:val="20"/>
                <w:color w:val="auto"/>
              </w:rPr>
            </w:pPr>
            <w:r>
              <w:rPr>
                <w:rFonts w:ascii="Arial" w:cs="Arial" w:eastAsia="Arial" w:hAnsi="Arial"/>
                <w:sz w:val="18"/>
                <w:szCs w:val="18"/>
                <w:color w:val="auto"/>
              </w:rPr>
              <w:t>2018</w:t>
            </w:r>
          </w:p>
        </w:tc>
        <w:tc>
          <w:tcPr>
            <w:tcW w:w="20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668,750</w:t>
            </w:r>
          </w:p>
        </w:tc>
        <w:tc>
          <w:tcPr>
            <w:tcW w:w="1080" w:type="dxa"/>
            <w:vAlign w:val="bottom"/>
            <w:shd w:val="clear" w:color="auto" w:fill="E5E5E5"/>
          </w:tcPr>
          <w:p>
            <w:pPr>
              <w:jc w:val="center"/>
              <w:spacing w:after="0" w:line="203" w:lineRule="exact"/>
              <w:rPr>
                <w:sz w:val="20"/>
                <w:szCs w:val="20"/>
                <w:color w:val="auto"/>
              </w:rPr>
            </w:pPr>
            <w:r>
              <w:rPr>
                <w:rFonts w:ascii="Arial" w:cs="Arial" w:eastAsia="Arial" w:hAnsi="Arial"/>
                <w:sz w:val="18"/>
                <w:szCs w:val="18"/>
                <w:color w:val="auto"/>
              </w:rPr>
              <w:t>$ 1,900,088</w:t>
            </w:r>
          </w:p>
        </w:tc>
        <w:tc>
          <w:tcPr>
            <w:tcW w:w="1080" w:type="dxa"/>
            <w:vAlign w:val="bottom"/>
            <w:shd w:val="clear" w:color="auto" w:fill="E5E5E5"/>
          </w:tcPr>
          <w:p>
            <w:pPr>
              <w:jc w:val="center"/>
              <w:spacing w:after="0" w:line="203" w:lineRule="exact"/>
              <w:rPr>
                <w:sz w:val="20"/>
                <w:szCs w:val="20"/>
                <w:color w:val="auto"/>
              </w:rPr>
            </w:pPr>
            <w:r>
              <w:rPr>
                <w:rFonts w:ascii="Arial" w:cs="Arial" w:eastAsia="Arial" w:hAnsi="Arial"/>
                <w:sz w:val="18"/>
                <w:szCs w:val="18"/>
                <w:color w:val="auto"/>
              </w:rPr>
              <w:t>$ 1,900,015</w:t>
            </w:r>
          </w:p>
        </w:tc>
        <w:tc>
          <w:tcPr>
            <w:tcW w:w="180" w:type="dxa"/>
            <w:vAlign w:val="bottom"/>
            <w:shd w:val="clear" w:color="auto" w:fill="E5E5E5"/>
          </w:tcPr>
          <w:p>
            <w:pPr>
              <w:ind w:left="60"/>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1,333,750</w:t>
            </w:r>
          </w:p>
        </w:tc>
        <w:tc>
          <w:tcPr>
            <w:tcW w:w="220" w:type="dxa"/>
            <w:vAlign w:val="bottom"/>
            <w:shd w:val="clear" w:color="auto" w:fill="E5E5E5"/>
          </w:tcPr>
          <w:p>
            <w:pPr>
              <w:spacing w:after="0"/>
              <w:rPr>
                <w:sz w:val="17"/>
                <w:szCs w:val="17"/>
                <w:color w:val="auto"/>
              </w:rPr>
            </w:pPr>
          </w:p>
        </w:tc>
        <w:tc>
          <w:tcPr>
            <w:tcW w:w="98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60"/>
              <w:spacing w:after="0" w:line="203" w:lineRule="exact"/>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89,458</w:t>
            </w:r>
          </w:p>
        </w:tc>
        <w:tc>
          <w:tcPr>
            <w:tcW w:w="20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5,892,061</w:t>
            </w:r>
          </w:p>
        </w:tc>
      </w:tr>
      <w:tr>
        <w:trPr>
          <w:trHeight w:val="418"/>
        </w:trPr>
        <w:tc>
          <w:tcPr>
            <w:tcW w:w="2520" w:type="dxa"/>
            <w:vAlign w:val="bottom"/>
          </w:tcPr>
          <w:p>
            <w:pPr>
              <w:spacing w:after="0"/>
              <w:rPr>
                <w:sz w:val="20"/>
                <w:szCs w:val="20"/>
                <w:color w:val="auto"/>
              </w:rPr>
            </w:pPr>
            <w:r>
              <w:rPr>
                <w:rFonts w:ascii="Arial" w:cs="Arial" w:eastAsia="Arial" w:hAnsi="Arial"/>
                <w:sz w:val="18"/>
                <w:szCs w:val="18"/>
                <w:color w:val="auto"/>
              </w:rPr>
              <w:t>R. Gregory Delagi (1)</w:t>
            </w:r>
          </w:p>
        </w:tc>
        <w:tc>
          <w:tcPr>
            <w:tcW w:w="580" w:type="dxa"/>
            <w:vAlign w:val="bottom"/>
          </w:tcPr>
          <w:p>
            <w:pPr>
              <w:ind w:left="120"/>
              <w:spacing w:after="0"/>
              <w:rPr>
                <w:sz w:val="20"/>
                <w:szCs w:val="20"/>
                <w:color w:val="auto"/>
              </w:rPr>
            </w:pPr>
            <w:r>
              <w:rPr>
                <w:rFonts w:ascii="Arial" w:cs="Arial" w:eastAsia="Arial" w:hAnsi="Arial"/>
                <w:sz w:val="18"/>
                <w:szCs w:val="18"/>
                <w:color w:val="auto"/>
              </w:rPr>
              <w:t>2019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728,750</w:t>
            </w:r>
          </w:p>
        </w:tc>
        <w:tc>
          <w:tcPr>
            <w:tcW w:w="1080" w:type="dxa"/>
            <w:vAlign w:val="bottom"/>
          </w:tcPr>
          <w:p>
            <w:pPr>
              <w:jc w:val="center"/>
              <w:spacing w:after="0"/>
              <w:rPr>
                <w:sz w:val="20"/>
                <w:szCs w:val="20"/>
                <w:color w:val="auto"/>
              </w:rPr>
            </w:pPr>
            <w:r>
              <w:rPr>
                <w:rFonts w:ascii="Arial" w:cs="Arial" w:eastAsia="Arial" w:hAnsi="Arial"/>
                <w:sz w:val="18"/>
                <w:szCs w:val="18"/>
                <w:color w:val="auto"/>
              </w:rPr>
              <w:t>$ 1,800,028</w:t>
            </w:r>
          </w:p>
        </w:tc>
        <w:tc>
          <w:tcPr>
            <w:tcW w:w="1080" w:type="dxa"/>
            <w:vAlign w:val="bottom"/>
          </w:tcPr>
          <w:p>
            <w:pPr>
              <w:jc w:val="center"/>
              <w:spacing w:after="0"/>
              <w:rPr>
                <w:sz w:val="20"/>
                <w:szCs w:val="20"/>
                <w:color w:val="auto"/>
              </w:rPr>
            </w:pPr>
            <w:r>
              <w:rPr>
                <w:rFonts w:ascii="Arial" w:cs="Arial" w:eastAsia="Arial" w:hAnsi="Arial"/>
                <w:sz w:val="18"/>
                <w:szCs w:val="18"/>
                <w:color w:val="auto"/>
              </w:rPr>
              <w:t>$ 1,800,003</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1,125,750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1,954,075</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6,045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7,414,651</w:t>
            </w:r>
          </w:p>
        </w:tc>
      </w:tr>
      <w:tr>
        <w:trPr>
          <w:trHeight w:val="203"/>
        </w:trPr>
        <w:tc>
          <w:tcPr>
            <w:tcW w:w="2520" w:type="dxa"/>
            <w:vAlign w:val="bottom"/>
          </w:tcPr>
          <w:p>
            <w:pPr>
              <w:ind w:left="180"/>
              <w:spacing w:after="0" w:line="202" w:lineRule="exact"/>
              <w:rPr>
                <w:sz w:val="20"/>
                <w:szCs w:val="20"/>
                <w:color w:val="auto"/>
              </w:rPr>
            </w:pPr>
            <w:r>
              <w:rPr>
                <w:rFonts w:ascii="Arial" w:cs="Arial" w:eastAsia="Arial" w:hAnsi="Arial"/>
                <w:sz w:val="18"/>
                <w:szCs w:val="18"/>
                <w:color w:val="auto"/>
              </w:rPr>
              <w:t>Senior Vice President</w:t>
            </w:r>
          </w:p>
        </w:tc>
        <w:tc>
          <w:tcPr>
            <w:tcW w:w="580" w:type="dxa"/>
            <w:vAlign w:val="bottom"/>
          </w:tcPr>
          <w:p>
            <w:pPr>
              <w:ind w:left="120"/>
              <w:spacing w:after="0" w:line="202" w:lineRule="exact"/>
              <w:rPr>
                <w:sz w:val="20"/>
                <w:szCs w:val="20"/>
                <w:color w:val="auto"/>
              </w:rPr>
            </w:pPr>
            <w:r>
              <w:rPr>
                <w:rFonts w:ascii="Arial" w:cs="Arial" w:eastAsia="Arial" w:hAnsi="Arial"/>
                <w:sz w:val="18"/>
                <w:szCs w:val="18"/>
                <w:color w:val="auto"/>
              </w:rPr>
              <w:t>2018</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713,750</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rPr>
              <w:t>$ 1,800,071</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rPr>
              <w:t>$ 1,800,008</w:t>
            </w:r>
          </w:p>
        </w:tc>
        <w:tc>
          <w:tcPr>
            <w:tcW w:w="18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1,292,750</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1,877</w:t>
            </w:r>
          </w:p>
        </w:tc>
        <w:tc>
          <w:tcPr>
            <w:tcW w:w="22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5,500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5,613,956</w:t>
            </w:r>
          </w:p>
        </w:tc>
      </w:tr>
      <w:tr>
        <w:trPr>
          <w:trHeight w:val="217"/>
        </w:trPr>
        <w:tc>
          <w:tcPr>
            <w:tcW w:w="2520" w:type="dxa"/>
            <w:vAlign w:val="bottom"/>
          </w:tcPr>
          <w:p>
            <w:pPr>
              <w:spacing w:after="0"/>
              <w:rPr>
                <w:sz w:val="18"/>
                <w:szCs w:val="18"/>
                <w:color w:val="auto"/>
              </w:rPr>
            </w:pPr>
          </w:p>
        </w:tc>
        <w:tc>
          <w:tcPr>
            <w:tcW w:w="580" w:type="dxa"/>
            <w:vAlign w:val="bottom"/>
          </w:tcPr>
          <w:p>
            <w:pPr>
              <w:ind w:left="120"/>
              <w:spacing w:after="0"/>
              <w:rPr>
                <w:sz w:val="20"/>
                <w:szCs w:val="20"/>
                <w:color w:val="auto"/>
              </w:rPr>
            </w:pPr>
            <w:r>
              <w:rPr>
                <w:rFonts w:ascii="Arial" w:cs="Arial" w:eastAsia="Arial" w:hAnsi="Arial"/>
                <w:sz w:val="18"/>
                <w:szCs w:val="18"/>
                <w:color w:val="auto"/>
              </w:rPr>
              <w:t>2017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698,750</w:t>
            </w:r>
          </w:p>
        </w:tc>
        <w:tc>
          <w:tcPr>
            <w:tcW w:w="1080" w:type="dxa"/>
            <w:vAlign w:val="bottom"/>
          </w:tcPr>
          <w:p>
            <w:pPr>
              <w:jc w:val="center"/>
              <w:spacing w:after="0"/>
              <w:rPr>
                <w:sz w:val="20"/>
                <w:szCs w:val="20"/>
                <w:color w:val="auto"/>
              </w:rPr>
            </w:pPr>
            <w:r>
              <w:rPr>
                <w:rFonts w:ascii="Arial" w:cs="Arial" w:eastAsia="Arial" w:hAnsi="Arial"/>
                <w:sz w:val="18"/>
                <w:szCs w:val="18"/>
                <w:color w:val="auto"/>
              </w:rPr>
              <w:t>$ 1,800,074</w:t>
            </w:r>
          </w:p>
        </w:tc>
        <w:tc>
          <w:tcPr>
            <w:tcW w:w="1080" w:type="dxa"/>
            <w:vAlign w:val="bottom"/>
          </w:tcPr>
          <w:p>
            <w:pPr>
              <w:jc w:val="center"/>
              <w:spacing w:after="0"/>
              <w:rPr>
                <w:sz w:val="20"/>
                <w:szCs w:val="20"/>
                <w:color w:val="auto"/>
              </w:rPr>
            </w:pPr>
            <w:r>
              <w:rPr>
                <w:rFonts w:ascii="Arial" w:cs="Arial" w:eastAsia="Arial" w:hAnsi="Arial"/>
                <w:sz w:val="18"/>
                <w:szCs w:val="18"/>
                <w:color w:val="auto"/>
              </w:rPr>
              <w:t>$ 1,800,016</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1,239,750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1,491,494</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16,492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7,046,576</w:t>
            </w:r>
          </w:p>
        </w:tc>
      </w:tr>
      <w:tr>
        <w:trPr>
          <w:trHeight w:val="203"/>
        </w:trPr>
        <w:tc>
          <w:tcPr>
            <w:tcW w:w="2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2"/>
        </w:trPr>
        <w:tc>
          <w:tcPr>
            <w:tcW w:w="2520" w:type="dxa"/>
            <w:vAlign w:val="bottom"/>
            <w:shd w:val="clear" w:color="auto" w:fill="E5E5E5"/>
          </w:tcPr>
          <w:p>
            <w:pPr>
              <w:spacing w:after="0" w:line="201" w:lineRule="exact"/>
              <w:rPr>
                <w:sz w:val="20"/>
                <w:szCs w:val="20"/>
                <w:color w:val="auto"/>
              </w:rPr>
            </w:pPr>
            <w:r>
              <w:rPr>
                <w:rFonts w:ascii="Arial" w:cs="Arial" w:eastAsia="Arial" w:hAnsi="Arial"/>
                <w:sz w:val="18"/>
                <w:szCs w:val="18"/>
                <w:color w:val="auto"/>
              </w:rPr>
              <w:t>Haviv Ilan</w:t>
            </w:r>
          </w:p>
        </w:tc>
        <w:tc>
          <w:tcPr>
            <w:tcW w:w="580" w:type="dxa"/>
            <w:vAlign w:val="bottom"/>
            <w:shd w:val="clear" w:color="auto" w:fill="E5E5E5"/>
          </w:tcPr>
          <w:p>
            <w:pPr>
              <w:ind w:left="120"/>
              <w:spacing w:after="0" w:line="201" w:lineRule="exact"/>
              <w:rPr>
                <w:sz w:val="20"/>
                <w:szCs w:val="20"/>
                <w:color w:val="auto"/>
              </w:rPr>
            </w:pPr>
            <w:r>
              <w:rPr>
                <w:rFonts w:ascii="Arial" w:cs="Arial" w:eastAsia="Arial" w:hAnsi="Arial"/>
                <w:sz w:val="18"/>
                <w:szCs w:val="18"/>
                <w:color w:val="auto"/>
              </w:rPr>
              <w:t>2019</w:t>
            </w:r>
          </w:p>
        </w:tc>
        <w:tc>
          <w:tcPr>
            <w:tcW w:w="200" w:type="dxa"/>
            <w:vAlign w:val="bottom"/>
            <w:shd w:val="clear" w:color="auto" w:fill="E5E5E5"/>
          </w:tcPr>
          <w:p>
            <w:pPr>
              <w:jc w:val="right"/>
              <w:spacing w:after="0" w:line="201" w:lineRule="exact"/>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spacing w:after="0" w:line="201" w:lineRule="exact"/>
              <w:rPr>
                <w:sz w:val="20"/>
                <w:szCs w:val="20"/>
                <w:color w:val="auto"/>
              </w:rPr>
            </w:pPr>
            <w:r>
              <w:rPr>
                <w:rFonts w:ascii="Arial" w:cs="Arial" w:eastAsia="Arial" w:hAnsi="Arial"/>
                <w:sz w:val="18"/>
                <w:szCs w:val="18"/>
                <w:color w:val="auto"/>
              </w:rPr>
              <w:t>711,667</w:t>
            </w:r>
          </w:p>
        </w:tc>
        <w:tc>
          <w:tcPr>
            <w:tcW w:w="1080" w:type="dxa"/>
            <w:vAlign w:val="bottom"/>
            <w:shd w:val="clear" w:color="auto" w:fill="E5E5E5"/>
          </w:tcPr>
          <w:p>
            <w:pPr>
              <w:jc w:val="center"/>
              <w:spacing w:after="0" w:line="201" w:lineRule="exact"/>
              <w:rPr>
                <w:sz w:val="20"/>
                <w:szCs w:val="20"/>
                <w:color w:val="auto"/>
              </w:rPr>
            </w:pPr>
            <w:r>
              <w:rPr>
                <w:rFonts w:ascii="Arial" w:cs="Arial" w:eastAsia="Arial" w:hAnsi="Arial"/>
                <w:sz w:val="18"/>
                <w:szCs w:val="18"/>
                <w:color w:val="auto"/>
              </w:rPr>
              <w:t>$ 1,900,053</w:t>
            </w:r>
          </w:p>
        </w:tc>
        <w:tc>
          <w:tcPr>
            <w:tcW w:w="1080" w:type="dxa"/>
            <w:vAlign w:val="bottom"/>
            <w:shd w:val="clear" w:color="auto" w:fill="E5E5E5"/>
          </w:tcPr>
          <w:p>
            <w:pPr>
              <w:jc w:val="center"/>
              <w:spacing w:after="0" w:line="201" w:lineRule="exact"/>
              <w:rPr>
                <w:sz w:val="20"/>
                <w:szCs w:val="20"/>
                <w:color w:val="auto"/>
              </w:rPr>
            </w:pPr>
            <w:r>
              <w:rPr>
                <w:rFonts w:ascii="Arial" w:cs="Arial" w:eastAsia="Arial" w:hAnsi="Arial"/>
                <w:sz w:val="18"/>
                <w:szCs w:val="18"/>
                <w:color w:val="auto"/>
              </w:rPr>
              <w:t>$ 1,900,009</w:t>
            </w:r>
          </w:p>
        </w:tc>
        <w:tc>
          <w:tcPr>
            <w:tcW w:w="180" w:type="dxa"/>
            <w:vAlign w:val="bottom"/>
            <w:shd w:val="clear" w:color="auto" w:fill="E5E5E5"/>
          </w:tcPr>
          <w:p>
            <w:pPr>
              <w:ind w:left="60"/>
              <w:spacing w:after="0" w:line="201"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E5E5E5"/>
          </w:tcPr>
          <w:p>
            <w:pPr>
              <w:jc w:val="right"/>
              <w:spacing w:after="0" w:line="201" w:lineRule="exact"/>
              <w:rPr>
                <w:sz w:val="20"/>
                <w:szCs w:val="20"/>
                <w:color w:val="auto"/>
              </w:rPr>
            </w:pPr>
            <w:r>
              <w:rPr>
                <w:rFonts w:ascii="Arial" w:cs="Arial" w:eastAsia="Arial" w:hAnsi="Arial"/>
                <w:sz w:val="18"/>
                <w:szCs w:val="18"/>
                <w:color w:val="auto"/>
              </w:rPr>
              <w:t>1,282,333</w:t>
            </w:r>
          </w:p>
        </w:tc>
        <w:tc>
          <w:tcPr>
            <w:tcW w:w="220" w:type="dxa"/>
            <w:vAlign w:val="bottom"/>
            <w:shd w:val="clear" w:color="auto" w:fill="E5E5E5"/>
          </w:tcPr>
          <w:p>
            <w:pPr>
              <w:spacing w:after="0"/>
              <w:rPr>
                <w:sz w:val="17"/>
                <w:szCs w:val="17"/>
                <w:color w:val="auto"/>
              </w:rPr>
            </w:pPr>
          </w:p>
        </w:tc>
        <w:tc>
          <w:tcPr>
            <w:tcW w:w="980" w:type="dxa"/>
            <w:vAlign w:val="bottom"/>
            <w:shd w:val="clear" w:color="auto" w:fill="E5E5E5"/>
          </w:tcPr>
          <w:p>
            <w:pPr>
              <w:jc w:val="right"/>
              <w:spacing w:after="0" w:line="201"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60"/>
              <w:spacing w:after="0" w:line="201" w:lineRule="exact"/>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spacing w:after="0" w:line="201" w:lineRule="exact"/>
              <w:rPr>
                <w:sz w:val="20"/>
                <w:szCs w:val="20"/>
                <w:color w:val="auto"/>
              </w:rPr>
            </w:pPr>
            <w:r>
              <w:rPr>
                <w:rFonts w:ascii="Arial" w:cs="Arial" w:eastAsia="Arial" w:hAnsi="Arial"/>
                <w:sz w:val="18"/>
                <w:szCs w:val="18"/>
                <w:color w:val="auto"/>
              </w:rPr>
              <w:t>68,153</w:t>
            </w:r>
          </w:p>
        </w:tc>
        <w:tc>
          <w:tcPr>
            <w:tcW w:w="200" w:type="dxa"/>
            <w:vAlign w:val="bottom"/>
            <w:shd w:val="clear" w:color="auto" w:fill="E5E5E5"/>
          </w:tcPr>
          <w:p>
            <w:pPr>
              <w:jc w:val="right"/>
              <w:spacing w:after="0" w:line="201"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spacing w:after="0" w:line="201" w:lineRule="exact"/>
              <w:rPr>
                <w:sz w:val="20"/>
                <w:szCs w:val="20"/>
                <w:color w:val="auto"/>
              </w:rPr>
            </w:pPr>
            <w:r>
              <w:rPr>
                <w:rFonts w:ascii="Arial" w:cs="Arial" w:eastAsia="Arial" w:hAnsi="Arial"/>
                <w:sz w:val="18"/>
                <w:szCs w:val="18"/>
                <w:color w:val="auto"/>
              </w:rPr>
              <w:t>5,862,215</w:t>
            </w:r>
          </w:p>
        </w:tc>
      </w:tr>
      <w:tr>
        <w:trPr>
          <w:trHeight w:val="203"/>
        </w:trPr>
        <w:tc>
          <w:tcPr>
            <w:tcW w:w="2520" w:type="dxa"/>
            <w:vAlign w:val="bottom"/>
            <w:shd w:val="clear" w:color="auto" w:fill="E5E5E5"/>
          </w:tcPr>
          <w:p>
            <w:pPr>
              <w:ind w:left="180"/>
              <w:spacing w:after="0" w:line="203" w:lineRule="exact"/>
              <w:rPr>
                <w:sz w:val="20"/>
                <w:szCs w:val="20"/>
                <w:color w:val="auto"/>
              </w:rPr>
            </w:pPr>
            <w:r>
              <w:rPr>
                <w:rFonts w:ascii="Arial" w:cs="Arial" w:eastAsia="Arial" w:hAnsi="Arial"/>
                <w:sz w:val="18"/>
                <w:szCs w:val="18"/>
                <w:color w:val="auto"/>
              </w:rPr>
              <w:t>Senior Vice President</w:t>
            </w:r>
          </w:p>
        </w:tc>
        <w:tc>
          <w:tcPr>
            <w:tcW w:w="580" w:type="dxa"/>
            <w:vAlign w:val="bottom"/>
            <w:shd w:val="clear" w:color="auto" w:fill="E5E5E5"/>
          </w:tcPr>
          <w:p>
            <w:pPr>
              <w:ind w:left="120"/>
              <w:spacing w:after="0" w:line="203" w:lineRule="exact"/>
              <w:rPr>
                <w:sz w:val="20"/>
                <w:szCs w:val="20"/>
                <w:color w:val="auto"/>
              </w:rPr>
            </w:pPr>
            <w:r>
              <w:rPr>
                <w:rFonts w:ascii="Arial" w:cs="Arial" w:eastAsia="Arial" w:hAnsi="Arial"/>
                <w:sz w:val="18"/>
                <w:szCs w:val="18"/>
                <w:color w:val="auto"/>
              </w:rPr>
              <w:t>2018</w:t>
            </w:r>
          </w:p>
        </w:tc>
        <w:tc>
          <w:tcPr>
            <w:tcW w:w="20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668,750</w:t>
            </w:r>
          </w:p>
        </w:tc>
        <w:tc>
          <w:tcPr>
            <w:tcW w:w="1080" w:type="dxa"/>
            <w:vAlign w:val="bottom"/>
            <w:shd w:val="clear" w:color="auto" w:fill="E5E5E5"/>
          </w:tcPr>
          <w:p>
            <w:pPr>
              <w:jc w:val="center"/>
              <w:spacing w:after="0" w:line="203" w:lineRule="exact"/>
              <w:rPr>
                <w:sz w:val="20"/>
                <w:szCs w:val="20"/>
                <w:color w:val="auto"/>
              </w:rPr>
            </w:pPr>
            <w:r>
              <w:rPr>
                <w:rFonts w:ascii="Arial" w:cs="Arial" w:eastAsia="Arial" w:hAnsi="Arial"/>
                <w:sz w:val="18"/>
                <w:szCs w:val="18"/>
                <w:color w:val="auto"/>
              </w:rPr>
              <w:t>$ 1,900,088</w:t>
            </w:r>
          </w:p>
        </w:tc>
        <w:tc>
          <w:tcPr>
            <w:tcW w:w="1080" w:type="dxa"/>
            <w:vAlign w:val="bottom"/>
            <w:shd w:val="clear" w:color="auto" w:fill="E5E5E5"/>
          </w:tcPr>
          <w:p>
            <w:pPr>
              <w:jc w:val="center"/>
              <w:spacing w:after="0" w:line="203" w:lineRule="exact"/>
              <w:rPr>
                <w:sz w:val="20"/>
                <w:szCs w:val="20"/>
                <w:color w:val="auto"/>
              </w:rPr>
            </w:pPr>
            <w:r>
              <w:rPr>
                <w:rFonts w:ascii="Arial" w:cs="Arial" w:eastAsia="Arial" w:hAnsi="Arial"/>
                <w:sz w:val="18"/>
                <w:szCs w:val="18"/>
                <w:color w:val="auto"/>
              </w:rPr>
              <w:t>$ 1,900,015</w:t>
            </w:r>
          </w:p>
        </w:tc>
        <w:tc>
          <w:tcPr>
            <w:tcW w:w="180" w:type="dxa"/>
            <w:vAlign w:val="bottom"/>
            <w:shd w:val="clear" w:color="auto" w:fill="E5E5E5"/>
          </w:tcPr>
          <w:p>
            <w:pPr>
              <w:ind w:left="60"/>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1,333,750</w:t>
            </w:r>
          </w:p>
        </w:tc>
        <w:tc>
          <w:tcPr>
            <w:tcW w:w="220" w:type="dxa"/>
            <w:vAlign w:val="bottom"/>
            <w:shd w:val="clear" w:color="auto" w:fill="E5E5E5"/>
          </w:tcPr>
          <w:p>
            <w:pPr>
              <w:spacing w:after="0"/>
              <w:rPr>
                <w:sz w:val="17"/>
                <w:szCs w:val="17"/>
                <w:color w:val="auto"/>
              </w:rPr>
            </w:pPr>
          </w:p>
        </w:tc>
        <w:tc>
          <w:tcPr>
            <w:tcW w:w="98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60"/>
              <w:spacing w:after="0" w:line="203" w:lineRule="exact"/>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51,813</w:t>
            </w:r>
          </w:p>
        </w:tc>
        <w:tc>
          <w:tcPr>
            <w:tcW w:w="20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5,854,416</w:t>
            </w:r>
          </w:p>
        </w:tc>
      </w:tr>
    </w:tbl>
    <w:p>
      <w:pPr>
        <w:spacing w:after="0" w:line="121" w:lineRule="exact"/>
        <w:rPr>
          <w:sz w:val="20"/>
          <w:szCs w:val="20"/>
          <w:color w:val="auto"/>
        </w:rPr>
      </w:pPr>
    </w:p>
    <w:p>
      <w:pPr>
        <w:ind w:left="540" w:hanging="424"/>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Mr. Delagi retired from the company effective February 5, 2020.</w:t>
      </w:r>
    </w:p>
    <w:p>
      <w:pPr>
        <w:spacing w:after="0" w:line="117" w:lineRule="exact"/>
        <w:rPr>
          <w:rFonts w:ascii="Arial" w:cs="Arial" w:eastAsia="Arial" w:hAnsi="Arial"/>
          <w:sz w:val="18"/>
          <w:szCs w:val="18"/>
          <w:color w:val="auto"/>
        </w:rPr>
      </w:pPr>
    </w:p>
    <w:p>
      <w:pPr>
        <w:ind w:left="540" w:right="140" w:hanging="424"/>
        <w:spacing w:after="0" w:line="237"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Shown is the aggregate grant date fair value of restricted stock unit (RSU) awards calculated in accordance with ASC 718. The discussion of the assumptions used for purposes of the valuation of the awards granted in 2019 appears in Note 3 to the 2019 financial statements. For a description of the grant terms, see the discussion following the outstanding equity awards at fiscal year-end 2019 table. The discussion of the assumptions used for purposes of the valuation of the awards granted in 2018 and 2017 appears in Notes 3 and 4 respectively to the financial statements in TI’s annual report on Form 10-K for the year ended December 31, 2018 (2018 financial statements), and the financial statements in TI’s annual report on Form 10-K for the year ended December 31, 2017 (2017 financial statements), respectively.</w:t>
      </w:r>
    </w:p>
    <w:p>
      <w:pPr>
        <w:spacing w:after="0" w:line="108" w:lineRule="exact"/>
        <w:rPr>
          <w:rFonts w:ascii="Arial" w:cs="Arial" w:eastAsia="Arial" w:hAnsi="Arial"/>
          <w:sz w:val="18"/>
          <w:szCs w:val="18"/>
          <w:color w:val="auto"/>
        </w:rPr>
      </w:pPr>
    </w:p>
    <w:p>
      <w:pPr>
        <w:ind w:left="540" w:right="20" w:hanging="424"/>
        <w:spacing w:after="0" w:line="238"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Shown is the aggregate grant date fair value of options calculated in accordance with ASC 718. The discussion of the assumptions used for purposes of the valuation of options granted in 2019 appears in Note 3 to the 2019 financial statements. For a description of the grant terms, see the discussion following the outstanding equity awards at fiscal year-end 2019 table. The discussion of the assumptions used for purposes of the valuation of the awards granted in 2018 and 2017 appears in Notes 3 and 4 respectively to the 2018 and 2017 financial statements, respectively.</w:t>
      </w:r>
    </w:p>
    <w:p>
      <w:pPr>
        <w:spacing w:after="0" w:line="107" w:lineRule="exact"/>
        <w:rPr>
          <w:rFonts w:ascii="Arial" w:cs="Arial" w:eastAsia="Arial" w:hAnsi="Arial"/>
          <w:sz w:val="18"/>
          <w:szCs w:val="18"/>
          <w:color w:val="auto"/>
        </w:rPr>
      </w:pPr>
    </w:p>
    <w:p>
      <w:pPr>
        <w:ind w:left="540" w:right="260" w:hanging="424"/>
        <w:spacing w:after="0" w:line="246"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Consists of performance bonuses and profit sharing for 2019. See “Analysis of compensation determinations for 2019 – Results of the compensation decisions” for the amounts of bonus and profit sharing paid to each of the named executive officers for 2019.</w:t>
      </w:r>
    </w:p>
    <w:p>
      <w:pPr>
        <w:spacing w:after="0" w:line="102" w:lineRule="exact"/>
        <w:rPr>
          <w:rFonts w:ascii="Arial" w:cs="Arial" w:eastAsia="Arial" w:hAnsi="Arial"/>
          <w:sz w:val="18"/>
          <w:szCs w:val="18"/>
          <w:color w:val="auto"/>
        </w:rPr>
      </w:pPr>
    </w:p>
    <w:p>
      <w:pPr>
        <w:ind w:left="540" w:right="40" w:hanging="424"/>
        <w:spacing w:after="0" w:line="234"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 does not pay above-market earnings on deferred compensation. Therefore, no amounts are reported in this column for deferred compensation. The amounts in this column represent the change in the actuarial value of the named executive officers’ benefits under the qualified defined benefit pension plan (TI Employees Pension Plan) and the non-qualified defined benefit pension plans (TI Employees Non-Qualified Pension Plan and TI Employees Non-Qualified Pension Plan II) from December 31, 2018, through December 31, 2019. This “change in the actuarial value” is the difference between the 2018 and 2019 present value of the pension benefit accumulated as of year-end by the named executive officer, assuming that benefit is not paid until age 65.</w:t>
      </w:r>
    </w:p>
    <w:p>
      <w:pPr>
        <w:spacing w:after="0" w:line="4" w:lineRule="exact"/>
        <w:rPr>
          <w:rFonts w:ascii="Arial" w:cs="Arial" w:eastAsia="Arial" w:hAnsi="Arial"/>
          <w:sz w:val="18"/>
          <w:szCs w:val="18"/>
          <w:color w:val="auto"/>
        </w:rPr>
      </w:pPr>
    </w:p>
    <w:p>
      <w:pPr>
        <w:ind w:left="540" w:right="20"/>
        <w:spacing w:after="0" w:line="246" w:lineRule="auto"/>
        <w:rPr>
          <w:rFonts w:ascii="Arial" w:cs="Arial" w:eastAsia="Arial" w:hAnsi="Arial"/>
          <w:sz w:val="18"/>
          <w:szCs w:val="18"/>
          <w:color w:val="auto"/>
        </w:rPr>
      </w:pPr>
      <w:r>
        <w:rPr>
          <w:rFonts w:ascii="Arial" w:cs="Arial" w:eastAsia="Arial" w:hAnsi="Arial"/>
          <w:sz w:val="18"/>
          <w:szCs w:val="18"/>
          <w:color w:val="auto"/>
        </w:rPr>
        <w:t>Mr. Templeton’s benefits under the company’s pension plans were frozen as of December 31, 1997. Messrs. Lizardi, Anderskouv and Ilan do not participate in any of the company’s defined benefit pension plans.</w:t>
      </w:r>
    </w:p>
    <w:p>
      <w:pPr>
        <w:spacing w:after="0" w:line="124" w:lineRule="exact"/>
        <w:rPr>
          <w:sz w:val="20"/>
          <w:szCs w:val="20"/>
          <w:color w:val="auto"/>
        </w:rPr>
      </w:pPr>
    </w:p>
    <w:p>
      <w:pPr>
        <w:ind w:left="120"/>
        <w:spacing w:after="0"/>
        <w:tabs>
          <w:tab w:leader="none" w:pos="4020" w:val="left"/>
          <w:tab w:leader="none" w:pos="5500" w:val="left"/>
          <w:tab w:leader="none" w:pos="5700" w:val="left"/>
        </w:tabs>
        <w:rPr>
          <w:sz w:val="20"/>
          <w:szCs w:val="20"/>
          <w:color w:val="auto"/>
        </w:rPr>
      </w:pPr>
      <w:r>
        <w:rPr>
          <w:rFonts w:ascii="Arial" w:cs="Arial" w:eastAsia="Arial" w:hAnsi="Arial"/>
          <w:sz w:val="13"/>
          <w:szCs w:val="13"/>
          <w:color w:val="666666"/>
        </w:rPr>
        <w:t>32</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2020 PROXY STATEMENT</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right="60" w:hanging="424"/>
        <w:spacing w:after="0" w:line="274" w:lineRule="auto"/>
        <w:tabs>
          <w:tab w:leader="none" w:pos="5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Consists of (i) the amounts in the table below, which result from programs available to all eligible U.S. employees, and (ii) perquisites and personal benefits that meet the disclosure thresholds established by the SEC and are detailed in the paragraph below.</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jc w:val="right"/>
              <w:ind w:right="475"/>
              <w:spacing w:after="0"/>
              <w:rPr>
                <w:sz w:val="20"/>
                <w:szCs w:val="20"/>
                <w:color w:val="auto"/>
              </w:rPr>
            </w:pPr>
            <w:r>
              <w:rPr>
                <w:rFonts w:ascii="Arial" w:cs="Arial" w:eastAsia="Arial" w:hAnsi="Arial"/>
                <w:sz w:val="14"/>
                <w:szCs w:val="14"/>
                <w:b w:val="1"/>
                <w:bCs w:val="1"/>
                <w:color w:val="auto"/>
              </w:rPr>
              <w:t>Defined</w:t>
            </w: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Unused</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60" w:type="dxa"/>
            <w:vAlign w:val="bottom"/>
            <w:gridSpan w:val="2"/>
          </w:tcPr>
          <w:p>
            <w:pPr>
              <w:ind w:left="400"/>
              <w:spacing w:after="0" w:line="149" w:lineRule="exact"/>
              <w:rPr>
                <w:sz w:val="20"/>
                <w:szCs w:val="20"/>
                <w:color w:val="auto"/>
              </w:rPr>
            </w:pPr>
            <w:r>
              <w:rPr>
                <w:rFonts w:ascii="Arial" w:cs="Arial" w:eastAsia="Arial" w:hAnsi="Arial"/>
                <w:sz w:val="14"/>
                <w:szCs w:val="14"/>
                <w:b w:val="1"/>
                <w:bCs w:val="1"/>
                <w:color w:val="auto"/>
              </w:rPr>
              <w:t>Contribution</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100" w:type="dxa"/>
            <w:vAlign w:val="bottom"/>
          </w:tcPr>
          <w:p>
            <w:pPr>
              <w:jc w:val="right"/>
              <w:ind w:right="533"/>
              <w:spacing w:after="0"/>
              <w:rPr>
                <w:sz w:val="20"/>
                <w:szCs w:val="20"/>
                <w:color w:val="auto"/>
              </w:rPr>
            </w:pPr>
            <w:r>
              <w:rPr>
                <w:rFonts w:ascii="Arial" w:cs="Arial" w:eastAsia="Arial" w:hAnsi="Arial"/>
                <w:sz w:val="14"/>
                <w:szCs w:val="14"/>
                <w:b w:val="1"/>
                <w:bCs w:val="1"/>
                <w:color w:val="auto"/>
              </w:rPr>
              <w:t>401(k)</w:t>
            </w:r>
          </w:p>
        </w:tc>
        <w:tc>
          <w:tcPr>
            <w:tcW w:w="1660" w:type="dxa"/>
            <w:vAlign w:val="bottom"/>
            <w:gridSpan w:val="2"/>
          </w:tcPr>
          <w:p>
            <w:pPr>
              <w:jc w:val="right"/>
              <w:ind w:right="375"/>
              <w:spacing w:after="0"/>
              <w:rPr>
                <w:sz w:val="20"/>
                <w:szCs w:val="20"/>
                <w:color w:val="auto"/>
              </w:rPr>
            </w:pPr>
            <w:r>
              <w:rPr>
                <w:rFonts w:ascii="Arial" w:cs="Arial" w:eastAsia="Arial" w:hAnsi="Arial"/>
                <w:sz w:val="14"/>
                <w:szCs w:val="14"/>
                <w:b w:val="1"/>
                <w:bCs w:val="1"/>
                <w:color w:val="auto"/>
              </w:rPr>
              <w:t>Retirement</w:t>
            </w:r>
          </w:p>
        </w:tc>
        <w:tc>
          <w:tcPr>
            <w:tcW w:w="1040" w:type="dxa"/>
            <w:vAlign w:val="bottom"/>
            <w:gridSpan w:val="2"/>
          </w:tcPr>
          <w:p>
            <w:pPr>
              <w:ind w:left="400"/>
              <w:spacing w:after="0"/>
              <w:rPr>
                <w:sz w:val="20"/>
                <w:szCs w:val="20"/>
                <w:color w:val="auto"/>
              </w:rPr>
            </w:pPr>
            <w:r>
              <w:rPr>
                <w:rFonts w:ascii="Arial" w:cs="Arial" w:eastAsia="Arial" w:hAnsi="Arial"/>
                <w:sz w:val="14"/>
                <w:szCs w:val="14"/>
                <w:b w:val="1"/>
                <w:bCs w:val="1"/>
                <w:color w:val="auto"/>
              </w:rPr>
              <w:t>Vacation</w:t>
            </w:r>
          </w:p>
        </w:tc>
        <w:tc>
          <w:tcPr>
            <w:tcW w:w="0" w:type="dxa"/>
            <w:vAlign w:val="bottom"/>
          </w:tcPr>
          <w:p>
            <w:pPr>
              <w:spacing w:after="0"/>
              <w:rPr>
                <w:sz w:val="1"/>
                <w:szCs w:val="1"/>
                <w:color w:val="auto"/>
              </w:rPr>
            </w:pPr>
          </w:p>
        </w:tc>
      </w:tr>
      <w:tr>
        <w:trPr>
          <w:trHeight w:val="189"/>
        </w:trPr>
        <w:tc>
          <w:tcPr>
            <w:tcW w:w="3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3700" w:type="dxa"/>
            <w:vAlign w:val="bottom"/>
            <w:tcBorders>
              <w:bottom w:val="single" w:sz="8" w:color="auto"/>
            </w:tcBorders>
            <w:gridSpan w:val="2"/>
          </w:tcPr>
          <w:p>
            <w:pPr>
              <w:ind w:left="2440"/>
              <w:spacing w:after="0"/>
              <w:rPr>
                <w:sz w:val="20"/>
                <w:szCs w:val="20"/>
                <w:color w:val="auto"/>
              </w:rPr>
            </w:pPr>
            <w:r>
              <w:rPr>
                <w:rFonts w:ascii="Arial" w:cs="Arial" w:eastAsia="Arial" w:hAnsi="Arial"/>
                <w:sz w:val="14"/>
                <w:szCs w:val="14"/>
                <w:b w:val="1"/>
                <w:bCs w:val="1"/>
                <w:color w:val="auto"/>
              </w:rPr>
              <w:t>Contribution</w:t>
            </w:r>
          </w:p>
        </w:tc>
        <w:tc>
          <w:tcPr>
            <w:tcW w:w="5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Plan (a)</w:t>
            </w:r>
          </w:p>
        </w:tc>
        <w:tc>
          <w:tcPr>
            <w:tcW w:w="104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Time (b)</w:t>
            </w:r>
          </w:p>
        </w:tc>
        <w:tc>
          <w:tcPr>
            <w:tcW w:w="0" w:type="dxa"/>
            <w:vAlign w:val="bottom"/>
          </w:tcPr>
          <w:p>
            <w:pPr>
              <w:spacing w:after="0"/>
              <w:rPr>
                <w:sz w:val="1"/>
                <w:szCs w:val="1"/>
                <w:color w:val="auto"/>
              </w:rPr>
            </w:pPr>
          </w:p>
        </w:tc>
      </w:tr>
      <w:tr>
        <w:trPr>
          <w:trHeight w:val="196"/>
        </w:trPr>
        <w:tc>
          <w:tcPr>
            <w:tcW w:w="372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R. K. Templeton</w:t>
            </w:r>
          </w:p>
        </w:tc>
        <w:tc>
          <w:tcPr>
            <w:tcW w:w="2600" w:type="dxa"/>
            <w:vAlign w:val="bottom"/>
            <w:shd w:val="clear" w:color="auto" w:fill="E5E5E5"/>
          </w:tcPr>
          <w:p>
            <w:pPr>
              <w:ind w:left="244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E5E5E5"/>
          </w:tcPr>
          <w:p>
            <w:pPr>
              <w:jc w:val="right"/>
              <w:ind w:right="313"/>
              <w:spacing w:after="0" w:line="196" w:lineRule="exact"/>
              <w:rPr>
                <w:sz w:val="20"/>
                <w:szCs w:val="20"/>
                <w:color w:val="auto"/>
              </w:rPr>
            </w:pPr>
            <w:r>
              <w:rPr>
                <w:rFonts w:ascii="Arial" w:cs="Arial" w:eastAsia="Arial" w:hAnsi="Arial"/>
                <w:sz w:val="18"/>
                <w:szCs w:val="18"/>
                <w:color w:val="auto"/>
              </w:rPr>
              <w:t>11,200</w:t>
            </w:r>
          </w:p>
        </w:tc>
        <w:tc>
          <w:tcPr>
            <w:tcW w:w="540" w:type="dxa"/>
            <w:vAlign w:val="bottom"/>
            <w:shd w:val="clear" w:color="auto" w:fill="E5E5E5"/>
          </w:tcPr>
          <w:p>
            <w:pPr>
              <w:ind w:left="40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E5E5E5"/>
          </w:tcPr>
          <w:p>
            <w:pPr>
              <w:jc w:val="right"/>
              <w:ind w:right="315"/>
              <w:spacing w:after="0" w:line="196" w:lineRule="exact"/>
              <w:rPr>
                <w:sz w:val="20"/>
                <w:szCs w:val="20"/>
                <w:color w:val="auto"/>
              </w:rPr>
            </w:pPr>
            <w:r>
              <w:rPr>
                <w:rFonts w:ascii="Arial" w:cs="Arial" w:eastAsia="Arial" w:hAnsi="Arial"/>
                <w:sz w:val="18"/>
                <w:szCs w:val="18"/>
                <w:color w:val="auto"/>
              </w:rPr>
              <w:t>281,644</w:t>
            </w:r>
          </w:p>
        </w:tc>
        <w:tc>
          <w:tcPr>
            <w:tcW w:w="600" w:type="dxa"/>
            <w:vAlign w:val="bottom"/>
            <w:shd w:val="clear" w:color="auto" w:fill="E5E5E5"/>
          </w:tcPr>
          <w:p>
            <w:pPr>
              <w:spacing w:after="0"/>
              <w:rPr>
                <w:sz w:val="17"/>
                <w:szCs w:val="17"/>
                <w:color w:val="auto"/>
              </w:rPr>
            </w:pPr>
          </w:p>
        </w:tc>
        <w:tc>
          <w:tcPr>
            <w:tcW w:w="44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720" w:type="dxa"/>
            <w:vAlign w:val="bottom"/>
          </w:tcPr>
          <w:p>
            <w:pPr>
              <w:spacing w:after="0" w:line="202" w:lineRule="exact"/>
              <w:rPr>
                <w:sz w:val="20"/>
                <w:szCs w:val="20"/>
                <w:color w:val="auto"/>
              </w:rPr>
            </w:pPr>
            <w:r>
              <w:rPr>
                <w:rFonts w:ascii="Arial" w:cs="Arial" w:eastAsia="Arial" w:hAnsi="Arial"/>
                <w:sz w:val="18"/>
                <w:szCs w:val="18"/>
                <w:color w:val="auto"/>
              </w:rPr>
              <w:t>R. R. Lizardi</w:t>
            </w:r>
          </w:p>
        </w:tc>
        <w:tc>
          <w:tcPr>
            <w:tcW w:w="2600" w:type="dxa"/>
            <w:vAlign w:val="bottom"/>
          </w:tcPr>
          <w:p>
            <w:pPr>
              <w:ind w:left="244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313"/>
              <w:spacing w:after="0" w:line="202" w:lineRule="exact"/>
              <w:rPr>
                <w:sz w:val="20"/>
                <w:szCs w:val="20"/>
                <w:color w:val="auto"/>
              </w:rPr>
            </w:pPr>
            <w:r>
              <w:rPr>
                <w:rFonts w:ascii="Arial" w:cs="Arial" w:eastAsia="Arial" w:hAnsi="Arial"/>
                <w:sz w:val="18"/>
                <w:szCs w:val="18"/>
                <w:color w:val="auto"/>
              </w:rPr>
              <w:t>11,200</w:t>
            </w:r>
          </w:p>
        </w:tc>
        <w:tc>
          <w:tcPr>
            <w:tcW w:w="540" w:type="dxa"/>
            <w:vAlign w:val="bottom"/>
          </w:tcPr>
          <w:p>
            <w:pPr>
              <w:ind w:left="40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15"/>
              <w:spacing w:after="0" w:line="202" w:lineRule="exact"/>
              <w:rPr>
                <w:sz w:val="20"/>
                <w:szCs w:val="20"/>
                <w:color w:val="auto"/>
              </w:rPr>
            </w:pPr>
            <w:r>
              <w:rPr>
                <w:rFonts w:ascii="Arial" w:cs="Arial" w:eastAsia="Arial" w:hAnsi="Arial"/>
                <w:sz w:val="18"/>
                <w:szCs w:val="18"/>
                <w:color w:val="auto"/>
              </w:rPr>
              <w:t>80,206</w:t>
            </w:r>
          </w:p>
        </w:tc>
        <w:tc>
          <w:tcPr>
            <w:tcW w:w="6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7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 Anderskouv</w:t>
            </w:r>
          </w:p>
        </w:tc>
        <w:tc>
          <w:tcPr>
            <w:tcW w:w="2600" w:type="dxa"/>
            <w:vAlign w:val="bottom"/>
            <w:shd w:val="clear" w:color="auto" w:fill="E5E5E5"/>
          </w:tcPr>
          <w:p>
            <w:pPr>
              <w:ind w:left="244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E5E5E5"/>
          </w:tcPr>
          <w:p>
            <w:pPr>
              <w:jc w:val="right"/>
              <w:ind w:right="313"/>
              <w:spacing w:after="0" w:line="202" w:lineRule="exact"/>
              <w:rPr>
                <w:sz w:val="20"/>
                <w:szCs w:val="20"/>
                <w:color w:val="auto"/>
              </w:rPr>
            </w:pPr>
            <w:r>
              <w:rPr>
                <w:rFonts w:ascii="Arial" w:cs="Arial" w:eastAsia="Arial" w:hAnsi="Arial"/>
                <w:sz w:val="18"/>
                <w:szCs w:val="18"/>
                <w:color w:val="auto"/>
              </w:rPr>
              <w:t>11,200</w:t>
            </w:r>
          </w:p>
        </w:tc>
        <w:tc>
          <w:tcPr>
            <w:tcW w:w="540" w:type="dxa"/>
            <w:vAlign w:val="bottom"/>
            <w:shd w:val="clear" w:color="auto" w:fill="E5E5E5"/>
          </w:tcPr>
          <w:p>
            <w:pPr>
              <w:ind w:left="40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E5E5E5"/>
          </w:tcPr>
          <w:p>
            <w:pPr>
              <w:jc w:val="right"/>
              <w:ind w:right="315"/>
              <w:spacing w:after="0" w:line="202" w:lineRule="exact"/>
              <w:rPr>
                <w:sz w:val="20"/>
                <w:szCs w:val="20"/>
                <w:color w:val="auto"/>
              </w:rPr>
            </w:pPr>
            <w:r>
              <w:rPr>
                <w:rFonts w:ascii="Arial" w:cs="Arial" w:eastAsia="Arial" w:hAnsi="Arial"/>
                <w:sz w:val="18"/>
                <w:szCs w:val="18"/>
                <w:color w:val="auto"/>
              </w:rPr>
              <w:t>92,666</w:t>
            </w:r>
          </w:p>
        </w:tc>
        <w:tc>
          <w:tcPr>
            <w:tcW w:w="600" w:type="dxa"/>
            <w:vAlign w:val="bottom"/>
            <w:shd w:val="clear" w:color="auto" w:fill="E5E5E5"/>
          </w:tcPr>
          <w:p>
            <w:pPr>
              <w:spacing w:after="0"/>
              <w:rPr>
                <w:sz w:val="17"/>
                <w:szCs w:val="17"/>
                <w:color w:val="auto"/>
              </w:rPr>
            </w:pPr>
          </w:p>
        </w:tc>
        <w:tc>
          <w:tcPr>
            <w:tcW w:w="4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720" w:type="dxa"/>
            <w:vAlign w:val="bottom"/>
          </w:tcPr>
          <w:p>
            <w:pPr>
              <w:spacing w:after="0" w:line="202" w:lineRule="exact"/>
              <w:rPr>
                <w:sz w:val="20"/>
                <w:szCs w:val="20"/>
                <w:color w:val="auto"/>
              </w:rPr>
            </w:pPr>
            <w:r>
              <w:rPr>
                <w:rFonts w:ascii="Arial" w:cs="Arial" w:eastAsia="Arial" w:hAnsi="Arial"/>
                <w:sz w:val="18"/>
                <w:szCs w:val="18"/>
                <w:color w:val="auto"/>
              </w:rPr>
              <w:t>R. G. Delagi</w:t>
            </w:r>
          </w:p>
        </w:tc>
        <w:tc>
          <w:tcPr>
            <w:tcW w:w="2600" w:type="dxa"/>
            <w:vAlign w:val="bottom"/>
          </w:tcPr>
          <w:p>
            <w:pPr>
              <w:ind w:left="244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313"/>
              <w:spacing w:after="0" w:line="202" w:lineRule="exact"/>
              <w:rPr>
                <w:sz w:val="20"/>
                <w:szCs w:val="20"/>
                <w:color w:val="auto"/>
              </w:rPr>
            </w:pPr>
            <w:r>
              <w:rPr>
                <w:rFonts w:ascii="Arial" w:cs="Arial" w:eastAsia="Arial" w:hAnsi="Arial"/>
                <w:sz w:val="18"/>
                <w:szCs w:val="18"/>
                <w:color w:val="auto"/>
              </w:rPr>
              <w:t>5,600</w:t>
            </w:r>
          </w:p>
        </w:tc>
        <w:tc>
          <w:tcPr>
            <w:tcW w:w="540" w:type="dxa"/>
            <w:vAlign w:val="bottom"/>
          </w:tcPr>
          <w:p>
            <w:pPr>
              <w:spacing w:after="0"/>
              <w:rPr>
                <w:sz w:val="17"/>
                <w:szCs w:val="17"/>
                <w:color w:val="auto"/>
              </w:rPr>
            </w:pPr>
          </w:p>
        </w:tc>
        <w:tc>
          <w:tcPr>
            <w:tcW w:w="1120" w:type="dxa"/>
            <w:vAlign w:val="bottom"/>
          </w:tcPr>
          <w:p>
            <w:pPr>
              <w:jc w:val="right"/>
              <w:ind w:right="315"/>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ind w:left="40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03"/>
        </w:trPr>
        <w:tc>
          <w:tcPr>
            <w:tcW w:w="37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H. Ilan</w:t>
            </w:r>
          </w:p>
        </w:tc>
        <w:tc>
          <w:tcPr>
            <w:tcW w:w="2600" w:type="dxa"/>
            <w:vAlign w:val="bottom"/>
            <w:shd w:val="clear" w:color="auto" w:fill="E5E5E5"/>
          </w:tcPr>
          <w:p>
            <w:pPr>
              <w:ind w:left="244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E5E5E5"/>
          </w:tcPr>
          <w:p>
            <w:pPr>
              <w:jc w:val="right"/>
              <w:ind w:right="313"/>
              <w:spacing w:after="0" w:line="202" w:lineRule="exact"/>
              <w:rPr>
                <w:sz w:val="20"/>
                <w:szCs w:val="20"/>
                <w:color w:val="auto"/>
              </w:rPr>
            </w:pPr>
            <w:r>
              <w:rPr>
                <w:rFonts w:ascii="Arial" w:cs="Arial" w:eastAsia="Arial" w:hAnsi="Arial"/>
                <w:sz w:val="18"/>
                <w:szCs w:val="18"/>
                <w:color w:val="auto"/>
              </w:rPr>
              <w:t>11,200</w:t>
            </w:r>
          </w:p>
        </w:tc>
        <w:tc>
          <w:tcPr>
            <w:tcW w:w="540" w:type="dxa"/>
            <w:vAlign w:val="bottom"/>
            <w:shd w:val="clear" w:color="auto" w:fill="E5E5E5"/>
          </w:tcPr>
          <w:p>
            <w:pPr>
              <w:ind w:left="40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E5E5E5"/>
          </w:tcPr>
          <w:p>
            <w:pPr>
              <w:jc w:val="right"/>
              <w:ind w:right="315"/>
              <w:spacing w:after="0" w:line="202" w:lineRule="exact"/>
              <w:rPr>
                <w:sz w:val="20"/>
                <w:szCs w:val="20"/>
                <w:color w:val="auto"/>
              </w:rPr>
            </w:pPr>
            <w:r>
              <w:rPr>
                <w:rFonts w:ascii="Arial" w:cs="Arial" w:eastAsia="Arial" w:hAnsi="Arial"/>
                <w:sz w:val="18"/>
                <w:szCs w:val="18"/>
                <w:color w:val="auto"/>
              </w:rPr>
              <w:t>56,921</w:t>
            </w:r>
          </w:p>
        </w:tc>
        <w:tc>
          <w:tcPr>
            <w:tcW w:w="600" w:type="dxa"/>
            <w:vAlign w:val="bottom"/>
            <w:shd w:val="clear" w:color="auto" w:fill="E5E5E5"/>
          </w:tcPr>
          <w:p>
            <w:pPr>
              <w:spacing w:after="0"/>
              <w:rPr>
                <w:sz w:val="17"/>
                <w:szCs w:val="17"/>
                <w:color w:val="auto"/>
              </w:rPr>
            </w:pPr>
          </w:p>
        </w:tc>
        <w:tc>
          <w:tcPr>
            <w:tcW w:w="4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080" w:right="800" w:hanging="532"/>
        <w:spacing w:after="0" w:line="248" w:lineRule="auto"/>
        <w:tabs>
          <w:tab w:leader="none" w:pos="10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Consists of (i) contributions under the company’s enhanced defined contribution retirement plan of $5,600 for Messrs. Templeton, Lizardi and Anderskouv and (ii) an additional amount of $276,044 for Mr. Templeton, $74,606 for</w:t>
      </w:r>
    </w:p>
    <w:p>
      <w:pPr>
        <w:spacing w:after="0" w:line="1" w:lineRule="exact"/>
        <w:rPr>
          <w:rFonts w:ascii="Arial" w:cs="Arial" w:eastAsia="Arial" w:hAnsi="Arial"/>
          <w:sz w:val="17"/>
          <w:szCs w:val="17"/>
          <w:color w:val="auto"/>
        </w:rPr>
      </w:pPr>
    </w:p>
    <w:p>
      <w:pPr>
        <w:ind w:left="1080" w:right="80"/>
        <w:spacing w:after="0"/>
        <w:rPr>
          <w:rFonts w:ascii="Arial" w:cs="Arial" w:eastAsia="Arial" w:hAnsi="Arial"/>
          <w:sz w:val="17"/>
          <w:szCs w:val="17"/>
          <w:color w:val="auto"/>
        </w:rPr>
      </w:pPr>
      <w:r>
        <w:rPr>
          <w:rFonts w:ascii="Arial" w:cs="Arial" w:eastAsia="Arial" w:hAnsi="Arial"/>
          <w:sz w:val="18"/>
          <w:szCs w:val="18"/>
          <w:color w:val="auto"/>
        </w:rPr>
        <w:t>Mr. Lizardi, $87,066 for Mr. Anderskouv, and $56,921 for Mr. Ilan, applied by TI to offset IRC limitations on amounts that could be contributed to the enhanced defined contribution retirement plan, which amount is also shown in the 2019 non-qualified deferred compensation table.</w:t>
      </w:r>
    </w:p>
    <w:p>
      <w:pPr>
        <w:spacing w:after="0" w:line="108" w:lineRule="exact"/>
        <w:rPr>
          <w:rFonts w:ascii="Arial" w:cs="Arial" w:eastAsia="Arial" w:hAnsi="Arial"/>
          <w:sz w:val="17"/>
          <w:szCs w:val="17"/>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Mr. Delagi, represents payment for unused vacation time that could not be carried forward.</w:t>
      </w:r>
    </w:p>
    <w:p>
      <w:pPr>
        <w:spacing w:after="0" w:line="104" w:lineRule="exact"/>
        <w:rPr>
          <w:sz w:val="20"/>
          <w:szCs w:val="20"/>
          <w:color w:val="auto"/>
        </w:rPr>
      </w:pPr>
    </w:p>
    <w:p>
      <w:pPr>
        <w:ind w:left="560" w:right="80"/>
        <w:spacing w:after="0" w:line="238" w:lineRule="auto"/>
        <w:rPr>
          <w:sz w:val="20"/>
          <w:szCs w:val="20"/>
          <w:color w:val="auto"/>
        </w:rPr>
      </w:pPr>
      <w:r>
        <w:rPr>
          <w:rFonts w:ascii="Arial" w:cs="Arial" w:eastAsia="Arial" w:hAnsi="Arial"/>
          <w:sz w:val="18"/>
          <w:szCs w:val="18"/>
          <w:color w:val="auto"/>
        </w:rPr>
        <w:t>The perquisites and personal benefits are: $33,285 for Mr. Templeton and $34,233 for Mr. Lizardi, consisting of financial counseling, an executive physical, personal use of company aircraft ($20,099 for Mr. Templeton and $23,174 for Mr. Lizardi) and a one-time payment made to all employees who participated in the company’s dental plan. Financial counseling and an executive physical were made available to the other named executive officers, but the amounts attributable to those officers were below the disclosure thresholds.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Grants of plan-based awards in 2019</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the grants of plan-based awards to the named executive officers in 2019.</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1280" w:type="dxa"/>
            <w:vAlign w:val="bottom"/>
          </w:tcPr>
          <w:p>
            <w:pPr>
              <w:spacing w:after="0"/>
              <w:rPr>
                <w:sz w:val="14"/>
                <w:szCs w:val="14"/>
                <w:color w:val="auto"/>
              </w:rPr>
            </w:pPr>
          </w:p>
        </w:tc>
      </w:tr>
      <w:tr>
        <w:trPr>
          <w:trHeight w:val="162"/>
        </w:trPr>
        <w:tc>
          <w:tcPr>
            <w:tcW w:w="2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jc w:val="right"/>
              <w:ind w:right="180"/>
              <w:spacing w:after="0"/>
              <w:rPr>
                <w:sz w:val="20"/>
                <w:szCs w:val="20"/>
                <w:color w:val="auto"/>
              </w:rPr>
            </w:pPr>
            <w:r>
              <w:rPr>
                <w:rFonts w:ascii="Arial" w:cs="Arial" w:eastAsia="Arial" w:hAnsi="Arial"/>
                <w:sz w:val="14"/>
                <w:szCs w:val="14"/>
                <w:b w:val="1"/>
                <w:bCs w:val="1"/>
                <w:color w:val="auto"/>
              </w:rPr>
              <w:t>Stock Awards: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Option Awards: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or Base</w:t>
            </w:r>
          </w:p>
        </w:tc>
        <w:tc>
          <w:tcPr>
            <w:tcW w:w="1280" w:type="dxa"/>
            <w:vAlign w:val="bottom"/>
          </w:tcPr>
          <w:p>
            <w:pPr>
              <w:jc w:val="center"/>
              <w:ind w:left="116"/>
              <w:spacing w:after="0"/>
              <w:rPr>
                <w:sz w:val="20"/>
                <w:szCs w:val="20"/>
                <w:color w:val="auto"/>
              </w:rPr>
            </w:pPr>
            <w:r>
              <w:rPr>
                <w:rFonts w:ascii="Arial" w:cs="Arial" w:eastAsia="Arial" w:hAnsi="Arial"/>
                <w:sz w:val="14"/>
                <w:szCs w:val="14"/>
                <w:b w:val="1"/>
                <w:bCs w:val="1"/>
                <w:color w:val="auto"/>
              </w:rPr>
              <w:t>Grant Date</w:t>
            </w:r>
          </w:p>
        </w:tc>
      </w:tr>
      <w:tr>
        <w:trPr>
          <w:trHeight w:val="162"/>
        </w:trPr>
        <w:tc>
          <w:tcPr>
            <w:tcW w:w="2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Price of</w:t>
            </w:r>
          </w:p>
        </w:tc>
        <w:tc>
          <w:tcPr>
            <w:tcW w:w="1280" w:type="dxa"/>
            <w:vAlign w:val="bottom"/>
          </w:tcPr>
          <w:p>
            <w:pPr>
              <w:jc w:val="center"/>
              <w:ind w:left="116"/>
              <w:spacing w:after="0"/>
              <w:rPr>
                <w:sz w:val="20"/>
                <w:szCs w:val="20"/>
                <w:color w:val="auto"/>
              </w:rPr>
            </w:pPr>
            <w:r>
              <w:rPr>
                <w:rFonts w:ascii="Arial" w:cs="Arial" w:eastAsia="Arial" w:hAnsi="Arial"/>
                <w:sz w:val="14"/>
                <w:szCs w:val="14"/>
                <w:b w:val="1"/>
                <w:bCs w:val="1"/>
                <w:color w:val="auto"/>
              </w:rPr>
              <w:t>Fair Value</w:t>
            </w:r>
          </w:p>
        </w:tc>
      </w:tr>
      <w:tr>
        <w:trPr>
          <w:trHeight w:val="162"/>
        </w:trPr>
        <w:tc>
          <w:tcPr>
            <w:tcW w:w="2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60" w:type="dxa"/>
            <w:vAlign w:val="bottom"/>
          </w:tcPr>
          <w:p>
            <w:pPr>
              <w:ind w:left="280"/>
              <w:spacing w:after="0"/>
              <w:rPr>
                <w:sz w:val="20"/>
                <w:szCs w:val="20"/>
                <w:color w:val="auto"/>
              </w:rPr>
            </w:pPr>
            <w:r>
              <w:rPr>
                <w:rFonts w:ascii="Arial" w:cs="Arial" w:eastAsia="Arial" w:hAnsi="Arial"/>
                <w:sz w:val="14"/>
                <w:szCs w:val="14"/>
                <w:b w:val="1"/>
                <w:bCs w:val="1"/>
                <w:color w:val="auto"/>
              </w:rPr>
              <w:t>Date of</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1280" w:type="dxa"/>
            <w:vAlign w:val="bottom"/>
          </w:tcPr>
          <w:p>
            <w:pPr>
              <w:jc w:val="center"/>
              <w:ind w:left="116"/>
              <w:spacing w:after="0"/>
              <w:rPr>
                <w:sz w:val="20"/>
                <w:szCs w:val="20"/>
                <w:color w:val="auto"/>
              </w:rPr>
            </w:pPr>
            <w:r>
              <w:rPr>
                <w:rFonts w:ascii="Arial" w:cs="Arial" w:eastAsia="Arial" w:hAnsi="Arial"/>
                <w:sz w:val="14"/>
                <w:szCs w:val="14"/>
                <w:b w:val="1"/>
                <w:bCs w:val="1"/>
                <w:color w:val="auto"/>
              </w:rPr>
              <w:t>of Stock</w:t>
            </w:r>
          </w:p>
        </w:tc>
      </w:tr>
      <w:tr>
        <w:trPr>
          <w:trHeight w:val="162"/>
        </w:trPr>
        <w:tc>
          <w:tcPr>
            <w:tcW w:w="2700" w:type="dxa"/>
            <w:vAlign w:val="bottom"/>
          </w:tcPr>
          <w:p>
            <w:pPr>
              <w:spacing w:after="0"/>
              <w:rPr>
                <w:sz w:val="14"/>
                <w:szCs w:val="14"/>
                <w:color w:val="auto"/>
              </w:rPr>
            </w:pPr>
          </w:p>
        </w:tc>
        <w:tc>
          <w:tcPr>
            <w:tcW w:w="1560" w:type="dxa"/>
            <w:vAlign w:val="bottom"/>
          </w:tcPr>
          <w:p>
            <w:pPr>
              <w:jc w:val="right"/>
              <w:ind w:right="473"/>
              <w:spacing w:after="0"/>
              <w:rPr>
                <w:sz w:val="20"/>
                <w:szCs w:val="20"/>
                <w:color w:val="auto"/>
              </w:rPr>
            </w:pPr>
            <w:r>
              <w:rPr>
                <w:rFonts w:ascii="Arial" w:cs="Arial" w:eastAsia="Arial" w:hAnsi="Arial"/>
                <w:sz w:val="14"/>
                <w:szCs w:val="14"/>
                <w:b w:val="1"/>
                <w:bCs w:val="1"/>
                <w:color w:val="auto"/>
              </w:rPr>
              <w:t>Grant</w:t>
            </w:r>
          </w:p>
        </w:tc>
        <w:tc>
          <w:tcPr>
            <w:tcW w:w="1160" w:type="dxa"/>
            <w:vAlign w:val="bottom"/>
          </w:tcPr>
          <w:p>
            <w:pPr>
              <w:ind w:left="160"/>
              <w:spacing w:after="0"/>
              <w:rPr>
                <w:sz w:val="20"/>
                <w:szCs w:val="20"/>
                <w:color w:val="auto"/>
              </w:rPr>
            </w:pPr>
            <w:r>
              <w:rPr>
                <w:rFonts w:ascii="Arial" w:cs="Arial" w:eastAsia="Arial" w:hAnsi="Arial"/>
                <w:sz w:val="14"/>
                <w:szCs w:val="14"/>
                <w:b w:val="1"/>
                <w:bCs w:val="1"/>
                <w:color w:val="auto"/>
              </w:rPr>
              <w:t>Committee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9"/>
              </w:rPr>
              <w:t>Stock or</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8"/>
              </w:rPr>
              <w:t>Awards</w:t>
            </w:r>
          </w:p>
        </w:tc>
        <w:tc>
          <w:tcPr>
            <w:tcW w:w="1280" w:type="dxa"/>
            <w:vAlign w:val="bottom"/>
          </w:tcPr>
          <w:p>
            <w:pPr>
              <w:jc w:val="center"/>
              <w:ind w:left="116"/>
              <w:spacing w:after="0"/>
              <w:rPr>
                <w:sz w:val="20"/>
                <w:szCs w:val="20"/>
                <w:color w:val="auto"/>
              </w:rPr>
            </w:pPr>
            <w:r>
              <w:rPr>
                <w:rFonts w:ascii="Arial" w:cs="Arial" w:eastAsia="Arial" w:hAnsi="Arial"/>
                <w:sz w:val="14"/>
                <w:szCs w:val="14"/>
                <w:b w:val="1"/>
                <w:bCs w:val="1"/>
                <w:color w:val="auto"/>
              </w:rPr>
              <w:t>and Option</w:t>
            </w:r>
          </w:p>
        </w:tc>
      </w:tr>
      <w:tr>
        <w:trPr>
          <w:trHeight w:val="189"/>
        </w:trPr>
        <w:tc>
          <w:tcPr>
            <w:tcW w:w="2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5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Date</w:t>
            </w:r>
          </w:p>
        </w:tc>
        <w:tc>
          <w:tcPr>
            <w:tcW w:w="11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Action</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Units (#) (2)</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Options (#) (3)</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 (4)</w:t>
            </w:r>
          </w:p>
        </w:tc>
        <w:tc>
          <w:tcPr>
            <w:tcW w:w="1280" w:type="dxa"/>
            <w:vAlign w:val="bottom"/>
            <w:tcBorders>
              <w:bottom w:val="single" w:sz="8" w:color="auto"/>
            </w:tcBorders>
          </w:tcPr>
          <w:p>
            <w:pPr>
              <w:jc w:val="center"/>
              <w:ind w:left="116"/>
              <w:spacing w:after="0"/>
              <w:rPr>
                <w:sz w:val="20"/>
                <w:szCs w:val="20"/>
                <w:color w:val="auto"/>
              </w:rPr>
            </w:pPr>
            <w:r>
              <w:rPr>
                <w:rFonts w:ascii="Arial" w:cs="Arial" w:eastAsia="Arial" w:hAnsi="Arial"/>
                <w:sz w:val="14"/>
                <w:szCs w:val="14"/>
                <w:b w:val="1"/>
                <w:bCs w:val="1"/>
                <w:color w:val="auto"/>
              </w:rPr>
              <w:t>Awards (5)</w:t>
            </w:r>
          </w:p>
        </w:tc>
      </w:tr>
      <w:tr>
        <w:trPr>
          <w:trHeight w:val="195"/>
        </w:trPr>
        <w:tc>
          <w:tcPr>
            <w:tcW w:w="2700" w:type="dxa"/>
            <w:vAlign w:val="bottom"/>
            <w:shd w:val="clear" w:color="auto" w:fill="E5E5E5"/>
          </w:tcPr>
          <w:p>
            <w:pPr>
              <w:spacing w:after="0" w:line="195" w:lineRule="exact"/>
              <w:rPr>
                <w:sz w:val="20"/>
                <w:szCs w:val="20"/>
                <w:color w:val="auto"/>
              </w:rPr>
            </w:pPr>
            <w:r>
              <w:rPr>
                <w:rFonts w:ascii="Arial" w:cs="Arial" w:eastAsia="Arial" w:hAnsi="Arial"/>
                <w:sz w:val="18"/>
                <w:szCs w:val="18"/>
                <w:color w:val="auto"/>
              </w:rPr>
              <w:t>R. K. Templeton</w:t>
            </w:r>
          </w:p>
        </w:tc>
        <w:tc>
          <w:tcPr>
            <w:tcW w:w="1560" w:type="dxa"/>
            <w:vAlign w:val="bottom"/>
            <w:shd w:val="clear" w:color="auto" w:fill="E5E5E5"/>
          </w:tcPr>
          <w:p>
            <w:pPr>
              <w:jc w:val="right"/>
              <w:ind w:right="73"/>
              <w:spacing w:after="0" w:line="195" w:lineRule="exact"/>
              <w:rPr>
                <w:sz w:val="20"/>
                <w:szCs w:val="20"/>
                <w:color w:val="auto"/>
              </w:rPr>
            </w:pPr>
            <w:r>
              <w:rPr>
                <w:rFonts w:ascii="Arial" w:cs="Arial" w:eastAsia="Arial" w:hAnsi="Arial"/>
                <w:sz w:val="18"/>
                <w:szCs w:val="18"/>
                <w:color w:val="auto"/>
              </w:rPr>
              <w:t>1/25/19 (1)</w:t>
            </w:r>
          </w:p>
        </w:tc>
        <w:tc>
          <w:tcPr>
            <w:tcW w:w="1160" w:type="dxa"/>
            <w:vAlign w:val="bottom"/>
            <w:shd w:val="clear" w:color="auto" w:fill="E5E5E5"/>
          </w:tcPr>
          <w:p>
            <w:pPr>
              <w:ind w:left="300"/>
              <w:spacing w:after="0" w:line="195" w:lineRule="exact"/>
              <w:rPr>
                <w:sz w:val="20"/>
                <w:szCs w:val="20"/>
                <w:color w:val="auto"/>
              </w:rPr>
            </w:pPr>
            <w:r>
              <w:rPr>
                <w:rFonts w:ascii="Arial" w:cs="Arial" w:eastAsia="Arial" w:hAnsi="Arial"/>
                <w:sz w:val="18"/>
                <w:szCs w:val="18"/>
                <w:color w:val="auto"/>
              </w:rPr>
              <w:t>1/17/19</w:t>
            </w:r>
          </w:p>
        </w:tc>
        <w:tc>
          <w:tcPr>
            <w:tcW w:w="1520" w:type="dxa"/>
            <w:vAlign w:val="bottom"/>
            <w:shd w:val="clear" w:color="auto" w:fill="E5E5E5"/>
          </w:tcPr>
          <w:p>
            <w:pPr>
              <w:spacing w:after="0"/>
              <w:rPr>
                <w:sz w:val="16"/>
                <w:szCs w:val="16"/>
                <w:color w:val="auto"/>
              </w:rPr>
            </w:pPr>
          </w:p>
        </w:tc>
        <w:tc>
          <w:tcPr>
            <w:tcW w:w="1580" w:type="dxa"/>
            <w:vAlign w:val="bottom"/>
            <w:shd w:val="clear" w:color="auto" w:fill="E5E5E5"/>
          </w:tcPr>
          <w:p>
            <w:pPr>
              <w:jc w:val="right"/>
              <w:ind w:right="180"/>
              <w:spacing w:after="0" w:line="195" w:lineRule="exact"/>
              <w:rPr>
                <w:sz w:val="20"/>
                <w:szCs w:val="20"/>
                <w:color w:val="auto"/>
              </w:rPr>
            </w:pPr>
            <w:r>
              <w:rPr>
                <w:rFonts w:ascii="Arial" w:cs="Arial" w:eastAsia="Arial" w:hAnsi="Arial"/>
                <w:sz w:val="18"/>
                <w:szCs w:val="18"/>
                <w:color w:val="auto"/>
              </w:rPr>
              <w:t>294,627</w:t>
            </w:r>
          </w:p>
        </w:tc>
        <w:tc>
          <w:tcPr>
            <w:tcW w:w="1220" w:type="dxa"/>
            <w:vAlign w:val="bottom"/>
            <w:shd w:val="clear" w:color="auto" w:fill="E5E5E5"/>
          </w:tcPr>
          <w:p>
            <w:pPr>
              <w:jc w:val="center"/>
              <w:spacing w:after="0" w:line="195" w:lineRule="exact"/>
              <w:rPr>
                <w:sz w:val="20"/>
                <w:szCs w:val="20"/>
                <w:color w:val="auto"/>
              </w:rPr>
            </w:pPr>
            <w:r>
              <w:rPr>
                <w:rFonts w:ascii="Arial" w:cs="Arial" w:eastAsia="Arial" w:hAnsi="Arial"/>
                <w:sz w:val="18"/>
                <w:szCs w:val="18"/>
                <w:color w:val="auto"/>
                <w:w w:val="99"/>
              </w:rPr>
              <w:t>$ 104.41</w:t>
            </w:r>
          </w:p>
        </w:tc>
        <w:tc>
          <w:tcPr>
            <w:tcW w:w="1280" w:type="dxa"/>
            <w:vAlign w:val="bottom"/>
            <w:shd w:val="clear" w:color="auto" w:fill="E5E5E5"/>
          </w:tcPr>
          <w:p>
            <w:pPr>
              <w:jc w:val="center"/>
              <w:ind w:left="116"/>
              <w:spacing w:after="0" w:line="195" w:lineRule="exact"/>
              <w:rPr>
                <w:sz w:val="20"/>
                <w:szCs w:val="20"/>
                <w:color w:val="auto"/>
              </w:rPr>
            </w:pPr>
            <w:r>
              <w:rPr>
                <w:rFonts w:ascii="Arial" w:cs="Arial" w:eastAsia="Arial" w:hAnsi="Arial"/>
                <w:sz w:val="18"/>
                <w:szCs w:val="18"/>
                <w:color w:val="auto"/>
              </w:rPr>
              <w:t>$ 6,500,012</w:t>
            </w:r>
          </w:p>
        </w:tc>
      </w:tr>
      <w:tr>
        <w:trPr>
          <w:trHeight w:val="203"/>
        </w:trPr>
        <w:tc>
          <w:tcPr>
            <w:tcW w:w="2700" w:type="dxa"/>
            <w:vAlign w:val="bottom"/>
            <w:shd w:val="clear" w:color="auto" w:fill="E5E5E5"/>
          </w:tcPr>
          <w:p>
            <w:pPr>
              <w:spacing w:after="0"/>
              <w:rPr>
                <w:sz w:val="17"/>
                <w:szCs w:val="17"/>
                <w:color w:val="auto"/>
              </w:rPr>
            </w:pPr>
          </w:p>
        </w:tc>
        <w:tc>
          <w:tcPr>
            <w:tcW w:w="1560" w:type="dxa"/>
            <w:vAlign w:val="bottom"/>
            <w:shd w:val="clear" w:color="auto" w:fill="E5E5E5"/>
          </w:tcPr>
          <w:p>
            <w:pPr>
              <w:jc w:val="right"/>
              <w:ind w:right="73"/>
              <w:spacing w:after="0" w:line="203" w:lineRule="exact"/>
              <w:rPr>
                <w:sz w:val="20"/>
                <w:szCs w:val="20"/>
                <w:color w:val="auto"/>
              </w:rPr>
            </w:pPr>
            <w:r>
              <w:rPr>
                <w:rFonts w:ascii="Arial" w:cs="Arial" w:eastAsia="Arial" w:hAnsi="Arial"/>
                <w:sz w:val="18"/>
                <w:szCs w:val="18"/>
                <w:color w:val="auto"/>
              </w:rPr>
              <w:t>1/25/19 (1)</w:t>
            </w:r>
          </w:p>
        </w:tc>
        <w:tc>
          <w:tcPr>
            <w:tcW w:w="1160" w:type="dxa"/>
            <w:vAlign w:val="bottom"/>
            <w:shd w:val="clear" w:color="auto" w:fill="E5E5E5"/>
          </w:tcPr>
          <w:p>
            <w:pPr>
              <w:ind w:left="300"/>
              <w:spacing w:after="0" w:line="203" w:lineRule="exact"/>
              <w:rPr>
                <w:sz w:val="20"/>
                <w:szCs w:val="20"/>
                <w:color w:val="auto"/>
              </w:rPr>
            </w:pPr>
            <w:r>
              <w:rPr>
                <w:rFonts w:ascii="Arial" w:cs="Arial" w:eastAsia="Arial" w:hAnsi="Arial"/>
                <w:sz w:val="18"/>
                <w:szCs w:val="18"/>
                <w:color w:val="auto"/>
              </w:rPr>
              <w:t>1/17/19</w:t>
            </w:r>
          </w:p>
        </w:tc>
        <w:tc>
          <w:tcPr>
            <w:tcW w:w="1520" w:type="dxa"/>
            <w:vAlign w:val="bottom"/>
            <w:shd w:val="clear" w:color="auto" w:fill="E5E5E5"/>
          </w:tcPr>
          <w:p>
            <w:pPr>
              <w:jc w:val="right"/>
              <w:ind w:right="180"/>
              <w:spacing w:after="0" w:line="203" w:lineRule="exact"/>
              <w:rPr>
                <w:sz w:val="20"/>
                <w:szCs w:val="20"/>
                <w:color w:val="auto"/>
              </w:rPr>
            </w:pPr>
            <w:r>
              <w:rPr>
                <w:rFonts w:ascii="Arial" w:cs="Arial" w:eastAsia="Arial" w:hAnsi="Arial"/>
                <w:sz w:val="18"/>
                <w:szCs w:val="18"/>
                <w:color w:val="auto"/>
              </w:rPr>
              <w:t>62,255</w:t>
            </w:r>
          </w:p>
        </w:tc>
        <w:tc>
          <w:tcPr>
            <w:tcW w:w="1580" w:type="dxa"/>
            <w:vAlign w:val="bottom"/>
            <w:shd w:val="clear" w:color="auto" w:fill="E5E5E5"/>
          </w:tcPr>
          <w:p>
            <w:pPr>
              <w:spacing w:after="0"/>
              <w:rPr>
                <w:sz w:val="17"/>
                <w:szCs w:val="17"/>
                <w:color w:val="auto"/>
              </w:rPr>
            </w:pPr>
          </w:p>
        </w:tc>
        <w:tc>
          <w:tcPr>
            <w:tcW w:w="1220" w:type="dxa"/>
            <w:vAlign w:val="bottom"/>
            <w:shd w:val="clear" w:color="auto" w:fill="E5E5E5"/>
          </w:tcPr>
          <w:p>
            <w:pPr>
              <w:spacing w:after="0"/>
              <w:rPr>
                <w:sz w:val="17"/>
                <w:szCs w:val="17"/>
                <w:color w:val="auto"/>
              </w:rPr>
            </w:pPr>
          </w:p>
        </w:tc>
        <w:tc>
          <w:tcPr>
            <w:tcW w:w="1280" w:type="dxa"/>
            <w:vAlign w:val="bottom"/>
            <w:shd w:val="clear" w:color="auto" w:fill="E5E5E5"/>
          </w:tcPr>
          <w:p>
            <w:pPr>
              <w:jc w:val="center"/>
              <w:ind w:left="116"/>
              <w:spacing w:after="0" w:line="203" w:lineRule="exact"/>
              <w:rPr>
                <w:sz w:val="20"/>
                <w:szCs w:val="20"/>
                <w:color w:val="auto"/>
              </w:rPr>
            </w:pPr>
            <w:r>
              <w:rPr>
                <w:rFonts w:ascii="Arial" w:cs="Arial" w:eastAsia="Arial" w:hAnsi="Arial"/>
                <w:sz w:val="18"/>
                <w:szCs w:val="18"/>
                <w:color w:val="auto"/>
              </w:rPr>
              <w:t>$ 6,500,045</w:t>
            </w:r>
          </w:p>
        </w:tc>
      </w:tr>
      <w:tr>
        <w:trPr>
          <w:trHeight w:val="310"/>
        </w:trPr>
        <w:tc>
          <w:tcPr>
            <w:tcW w:w="2700" w:type="dxa"/>
            <w:vAlign w:val="bottom"/>
          </w:tcPr>
          <w:p>
            <w:pPr>
              <w:spacing w:after="0"/>
              <w:rPr>
                <w:sz w:val="20"/>
                <w:szCs w:val="20"/>
                <w:color w:val="auto"/>
              </w:rPr>
            </w:pPr>
            <w:r>
              <w:rPr>
                <w:rFonts w:ascii="Arial" w:cs="Arial" w:eastAsia="Arial" w:hAnsi="Arial"/>
                <w:sz w:val="18"/>
                <w:szCs w:val="18"/>
                <w:color w:val="auto"/>
              </w:rPr>
              <w:t>R. R. Lizardi</w:t>
            </w:r>
          </w:p>
        </w:tc>
        <w:tc>
          <w:tcPr>
            <w:tcW w:w="1560" w:type="dxa"/>
            <w:vAlign w:val="bottom"/>
          </w:tcPr>
          <w:p>
            <w:pPr>
              <w:jc w:val="right"/>
              <w:ind w:right="73"/>
              <w:spacing w:after="0"/>
              <w:rPr>
                <w:sz w:val="20"/>
                <w:szCs w:val="20"/>
                <w:color w:val="auto"/>
              </w:rPr>
            </w:pPr>
            <w:r>
              <w:rPr>
                <w:rFonts w:ascii="Arial" w:cs="Arial" w:eastAsia="Arial" w:hAnsi="Arial"/>
                <w:sz w:val="18"/>
                <w:szCs w:val="18"/>
                <w:color w:val="auto"/>
              </w:rPr>
              <w:t>1/25/19 (1)</w:t>
            </w:r>
          </w:p>
        </w:tc>
        <w:tc>
          <w:tcPr>
            <w:tcW w:w="1160" w:type="dxa"/>
            <w:vAlign w:val="bottom"/>
          </w:tcPr>
          <w:p>
            <w:pPr>
              <w:ind w:left="300"/>
              <w:spacing w:after="0"/>
              <w:rPr>
                <w:sz w:val="20"/>
                <w:szCs w:val="20"/>
                <w:color w:val="auto"/>
              </w:rPr>
            </w:pPr>
            <w:r>
              <w:rPr>
                <w:rFonts w:ascii="Arial" w:cs="Arial" w:eastAsia="Arial" w:hAnsi="Arial"/>
                <w:sz w:val="18"/>
                <w:szCs w:val="18"/>
                <w:color w:val="auto"/>
              </w:rPr>
              <w:t>1/17/19</w:t>
            </w:r>
          </w:p>
        </w:tc>
        <w:tc>
          <w:tcPr>
            <w:tcW w:w="1520" w:type="dxa"/>
            <w:vAlign w:val="bottom"/>
          </w:tcPr>
          <w:p>
            <w:pPr>
              <w:spacing w:after="0"/>
              <w:rPr>
                <w:sz w:val="24"/>
                <w:szCs w:val="24"/>
                <w:color w:val="auto"/>
              </w:rPr>
            </w:pPr>
          </w:p>
        </w:tc>
        <w:tc>
          <w:tcPr>
            <w:tcW w:w="1580" w:type="dxa"/>
            <w:vAlign w:val="bottom"/>
          </w:tcPr>
          <w:p>
            <w:pPr>
              <w:jc w:val="right"/>
              <w:ind w:right="180"/>
              <w:spacing w:after="0"/>
              <w:rPr>
                <w:sz w:val="20"/>
                <w:szCs w:val="20"/>
                <w:color w:val="auto"/>
              </w:rPr>
            </w:pPr>
            <w:r>
              <w:rPr>
                <w:rFonts w:ascii="Arial" w:cs="Arial" w:eastAsia="Arial" w:hAnsi="Arial"/>
                <w:sz w:val="18"/>
                <w:szCs w:val="18"/>
                <w:color w:val="auto"/>
              </w:rPr>
              <w:t>67,991</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$ 104.41</w:t>
            </w:r>
          </w:p>
        </w:tc>
        <w:tc>
          <w:tcPr>
            <w:tcW w:w="1280" w:type="dxa"/>
            <w:vAlign w:val="bottom"/>
          </w:tcPr>
          <w:p>
            <w:pPr>
              <w:jc w:val="center"/>
              <w:ind w:left="116"/>
              <w:spacing w:after="0"/>
              <w:rPr>
                <w:sz w:val="20"/>
                <w:szCs w:val="20"/>
                <w:color w:val="auto"/>
              </w:rPr>
            </w:pPr>
            <w:r>
              <w:rPr>
                <w:rFonts w:ascii="Arial" w:cs="Arial" w:eastAsia="Arial" w:hAnsi="Arial"/>
                <w:sz w:val="18"/>
                <w:szCs w:val="18"/>
                <w:color w:val="auto"/>
              </w:rPr>
              <w:t>$ 1,500,006</w:t>
            </w:r>
          </w:p>
        </w:tc>
      </w:tr>
      <w:tr>
        <w:trPr>
          <w:trHeight w:val="217"/>
        </w:trPr>
        <w:tc>
          <w:tcPr>
            <w:tcW w:w="2700" w:type="dxa"/>
            <w:vAlign w:val="bottom"/>
          </w:tcPr>
          <w:p>
            <w:pPr>
              <w:spacing w:after="0"/>
              <w:rPr>
                <w:sz w:val="18"/>
                <w:szCs w:val="18"/>
                <w:color w:val="auto"/>
              </w:rPr>
            </w:pPr>
          </w:p>
        </w:tc>
        <w:tc>
          <w:tcPr>
            <w:tcW w:w="1560" w:type="dxa"/>
            <w:vAlign w:val="bottom"/>
          </w:tcPr>
          <w:p>
            <w:pPr>
              <w:jc w:val="right"/>
              <w:ind w:right="73"/>
              <w:spacing w:after="0"/>
              <w:rPr>
                <w:sz w:val="20"/>
                <w:szCs w:val="20"/>
                <w:color w:val="auto"/>
              </w:rPr>
            </w:pPr>
            <w:r>
              <w:rPr>
                <w:rFonts w:ascii="Arial" w:cs="Arial" w:eastAsia="Arial" w:hAnsi="Arial"/>
                <w:sz w:val="18"/>
                <w:szCs w:val="18"/>
                <w:color w:val="auto"/>
              </w:rPr>
              <w:t>1/25/19 (1)</w:t>
            </w:r>
          </w:p>
        </w:tc>
        <w:tc>
          <w:tcPr>
            <w:tcW w:w="1160" w:type="dxa"/>
            <w:vAlign w:val="bottom"/>
          </w:tcPr>
          <w:p>
            <w:pPr>
              <w:ind w:left="300"/>
              <w:spacing w:after="0"/>
              <w:rPr>
                <w:sz w:val="20"/>
                <w:szCs w:val="20"/>
                <w:color w:val="auto"/>
              </w:rPr>
            </w:pPr>
            <w:r>
              <w:rPr>
                <w:rFonts w:ascii="Arial" w:cs="Arial" w:eastAsia="Arial" w:hAnsi="Arial"/>
                <w:sz w:val="18"/>
                <w:szCs w:val="18"/>
                <w:color w:val="auto"/>
              </w:rPr>
              <w:t>1/17/19</w:t>
            </w:r>
          </w:p>
        </w:tc>
        <w:tc>
          <w:tcPr>
            <w:tcW w:w="1520" w:type="dxa"/>
            <w:vAlign w:val="bottom"/>
          </w:tcPr>
          <w:p>
            <w:pPr>
              <w:jc w:val="right"/>
              <w:ind w:right="180"/>
              <w:spacing w:after="0"/>
              <w:rPr>
                <w:sz w:val="20"/>
                <w:szCs w:val="20"/>
                <w:color w:val="auto"/>
              </w:rPr>
            </w:pPr>
            <w:r>
              <w:rPr>
                <w:rFonts w:ascii="Arial" w:cs="Arial" w:eastAsia="Arial" w:hAnsi="Arial"/>
                <w:sz w:val="18"/>
                <w:szCs w:val="18"/>
                <w:color w:val="auto"/>
              </w:rPr>
              <w:t>14,367</w:t>
            </w:r>
          </w:p>
        </w:tc>
        <w:tc>
          <w:tcPr>
            <w:tcW w:w="1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80" w:type="dxa"/>
            <w:vAlign w:val="bottom"/>
          </w:tcPr>
          <w:p>
            <w:pPr>
              <w:jc w:val="center"/>
              <w:ind w:left="116"/>
              <w:spacing w:after="0"/>
              <w:rPr>
                <w:sz w:val="20"/>
                <w:szCs w:val="20"/>
                <w:color w:val="auto"/>
              </w:rPr>
            </w:pPr>
            <w:r>
              <w:rPr>
                <w:rFonts w:ascii="Arial" w:cs="Arial" w:eastAsia="Arial" w:hAnsi="Arial"/>
                <w:sz w:val="18"/>
                <w:szCs w:val="18"/>
                <w:color w:val="auto"/>
              </w:rPr>
              <w:t>$ 1,500,058</w:t>
            </w:r>
          </w:p>
        </w:tc>
      </w:tr>
      <w:tr>
        <w:trPr>
          <w:trHeight w:val="95"/>
        </w:trPr>
        <w:tc>
          <w:tcPr>
            <w:tcW w:w="27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02"/>
        </w:trPr>
        <w:tc>
          <w:tcPr>
            <w:tcW w:w="2700" w:type="dxa"/>
            <w:vAlign w:val="bottom"/>
            <w:shd w:val="clear" w:color="auto" w:fill="E5E5E5"/>
          </w:tcPr>
          <w:p>
            <w:pPr>
              <w:spacing w:after="0" w:line="201" w:lineRule="exact"/>
              <w:rPr>
                <w:sz w:val="20"/>
                <w:szCs w:val="20"/>
                <w:color w:val="auto"/>
              </w:rPr>
            </w:pPr>
            <w:r>
              <w:rPr>
                <w:rFonts w:ascii="Arial" w:cs="Arial" w:eastAsia="Arial" w:hAnsi="Arial"/>
                <w:sz w:val="18"/>
                <w:szCs w:val="18"/>
                <w:color w:val="auto"/>
              </w:rPr>
              <w:t>N. Anderskouv</w:t>
            </w:r>
          </w:p>
        </w:tc>
        <w:tc>
          <w:tcPr>
            <w:tcW w:w="1560" w:type="dxa"/>
            <w:vAlign w:val="bottom"/>
            <w:shd w:val="clear" w:color="auto" w:fill="E5E5E5"/>
          </w:tcPr>
          <w:p>
            <w:pPr>
              <w:jc w:val="right"/>
              <w:ind w:right="73"/>
              <w:spacing w:after="0" w:line="201" w:lineRule="exact"/>
              <w:rPr>
                <w:sz w:val="20"/>
                <w:szCs w:val="20"/>
                <w:color w:val="auto"/>
              </w:rPr>
            </w:pPr>
            <w:r>
              <w:rPr>
                <w:rFonts w:ascii="Arial" w:cs="Arial" w:eastAsia="Arial" w:hAnsi="Arial"/>
                <w:sz w:val="18"/>
                <w:szCs w:val="18"/>
                <w:color w:val="auto"/>
              </w:rPr>
              <w:t>1/25/19 (1)</w:t>
            </w:r>
          </w:p>
        </w:tc>
        <w:tc>
          <w:tcPr>
            <w:tcW w:w="1160" w:type="dxa"/>
            <w:vAlign w:val="bottom"/>
            <w:shd w:val="clear" w:color="auto" w:fill="E5E5E5"/>
          </w:tcPr>
          <w:p>
            <w:pPr>
              <w:ind w:left="300"/>
              <w:spacing w:after="0" w:line="201" w:lineRule="exact"/>
              <w:rPr>
                <w:sz w:val="20"/>
                <w:szCs w:val="20"/>
                <w:color w:val="auto"/>
              </w:rPr>
            </w:pPr>
            <w:r>
              <w:rPr>
                <w:rFonts w:ascii="Arial" w:cs="Arial" w:eastAsia="Arial" w:hAnsi="Arial"/>
                <w:sz w:val="18"/>
                <w:szCs w:val="18"/>
                <w:color w:val="auto"/>
              </w:rPr>
              <w:t>1/17/19</w:t>
            </w:r>
          </w:p>
        </w:tc>
        <w:tc>
          <w:tcPr>
            <w:tcW w:w="1520" w:type="dxa"/>
            <w:vAlign w:val="bottom"/>
            <w:shd w:val="clear" w:color="auto" w:fill="E5E5E5"/>
          </w:tcPr>
          <w:p>
            <w:pPr>
              <w:spacing w:after="0"/>
              <w:rPr>
                <w:sz w:val="17"/>
                <w:szCs w:val="17"/>
                <w:color w:val="auto"/>
              </w:rPr>
            </w:pPr>
          </w:p>
        </w:tc>
        <w:tc>
          <w:tcPr>
            <w:tcW w:w="1580" w:type="dxa"/>
            <w:vAlign w:val="bottom"/>
            <w:shd w:val="clear" w:color="auto" w:fill="E5E5E5"/>
          </w:tcPr>
          <w:p>
            <w:pPr>
              <w:jc w:val="right"/>
              <w:ind w:right="180"/>
              <w:spacing w:after="0" w:line="201" w:lineRule="exact"/>
              <w:rPr>
                <w:sz w:val="20"/>
                <w:szCs w:val="20"/>
                <w:color w:val="auto"/>
              </w:rPr>
            </w:pPr>
            <w:r>
              <w:rPr>
                <w:rFonts w:ascii="Arial" w:cs="Arial" w:eastAsia="Arial" w:hAnsi="Arial"/>
                <w:sz w:val="18"/>
                <w:szCs w:val="18"/>
                <w:color w:val="auto"/>
              </w:rPr>
              <w:t>86,122</w:t>
            </w:r>
          </w:p>
        </w:tc>
        <w:tc>
          <w:tcPr>
            <w:tcW w:w="1220" w:type="dxa"/>
            <w:vAlign w:val="bottom"/>
            <w:shd w:val="clear" w:color="auto" w:fill="E5E5E5"/>
          </w:tcPr>
          <w:p>
            <w:pPr>
              <w:jc w:val="center"/>
              <w:spacing w:after="0" w:line="201" w:lineRule="exact"/>
              <w:rPr>
                <w:sz w:val="20"/>
                <w:szCs w:val="20"/>
                <w:color w:val="auto"/>
              </w:rPr>
            </w:pPr>
            <w:r>
              <w:rPr>
                <w:rFonts w:ascii="Arial" w:cs="Arial" w:eastAsia="Arial" w:hAnsi="Arial"/>
                <w:sz w:val="18"/>
                <w:szCs w:val="18"/>
                <w:color w:val="auto"/>
                <w:w w:val="99"/>
              </w:rPr>
              <w:t>$ 104.41</w:t>
            </w:r>
          </w:p>
        </w:tc>
        <w:tc>
          <w:tcPr>
            <w:tcW w:w="1280" w:type="dxa"/>
            <w:vAlign w:val="bottom"/>
            <w:shd w:val="clear" w:color="auto" w:fill="E5E5E5"/>
          </w:tcPr>
          <w:p>
            <w:pPr>
              <w:jc w:val="center"/>
              <w:ind w:left="116"/>
              <w:spacing w:after="0" w:line="201" w:lineRule="exact"/>
              <w:rPr>
                <w:sz w:val="20"/>
                <w:szCs w:val="20"/>
                <w:color w:val="auto"/>
              </w:rPr>
            </w:pPr>
            <w:r>
              <w:rPr>
                <w:rFonts w:ascii="Arial" w:cs="Arial" w:eastAsia="Arial" w:hAnsi="Arial"/>
                <w:sz w:val="18"/>
                <w:szCs w:val="18"/>
                <w:color w:val="auto"/>
              </w:rPr>
              <w:t>$ 1,900,009</w:t>
            </w:r>
          </w:p>
        </w:tc>
      </w:tr>
      <w:tr>
        <w:trPr>
          <w:trHeight w:val="203"/>
        </w:trPr>
        <w:tc>
          <w:tcPr>
            <w:tcW w:w="2700" w:type="dxa"/>
            <w:vAlign w:val="bottom"/>
            <w:shd w:val="clear" w:color="auto" w:fill="E5E5E5"/>
          </w:tcPr>
          <w:p>
            <w:pPr>
              <w:spacing w:after="0"/>
              <w:rPr>
                <w:sz w:val="17"/>
                <w:szCs w:val="17"/>
                <w:color w:val="auto"/>
              </w:rPr>
            </w:pPr>
          </w:p>
        </w:tc>
        <w:tc>
          <w:tcPr>
            <w:tcW w:w="1560" w:type="dxa"/>
            <w:vAlign w:val="bottom"/>
            <w:shd w:val="clear" w:color="auto" w:fill="E5E5E5"/>
          </w:tcPr>
          <w:p>
            <w:pPr>
              <w:jc w:val="right"/>
              <w:ind w:right="73"/>
              <w:spacing w:after="0" w:line="203" w:lineRule="exact"/>
              <w:rPr>
                <w:sz w:val="20"/>
                <w:szCs w:val="20"/>
                <w:color w:val="auto"/>
              </w:rPr>
            </w:pPr>
            <w:r>
              <w:rPr>
                <w:rFonts w:ascii="Arial" w:cs="Arial" w:eastAsia="Arial" w:hAnsi="Arial"/>
                <w:sz w:val="18"/>
                <w:szCs w:val="18"/>
                <w:color w:val="auto"/>
              </w:rPr>
              <w:t>1/25/19 (1)</w:t>
            </w:r>
          </w:p>
        </w:tc>
        <w:tc>
          <w:tcPr>
            <w:tcW w:w="1160" w:type="dxa"/>
            <w:vAlign w:val="bottom"/>
            <w:shd w:val="clear" w:color="auto" w:fill="E5E5E5"/>
          </w:tcPr>
          <w:p>
            <w:pPr>
              <w:ind w:left="300"/>
              <w:spacing w:after="0" w:line="203" w:lineRule="exact"/>
              <w:rPr>
                <w:sz w:val="20"/>
                <w:szCs w:val="20"/>
                <w:color w:val="auto"/>
              </w:rPr>
            </w:pPr>
            <w:r>
              <w:rPr>
                <w:rFonts w:ascii="Arial" w:cs="Arial" w:eastAsia="Arial" w:hAnsi="Arial"/>
                <w:sz w:val="18"/>
                <w:szCs w:val="18"/>
                <w:color w:val="auto"/>
              </w:rPr>
              <w:t>1/17/19</w:t>
            </w:r>
          </w:p>
        </w:tc>
        <w:tc>
          <w:tcPr>
            <w:tcW w:w="1520" w:type="dxa"/>
            <w:vAlign w:val="bottom"/>
            <w:shd w:val="clear" w:color="auto" w:fill="E5E5E5"/>
          </w:tcPr>
          <w:p>
            <w:pPr>
              <w:jc w:val="right"/>
              <w:ind w:right="180"/>
              <w:spacing w:after="0" w:line="203" w:lineRule="exact"/>
              <w:rPr>
                <w:sz w:val="20"/>
                <w:szCs w:val="20"/>
                <w:color w:val="auto"/>
              </w:rPr>
            </w:pPr>
            <w:r>
              <w:rPr>
                <w:rFonts w:ascii="Arial" w:cs="Arial" w:eastAsia="Arial" w:hAnsi="Arial"/>
                <w:sz w:val="18"/>
                <w:szCs w:val="18"/>
                <w:color w:val="auto"/>
              </w:rPr>
              <w:t>18,198</w:t>
            </w:r>
          </w:p>
        </w:tc>
        <w:tc>
          <w:tcPr>
            <w:tcW w:w="1580" w:type="dxa"/>
            <w:vAlign w:val="bottom"/>
            <w:shd w:val="clear" w:color="auto" w:fill="E5E5E5"/>
          </w:tcPr>
          <w:p>
            <w:pPr>
              <w:spacing w:after="0"/>
              <w:rPr>
                <w:sz w:val="17"/>
                <w:szCs w:val="17"/>
                <w:color w:val="auto"/>
              </w:rPr>
            </w:pPr>
          </w:p>
        </w:tc>
        <w:tc>
          <w:tcPr>
            <w:tcW w:w="1220" w:type="dxa"/>
            <w:vAlign w:val="bottom"/>
            <w:shd w:val="clear" w:color="auto" w:fill="E5E5E5"/>
          </w:tcPr>
          <w:p>
            <w:pPr>
              <w:spacing w:after="0"/>
              <w:rPr>
                <w:sz w:val="17"/>
                <w:szCs w:val="17"/>
                <w:color w:val="auto"/>
              </w:rPr>
            </w:pPr>
          </w:p>
        </w:tc>
        <w:tc>
          <w:tcPr>
            <w:tcW w:w="1280" w:type="dxa"/>
            <w:vAlign w:val="bottom"/>
            <w:shd w:val="clear" w:color="auto" w:fill="E5E5E5"/>
          </w:tcPr>
          <w:p>
            <w:pPr>
              <w:jc w:val="center"/>
              <w:ind w:left="116"/>
              <w:spacing w:after="0" w:line="203" w:lineRule="exact"/>
              <w:rPr>
                <w:sz w:val="20"/>
                <w:szCs w:val="20"/>
                <w:color w:val="auto"/>
              </w:rPr>
            </w:pPr>
            <w:r>
              <w:rPr>
                <w:rFonts w:ascii="Arial" w:cs="Arial" w:eastAsia="Arial" w:hAnsi="Arial"/>
                <w:sz w:val="18"/>
                <w:szCs w:val="18"/>
                <w:color w:val="auto"/>
              </w:rPr>
              <w:t>$ 1,900,053</w:t>
            </w:r>
          </w:p>
        </w:tc>
      </w:tr>
      <w:tr>
        <w:trPr>
          <w:trHeight w:val="310"/>
        </w:trPr>
        <w:tc>
          <w:tcPr>
            <w:tcW w:w="2700" w:type="dxa"/>
            <w:vAlign w:val="bottom"/>
          </w:tcPr>
          <w:p>
            <w:pPr>
              <w:spacing w:after="0"/>
              <w:rPr>
                <w:sz w:val="20"/>
                <w:szCs w:val="20"/>
                <w:color w:val="auto"/>
              </w:rPr>
            </w:pPr>
            <w:r>
              <w:rPr>
                <w:rFonts w:ascii="Arial" w:cs="Arial" w:eastAsia="Arial" w:hAnsi="Arial"/>
                <w:sz w:val="18"/>
                <w:szCs w:val="18"/>
                <w:color w:val="auto"/>
              </w:rPr>
              <w:t>R. G. Delagi</w:t>
            </w:r>
          </w:p>
        </w:tc>
        <w:tc>
          <w:tcPr>
            <w:tcW w:w="1560" w:type="dxa"/>
            <w:vAlign w:val="bottom"/>
          </w:tcPr>
          <w:p>
            <w:pPr>
              <w:jc w:val="right"/>
              <w:ind w:right="73"/>
              <w:spacing w:after="0"/>
              <w:rPr>
                <w:sz w:val="20"/>
                <w:szCs w:val="20"/>
                <w:color w:val="auto"/>
              </w:rPr>
            </w:pPr>
            <w:r>
              <w:rPr>
                <w:rFonts w:ascii="Arial" w:cs="Arial" w:eastAsia="Arial" w:hAnsi="Arial"/>
                <w:sz w:val="18"/>
                <w:szCs w:val="18"/>
                <w:color w:val="auto"/>
              </w:rPr>
              <w:t>1/25/19 (1)</w:t>
            </w:r>
          </w:p>
        </w:tc>
        <w:tc>
          <w:tcPr>
            <w:tcW w:w="1160" w:type="dxa"/>
            <w:vAlign w:val="bottom"/>
          </w:tcPr>
          <w:p>
            <w:pPr>
              <w:ind w:left="300"/>
              <w:spacing w:after="0"/>
              <w:rPr>
                <w:sz w:val="20"/>
                <w:szCs w:val="20"/>
                <w:color w:val="auto"/>
              </w:rPr>
            </w:pPr>
            <w:r>
              <w:rPr>
                <w:rFonts w:ascii="Arial" w:cs="Arial" w:eastAsia="Arial" w:hAnsi="Arial"/>
                <w:sz w:val="18"/>
                <w:szCs w:val="18"/>
                <w:color w:val="auto"/>
              </w:rPr>
              <w:t>1/17/19</w:t>
            </w:r>
          </w:p>
        </w:tc>
        <w:tc>
          <w:tcPr>
            <w:tcW w:w="1520" w:type="dxa"/>
            <w:vAlign w:val="bottom"/>
          </w:tcPr>
          <w:p>
            <w:pPr>
              <w:spacing w:after="0"/>
              <w:rPr>
                <w:sz w:val="24"/>
                <w:szCs w:val="24"/>
                <w:color w:val="auto"/>
              </w:rPr>
            </w:pPr>
          </w:p>
        </w:tc>
        <w:tc>
          <w:tcPr>
            <w:tcW w:w="1580" w:type="dxa"/>
            <w:vAlign w:val="bottom"/>
          </w:tcPr>
          <w:p>
            <w:pPr>
              <w:jc w:val="right"/>
              <w:ind w:right="180"/>
              <w:spacing w:after="0"/>
              <w:rPr>
                <w:sz w:val="20"/>
                <w:szCs w:val="20"/>
                <w:color w:val="auto"/>
              </w:rPr>
            </w:pPr>
            <w:r>
              <w:rPr>
                <w:rFonts w:ascii="Arial" w:cs="Arial" w:eastAsia="Arial" w:hAnsi="Arial"/>
                <w:sz w:val="18"/>
                <w:szCs w:val="18"/>
                <w:color w:val="auto"/>
              </w:rPr>
              <w:t>81,589</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$ 104.41</w:t>
            </w:r>
          </w:p>
        </w:tc>
        <w:tc>
          <w:tcPr>
            <w:tcW w:w="1280" w:type="dxa"/>
            <w:vAlign w:val="bottom"/>
          </w:tcPr>
          <w:p>
            <w:pPr>
              <w:jc w:val="center"/>
              <w:ind w:left="116"/>
              <w:spacing w:after="0"/>
              <w:rPr>
                <w:sz w:val="20"/>
                <w:szCs w:val="20"/>
                <w:color w:val="auto"/>
              </w:rPr>
            </w:pPr>
            <w:r>
              <w:rPr>
                <w:rFonts w:ascii="Arial" w:cs="Arial" w:eastAsia="Arial" w:hAnsi="Arial"/>
                <w:sz w:val="18"/>
                <w:szCs w:val="18"/>
                <w:color w:val="auto"/>
              </w:rPr>
              <w:t>$ 1,800,003</w:t>
            </w:r>
          </w:p>
        </w:tc>
      </w:tr>
      <w:tr>
        <w:trPr>
          <w:trHeight w:val="217"/>
        </w:trPr>
        <w:tc>
          <w:tcPr>
            <w:tcW w:w="2700" w:type="dxa"/>
            <w:vAlign w:val="bottom"/>
          </w:tcPr>
          <w:p>
            <w:pPr>
              <w:spacing w:after="0"/>
              <w:rPr>
                <w:sz w:val="18"/>
                <w:szCs w:val="18"/>
                <w:color w:val="auto"/>
              </w:rPr>
            </w:pPr>
          </w:p>
        </w:tc>
        <w:tc>
          <w:tcPr>
            <w:tcW w:w="1560" w:type="dxa"/>
            <w:vAlign w:val="bottom"/>
          </w:tcPr>
          <w:p>
            <w:pPr>
              <w:jc w:val="right"/>
              <w:ind w:right="73"/>
              <w:spacing w:after="0"/>
              <w:rPr>
                <w:sz w:val="20"/>
                <w:szCs w:val="20"/>
                <w:color w:val="auto"/>
              </w:rPr>
            </w:pPr>
            <w:r>
              <w:rPr>
                <w:rFonts w:ascii="Arial" w:cs="Arial" w:eastAsia="Arial" w:hAnsi="Arial"/>
                <w:sz w:val="18"/>
                <w:szCs w:val="18"/>
                <w:color w:val="auto"/>
              </w:rPr>
              <w:t>1/25/19 (1)</w:t>
            </w:r>
          </w:p>
        </w:tc>
        <w:tc>
          <w:tcPr>
            <w:tcW w:w="1160" w:type="dxa"/>
            <w:vAlign w:val="bottom"/>
          </w:tcPr>
          <w:p>
            <w:pPr>
              <w:ind w:left="300"/>
              <w:spacing w:after="0"/>
              <w:rPr>
                <w:sz w:val="20"/>
                <w:szCs w:val="20"/>
                <w:color w:val="auto"/>
              </w:rPr>
            </w:pPr>
            <w:r>
              <w:rPr>
                <w:rFonts w:ascii="Arial" w:cs="Arial" w:eastAsia="Arial" w:hAnsi="Arial"/>
                <w:sz w:val="18"/>
                <w:szCs w:val="18"/>
                <w:color w:val="auto"/>
              </w:rPr>
              <w:t>1/17/19</w:t>
            </w:r>
          </w:p>
        </w:tc>
        <w:tc>
          <w:tcPr>
            <w:tcW w:w="1520" w:type="dxa"/>
            <w:vAlign w:val="bottom"/>
          </w:tcPr>
          <w:p>
            <w:pPr>
              <w:jc w:val="right"/>
              <w:ind w:right="180"/>
              <w:spacing w:after="0"/>
              <w:rPr>
                <w:sz w:val="20"/>
                <w:szCs w:val="20"/>
                <w:color w:val="auto"/>
              </w:rPr>
            </w:pPr>
            <w:r>
              <w:rPr>
                <w:rFonts w:ascii="Arial" w:cs="Arial" w:eastAsia="Arial" w:hAnsi="Arial"/>
                <w:sz w:val="18"/>
                <w:szCs w:val="18"/>
                <w:color w:val="auto"/>
              </w:rPr>
              <w:t>17,240</w:t>
            </w:r>
          </w:p>
        </w:tc>
        <w:tc>
          <w:tcPr>
            <w:tcW w:w="1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80" w:type="dxa"/>
            <w:vAlign w:val="bottom"/>
          </w:tcPr>
          <w:p>
            <w:pPr>
              <w:jc w:val="center"/>
              <w:ind w:left="116"/>
              <w:spacing w:after="0"/>
              <w:rPr>
                <w:sz w:val="20"/>
                <w:szCs w:val="20"/>
                <w:color w:val="auto"/>
              </w:rPr>
            </w:pPr>
            <w:r>
              <w:rPr>
                <w:rFonts w:ascii="Arial" w:cs="Arial" w:eastAsia="Arial" w:hAnsi="Arial"/>
                <w:sz w:val="18"/>
                <w:szCs w:val="18"/>
                <w:color w:val="auto"/>
              </w:rPr>
              <w:t>$ 1,800,028</w:t>
            </w:r>
          </w:p>
        </w:tc>
      </w:tr>
      <w:tr>
        <w:trPr>
          <w:trHeight w:val="95"/>
        </w:trPr>
        <w:tc>
          <w:tcPr>
            <w:tcW w:w="27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02"/>
        </w:trPr>
        <w:tc>
          <w:tcPr>
            <w:tcW w:w="2700" w:type="dxa"/>
            <w:vAlign w:val="bottom"/>
            <w:shd w:val="clear" w:color="auto" w:fill="E5E5E5"/>
          </w:tcPr>
          <w:p>
            <w:pPr>
              <w:spacing w:after="0" w:line="201" w:lineRule="exact"/>
              <w:rPr>
                <w:sz w:val="20"/>
                <w:szCs w:val="20"/>
                <w:color w:val="auto"/>
              </w:rPr>
            </w:pPr>
            <w:r>
              <w:rPr>
                <w:rFonts w:ascii="Arial" w:cs="Arial" w:eastAsia="Arial" w:hAnsi="Arial"/>
                <w:sz w:val="18"/>
                <w:szCs w:val="18"/>
                <w:color w:val="auto"/>
              </w:rPr>
              <w:t>H. Ilan</w:t>
            </w:r>
          </w:p>
        </w:tc>
        <w:tc>
          <w:tcPr>
            <w:tcW w:w="1560" w:type="dxa"/>
            <w:vAlign w:val="bottom"/>
            <w:shd w:val="clear" w:color="auto" w:fill="E5E5E5"/>
          </w:tcPr>
          <w:p>
            <w:pPr>
              <w:jc w:val="right"/>
              <w:ind w:right="73"/>
              <w:spacing w:after="0" w:line="201" w:lineRule="exact"/>
              <w:rPr>
                <w:sz w:val="20"/>
                <w:szCs w:val="20"/>
                <w:color w:val="auto"/>
              </w:rPr>
            </w:pPr>
            <w:r>
              <w:rPr>
                <w:rFonts w:ascii="Arial" w:cs="Arial" w:eastAsia="Arial" w:hAnsi="Arial"/>
                <w:sz w:val="18"/>
                <w:szCs w:val="18"/>
                <w:color w:val="auto"/>
              </w:rPr>
              <w:t>1/25/19 (1)</w:t>
            </w:r>
          </w:p>
        </w:tc>
        <w:tc>
          <w:tcPr>
            <w:tcW w:w="1160" w:type="dxa"/>
            <w:vAlign w:val="bottom"/>
            <w:shd w:val="clear" w:color="auto" w:fill="E5E5E5"/>
          </w:tcPr>
          <w:p>
            <w:pPr>
              <w:ind w:left="300"/>
              <w:spacing w:after="0" w:line="201" w:lineRule="exact"/>
              <w:rPr>
                <w:sz w:val="20"/>
                <w:szCs w:val="20"/>
                <w:color w:val="auto"/>
              </w:rPr>
            </w:pPr>
            <w:r>
              <w:rPr>
                <w:rFonts w:ascii="Arial" w:cs="Arial" w:eastAsia="Arial" w:hAnsi="Arial"/>
                <w:sz w:val="18"/>
                <w:szCs w:val="18"/>
                <w:color w:val="auto"/>
              </w:rPr>
              <w:t>1/17/19</w:t>
            </w:r>
          </w:p>
        </w:tc>
        <w:tc>
          <w:tcPr>
            <w:tcW w:w="1520" w:type="dxa"/>
            <w:vAlign w:val="bottom"/>
            <w:shd w:val="clear" w:color="auto" w:fill="E5E5E5"/>
          </w:tcPr>
          <w:p>
            <w:pPr>
              <w:spacing w:after="0"/>
              <w:rPr>
                <w:sz w:val="17"/>
                <w:szCs w:val="17"/>
                <w:color w:val="auto"/>
              </w:rPr>
            </w:pPr>
          </w:p>
        </w:tc>
        <w:tc>
          <w:tcPr>
            <w:tcW w:w="1580" w:type="dxa"/>
            <w:vAlign w:val="bottom"/>
            <w:shd w:val="clear" w:color="auto" w:fill="E5E5E5"/>
          </w:tcPr>
          <w:p>
            <w:pPr>
              <w:jc w:val="right"/>
              <w:ind w:right="180"/>
              <w:spacing w:after="0" w:line="201" w:lineRule="exact"/>
              <w:rPr>
                <w:sz w:val="20"/>
                <w:szCs w:val="20"/>
                <w:color w:val="auto"/>
              </w:rPr>
            </w:pPr>
            <w:r>
              <w:rPr>
                <w:rFonts w:ascii="Arial" w:cs="Arial" w:eastAsia="Arial" w:hAnsi="Arial"/>
                <w:sz w:val="18"/>
                <w:szCs w:val="18"/>
                <w:color w:val="auto"/>
              </w:rPr>
              <w:t>86,122</w:t>
            </w:r>
          </w:p>
        </w:tc>
        <w:tc>
          <w:tcPr>
            <w:tcW w:w="1220" w:type="dxa"/>
            <w:vAlign w:val="bottom"/>
            <w:shd w:val="clear" w:color="auto" w:fill="E5E5E5"/>
          </w:tcPr>
          <w:p>
            <w:pPr>
              <w:jc w:val="center"/>
              <w:spacing w:after="0" w:line="201" w:lineRule="exact"/>
              <w:rPr>
                <w:sz w:val="20"/>
                <w:szCs w:val="20"/>
                <w:color w:val="auto"/>
              </w:rPr>
            </w:pPr>
            <w:r>
              <w:rPr>
                <w:rFonts w:ascii="Arial" w:cs="Arial" w:eastAsia="Arial" w:hAnsi="Arial"/>
                <w:sz w:val="18"/>
                <w:szCs w:val="18"/>
                <w:color w:val="auto"/>
                <w:w w:val="99"/>
              </w:rPr>
              <w:t>$ 104.41</w:t>
            </w:r>
          </w:p>
        </w:tc>
        <w:tc>
          <w:tcPr>
            <w:tcW w:w="1280" w:type="dxa"/>
            <w:vAlign w:val="bottom"/>
            <w:shd w:val="clear" w:color="auto" w:fill="E5E5E5"/>
          </w:tcPr>
          <w:p>
            <w:pPr>
              <w:jc w:val="center"/>
              <w:ind w:left="116"/>
              <w:spacing w:after="0" w:line="201" w:lineRule="exact"/>
              <w:rPr>
                <w:sz w:val="20"/>
                <w:szCs w:val="20"/>
                <w:color w:val="auto"/>
              </w:rPr>
            </w:pPr>
            <w:r>
              <w:rPr>
                <w:rFonts w:ascii="Arial" w:cs="Arial" w:eastAsia="Arial" w:hAnsi="Arial"/>
                <w:sz w:val="18"/>
                <w:szCs w:val="18"/>
                <w:color w:val="auto"/>
              </w:rPr>
              <w:t>$ 1,900,009</w:t>
            </w:r>
          </w:p>
        </w:tc>
      </w:tr>
      <w:tr>
        <w:trPr>
          <w:trHeight w:val="203"/>
        </w:trPr>
        <w:tc>
          <w:tcPr>
            <w:tcW w:w="2700" w:type="dxa"/>
            <w:vAlign w:val="bottom"/>
            <w:shd w:val="clear" w:color="auto" w:fill="E5E5E5"/>
          </w:tcPr>
          <w:p>
            <w:pPr>
              <w:spacing w:after="0"/>
              <w:rPr>
                <w:sz w:val="17"/>
                <w:szCs w:val="17"/>
                <w:color w:val="auto"/>
              </w:rPr>
            </w:pPr>
          </w:p>
        </w:tc>
        <w:tc>
          <w:tcPr>
            <w:tcW w:w="1560" w:type="dxa"/>
            <w:vAlign w:val="bottom"/>
            <w:shd w:val="clear" w:color="auto" w:fill="E5E5E5"/>
          </w:tcPr>
          <w:p>
            <w:pPr>
              <w:jc w:val="right"/>
              <w:ind w:right="73"/>
              <w:spacing w:after="0" w:line="203" w:lineRule="exact"/>
              <w:rPr>
                <w:sz w:val="20"/>
                <w:szCs w:val="20"/>
                <w:color w:val="auto"/>
              </w:rPr>
            </w:pPr>
            <w:r>
              <w:rPr>
                <w:rFonts w:ascii="Arial" w:cs="Arial" w:eastAsia="Arial" w:hAnsi="Arial"/>
                <w:sz w:val="18"/>
                <w:szCs w:val="18"/>
                <w:color w:val="auto"/>
              </w:rPr>
              <w:t>1/25/19 (1)</w:t>
            </w:r>
          </w:p>
        </w:tc>
        <w:tc>
          <w:tcPr>
            <w:tcW w:w="1160" w:type="dxa"/>
            <w:vAlign w:val="bottom"/>
            <w:shd w:val="clear" w:color="auto" w:fill="E5E5E5"/>
          </w:tcPr>
          <w:p>
            <w:pPr>
              <w:ind w:left="300"/>
              <w:spacing w:after="0" w:line="203" w:lineRule="exact"/>
              <w:rPr>
                <w:sz w:val="20"/>
                <w:szCs w:val="20"/>
                <w:color w:val="auto"/>
              </w:rPr>
            </w:pPr>
            <w:r>
              <w:rPr>
                <w:rFonts w:ascii="Arial" w:cs="Arial" w:eastAsia="Arial" w:hAnsi="Arial"/>
                <w:sz w:val="18"/>
                <w:szCs w:val="18"/>
                <w:color w:val="auto"/>
              </w:rPr>
              <w:t>1/17/19</w:t>
            </w:r>
          </w:p>
        </w:tc>
        <w:tc>
          <w:tcPr>
            <w:tcW w:w="1520" w:type="dxa"/>
            <w:vAlign w:val="bottom"/>
            <w:shd w:val="clear" w:color="auto" w:fill="E5E5E5"/>
          </w:tcPr>
          <w:p>
            <w:pPr>
              <w:jc w:val="right"/>
              <w:ind w:right="180"/>
              <w:spacing w:after="0" w:line="203" w:lineRule="exact"/>
              <w:rPr>
                <w:sz w:val="20"/>
                <w:szCs w:val="20"/>
                <w:color w:val="auto"/>
              </w:rPr>
            </w:pPr>
            <w:r>
              <w:rPr>
                <w:rFonts w:ascii="Arial" w:cs="Arial" w:eastAsia="Arial" w:hAnsi="Arial"/>
                <w:sz w:val="18"/>
                <w:szCs w:val="18"/>
                <w:color w:val="auto"/>
              </w:rPr>
              <w:t>18,198</w:t>
            </w:r>
          </w:p>
        </w:tc>
        <w:tc>
          <w:tcPr>
            <w:tcW w:w="1580" w:type="dxa"/>
            <w:vAlign w:val="bottom"/>
            <w:shd w:val="clear" w:color="auto" w:fill="E5E5E5"/>
          </w:tcPr>
          <w:p>
            <w:pPr>
              <w:spacing w:after="0"/>
              <w:rPr>
                <w:sz w:val="17"/>
                <w:szCs w:val="17"/>
                <w:color w:val="auto"/>
              </w:rPr>
            </w:pPr>
          </w:p>
        </w:tc>
        <w:tc>
          <w:tcPr>
            <w:tcW w:w="1220" w:type="dxa"/>
            <w:vAlign w:val="bottom"/>
            <w:shd w:val="clear" w:color="auto" w:fill="E5E5E5"/>
          </w:tcPr>
          <w:p>
            <w:pPr>
              <w:spacing w:after="0"/>
              <w:rPr>
                <w:sz w:val="17"/>
                <w:szCs w:val="17"/>
                <w:color w:val="auto"/>
              </w:rPr>
            </w:pPr>
          </w:p>
        </w:tc>
        <w:tc>
          <w:tcPr>
            <w:tcW w:w="1280" w:type="dxa"/>
            <w:vAlign w:val="bottom"/>
            <w:shd w:val="clear" w:color="auto" w:fill="E5E5E5"/>
          </w:tcPr>
          <w:p>
            <w:pPr>
              <w:jc w:val="center"/>
              <w:ind w:left="116"/>
              <w:spacing w:after="0" w:line="203" w:lineRule="exact"/>
              <w:rPr>
                <w:sz w:val="20"/>
                <w:szCs w:val="20"/>
                <w:color w:val="auto"/>
              </w:rPr>
            </w:pPr>
            <w:r>
              <w:rPr>
                <w:rFonts w:ascii="Arial" w:cs="Arial" w:eastAsia="Arial" w:hAnsi="Arial"/>
                <w:sz w:val="18"/>
                <w:szCs w:val="18"/>
                <w:color w:val="auto"/>
              </w:rPr>
              <w:t>$ 1,900,053</w:t>
            </w:r>
          </w:p>
        </w:tc>
      </w:tr>
    </w:tbl>
    <w:p>
      <w:pPr>
        <w:spacing w:after="0" w:line="121" w:lineRule="exact"/>
        <w:rPr>
          <w:sz w:val="20"/>
          <w:szCs w:val="20"/>
          <w:color w:val="auto"/>
        </w:rPr>
      </w:pPr>
    </w:p>
    <w:p>
      <w:pPr>
        <w:ind w:left="540" w:right="220" w:hanging="424"/>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accordance with the grant policy of the Compensation Committee of the board (described under “Process for equity grants”), the grants became effective on the second trading day after the company released its financial results for the fourth-quarter and year 2018. The company released these results on January 23, 2019.</w:t>
      </w:r>
    </w:p>
    <w:p>
      <w:pPr>
        <w:spacing w:after="0" w:line="108" w:lineRule="exact"/>
        <w:rPr>
          <w:rFonts w:ascii="Arial" w:cs="Arial" w:eastAsia="Arial" w:hAnsi="Arial"/>
          <w:sz w:val="18"/>
          <w:szCs w:val="18"/>
          <w:color w:val="auto"/>
        </w:rPr>
      </w:pPr>
    </w:p>
    <w:p>
      <w:pPr>
        <w:ind w:left="540" w:right="300" w:hanging="424"/>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stock awards granted to the named executive officers in 2019 were RSU awards. These awards were made under the company’s 2009 Long-Term Incentive Plan. For information on the terms and conditions of these RSU awards, see the discussion following the outstanding equity awards at fiscal year-end 2019 table.</w:t>
      </w:r>
    </w:p>
    <w:p>
      <w:pPr>
        <w:spacing w:after="0" w:line="108" w:lineRule="exact"/>
        <w:rPr>
          <w:rFonts w:ascii="Arial" w:cs="Arial" w:eastAsia="Arial" w:hAnsi="Arial"/>
          <w:sz w:val="18"/>
          <w:szCs w:val="18"/>
          <w:color w:val="auto"/>
        </w:rPr>
      </w:pPr>
    </w:p>
    <w:p>
      <w:pPr>
        <w:ind w:left="540" w:right="40" w:hanging="424"/>
        <w:spacing w:after="0" w:line="246"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options were granted under the company’s 2009 Long-Term Incentive Plan. For information on the terms and conditions of these options, see the discussion following the outstanding equity awards at fiscal year-end 2019 table.</w:t>
      </w:r>
    </w:p>
    <w:p>
      <w:pPr>
        <w:spacing w:after="0" w:line="102" w:lineRule="exact"/>
        <w:rPr>
          <w:rFonts w:ascii="Arial" w:cs="Arial" w:eastAsia="Arial" w:hAnsi="Arial"/>
          <w:sz w:val="18"/>
          <w:szCs w:val="18"/>
          <w:color w:val="auto"/>
        </w:rPr>
      </w:pPr>
    </w:p>
    <w:p>
      <w:pPr>
        <w:ind w:left="540" w:hanging="424"/>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exercise price of the options is the closing price of TI common stock on January 25, 2019.</w:t>
      </w:r>
    </w:p>
    <w:p>
      <w:pPr>
        <w:spacing w:after="0" w:line="139" w:lineRule="exact"/>
        <w:rPr>
          <w:sz w:val="20"/>
          <w:szCs w:val="20"/>
          <w:color w:val="auto"/>
        </w:rPr>
      </w:pPr>
    </w:p>
    <w:tbl>
      <w:tblPr>
        <w:tblLayout w:type="fixed"/>
        <w:tblInd w:w="4040" w:type="dxa"/>
        <w:tblCellMar>
          <w:top w:w="0" w:type="dxa"/>
          <w:left w:w="0" w:type="dxa"/>
          <w:bottom w:w="0" w:type="dxa"/>
          <w:right w:w="0" w:type="dxa"/>
        </w:tblCellMar>
      </w:tblPr>
      <w:tr>
        <w:trPr>
          <w:trHeight w:val="152"/>
        </w:trPr>
        <w:tc>
          <w:tcPr>
            <w:tcW w:w="5080" w:type="dxa"/>
            <w:vAlign w:val="bottom"/>
          </w:tcPr>
          <w:p>
            <w:pPr>
              <w:spacing w:after="0"/>
              <w:rPr>
                <w:sz w:val="20"/>
                <w:szCs w:val="20"/>
                <w:color w:val="auto"/>
              </w:rPr>
            </w:pPr>
            <w:r>
              <w:rPr>
                <w:rFonts w:ascii="Arial" w:cs="Arial" w:eastAsia="Arial" w:hAnsi="Arial"/>
                <w:sz w:val="13"/>
                <w:szCs w:val="13"/>
                <w:color w:val="666666"/>
              </w:rPr>
              <w:t>TEXAS INSTRUMENTS  •  2020 PROXY STATEMENT</w:t>
            </w:r>
          </w:p>
        </w:tc>
        <w:tc>
          <w:tcPr>
            <w:tcW w:w="2000" w:type="dxa"/>
            <w:vAlign w:val="bottom"/>
          </w:tcPr>
          <w:p>
            <w:pPr>
              <w:jc w:val="right"/>
              <w:spacing w:after="0"/>
              <w:rPr>
                <w:sz w:val="20"/>
                <w:szCs w:val="20"/>
                <w:color w:val="auto"/>
              </w:rPr>
            </w:pPr>
            <w:r>
              <w:rPr>
                <w:rFonts w:ascii="Arial" w:cs="Arial" w:eastAsia="Arial" w:hAnsi="Arial"/>
                <w:sz w:val="13"/>
                <w:szCs w:val="13"/>
                <w:color w:val="666666"/>
              </w:rPr>
              <w:t>33</w:t>
            </w:r>
          </w:p>
        </w:tc>
      </w:tr>
    </w:tbl>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right="600" w:hanging="424"/>
        <w:spacing w:after="0" w:line="246"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Shown is the aggregate grant date fair value computed in accordance with ASC 718 for stock and option awards in 2019. The discussion of the assumptions used for purposes of the valuation appears in Note 3 to the 2019 financial statements.</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 of the options or other equity awards granted to the named executive officers was repriced or modified by the company.</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additional information regarding TI’s equity compensation grant practices, see the Compensation Discussion and Analysis.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Outstanding equity awards at fiscal year-end 2019</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the outstanding equity awards for each of the named executive officers as of December 31, 2019.</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20" w:type="dxa"/>
            <w:vAlign w:val="bottom"/>
            <w:gridSpan w:val="4"/>
          </w:tcPr>
          <w:p>
            <w:pPr>
              <w:jc w:val="center"/>
              <w:spacing w:after="0"/>
              <w:rPr>
                <w:sz w:val="20"/>
                <w:szCs w:val="20"/>
                <w:color w:val="auto"/>
              </w:rPr>
            </w:pPr>
            <w:r>
              <w:rPr>
                <w:rFonts w:ascii="Arial" w:cs="Arial" w:eastAsia="Arial" w:hAnsi="Arial"/>
                <w:sz w:val="14"/>
                <w:szCs w:val="14"/>
                <w:b w:val="1"/>
                <w:bCs w:val="1"/>
                <w:color w:val="auto"/>
              </w:rPr>
              <w:t>Option Awards</w:t>
            </w: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40" w:type="dxa"/>
            <w:vAlign w:val="bottom"/>
            <w:gridSpan w:val="5"/>
          </w:tcPr>
          <w:p>
            <w:pPr>
              <w:ind w:left="760"/>
              <w:spacing w:after="0"/>
              <w:rPr>
                <w:sz w:val="20"/>
                <w:szCs w:val="20"/>
                <w:color w:val="auto"/>
              </w:rPr>
            </w:pPr>
            <w:r>
              <w:rPr>
                <w:rFonts w:ascii="Arial" w:cs="Arial" w:eastAsia="Arial" w:hAnsi="Arial"/>
                <w:sz w:val="14"/>
                <w:szCs w:val="14"/>
                <w:b w:val="1"/>
                <w:bCs w:val="1"/>
                <w:color w:val="auto"/>
              </w:rPr>
              <w:t>Stock Awards</w:t>
            </w:r>
          </w:p>
        </w:tc>
      </w:tr>
      <w:tr>
        <w:trPr>
          <w:trHeight w:val="142"/>
        </w:trPr>
        <w:tc>
          <w:tcPr>
            <w:tcW w:w="3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Number of</w:t>
            </w:r>
          </w:p>
        </w:tc>
        <w:tc>
          <w:tcPr>
            <w:tcW w:w="1260" w:type="dxa"/>
            <w:vAlign w:val="bottom"/>
            <w:tcBorders>
              <w:top w:val="single" w:sz="8" w:color="auto"/>
            </w:tcBorders>
          </w:tcPr>
          <w:p>
            <w:pPr>
              <w:jc w:val="center"/>
              <w:ind w:left="174"/>
              <w:spacing w:after="0" w:line="143" w:lineRule="exact"/>
              <w:rPr>
                <w:sz w:val="20"/>
                <w:szCs w:val="20"/>
                <w:color w:val="auto"/>
              </w:rPr>
            </w:pPr>
            <w:r>
              <w:rPr>
                <w:rFonts w:ascii="Arial" w:cs="Arial" w:eastAsia="Arial" w:hAnsi="Arial"/>
                <w:sz w:val="14"/>
                <w:szCs w:val="14"/>
                <w:b w:val="1"/>
                <w:bCs w:val="1"/>
                <w:color w:val="auto"/>
              </w:rPr>
              <w:t>Number of</w:t>
            </w:r>
          </w:p>
        </w:tc>
        <w:tc>
          <w:tcPr>
            <w:tcW w:w="3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center"/>
              <w:ind w:left="12"/>
              <w:spacing w:after="0" w:line="143" w:lineRule="exact"/>
              <w:rPr>
                <w:sz w:val="20"/>
                <w:szCs w:val="20"/>
                <w:color w:val="auto"/>
              </w:rPr>
            </w:pPr>
            <w:r>
              <w:rPr>
                <w:rFonts w:ascii="Arial" w:cs="Arial" w:eastAsia="Arial" w:hAnsi="Arial"/>
                <w:sz w:val="14"/>
                <w:szCs w:val="14"/>
                <w:b w:val="1"/>
                <w:bCs w:val="1"/>
                <w:color w:val="auto"/>
              </w:rPr>
              <w:t>Market Value</w:t>
            </w:r>
          </w:p>
        </w:tc>
        <w:tc>
          <w:tcPr>
            <w:tcW w:w="60" w:type="dxa"/>
            <w:vAlign w:val="bottom"/>
          </w:tcPr>
          <w:p>
            <w:pPr>
              <w:spacing w:after="0"/>
              <w:rPr>
                <w:sz w:val="12"/>
                <w:szCs w:val="12"/>
                <w:color w:val="auto"/>
              </w:rPr>
            </w:pPr>
          </w:p>
        </w:tc>
      </w:tr>
      <w:tr>
        <w:trPr>
          <w:trHeight w:val="162"/>
        </w:trPr>
        <w:tc>
          <w:tcPr>
            <w:tcW w:w="3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1260" w:type="dxa"/>
            <w:vAlign w:val="bottom"/>
          </w:tcPr>
          <w:p>
            <w:pPr>
              <w:jc w:val="center"/>
              <w:ind w:left="194"/>
              <w:spacing w:after="0"/>
              <w:rPr>
                <w:sz w:val="20"/>
                <w:szCs w:val="20"/>
                <w:color w:val="auto"/>
              </w:rPr>
            </w:pPr>
            <w:r>
              <w:rPr>
                <w:rFonts w:ascii="Arial" w:cs="Arial" w:eastAsia="Arial" w:hAnsi="Arial"/>
                <w:sz w:val="14"/>
                <w:szCs w:val="14"/>
                <w:b w:val="1"/>
                <w:bCs w:val="1"/>
                <w:color w:val="auto"/>
              </w:rPr>
              <w:t>Securities</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of Shares or</w:t>
            </w:r>
          </w:p>
        </w:tc>
      </w:tr>
      <w:tr>
        <w:trPr>
          <w:trHeight w:val="162"/>
        </w:trPr>
        <w:tc>
          <w:tcPr>
            <w:tcW w:w="3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1260" w:type="dxa"/>
            <w:vAlign w:val="bottom"/>
          </w:tcPr>
          <w:p>
            <w:pPr>
              <w:jc w:val="center"/>
              <w:ind w:left="194"/>
              <w:spacing w:after="0"/>
              <w:rPr>
                <w:sz w:val="20"/>
                <w:szCs w:val="20"/>
                <w:color w:val="auto"/>
              </w:rPr>
            </w:pPr>
            <w:r>
              <w:rPr>
                <w:rFonts w:ascii="Arial" w:cs="Arial" w:eastAsia="Arial" w:hAnsi="Arial"/>
                <w:sz w:val="14"/>
                <w:szCs w:val="14"/>
                <w:b w:val="1"/>
                <w:bCs w:val="1"/>
                <w:color w:val="auto"/>
              </w:rPr>
              <w:t>Underlying</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Shares or</w:t>
            </w:r>
          </w:p>
        </w:tc>
        <w:tc>
          <w:tcPr>
            <w:tcW w:w="340" w:type="dxa"/>
            <w:vAlign w:val="bottom"/>
          </w:tcPr>
          <w:p>
            <w:pPr>
              <w:spacing w:after="0"/>
              <w:rPr>
                <w:sz w:val="14"/>
                <w:szCs w:val="14"/>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rPr>
              <w:t>Units of Stock</w:t>
            </w:r>
          </w:p>
        </w:tc>
      </w:tr>
      <w:tr>
        <w:trPr>
          <w:trHeight w:val="162"/>
        </w:trPr>
        <w:tc>
          <w:tcPr>
            <w:tcW w:w="3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Unexercised</w:t>
            </w:r>
          </w:p>
        </w:tc>
        <w:tc>
          <w:tcPr>
            <w:tcW w:w="1260" w:type="dxa"/>
            <w:vAlign w:val="bottom"/>
          </w:tcPr>
          <w:p>
            <w:pPr>
              <w:jc w:val="center"/>
              <w:ind w:left="194"/>
              <w:spacing w:after="0"/>
              <w:rPr>
                <w:sz w:val="20"/>
                <w:szCs w:val="20"/>
                <w:color w:val="auto"/>
              </w:rPr>
            </w:pPr>
            <w:r>
              <w:rPr>
                <w:rFonts w:ascii="Arial" w:cs="Arial" w:eastAsia="Arial" w:hAnsi="Arial"/>
                <w:sz w:val="14"/>
                <w:szCs w:val="14"/>
                <w:b w:val="1"/>
                <w:bCs w:val="1"/>
                <w:color w:val="auto"/>
              </w:rPr>
              <w:t>Unexercised</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ind w:right="211"/>
              <w:spacing w:after="0"/>
              <w:rPr>
                <w:sz w:val="20"/>
                <w:szCs w:val="20"/>
                <w:color w:val="auto"/>
              </w:rPr>
            </w:pPr>
            <w:r>
              <w:rPr>
                <w:rFonts w:ascii="Arial" w:cs="Arial" w:eastAsia="Arial" w:hAnsi="Arial"/>
                <w:sz w:val="14"/>
                <w:szCs w:val="14"/>
                <w:b w:val="1"/>
                <w:bCs w:val="1"/>
                <w:color w:val="auto"/>
              </w:rPr>
              <w:t>Option</w:t>
            </w:r>
          </w:p>
        </w:tc>
        <w:tc>
          <w:tcPr>
            <w:tcW w:w="1320" w:type="dxa"/>
            <w:vAlign w:val="bottom"/>
            <w:gridSpan w:val="2"/>
          </w:tcPr>
          <w:p>
            <w:pPr>
              <w:ind w:left="320"/>
              <w:spacing w:after="0"/>
              <w:rPr>
                <w:sz w:val="20"/>
                <w:szCs w:val="20"/>
                <w:color w:val="auto"/>
              </w:rPr>
            </w:pPr>
            <w:r>
              <w:rPr>
                <w:rFonts w:ascii="Arial" w:cs="Arial" w:eastAsia="Arial" w:hAnsi="Arial"/>
                <w:sz w:val="14"/>
                <w:szCs w:val="14"/>
                <w:b w:val="1"/>
                <w:bCs w:val="1"/>
                <w:color w:val="auto"/>
              </w:rPr>
              <w:t>Option</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9"/>
              </w:rPr>
              <w:t>Units of Stock</w:t>
            </w:r>
          </w:p>
        </w:tc>
        <w:tc>
          <w:tcPr>
            <w:tcW w:w="340" w:type="dxa"/>
            <w:vAlign w:val="bottom"/>
          </w:tcPr>
          <w:p>
            <w:pPr>
              <w:spacing w:after="0"/>
              <w:rPr>
                <w:sz w:val="14"/>
                <w:szCs w:val="14"/>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rPr>
              <w:t>That Have Not</w:t>
            </w:r>
          </w:p>
        </w:tc>
      </w:tr>
      <w:tr>
        <w:trPr>
          <w:trHeight w:val="162"/>
        </w:trPr>
        <w:tc>
          <w:tcPr>
            <w:tcW w:w="3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Options (#)</w:t>
            </w:r>
          </w:p>
        </w:tc>
        <w:tc>
          <w:tcPr>
            <w:tcW w:w="1260" w:type="dxa"/>
            <w:vAlign w:val="bottom"/>
          </w:tcPr>
          <w:p>
            <w:pPr>
              <w:jc w:val="center"/>
              <w:ind w:left="174"/>
              <w:spacing w:after="0"/>
              <w:rPr>
                <w:sz w:val="20"/>
                <w:szCs w:val="20"/>
                <w:color w:val="auto"/>
              </w:rPr>
            </w:pPr>
            <w:r>
              <w:rPr>
                <w:rFonts w:ascii="Arial" w:cs="Arial" w:eastAsia="Arial" w:hAnsi="Arial"/>
                <w:sz w:val="14"/>
                <w:szCs w:val="14"/>
                <w:b w:val="1"/>
                <w:bCs w:val="1"/>
                <w:color w:val="auto"/>
              </w:rPr>
              <w:t>Options (#)</w:t>
            </w:r>
          </w:p>
        </w:tc>
        <w:tc>
          <w:tcPr>
            <w:tcW w:w="340" w:type="dxa"/>
            <w:vAlign w:val="bottom"/>
          </w:tcPr>
          <w:p>
            <w:pPr>
              <w:spacing w:after="0"/>
              <w:rPr>
                <w:sz w:val="14"/>
                <w:szCs w:val="14"/>
                <w:color w:val="auto"/>
              </w:rPr>
            </w:pPr>
          </w:p>
        </w:tc>
        <w:tc>
          <w:tcPr>
            <w:tcW w:w="1020" w:type="dxa"/>
            <w:vAlign w:val="bottom"/>
            <w:gridSpan w:val="2"/>
          </w:tcPr>
          <w:p>
            <w:pPr>
              <w:jc w:val="center"/>
              <w:ind w:right="11"/>
              <w:spacing w:after="0"/>
              <w:rPr>
                <w:sz w:val="20"/>
                <w:szCs w:val="20"/>
                <w:color w:val="auto"/>
              </w:rPr>
            </w:pPr>
            <w:r>
              <w:rPr>
                <w:rFonts w:ascii="Arial" w:cs="Arial" w:eastAsia="Arial" w:hAnsi="Arial"/>
                <w:sz w:val="14"/>
                <w:szCs w:val="14"/>
                <w:b w:val="1"/>
                <w:bCs w:val="1"/>
                <w:color w:val="auto"/>
              </w:rPr>
              <w:t>Exercise</w:t>
            </w: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Expiration</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9"/>
              </w:rPr>
              <w:t>That Have Not</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Vested</w:t>
            </w:r>
          </w:p>
        </w:tc>
      </w:tr>
      <w:tr>
        <w:trPr>
          <w:trHeight w:val="189"/>
        </w:trPr>
        <w:tc>
          <w:tcPr>
            <w:tcW w:w="3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Exercisable</w:t>
            </w:r>
          </w:p>
        </w:tc>
        <w:tc>
          <w:tcPr>
            <w:tcW w:w="1260" w:type="dxa"/>
            <w:vAlign w:val="bottom"/>
            <w:tcBorders>
              <w:bottom w:val="single" w:sz="8" w:color="auto"/>
            </w:tcBorders>
          </w:tcPr>
          <w:p>
            <w:pPr>
              <w:jc w:val="center"/>
              <w:ind w:left="194"/>
              <w:spacing w:after="0"/>
              <w:rPr>
                <w:sz w:val="20"/>
                <w:szCs w:val="20"/>
                <w:color w:val="auto"/>
              </w:rPr>
            </w:pPr>
            <w:r>
              <w:rPr>
                <w:rFonts w:ascii="Arial" w:cs="Arial" w:eastAsia="Arial" w:hAnsi="Arial"/>
                <w:sz w:val="14"/>
                <w:szCs w:val="14"/>
                <w:b w:val="1"/>
                <w:bCs w:val="1"/>
                <w:color w:val="auto"/>
              </w:rPr>
              <w:t>Unexercisable</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11"/>
              <w:spacing w:after="0"/>
              <w:rPr>
                <w:sz w:val="20"/>
                <w:szCs w:val="20"/>
                <w:color w:val="auto"/>
              </w:rPr>
            </w:pPr>
            <w:r>
              <w:rPr>
                <w:rFonts w:ascii="Arial" w:cs="Arial" w:eastAsia="Arial" w:hAnsi="Arial"/>
                <w:sz w:val="14"/>
                <w:szCs w:val="14"/>
                <w:b w:val="1"/>
                <w:bCs w:val="1"/>
                <w:color w:val="auto"/>
              </w:rPr>
              <w:t>Price ($)</w:t>
            </w:r>
          </w:p>
        </w:tc>
        <w:tc>
          <w:tcPr>
            <w:tcW w:w="132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Date</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Vested (#)</w:t>
            </w:r>
          </w:p>
        </w:tc>
        <w:tc>
          <w:tcPr>
            <w:tcW w:w="3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rPr>
              <w:t>($) (1)</w:t>
            </w:r>
          </w:p>
        </w:tc>
        <w:tc>
          <w:tcPr>
            <w:tcW w:w="60" w:type="dxa"/>
            <w:vAlign w:val="bottom"/>
            <w:tcBorders>
              <w:bottom w:val="single" w:sz="8" w:color="auto"/>
            </w:tcBorders>
          </w:tcPr>
          <w:p>
            <w:pPr>
              <w:spacing w:after="0"/>
              <w:rPr>
                <w:sz w:val="16"/>
                <w:szCs w:val="16"/>
                <w:color w:val="auto"/>
              </w:rPr>
            </w:pPr>
          </w:p>
        </w:tc>
      </w:tr>
      <w:tr>
        <w:trPr>
          <w:trHeight w:val="195"/>
        </w:trPr>
        <w:tc>
          <w:tcPr>
            <w:tcW w:w="3360" w:type="dxa"/>
            <w:vAlign w:val="bottom"/>
            <w:shd w:val="clear" w:color="auto" w:fill="E5E5E5"/>
          </w:tcPr>
          <w:p>
            <w:pPr>
              <w:spacing w:after="0" w:line="195" w:lineRule="exact"/>
              <w:rPr>
                <w:sz w:val="20"/>
                <w:szCs w:val="20"/>
                <w:color w:val="auto"/>
              </w:rPr>
            </w:pPr>
            <w:r>
              <w:rPr>
                <w:rFonts w:ascii="Arial" w:cs="Arial" w:eastAsia="Arial" w:hAnsi="Arial"/>
                <w:sz w:val="18"/>
                <w:szCs w:val="18"/>
                <w:color w:val="auto"/>
              </w:rPr>
              <w:t>R. K. Templeton</w:t>
            </w:r>
          </w:p>
        </w:tc>
        <w:tc>
          <w:tcPr>
            <w:tcW w:w="260" w:type="dxa"/>
            <w:vAlign w:val="bottom"/>
            <w:shd w:val="clear" w:color="auto" w:fill="E5E5E5"/>
          </w:tcPr>
          <w:p>
            <w:pPr>
              <w:spacing w:after="0"/>
              <w:rPr>
                <w:sz w:val="16"/>
                <w:szCs w:val="16"/>
                <w:color w:val="auto"/>
              </w:rPr>
            </w:pPr>
          </w:p>
        </w:tc>
        <w:tc>
          <w:tcPr>
            <w:tcW w:w="920" w:type="dxa"/>
            <w:vAlign w:val="bottom"/>
            <w:shd w:val="clear" w:color="auto" w:fill="E5E5E5"/>
          </w:tcPr>
          <w:p>
            <w:pPr>
              <w:jc w:val="right"/>
              <w:spacing w:after="0" w:line="195" w:lineRule="exact"/>
              <w:rPr>
                <w:sz w:val="20"/>
                <w:szCs w:val="20"/>
                <w:color w:val="auto"/>
              </w:rPr>
            </w:pPr>
            <w:r>
              <w:rPr>
                <w:rFonts w:ascii="Arial" w:cs="Arial" w:eastAsia="Arial" w:hAnsi="Arial"/>
                <w:sz w:val="18"/>
                <w:szCs w:val="18"/>
                <w:color w:val="auto"/>
              </w:rPr>
              <w:t>—</w:t>
            </w:r>
          </w:p>
        </w:tc>
        <w:tc>
          <w:tcPr>
            <w:tcW w:w="1260" w:type="dxa"/>
            <w:vAlign w:val="bottom"/>
            <w:shd w:val="clear" w:color="auto" w:fill="E5E5E5"/>
          </w:tcPr>
          <w:p>
            <w:pPr>
              <w:jc w:val="right"/>
              <w:spacing w:after="0" w:line="195" w:lineRule="exact"/>
              <w:rPr>
                <w:sz w:val="20"/>
                <w:szCs w:val="20"/>
                <w:color w:val="auto"/>
              </w:rPr>
            </w:pPr>
            <w:r>
              <w:rPr>
                <w:rFonts w:ascii="Arial" w:cs="Arial" w:eastAsia="Arial" w:hAnsi="Arial"/>
                <w:sz w:val="18"/>
                <w:szCs w:val="18"/>
                <w:color w:val="auto"/>
              </w:rPr>
              <w:t>294,627</w:t>
            </w:r>
          </w:p>
        </w:tc>
        <w:tc>
          <w:tcPr>
            <w:tcW w:w="340" w:type="dxa"/>
            <w:vAlign w:val="bottom"/>
            <w:shd w:val="clear" w:color="auto" w:fill="E5E5E5"/>
          </w:tcPr>
          <w:p>
            <w:pPr>
              <w:jc w:val="center"/>
              <w:ind w:right="30"/>
              <w:spacing w:after="0" w:line="195" w:lineRule="exact"/>
              <w:rPr>
                <w:sz w:val="20"/>
                <w:szCs w:val="20"/>
                <w:color w:val="auto"/>
              </w:rPr>
            </w:pPr>
            <w:r>
              <w:rPr>
                <w:rFonts w:ascii="Arial" w:cs="Arial" w:eastAsia="Arial" w:hAnsi="Arial"/>
                <w:sz w:val="18"/>
                <w:szCs w:val="18"/>
                <w:color w:val="auto"/>
                <w:w w:val="99"/>
              </w:rPr>
              <w:t>(2)</w:t>
            </w:r>
          </w:p>
        </w:tc>
        <w:tc>
          <w:tcPr>
            <w:tcW w:w="1020" w:type="dxa"/>
            <w:vAlign w:val="bottom"/>
            <w:gridSpan w:val="2"/>
            <w:shd w:val="clear" w:color="auto" w:fill="E5E5E5"/>
          </w:tcPr>
          <w:p>
            <w:pPr>
              <w:jc w:val="right"/>
              <w:ind w:right="111"/>
              <w:spacing w:after="0" w:line="195" w:lineRule="exact"/>
              <w:rPr>
                <w:sz w:val="20"/>
                <w:szCs w:val="20"/>
                <w:color w:val="auto"/>
              </w:rPr>
            </w:pPr>
            <w:r>
              <w:rPr>
                <w:rFonts w:ascii="Arial" w:cs="Arial" w:eastAsia="Arial" w:hAnsi="Arial"/>
                <w:sz w:val="18"/>
                <w:szCs w:val="18"/>
                <w:color w:val="auto"/>
              </w:rPr>
              <w:t>$ 104.41</w:t>
            </w:r>
          </w:p>
        </w:tc>
        <w:tc>
          <w:tcPr>
            <w:tcW w:w="1320" w:type="dxa"/>
            <w:vAlign w:val="bottom"/>
            <w:gridSpan w:val="2"/>
            <w:shd w:val="clear" w:color="auto" w:fill="E5E5E5"/>
          </w:tcPr>
          <w:p>
            <w:pPr>
              <w:ind w:left="180"/>
              <w:spacing w:after="0" w:line="195" w:lineRule="exact"/>
              <w:rPr>
                <w:sz w:val="20"/>
                <w:szCs w:val="20"/>
                <w:color w:val="auto"/>
              </w:rPr>
            </w:pPr>
            <w:r>
              <w:rPr>
                <w:rFonts w:ascii="Arial" w:cs="Arial" w:eastAsia="Arial" w:hAnsi="Arial"/>
                <w:sz w:val="18"/>
                <w:szCs w:val="18"/>
                <w:color w:val="auto"/>
              </w:rPr>
              <w:t>1/25/2029</w:t>
            </w:r>
          </w:p>
        </w:tc>
        <w:tc>
          <w:tcPr>
            <w:tcW w:w="960" w:type="dxa"/>
            <w:vAlign w:val="bottom"/>
            <w:shd w:val="clear" w:color="auto" w:fill="E5E5E5"/>
          </w:tcPr>
          <w:p>
            <w:pPr>
              <w:jc w:val="right"/>
              <w:spacing w:after="0" w:line="195" w:lineRule="exact"/>
              <w:rPr>
                <w:sz w:val="20"/>
                <w:szCs w:val="20"/>
                <w:color w:val="auto"/>
              </w:rPr>
            </w:pPr>
            <w:r>
              <w:rPr>
                <w:rFonts w:ascii="Arial" w:cs="Arial" w:eastAsia="Arial" w:hAnsi="Arial"/>
                <w:sz w:val="18"/>
                <w:szCs w:val="18"/>
                <w:color w:val="auto"/>
              </w:rPr>
              <w:t>62,255</w:t>
            </w:r>
          </w:p>
        </w:tc>
        <w:tc>
          <w:tcPr>
            <w:tcW w:w="340" w:type="dxa"/>
            <w:vAlign w:val="bottom"/>
            <w:shd w:val="clear" w:color="auto" w:fill="E5E5E5"/>
          </w:tcPr>
          <w:p>
            <w:pPr>
              <w:jc w:val="right"/>
              <w:ind w:right="30"/>
              <w:spacing w:after="0" w:line="195" w:lineRule="exact"/>
              <w:rPr>
                <w:sz w:val="20"/>
                <w:szCs w:val="20"/>
                <w:color w:val="auto"/>
              </w:rPr>
            </w:pPr>
            <w:r>
              <w:rPr>
                <w:rFonts w:ascii="Arial" w:cs="Arial" w:eastAsia="Arial" w:hAnsi="Arial"/>
                <w:sz w:val="18"/>
                <w:szCs w:val="18"/>
                <w:color w:val="auto"/>
                <w:w w:val="90"/>
              </w:rPr>
              <w:t>(6)</w:t>
            </w:r>
          </w:p>
        </w:tc>
        <w:tc>
          <w:tcPr>
            <w:tcW w:w="220" w:type="dxa"/>
            <w:vAlign w:val="bottom"/>
            <w:shd w:val="clear" w:color="auto" w:fill="E5E5E5"/>
          </w:tcPr>
          <w:p>
            <w:pPr>
              <w:jc w:val="right"/>
              <w:spacing w:after="0" w:line="195"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60"/>
              <w:spacing w:after="0" w:line="195" w:lineRule="exact"/>
              <w:rPr>
                <w:sz w:val="20"/>
                <w:szCs w:val="20"/>
                <w:color w:val="auto"/>
              </w:rPr>
            </w:pPr>
            <w:r>
              <w:rPr>
                <w:rFonts w:ascii="Arial" w:cs="Arial" w:eastAsia="Arial" w:hAnsi="Arial"/>
                <w:sz w:val="18"/>
                <w:szCs w:val="18"/>
                <w:color w:val="auto"/>
              </w:rPr>
              <w:t>7,986,694</w:t>
            </w:r>
          </w:p>
        </w:tc>
      </w:tr>
      <w:tr>
        <w:trPr>
          <w:trHeight w:val="203"/>
        </w:trPr>
        <w:tc>
          <w:tcPr>
            <w:tcW w:w="336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64,600</w:t>
            </w:r>
          </w:p>
        </w:tc>
        <w:tc>
          <w:tcPr>
            <w:tcW w:w="1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193,803</w:t>
            </w:r>
          </w:p>
        </w:tc>
        <w:tc>
          <w:tcPr>
            <w:tcW w:w="340" w:type="dxa"/>
            <w:vAlign w:val="bottom"/>
            <w:shd w:val="clear" w:color="auto" w:fill="E5E5E5"/>
          </w:tcPr>
          <w:p>
            <w:pPr>
              <w:jc w:val="center"/>
              <w:ind w:right="30"/>
              <w:spacing w:after="0" w:line="202" w:lineRule="exact"/>
              <w:rPr>
                <w:sz w:val="20"/>
                <w:szCs w:val="20"/>
                <w:color w:val="auto"/>
              </w:rPr>
            </w:pPr>
            <w:r>
              <w:rPr>
                <w:rFonts w:ascii="Arial" w:cs="Arial" w:eastAsia="Arial" w:hAnsi="Arial"/>
                <w:sz w:val="18"/>
                <w:szCs w:val="18"/>
                <w:color w:val="auto"/>
                <w:w w:val="99"/>
              </w:rPr>
              <w:t>(3)</w:t>
            </w:r>
          </w:p>
        </w:tc>
        <w:tc>
          <w:tcPr>
            <w:tcW w:w="1020" w:type="dxa"/>
            <w:vAlign w:val="bottom"/>
            <w:gridSpan w:val="2"/>
            <w:shd w:val="clear" w:color="auto" w:fill="E5E5E5"/>
          </w:tcPr>
          <w:p>
            <w:pPr>
              <w:jc w:val="right"/>
              <w:ind w:right="111"/>
              <w:spacing w:after="0" w:line="202" w:lineRule="exact"/>
              <w:rPr>
                <w:sz w:val="20"/>
                <w:szCs w:val="20"/>
                <w:color w:val="auto"/>
              </w:rPr>
            </w:pPr>
            <w:r>
              <w:rPr>
                <w:rFonts w:ascii="Arial" w:cs="Arial" w:eastAsia="Arial" w:hAnsi="Arial"/>
                <w:sz w:val="18"/>
                <w:szCs w:val="18"/>
                <w:color w:val="auto"/>
              </w:rPr>
              <w:t>$ 110.15</w:t>
            </w:r>
          </w:p>
        </w:tc>
        <w:tc>
          <w:tcPr>
            <w:tcW w:w="1320" w:type="dxa"/>
            <w:vAlign w:val="bottom"/>
            <w:gridSpan w:val="2"/>
            <w:shd w:val="clear" w:color="auto" w:fill="E5E5E5"/>
          </w:tcPr>
          <w:p>
            <w:pPr>
              <w:ind w:left="180"/>
              <w:spacing w:after="0" w:line="202" w:lineRule="exact"/>
              <w:rPr>
                <w:sz w:val="20"/>
                <w:szCs w:val="20"/>
                <w:color w:val="auto"/>
              </w:rPr>
            </w:pPr>
            <w:r>
              <w:rPr>
                <w:rFonts w:ascii="Arial" w:cs="Arial" w:eastAsia="Arial" w:hAnsi="Arial"/>
                <w:sz w:val="18"/>
                <w:szCs w:val="18"/>
                <w:color w:val="auto"/>
              </w:rPr>
              <w:t>1/25/2028</w:t>
            </w: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54,472</w:t>
            </w:r>
          </w:p>
        </w:tc>
        <w:tc>
          <w:tcPr>
            <w:tcW w:w="34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color w:val="auto"/>
                <w:w w:val="90"/>
              </w:rPr>
              <w:t>(7)</w:t>
            </w:r>
          </w:p>
        </w:tc>
        <w:tc>
          <w:tcPr>
            <w:tcW w:w="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6,988,213</w:t>
            </w:r>
          </w:p>
        </w:tc>
      </w:tr>
      <w:tr>
        <w:trPr>
          <w:trHeight w:val="203"/>
        </w:trPr>
        <w:tc>
          <w:tcPr>
            <w:tcW w:w="336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166,807</w:t>
            </w:r>
          </w:p>
        </w:tc>
        <w:tc>
          <w:tcPr>
            <w:tcW w:w="1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166,808</w:t>
            </w:r>
          </w:p>
        </w:tc>
        <w:tc>
          <w:tcPr>
            <w:tcW w:w="340" w:type="dxa"/>
            <w:vAlign w:val="bottom"/>
            <w:shd w:val="clear" w:color="auto" w:fill="E5E5E5"/>
          </w:tcPr>
          <w:p>
            <w:pPr>
              <w:jc w:val="center"/>
              <w:ind w:right="30"/>
              <w:spacing w:after="0" w:line="202" w:lineRule="exact"/>
              <w:rPr>
                <w:sz w:val="20"/>
                <w:szCs w:val="20"/>
                <w:color w:val="auto"/>
              </w:rPr>
            </w:pPr>
            <w:r>
              <w:rPr>
                <w:rFonts w:ascii="Arial" w:cs="Arial" w:eastAsia="Arial" w:hAnsi="Arial"/>
                <w:sz w:val="18"/>
                <w:szCs w:val="18"/>
                <w:color w:val="auto"/>
                <w:w w:val="99"/>
              </w:rPr>
              <w:t>(4)</w:t>
            </w:r>
          </w:p>
        </w:tc>
        <w:tc>
          <w:tcPr>
            <w:tcW w:w="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111"/>
              <w:spacing w:after="0" w:line="202" w:lineRule="exact"/>
              <w:rPr>
                <w:sz w:val="20"/>
                <w:szCs w:val="20"/>
                <w:color w:val="auto"/>
              </w:rPr>
            </w:pPr>
            <w:r>
              <w:rPr>
                <w:rFonts w:ascii="Arial" w:cs="Arial" w:eastAsia="Arial" w:hAnsi="Arial"/>
                <w:sz w:val="18"/>
                <w:szCs w:val="18"/>
                <w:color w:val="auto"/>
              </w:rPr>
              <w:t>79.26</w:t>
            </w:r>
          </w:p>
        </w:tc>
        <w:tc>
          <w:tcPr>
            <w:tcW w:w="1320" w:type="dxa"/>
            <w:vAlign w:val="bottom"/>
            <w:gridSpan w:val="2"/>
            <w:shd w:val="clear" w:color="auto" w:fill="E5E5E5"/>
          </w:tcPr>
          <w:p>
            <w:pPr>
              <w:ind w:left="180"/>
              <w:spacing w:after="0" w:line="202" w:lineRule="exact"/>
              <w:rPr>
                <w:sz w:val="20"/>
                <w:szCs w:val="20"/>
                <w:color w:val="auto"/>
              </w:rPr>
            </w:pPr>
            <w:r>
              <w:rPr>
                <w:rFonts w:ascii="Arial" w:cs="Arial" w:eastAsia="Arial" w:hAnsi="Arial"/>
                <w:sz w:val="18"/>
                <w:szCs w:val="18"/>
                <w:color w:val="auto"/>
              </w:rPr>
              <w:t>1/26/2027</w:t>
            </w: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69,392</w:t>
            </w:r>
          </w:p>
        </w:tc>
        <w:tc>
          <w:tcPr>
            <w:tcW w:w="34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color w:val="auto"/>
                <w:w w:val="90"/>
              </w:rPr>
              <w:t>(8)</w:t>
            </w:r>
          </w:p>
        </w:tc>
        <w:tc>
          <w:tcPr>
            <w:tcW w:w="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8,902,300</w:t>
            </w:r>
          </w:p>
        </w:tc>
      </w:tr>
      <w:tr>
        <w:trPr>
          <w:trHeight w:val="203"/>
        </w:trPr>
        <w:tc>
          <w:tcPr>
            <w:tcW w:w="336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367,167</w:t>
            </w:r>
          </w:p>
        </w:tc>
        <w:tc>
          <w:tcPr>
            <w:tcW w:w="1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122,390</w:t>
            </w:r>
          </w:p>
        </w:tc>
        <w:tc>
          <w:tcPr>
            <w:tcW w:w="340" w:type="dxa"/>
            <w:vAlign w:val="bottom"/>
            <w:shd w:val="clear" w:color="auto" w:fill="E5E5E5"/>
          </w:tcPr>
          <w:p>
            <w:pPr>
              <w:jc w:val="center"/>
              <w:ind w:right="30"/>
              <w:spacing w:after="0" w:line="202" w:lineRule="exact"/>
              <w:rPr>
                <w:sz w:val="20"/>
                <w:szCs w:val="20"/>
                <w:color w:val="auto"/>
              </w:rPr>
            </w:pPr>
            <w:r>
              <w:rPr>
                <w:rFonts w:ascii="Arial" w:cs="Arial" w:eastAsia="Arial" w:hAnsi="Arial"/>
                <w:sz w:val="18"/>
                <w:szCs w:val="18"/>
                <w:color w:val="auto"/>
                <w:w w:val="99"/>
              </w:rPr>
              <w:t>(5)</w:t>
            </w:r>
          </w:p>
        </w:tc>
        <w:tc>
          <w:tcPr>
            <w:tcW w:w="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111"/>
              <w:spacing w:after="0" w:line="202" w:lineRule="exact"/>
              <w:rPr>
                <w:sz w:val="20"/>
                <w:szCs w:val="20"/>
                <w:color w:val="auto"/>
              </w:rPr>
            </w:pPr>
            <w:r>
              <w:rPr>
                <w:rFonts w:ascii="Arial" w:cs="Arial" w:eastAsia="Arial" w:hAnsi="Arial"/>
                <w:sz w:val="18"/>
                <w:szCs w:val="18"/>
                <w:color w:val="auto"/>
              </w:rPr>
              <w:t>52.93</w:t>
            </w:r>
          </w:p>
        </w:tc>
        <w:tc>
          <w:tcPr>
            <w:tcW w:w="1320" w:type="dxa"/>
            <w:vAlign w:val="bottom"/>
            <w:gridSpan w:val="2"/>
            <w:shd w:val="clear" w:color="auto" w:fill="E5E5E5"/>
          </w:tcPr>
          <w:p>
            <w:pPr>
              <w:ind w:left="180"/>
              <w:spacing w:after="0" w:line="202" w:lineRule="exact"/>
              <w:rPr>
                <w:sz w:val="20"/>
                <w:szCs w:val="20"/>
                <w:color w:val="auto"/>
              </w:rPr>
            </w:pPr>
            <w:r>
              <w:rPr>
                <w:rFonts w:ascii="Arial" w:cs="Arial" w:eastAsia="Arial" w:hAnsi="Arial"/>
                <w:sz w:val="18"/>
                <w:szCs w:val="18"/>
                <w:color w:val="auto"/>
              </w:rPr>
              <w:t>1/29/2026</w:t>
            </w: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92,576</w:t>
            </w:r>
          </w:p>
        </w:tc>
        <w:tc>
          <w:tcPr>
            <w:tcW w:w="34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color w:val="auto"/>
                <w:w w:val="90"/>
              </w:rPr>
              <w:t>(9)</w:t>
            </w:r>
          </w:p>
        </w:tc>
        <w:tc>
          <w:tcPr>
            <w:tcW w:w="1240" w:type="dxa"/>
            <w:vAlign w:val="bottom"/>
            <w:gridSpan w:val="3"/>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$ 11,876,575</w:t>
            </w:r>
          </w:p>
        </w:tc>
      </w:tr>
      <w:tr>
        <w:trPr>
          <w:trHeight w:val="203"/>
        </w:trPr>
        <w:tc>
          <w:tcPr>
            <w:tcW w:w="336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516,440</w:t>
            </w:r>
          </w:p>
        </w:tc>
        <w:tc>
          <w:tcPr>
            <w:tcW w:w="1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7"/>
                <w:szCs w:val="17"/>
                <w:color w:val="auto"/>
              </w:rPr>
            </w:pPr>
          </w:p>
        </w:tc>
        <w:tc>
          <w:tcPr>
            <w:tcW w:w="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111"/>
              <w:spacing w:after="0" w:line="202" w:lineRule="exact"/>
              <w:rPr>
                <w:sz w:val="20"/>
                <w:szCs w:val="20"/>
                <w:color w:val="auto"/>
              </w:rPr>
            </w:pPr>
            <w:r>
              <w:rPr>
                <w:rFonts w:ascii="Arial" w:cs="Arial" w:eastAsia="Arial" w:hAnsi="Arial"/>
                <w:sz w:val="18"/>
                <w:szCs w:val="18"/>
                <w:color w:val="auto"/>
              </w:rPr>
              <w:t>53.94</w:t>
            </w:r>
          </w:p>
        </w:tc>
        <w:tc>
          <w:tcPr>
            <w:tcW w:w="1320" w:type="dxa"/>
            <w:vAlign w:val="bottom"/>
            <w:gridSpan w:val="2"/>
            <w:shd w:val="clear" w:color="auto" w:fill="E5E5E5"/>
          </w:tcPr>
          <w:p>
            <w:pPr>
              <w:ind w:left="180"/>
              <w:spacing w:after="0" w:line="202" w:lineRule="exact"/>
              <w:rPr>
                <w:sz w:val="20"/>
                <w:szCs w:val="20"/>
                <w:color w:val="auto"/>
              </w:rPr>
            </w:pPr>
            <w:r>
              <w:rPr>
                <w:rFonts w:ascii="Arial" w:cs="Arial" w:eastAsia="Arial" w:hAnsi="Arial"/>
                <w:sz w:val="18"/>
                <w:szCs w:val="18"/>
                <w:color w:val="auto"/>
              </w:rPr>
              <w:t>1/28/2025</w:t>
            </w: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336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602,692</w:t>
            </w:r>
          </w:p>
        </w:tc>
        <w:tc>
          <w:tcPr>
            <w:tcW w:w="1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7"/>
                <w:szCs w:val="17"/>
                <w:color w:val="auto"/>
              </w:rPr>
            </w:pPr>
          </w:p>
        </w:tc>
        <w:tc>
          <w:tcPr>
            <w:tcW w:w="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111"/>
              <w:spacing w:after="0" w:line="202" w:lineRule="exact"/>
              <w:rPr>
                <w:sz w:val="20"/>
                <w:szCs w:val="20"/>
                <w:color w:val="auto"/>
              </w:rPr>
            </w:pPr>
            <w:r>
              <w:rPr>
                <w:rFonts w:ascii="Arial" w:cs="Arial" w:eastAsia="Arial" w:hAnsi="Arial"/>
                <w:sz w:val="18"/>
                <w:szCs w:val="18"/>
                <w:color w:val="auto"/>
              </w:rPr>
              <w:t>44.09</w:t>
            </w:r>
          </w:p>
        </w:tc>
        <w:tc>
          <w:tcPr>
            <w:tcW w:w="1320" w:type="dxa"/>
            <w:vAlign w:val="bottom"/>
            <w:gridSpan w:val="2"/>
            <w:shd w:val="clear" w:color="auto" w:fill="E5E5E5"/>
          </w:tcPr>
          <w:p>
            <w:pPr>
              <w:ind w:left="180"/>
              <w:spacing w:after="0" w:line="202" w:lineRule="exact"/>
              <w:rPr>
                <w:sz w:val="20"/>
                <w:szCs w:val="20"/>
                <w:color w:val="auto"/>
              </w:rPr>
            </w:pPr>
            <w:r>
              <w:rPr>
                <w:rFonts w:ascii="Arial" w:cs="Arial" w:eastAsia="Arial" w:hAnsi="Arial"/>
                <w:sz w:val="18"/>
                <w:szCs w:val="18"/>
                <w:color w:val="auto"/>
              </w:rPr>
              <w:t>1/23/2024</w:t>
            </w: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336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2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525,000</w:t>
            </w:r>
          </w:p>
        </w:tc>
        <w:tc>
          <w:tcPr>
            <w:tcW w:w="126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7"/>
                <w:szCs w:val="17"/>
                <w:color w:val="auto"/>
              </w:rPr>
            </w:pPr>
          </w:p>
        </w:tc>
        <w:tc>
          <w:tcPr>
            <w:tcW w:w="22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111"/>
              <w:spacing w:after="0" w:line="203" w:lineRule="exact"/>
              <w:rPr>
                <w:sz w:val="20"/>
                <w:szCs w:val="20"/>
                <w:color w:val="auto"/>
              </w:rPr>
            </w:pPr>
            <w:r>
              <w:rPr>
                <w:rFonts w:ascii="Arial" w:cs="Arial" w:eastAsia="Arial" w:hAnsi="Arial"/>
                <w:sz w:val="18"/>
                <w:szCs w:val="18"/>
                <w:color w:val="auto"/>
              </w:rPr>
              <w:t>32.80</w:t>
            </w:r>
          </w:p>
        </w:tc>
        <w:tc>
          <w:tcPr>
            <w:tcW w:w="1320" w:type="dxa"/>
            <w:vAlign w:val="bottom"/>
            <w:gridSpan w:val="2"/>
            <w:shd w:val="clear" w:color="auto" w:fill="E5E5E5"/>
          </w:tcPr>
          <w:p>
            <w:pPr>
              <w:ind w:left="180"/>
              <w:spacing w:after="0" w:line="203" w:lineRule="exact"/>
              <w:rPr>
                <w:sz w:val="20"/>
                <w:szCs w:val="20"/>
                <w:color w:val="auto"/>
              </w:rPr>
            </w:pPr>
            <w:r>
              <w:rPr>
                <w:rFonts w:ascii="Arial" w:cs="Arial" w:eastAsia="Arial" w:hAnsi="Arial"/>
                <w:sz w:val="18"/>
                <w:szCs w:val="18"/>
                <w:color w:val="auto"/>
              </w:rPr>
              <w:t>1/25/2023</w:t>
            </w:r>
          </w:p>
        </w:tc>
        <w:tc>
          <w:tcPr>
            <w:tcW w:w="96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60"/>
              <w:spacing w:after="0" w:line="203" w:lineRule="exact"/>
              <w:rPr>
                <w:sz w:val="20"/>
                <w:szCs w:val="20"/>
                <w:color w:val="auto"/>
              </w:rPr>
            </w:pPr>
            <w:r>
              <w:rPr>
                <w:rFonts w:ascii="Arial" w:cs="Arial" w:eastAsia="Arial" w:hAnsi="Arial"/>
                <w:sz w:val="18"/>
                <w:szCs w:val="18"/>
                <w:color w:val="auto"/>
              </w:rPr>
              <w:t>—</w:t>
            </w:r>
          </w:p>
        </w:tc>
      </w:tr>
      <w:tr>
        <w:trPr>
          <w:trHeight w:val="310"/>
        </w:trPr>
        <w:tc>
          <w:tcPr>
            <w:tcW w:w="3360" w:type="dxa"/>
            <w:vAlign w:val="bottom"/>
          </w:tcPr>
          <w:p>
            <w:pPr>
              <w:spacing w:after="0"/>
              <w:rPr>
                <w:sz w:val="20"/>
                <w:szCs w:val="20"/>
                <w:color w:val="auto"/>
              </w:rPr>
            </w:pPr>
            <w:r>
              <w:rPr>
                <w:rFonts w:ascii="Arial" w:cs="Arial" w:eastAsia="Arial" w:hAnsi="Arial"/>
                <w:sz w:val="18"/>
                <w:szCs w:val="18"/>
                <w:color w:val="auto"/>
              </w:rPr>
              <w:t>R. R. Lizardi</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67,991</w:t>
            </w:r>
          </w:p>
        </w:tc>
        <w:tc>
          <w:tcPr>
            <w:tcW w:w="340" w:type="dxa"/>
            <w:vAlign w:val="bottom"/>
          </w:tcPr>
          <w:p>
            <w:pPr>
              <w:jc w:val="center"/>
              <w:ind w:right="30"/>
              <w:spacing w:after="0"/>
              <w:rPr>
                <w:sz w:val="20"/>
                <w:szCs w:val="20"/>
                <w:color w:val="auto"/>
              </w:rPr>
            </w:pPr>
            <w:r>
              <w:rPr>
                <w:rFonts w:ascii="Arial" w:cs="Arial" w:eastAsia="Arial" w:hAnsi="Arial"/>
                <w:sz w:val="18"/>
                <w:szCs w:val="18"/>
                <w:color w:val="auto"/>
                <w:w w:val="99"/>
              </w:rPr>
              <w:t>(2)</w:t>
            </w:r>
          </w:p>
        </w:tc>
        <w:tc>
          <w:tcPr>
            <w:tcW w:w="1020" w:type="dxa"/>
            <w:vAlign w:val="bottom"/>
            <w:gridSpan w:val="2"/>
          </w:tcPr>
          <w:p>
            <w:pPr>
              <w:jc w:val="right"/>
              <w:ind w:right="111"/>
              <w:spacing w:after="0"/>
              <w:rPr>
                <w:sz w:val="20"/>
                <w:szCs w:val="20"/>
                <w:color w:val="auto"/>
              </w:rPr>
            </w:pPr>
            <w:r>
              <w:rPr>
                <w:rFonts w:ascii="Arial" w:cs="Arial" w:eastAsia="Arial" w:hAnsi="Arial"/>
                <w:sz w:val="18"/>
                <w:szCs w:val="18"/>
                <w:color w:val="auto"/>
              </w:rPr>
              <w:t>$ 104.41</w:t>
            </w:r>
          </w:p>
        </w:tc>
        <w:tc>
          <w:tcPr>
            <w:tcW w:w="1320" w:type="dxa"/>
            <w:vAlign w:val="bottom"/>
            <w:gridSpan w:val="2"/>
          </w:tcPr>
          <w:p>
            <w:pPr>
              <w:ind w:left="180"/>
              <w:spacing w:after="0"/>
              <w:rPr>
                <w:sz w:val="20"/>
                <w:szCs w:val="20"/>
                <w:color w:val="auto"/>
              </w:rPr>
            </w:pPr>
            <w:r>
              <w:rPr>
                <w:rFonts w:ascii="Arial" w:cs="Arial" w:eastAsia="Arial" w:hAnsi="Arial"/>
                <w:sz w:val="18"/>
                <w:szCs w:val="18"/>
                <w:color w:val="auto"/>
              </w:rPr>
              <w:t>1/25/2029</w:t>
            </w:r>
          </w:p>
        </w:tc>
        <w:tc>
          <w:tcPr>
            <w:tcW w:w="960" w:type="dxa"/>
            <w:vAlign w:val="bottom"/>
          </w:tcPr>
          <w:p>
            <w:pPr>
              <w:jc w:val="right"/>
              <w:spacing w:after="0"/>
              <w:rPr>
                <w:sz w:val="20"/>
                <w:szCs w:val="20"/>
                <w:color w:val="auto"/>
              </w:rPr>
            </w:pPr>
            <w:r>
              <w:rPr>
                <w:rFonts w:ascii="Arial" w:cs="Arial" w:eastAsia="Arial" w:hAnsi="Arial"/>
                <w:sz w:val="18"/>
                <w:szCs w:val="18"/>
                <w:color w:val="auto"/>
              </w:rPr>
              <w:t>14,367</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1,843,142</w:t>
            </w:r>
          </w:p>
        </w:tc>
      </w:tr>
      <w:tr>
        <w:trPr>
          <w:trHeight w:val="203"/>
        </w:trPr>
        <w:tc>
          <w:tcPr>
            <w:tcW w:w="3360" w:type="dxa"/>
            <w:vAlign w:val="bottom"/>
          </w:tcPr>
          <w:p>
            <w:pPr>
              <w:spacing w:after="0"/>
              <w:rPr>
                <w:sz w:val="17"/>
                <w:szCs w:val="17"/>
                <w:color w:val="auto"/>
              </w:rPr>
            </w:pP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12,920</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38,761</w:t>
            </w:r>
          </w:p>
        </w:tc>
        <w:tc>
          <w:tcPr>
            <w:tcW w:w="34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9"/>
              </w:rPr>
              <w:t>(3)</w:t>
            </w:r>
          </w:p>
        </w:tc>
        <w:tc>
          <w:tcPr>
            <w:tcW w:w="1020" w:type="dxa"/>
            <w:vAlign w:val="bottom"/>
            <w:gridSpan w:val="2"/>
          </w:tcPr>
          <w:p>
            <w:pPr>
              <w:jc w:val="right"/>
              <w:ind w:right="111"/>
              <w:spacing w:after="0" w:line="202" w:lineRule="exact"/>
              <w:rPr>
                <w:sz w:val="20"/>
                <w:szCs w:val="20"/>
                <w:color w:val="auto"/>
              </w:rPr>
            </w:pPr>
            <w:r>
              <w:rPr>
                <w:rFonts w:ascii="Arial" w:cs="Arial" w:eastAsia="Arial" w:hAnsi="Arial"/>
                <w:sz w:val="18"/>
                <w:szCs w:val="18"/>
                <w:color w:val="auto"/>
              </w:rPr>
              <w:t>$ 110.15</w:t>
            </w:r>
          </w:p>
        </w:tc>
        <w:tc>
          <w:tcPr>
            <w:tcW w:w="1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1/25/2028</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10,895</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0"/>
              </w:rPr>
              <w:t>(7)</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1,397,720</w:t>
            </w:r>
          </w:p>
        </w:tc>
      </w:tr>
      <w:tr>
        <w:trPr>
          <w:trHeight w:val="203"/>
        </w:trPr>
        <w:tc>
          <w:tcPr>
            <w:tcW w:w="3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30,329</w:t>
            </w:r>
          </w:p>
        </w:tc>
        <w:tc>
          <w:tcPr>
            <w:tcW w:w="34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9"/>
              </w:rPr>
              <w:t>(4)</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79.26</w:t>
            </w:r>
          </w:p>
        </w:tc>
        <w:tc>
          <w:tcPr>
            <w:tcW w:w="1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1/26/2027</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12,617</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0"/>
              </w:rPr>
              <w:t>(8)</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1,618,635</w:t>
            </w:r>
          </w:p>
        </w:tc>
      </w:tr>
      <w:tr>
        <w:trPr>
          <w:trHeight w:val="203"/>
        </w:trPr>
        <w:tc>
          <w:tcPr>
            <w:tcW w:w="3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7,494</w:t>
            </w:r>
          </w:p>
        </w:tc>
        <w:tc>
          <w:tcPr>
            <w:tcW w:w="34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9"/>
              </w:rPr>
              <w:t>(5)</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52.93</w:t>
            </w:r>
          </w:p>
        </w:tc>
        <w:tc>
          <w:tcPr>
            <w:tcW w:w="1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1/29/2026</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12,617</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0"/>
              </w:rPr>
              <w:t>(8)</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1,618,635</w:t>
            </w:r>
          </w:p>
        </w:tc>
      </w:tr>
      <w:tr>
        <w:trPr>
          <w:trHeight w:val="217"/>
        </w:trPr>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5,668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727,148</w:t>
            </w:r>
          </w:p>
        </w:tc>
      </w:tr>
      <w:tr>
        <w:trPr>
          <w:trHeight w:val="95"/>
        </w:trPr>
        <w:tc>
          <w:tcPr>
            <w:tcW w:w="3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20" w:type="dxa"/>
            <w:vAlign w:val="bottom"/>
            <w:gridSpan w:val="2"/>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2"/>
        </w:trPr>
        <w:tc>
          <w:tcPr>
            <w:tcW w:w="3360" w:type="dxa"/>
            <w:vAlign w:val="bottom"/>
            <w:shd w:val="clear" w:color="auto" w:fill="E5E5E5"/>
          </w:tcPr>
          <w:p>
            <w:pPr>
              <w:spacing w:after="0" w:line="201" w:lineRule="exact"/>
              <w:rPr>
                <w:sz w:val="20"/>
                <w:szCs w:val="20"/>
                <w:color w:val="auto"/>
              </w:rPr>
            </w:pPr>
            <w:r>
              <w:rPr>
                <w:rFonts w:ascii="Arial" w:cs="Arial" w:eastAsia="Arial" w:hAnsi="Arial"/>
                <w:sz w:val="18"/>
                <w:szCs w:val="18"/>
                <w:color w:val="auto"/>
              </w:rPr>
              <w:t>N. Anderskouv</w:t>
            </w:r>
          </w:p>
        </w:tc>
        <w:tc>
          <w:tcPr>
            <w:tcW w:w="260" w:type="dxa"/>
            <w:vAlign w:val="bottom"/>
            <w:shd w:val="clear" w:color="auto" w:fill="E5E5E5"/>
          </w:tcPr>
          <w:p>
            <w:pPr>
              <w:spacing w:after="0"/>
              <w:rPr>
                <w:sz w:val="17"/>
                <w:szCs w:val="17"/>
                <w:color w:val="auto"/>
              </w:rPr>
            </w:pPr>
          </w:p>
        </w:tc>
        <w:tc>
          <w:tcPr>
            <w:tcW w:w="920" w:type="dxa"/>
            <w:vAlign w:val="bottom"/>
            <w:shd w:val="clear" w:color="auto" w:fill="E5E5E5"/>
          </w:tcPr>
          <w:p>
            <w:pPr>
              <w:jc w:val="right"/>
              <w:spacing w:after="0" w:line="201" w:lineRule="exact"/>
              <w:rPr>
                <w:sz w:val="20"/>
                <w:szCs w:val="20"/>
                <w:color w:val="auto"/>
              </w:rPr>
            </w:pPr>
            <w:r>
              <w:rPr>
                <w:rFonts w:ascii="Arial" w:cs="Arial" w:eastAsia="Arial" w:hAnsi="Arial"/>
                <w:sz w:val="18"/>
                <w:szCs w:val="18"/>
                <w:color w:val="auto"/>
              </w:rPr>
              <w:t>—</w:t>
            </w:r>
          </w:p>
        </w:tc>
        <w:tc>
          <w:tcPr>
            <w:tcW w:w="1260" w:type="dxa"/>
            <w:vAlign w:val="bottom"/>
            <w:shd w:val="clear" w:color="auto" w:fill="E5E5E5"/>
          </w:tcPr>
          <w:p>
            <w:pPr>
              <w:jc w:val="right"/>
              <w:spacing w:after="0" w:line="201" w:lineRule="exact"/>
              <w:rPr>
                <w:sz w:val="20"/>
                <w:szCs w:val="20"/>
                <w:color w:val="auto"/>
              </w:rPr>
            </w:pPr>
            <w:r>
              <w:rPr>
                <w:rFonts w:ascii="Arial" w:cs="Arial" w:eastAsia="Arial" w:hAnsi="Arial"/>
                <w:sz w:val="18"/>
                <w:szCs w:val="18"/>
                <w:color w:val="auto"/>
              </w:rPr>
              <w:t>86,122</w:t>
            </w:r>
          </w:p>
        </w:tc>
        <w:tc>
          <w:tcPr>
            <w:tcW w:w="340" w:type="dxa"/>
            <w:vAlign w:val="bottom"/>
            <w:shd w:val="clear" w:color="auto" w:fill="E5E5E5"/>
          </w:tcPr>
          <w:p>
            <w:pPr>
              <w:jc w:val="center"/>
              <w:ind w:right="30"/>
              <w:spacing w:after="0" w:line="201" w:lineRule="exact"/>
              <w:rPr>
                <w:sz w:val="20"/>
                <w:szCs w:val="20"/>
                <w:color w:val="auto"/>
              </w:rPr>
            </w:pPr>
            <w:r>
              <w:rPr>
                <w:rFonts w:ascii="Arial" w:cs="Arial" w:eastAsia="Arial" w:hAnsi="Arial"/>
                <w:sz w:val="18"/>
                <w:szCs w:val="18"/>
                <w:color w:val="auto"/>
                <w:w w:val="99"/>
              </w:rPr>
              <w:t>(2)</w:t>
            </w:r>
          </w:p>
        </w:tc>
        <w:tc>
          <w:tcPr>
            <w:tcW w:w="1020" w:type="dxa"/>
            <w:vAlign w:val="bottom"/>
            <w:gridSpan w:val="2"/>
            <w:shd w:val="clear" w:color="auto" w:fill="E5E5E5"/>
          </w:tcPr>
          <w:p>
            <w:pPr>
              <w:jc w:val="right"/>
              <w:ind w:right="111"/>
              <w:spacing w:after="0" w:line="201" w:lineRule="exact"/>
              <w:rPr>
                <w:sz w:val="20"/>
                <w:szCs w:val="20"/>
                <w:color w:val="auto"/>
              </w:rPr>
            </w:pPr>
            <w:r>
              <w:rPr>
                <w:rFonts w:ascii="Arial" w:cs="Arial" w:eastAsia="Arial" w:hAnsi="Arial"/>
                <w:sz w:val="18"/>
                <w:szCs w:val="18"/>
                <w:color w:val="auto"/>
              </w:rPr>
              <w:t>$ 104.41</w:t>
            </w:r>
          </w:p>
        </w:tc>
        <w:tc>
          <w:tcPr>
            <w:tcW w:w="1320" w:type="dxa"/>
            <w:vAlign w:val="bottom"/>
            <w:gridSpan w:val="2"/>
            <w:shd w:val="clear" w:color="auto" w:fill="E5E5E5"/>
          </w:tcPr>
          <w:p>
            <w:pPr>
              <w:ind w:left="180"/>
              <w:spacing w:after="0" w:line="201" w:lineRule="exact"/>
              <w:rPr>
                <w:sz w:val="20"/>
                <w:szCs w:val="20"/>
                <w:color w:val="auto"/>
              </w:rPr>
            </w:pPr>
            <w:r>
              <w:rPr>
                <w:rFonts w:ascii="Arial" w:cs="Arial" w:eastAsia="Arial" w:hAnsi="Arial"/>
                <w:sz w:val="18"/>
                <w:szCs w:val="18"/>
                <w:color w:val="auto"/>
              </w:rPr>
              <w:t>1/25/2029</w:t>
            </w:r>
          </w:p>
        </w:tc>
        <w:tc>
          <w:tcPr>
            <w:tcW w:w="960" w:type="dxa"/>
            <w:vAlign w:val="bottom"/>
            <w:shd w:val="clear" w:color="auto" w:fill="E5E5E5"/>
          </w:tcPr>
          <w:p>
            <w:pPr>
              <w:jc w:val="right"/>
              <w:spacing w:after="0" w:line="201" w:lineRule="exact"/>
              <w:rPr>
                <w:sz w:val="20"/>
                <w:szCs w:val="20"/>
                <w:color w:val="auto"/>
              </w:rPr>
            </w:pPr>
            <w:r>
              <w:rPr>
                <w:rFonts w:ascii="Arial" w:cs="Arial" w:eastAsia="Arial" w:hAnsi="Arial"/>
                <w:sz w:val="18"/>
                <w:szCs w:val="18"/>
                <w:color w:val="auto"/>
              </w:rPr>
              <w:t>18,198</w:t>
            </w:r>
          </w:p>
        </w:tc>
        <w:tc>
          <w:tcPr>
            <w:tcW w:w="340" w:type="dxa"/>
            <w:vAlign w:val="bottom"/>
            <w:shd w:val="clear" w:color="auto" w:fill="E5E5E5"/>
          </w:tcPr>
          <w:p>
            <w:pPr>
              <w:jc w:val="right"/>
              <w:ind w:right="30"/>
              <w:spacing w:after="0" w:line="201" w:lineRule="exact"/>
              <w:rPr>
                <w:sz w:val="20"/>
                <w:szCs w:val="20"/>
                <w:color w:val="auto"/>
              </w:rPr>
            </w:pPr>
            <w:r>
              <w:rPr>
                <w:rFonts w:ascii="Arial" w:cs="Arial" w:eastAsia="Arial" w:hAnsi="Arial"/>
                <w:sz w:val="18"/>
                <w:szCs w:val="18"/>
                <w:color w:val="auto"/>
                <w:w w:val="90"/>
              </w:rPr>
              <w:t>(6)</w:t>
            </w:r>
          </w:p>
        </w:tc>
        <w:tc>
          <w:tcPr>
            <w:tcW w:w="220" w:type="dxa"/>
            <w:vAlign w:val="bottom"/>
            <w:shd w:val="clear" w:color="auto" w:fill="E5E5E5"/>
          </w:tcPr>
          <w:p>
            <w:pPr>
              <w:jc w:val="right"/>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60"/>
              <w:spacing w:after="0" w:line="201" w:lineRule="exact"/>
              <w:rPr>
                <w:sz w:val="20"/>
                <w:szCs w:val="20"/>
                <w:color w:val="auto"/>
              </w:rPr>
            </w:pPr>
            <w:r>
              <w:rPr>
                <w:rFonts w:ascii="Arial" w:cs="Arial" w:eastAsia="Arial" w:hAnsi="Arial"/>
                <w:sz w:val="18"/>
                <w:szCs w:val="18"/>
                <w:color w:val="auto"/>
              </w:rPr>
              <w:t>2,334,621</w:t>
            </w:r>
          </w:p>
        </w:tc>
      </w:tr>
      <w:tr>
        <w:trPr>
          <w:trHeight w:val="203"/>
        </w:trPr>
        <w:tc>
          <w:tcPr>
            <w:tcW w:w="336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20,457</w:t>
            </w:r>
          </w:p>
        </w:tc>
        <w:tc>
          <w:tcPr>
            <w:tcW w:w="1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61,371</w:t>
            </w:r>
          </w:p>
        </w:tc>
        <w:tc>
          <w:tcPr>
            <w:tcW w:w="340" w:type="dxa"/>
            <w:vAlign w:val="bottom"/>
            <w:shd w:val="clear" w:color="auto" w:fill="E5E5E5"/>
          </w:tcPr>
          <w:p>
            <w:pPr>
              <w:jc w:val="center"/>
              <w:ind w:right="30"/>
              <w:spacing w:after="0" w:line="202" w:lineRule="exact"/>
              <w:rPr>
                <w:sz w:val="20"/>
                <w:szCs w:val="20"/>
                <w:color w:val="auto"/>
              </w:rPr>
            </w:pPr>
            <w:r>
              <w:rPr>
                <w:rFonts w:ascii="Arial" w:cs="Arial" w:eastAsia="Arial" w:hAnsi="Arial"/>
                <w:sz w:val="18"/>
                <w:szCs w:val="18"/>
                <w:color w:val="auto"/>
                <w:w w:val="99"/>
              </w:rPr>
              <w:t>(3)</w:t>
            </w:r>
          </w:p>
        </w:tc>
        <w:tc>
          <w:tcPr>
            <w:tcW w:w="1020" w:type="dxa"/>
            <w:vAlign w:val="bottom"/>
            <w:gridSpan w:val="2"/>
            <w:shd w:val="clear" w:color="auto" w:fill="E5E5E5"/>
          </w:tcPr>
          <w:p>
            <w:pPr>
              <w:jc w:val="right"/>
              <w:ind w:right="111"/>
              <w:spacing w:after="0" w:line="202" w:lineRule="exact"/>
              <w:rPr>
                <w:sz w:val="20"/>
                <w:szCs w:val="20"/>
                <w:color w:val="auto"/>
              </w:rPr>
            </w:pPr>
            <w:r>
              <w:rPr>
                <w:rFonts w:ascii="Arial" w:cs="Arial" w:eastAsia="Arial" w:hAnsi="Arial"/>
                <w:sz w:val="18"/>
                <w:szCs w:val="18"/>
                <w:color w:val="auto"/>
              </w:rPr>
              <w:t>$ 110.15</w:t>
            </w:r>
          </w:p>
        </w:tc>
        <w:tc>
          <w:tcPr>
            <w:tcW w:w="1320" w:type="dxa"/>
            <w:vAlign w:val="bottom"/>
            <w:gridSpan w:val="2"/>
            <w:shd w:val="clear" w:color="auto" w:fill="E5E5E5"/>
          </w:tcPr>
          <w:p>
            <w:pPr>
              <w:ind w:left="180"/>
              <w:spacing w:after="0" w:line="202" w:lineRule="exact"/>
              <w:rPr>
                <w:sz w:val="20"/>
                <w:szCs w:val="20"/>
                <w:color w:val="auto"/>
              </w:rPr>
            </w:pPr>
            <w:r>
              <w:rPr>
                <w:rFonts w:ascii="Arial" w:cs="Arial" w:eastAsia="Arial" w:hAnsi="Arial"/>
                <w:sz w:val="18"/>
                <w:szCs w:val="18"/>
                <w:color w:val="auto"/>
              </w:rPr>
              <w:t>1/25/2028</w:t>
            </w: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17,250</w:t>
            </w:r>
          </w:p>
        </w:tc>
        <w:tc>
          <w:tcPr>
            <w:tcW w:w="34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color w:val="auto"/>
                <w:w w:val="90"/>
              </w:rPr>
              <w:t>(7)</w:t>
            </w:r>
          </w:p>
        </w:tc>
        <w:tc>
          <w:tcPr>
            <w:tcW w:w="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2,213,003</w:t>
            </w:r>
          </w:p>
        </w:tc>
      </w:tr>
      <w:tr>
        <w:trPr>
          <w:trHeight w:val="203"/>
        </w:trPr>
        <w:tc>
          <w:tcPr>
            <w:tcW w:w="336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53,076</w:t>
            </w:r>
          </w:p>
        </w:tc>
        <w:tc>
          <w:tcPr>
            <w:tcW w:w="340" w:type="dxa"/>
            <w:vAlign w:val="bottom"/>
            <w:shd w:val="clear" w:color="auto" w:fill="E5E5E5"/>
          </w:tcPr>
          <w:p>
            <w:pPr>
              <w:jc w:val="center"/>
              <w:ind w:right="30"/>
              <w:spacing w:after="0" w:line="202" w:lineRule="exact"/>
              <w:rPr>
                <w:sz w:val="20"/>
                <w:szCs w:val="20"/>
                <w:color w:val="auto"/>
              </w:rPr>
            </w:pPr>
            <w:r>
              <w:rPr>
                <w:rFonts w:ascii="Arial" w:cs="Arial" w:eastAsia="Arial" w:hAnsi="Arial"/>
                <w:sz w:val="18"/>
                <w:szCs w:val="18"/>
                <w:color w:val="auto"/>
                <w:w w:val="99"/>
              </w:rPr>
              <w:t>(4)</w:t>
            </w:r>
          </w:p>
        </w:tc>
        <w:tc>
          <w:tcPr>
            <w:tcW w:w="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111"/>
              <w:spacing w:after="0" w:line="202" w:lineRule="exact"/>
              <w:rPr>
                <w:sz w:val="20"/>
                <w:szCs w:val="20"/>
                <w:color w:val="auto"/>
              </w:rPr>
            </w:pPr>
            <w:r>
              <w:rPr>
                <w:rFonts w:ascii="Arial" w:cs="Arial" w:eastAsia="Arial" w:hAnsi="Arial"/>
                <w:sz w:val="18"/>
                <w:szCs w:val="18"/>
                <w:color w:val="auto"/>
              </w:rPr>
              <w:t>79.26</w:t>
            </w:r>
          </w:p>
        </w:tc>
        <w:tc>
          <w:tcPr>
            <w:tcW w:w="1320" w:type="dxa"/>
            <w:vAlign w:val="bottom"/>
            <w:gridSpan w:val="2"/>
            <w:shd w:val="clear" w:color="auto" w:fill="E5E5E5"/>
          </w:tcPr>
          <w:p>
            <w:pPr>
              <w:ind w:left="180"/>
              <w:spacing w:after="0" w:line="202" w:lineRule="exact"/>
              <w:rPr>
                <w:sz w:val="20"/>
                <w:szCs w:val="20"/>
                <w:color w:val="auto"/>
              </w:rPr>
            </w:pPr>
            <w:r>
              <w:rPr>
                <w:rFonts w:ascii="Arial" w:cs="Arial" w:eastAsia="Arial" w:hAnsi="Arial"/>
                <w:sz w:val="18"/>
                <w:szCs w:val="18"/>
                <w:color w:val="auto"/>
              </w:rPr>
              <w:t>1/26/2027</w:t>
            </w: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22,080</w:t>
            </w:r>
          </w:p>
        </w:tc>
        <w:tc>
          <w:tcPr>
            <w:tcW w:w="34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color w:val="auto"/>
                <w:w w:val="90"/>
              </w:rPr>
              <w:t>(8)</w:t>
            </w:r>
          </w:p>
        </w:tc>
        <w:tc>
          <w:tcPr>
            <w:tcW w:w="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2,832,643</w:t>
            </w:r>
          </w:p>
        </w:tc>
      </w:tr>
      <w:tr>
        <w:trPr>
          <w:trHeight w:val="203"/>
        </w:trPr>
        <w:tc>
          <w:tcPr>
            <w:tcW w:w="336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2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w:t>
            </w:r>
          </w:p>
        </w:tc>
        <w:tc>
          <w:tcPr>
            <w:tcW w:w="126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31,222</w:t>
            </w:r>
          </w:p>
        </w:tc>
        <w:tc>
          <w:tcPr>
            <w:tcW w:w="340" w:type="dxa"/>
            <w:vAlign w:val="bottom"/>
            <w:shd w:val="clear" w:color="auto" w:fill="E5E5E5"/>
          </w:tcPr>
          <w:p>
            <w:pPr>
              <w:jc w:val="center"/>
              <w:ind w:right="30"/>
              <w:spacing w:after="0" w:line="203" w:lineRule="exact"/>
              <w:rPr>
                <w:sz w:val="20"/>
                <w:szCs w:val="20"/>
                <w:color w:val="auto"/>
              </w:rPr>
            </w:pPr>
            <w:r>
              <w:rPr>
                <w:rFonts w:ascii="Arial" w:cs="Arial" w:eastAsia="Arial" w:hAnsi="Arial"/>
                <w:sz w:val="18"/>
                <w:szCs w:val="18"/>
                <w:color w:val="auto"/>
                <w:w w:val="99"/>
              </w:rPr>
              <w:t>(5)</w:t>
            </w:r>
          </w:p>
        </w:tc>
        <w:tc>
          <w:tcPr>
            <w:tcW w:w="22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111"/>
              <w:spacing w:after="0" w:line="203" w:lineRule="exact"/>
              <w:rPr>
                <w:sz w:val="20"/>
                <w:szCs w:val="20"/>
                <w:color w:val="auto"/>
              </w:rPr>
            </w:pPr>
            <w:r>
              <w:rPr>
                <w:rFonts w:ascii="Arial" w:cs="Arial" w:eastAsia="Arial" w:hAnsi="Arial"/>
                <w:sz w:val="18"/>
                <w:szCs w:val="18"/>
                <w:color w:val="auto"/>
              </w:rPr>
              <w:t>52.93</w:t>
            </w:r>
          </w:p>
        </w:tc>
        <w:tc>
          <w:tcPr>
            <w:tcW w:w="1320" w:type="dxa"/>
            <w:vAlign w:val="bottom"/>
            <w:gridSpan w:val="2"/>
            <w:shd w:val="clear" w:color="auto" w:fill="E5E5E5"/>
          </w:tcPr>
          <w:p>
            <w:pPr>
              <w:ind w:left="180"/>
              <w:spacing w:after="0" w:line="203" w:lineRule="exact"/>
              <w:rPr>
                <w:sz w:val="20"/>
                <w:szCs w:val="20"/>
                <w:color w:val="auto"/>
              </w:rPr>
            </w:pPr>
            <w:r>
              <w:rPr>
                <w:rFonts w:ascii="Arial" w:cs="Arial" w:eastAsia="Arial" w:hAnsi="Arial"/>
                <w:sz w:val="18"/>
                <w:szCs w:val="18"/>
                <w:color w:val="auto"/>
              </w:rPr>
              <w:t>1/29/2026</w:t>
            </w:r>
          </w:p>
        </w:tc>
        <w:tc>
          <w:tcPr>
            <w:tcW w:w="96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23,617</w:t>
            </w:r>
          </w:p>
        </w:tc>
        <w:tc>
          <w:tcPr>
            <w:tcW w:w="340" w:type="dxa"/>
            <w:vAlign w:val="bottom"/>
            <w:shd w:val="clear" w:color="auto" w:fill="E5E5E5"/>
          </w:tcPr>
          <w:p>
            <w:pPr>
              <w:jc w:val="right"/>
              <w:ind w:right="30"/>
              <w:spacing w:after="0" w:line="203" w:lineRule="exact"/>
              <w:rPr>
                <w:sz w:val="20"/>
                <w:szCs w:val="20"/>
                <w:color w:val="auto"/>
              </w:rPr>
            </w:pPr>
            <w:r>
              <w:rPr>
                <w:rFonts w:ascii="Arial" w:cs="Arial" w:eastAsia="Arial" w:hAnsi="Arial"/>
                <w:sz w:val="18"/>
                <w:szCs w:val="18"/>
                <w:color w:val="auto"/>
                <w:w w:val="90"/>
              </w:rPr>
              <w:t>(9)</w:t>
            </w:r>
          </w:p>
        </w:tc>
        <w:tc>
          <w:tcPr>
            <w:tcW w:w="22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60"/>
              <w:spacing w:after="0" w:line="203" w:lineRule="exact"/>
              <w:rPr>
                <w:sz w:val="20"/>
                <w:szCs w:val="20"/>
                <w:color w:val="auto"/>
              </w:rPr>
            </w:pPr>
            <w:r>
              <w:rPr>
                <w:rFonts w:ascii="Arial" w:cs="Arial" w:eastAsia="Arial" w:hAnsi="Arial"/>
                <w:sz w:val="18"/>
                <w:szCs w:val="18"/>
                <w:color w:val="auto"/>
              </w:rPr>
              <w:t>3,029,825</w:t>
            </w:r>
          </w:p>
        </w:tc>
      </w:tr>
      <w:tr>
        <w:trPr>
          <w:trHeight w:val="310"/>
        </w:trPr>
        <w:tc>
          <w:tcPr>
            <w:tcW w:w="3360" w:type="dxa"/>
            <w:vAlign w:val="bottom"/>
          </w:tcPr>
          <w:p>
            <w:pPr>
              <w:spacing w:after="0"/>
              <w:rPr>
                <w:sz w:val="20"/>
                <w:szCs w:val="20"/>
                <w:color w:val="auto"/>
              </w:rPr>
            </w:pPr>
            <w:r>
              <w:rPr>
                <w:rFonts w:ascii="Arial" w:cs="Arial" w:eastAsia="Arial" w:hAnsi="Arial"/>
                <w:sz w:val="18"/>
                <w:szCs w:val="18"/>
                <w:color w:val="auto"/>
              </w:rPr>
              <w:t>R. G. Delagi</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81,589</w:t>
            </w:r>
          </w:p>
        </w:tc>
        <w:tc>
          <w:tcPr>
            <w:tcW w:w="340" w:type="dxa"/>
            <w:vAlign w:val="bottom"/>
          </w:tcPr>
          <w:p>
            <w:pPr>
              <w:jc w:val="center"/>
              <w:ind w:right="30"/>
              <w:spacing w:after="0"/>
              <w:rPr>
                <w:sz w:val="20"/>
                <w:szCs w:val="20"/>
                <w:color w:val="auto"/>
              </w:rPr>
            </w:pPr>
            <w:r>
              <w:rPr>
                <w:rFonts w:ascii="Arial" w:cs="Arial" w:eastAsia="Arial" w:hAnsi="Arial"/>
                <w:sz w:val="18"/>
                <w:szCs w:val="18"/>
                <w:color w:val="auto"/>
                <w:w w:val="99"/>
              </w:rPr>
              <w:t>(2)</w:t>
            </w:r>
          </w:p>
        </w:tc>
        <w:tc>
          <w:tcPr>
            <w:tcW w:w="1020" w:type="dxa"/>
            <w:vAlign w:val="bottom"/>
            <w:gridSpan w:val="2"/>
          </w:tcPr>
          <w:p>
            <w:pPr>
              <w:jc w:val="right"/>
              <w:ind w:right="111"/>
              <w:spacing w:after="0"/>
              <w:rPr>
                <w:sz w:val="20"/>
                <w:szCs w:val="20"/>
                <w:color w:val="auto"/>
              </w:rPr>
            </w:pPr>
            <w:r>
              <w:rPr>
                <w:rFonts w:ascii="Arial" w:cs="Arial" w:eastAsia="Arial" w:hAnsi="Arial"/>
                <w:sz w:val="18"/>
                <w:szCs w:val="18"/>
                <w:color w:val="auto"/>
              </w:rPr>
              <w:t>$ 104.41</w:t>
            </w:r>
          </w:p>
        </w:tc>
        <w:tc>
          <w:tcPr>
            <w:tcW w:w="1320" w:type="dxa"/>
            <w:vAlign w:val="bottom"/>
            <w:gridSpan w:val="2"/>
          </w:tcPr>
          <w:p>
            <w:pPr>
              <w:ind w:left="180"/>
              <w:spacing w:after="0"/>
              <w:rPr>
                <w:sz w:val="20"/>
                <w:szCs w:val="20"/>
                <w:color w:val="auto"/>
              </w:rPr>
            </w:pPr>
            <w:r>
              <w:rPr>
                <w:rFonts w:ascii="Arial" w:cs="Arial" w:eastAsia="Arial" w:hAnsi="Arial"/>
                <w:sz w:val="18"/>
                <w:szCs w:val="18"/>
                <w:color w:val="auto"/>
              </w:rPr>
              <w:t>1/25/2029</w:t>
            </w:r>
          </w:p>
        </w:tc>
        <w:tc>
          <w:tcPr>
            <w:tcW w:w="960" w:type="dxa"/>
            <w:vAlign w:val="bottom"/>
          </w:tcPr>
          <w:p>
            <w:pPr>
              <w:jc w:val="right"/>
              <w:spacing w:after="0"/>
              <w:rPr>
                <w:sz w:val="20"/>
                <w:szCs w:val="20"/>
                <w:color w:val="auto"/>
              </w:rPr>
            </w:pPr>
            <w:r>
              <w:rPr>
                <w:rFonts w:ascii="Arial" w:cs="Arial" w:eastAsia="Arial" w:hAnsi="Arial"/>
                <w:sz w:val="18"/>
                <w:szCs w:val="18"/>
                <w:color w:val="auto"/>
              </w:rPr>
              <w:t>17,240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2,211,720</w:t>
            </w:r>
          </w:p>
        </w:tc>
      </w:tr>
      <w:tr>
        <w:trPr>
          <w:trHeight w:val="203"/>
        </w:trPr>
        <w:tc>
          <w:tcPr>
            <w:tcW w:w="3360" w:type="dxa"/>
            <w:vAlign w:val="bottom"/>
          </w:tcPr>
          <w:p>
            <w:pPr>
              <w:spacing w:after="0"/>
              <w:rPr>
                <w:sz w:val="17"/>
                <w:szCs w:val="17"/>
                <w:color w:val="auto"/>
              </w:rPr>
            </w:pP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19,380</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58,141</w:t>
            </w:r>
          </w:p>
        </w:tc>
        <w:tc>
          <w:tcPr>
            <w:tcW w:w="34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9"/>
              </w:rPr>
              <w:t>(3)</w:t>
            </w:r>
          </w:p>
        </w:tc>
        <w:tc>
          <w:tcPr>
            <w:tcW w:w="1020" w:type="dxa"/>
            <w:vAlign w:val="bottom"/>
            <w:gridSpan w:val="2"/>
          </w:tcPr>
          <w:p>
            <w:pPr>
              <w:jc w:val="right"/>
              <w:ind w:right="111"/>
              <w:spacing w:after="0" w:line="202" w:lineRule="exact"/>
              <w:rPr>
                <w:sz w:val="20"/>
                <w:szCs w:val="20"/>
                <w:color w:val="auto"/>
              </w:rPr>
            </w:pPr>
            <w:r>
              <w:rPr>
                <w:rFonts w:ascii="Arial" w:cs="Arial" w:eastAsia="Arial" w:hAnsi="Arial"/>
                <w:sz w:val="18"/>
                <w:szCs w:val="18"/>
                <w:color w:val="auto"/>
              </w:rPr>
              <w:t>$ 110.15</w:t>
            </w:r>
          </w:p>
        </w:tc>
        <w:tc>
          <w:tcPr>
            <w:tcW w:w="1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1/25/2028</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16,342</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0"/>
              </w:rPr>
              <w:t>(7)</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2,096,515</w:t>
            </w:r>
          </w:p>
        </w:tc>
      </w:tr>
      <w:tr>
        <w:trPr>
          <w:trHeight w:val="203"/>
        </w:trPr>
        <w:tc>
          <w:tcPr>
            <w:tcW w:w="3360" w:type="dxa"/>
            <w:vAlign w:val="bottom"/>
          </w:tcPr>
          <w:p>
            <w:pPr>
              <w:spacing w:after="0"/>
              <w:rPr>
                <w:sz w:val="17"/>
                <w:szCs w:val="17"/>
                <w:color w:val="auto"/>
              </w:rPr>
            </w:pP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54,592</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54,592</w:t>
            </w:r>
          </w:p>
        </w:tc>
        <w:tc>
          <w:tcPr>
            <w:tcW w:w="34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9"/>
              </w:rPr>
              <w:t>(4)</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79.26</w:t>
            </w:r>
          </w:p>
        </w:tc>
        <w:tc>
          <w:tcPr>
            <w:tcW w:w="1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1/26/2027</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22,711</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0"/>
              </w:rPr>
              <w:t>(8)</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2,913,594</w:t>
            </w:r>
          </w:p>
        </w:tc>
      </w:tr>
      <w:tr>
        <w:trPr>
          <w:trHeight w:val="217"/>
        </w:trPr>
        <w:tc>
          <w:tcPr>
            <w:tcW w:w="33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134,878</w:t>
            </w:r>
          </w:p>
        </w:tc>
        <w:tc>
          <w:tcPr>
            <w:tcW w:w="1260" w:type="dxa"/>
            <w:vAlign w:val="bottom"/>
          </w:tcPr>
          <w:p>
            <w:pPr>
              <w:jc w:val="right"/>
              <w:spacing w:after="0"/>
              <w:rPr>
                <w:sz w:val="20"/>
                <w:szCs w:val="20"/>
                <w:color w:val="auto"/>
              </w:rPr>
            </w:pPr>
            <w:r>
              <w:rPr>
                <w:rFonts w:ascii="Arial" w:cs="Arial" w:eastAsia="Arial" w:hAnsi="Arial"/>
                <w:sz w:val="18"/>
                <w:szCs w:val="18"/>
                <w:color w:val="auto"/>
              </w:rPr>
              <w:t>44,960</w:t>
            </w:r>
          </w:p>
        </w:tc>
        <w:tc>
          <w:tcPr>
            <w:tcW w:w="340" w:type="dxa"/>
            <w:vAlign w:val="bottom"/>
          </w:tcPr>
          <w:p>
            <w:pPr>
              <w:jc w:val="center"/>
              <w:ind w:right="30"/>
              <w:spacing w:after="0"/>
              <w:rPr>
                <w:sz w:val="20"/>
                <w:szCs w:val="20"/>
                <w:color w:val="auto"/>
              </w:rPr>
            </w:pPr>
            <w:r>
              <w:rPr>
                <w:rFonts w:ascii="Arial" w:cs="Arial" w:eastAsia="Arial" w:hAnsi="Arial"/>
                <w:sz w:val="18"/>
                <w:szCs w:val="18"/>
                <w:color w:val="auto"/>
                <w:w w:val="99"/>
              </w:rPr>
              <w:t>(5)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52.93</w:t>
            </w:r>
          </w:p>
        </w:tc>
        <w:tc>
          <w:tcPr>
            <w:tcW w:w="1320" w:type="dxa"/>
            <w:vAlign w:val="bottom"/>
            <w:gridSpan w:val="2"/>
          </w:tcPr>
          <w:p>
            <w:pPr>
              <w:ind w:left="180"/>
              <w:spacing w:after="0"/>
              <w:rPr>
                <w:sz w:val="20"/>
                <w:szCs w:val="20"/>
                <w:color w:val="auto"/>
              </w:rPr>
            </w:pPr>
            <w:r>
              <w:rPr>
                <w:rFonts w:ascii="Arial" w:cs="Arial" w:eastAsia="Arial" w:hAnsi="Arial"/>
                <w:sz w:val="18"/>
                <w:szCs w:val="18"/>
                <w:color w:val="auto"/>
              </w:rPr>
              <w:t>1/29/2026</w:t>
            </w:r>
          </w:p>
        </w:tc>
        <w:tc>
          <w:tcPr>
            <w:tcW w:w="960" w:type="dxa"/>
            <w:vAlign w:val="bottom"/>
          </w:tcPr>
          <w:p>
            <w:pPr>
              <w:jc w:val="right"/>
              <w:spacing w:after="0"/>
              <w:rPr>
                <w:sz w:val="20"/>
                <w:szCs w:val="20"/>
                <w:color w:val="auto"/>
              </w:rPr>
            </w:pPr>
            <w:r>
              <w:rPr>
                <w:rFonts w:ascii="Arial" w:cs="Arial" w:eastAsia="Arial" w:hAnsi="Arial"/>
                <w:sz w:val="18"/>
                <w:szCs w:val="18"/>
                <w:color w:val="auto"/>
              </w:rPr>
              <w:t>34,008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4,362,886</w:t>
            </w:r>
          </w:p>
        </w:tc>
      </w:tr>
      <w:tr>
        <w:trPr>
          <w:trHeight w:val="95"/>
        </w:trPr>
        <w:tc>
          <w:tcPr>
            <w:tcW w:w="3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20" w:type="dxa"/>
            <w:vAlign w:val="bottom"/>
            <w:gridSpan w:val="2"/>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2"/>
        </w:trPr>
        <w:tc>
          <w:tcPr>
            <w:tcW w:w="3360" w:type="dxa"/>
            <w:vAlign w:val="bottom"/>
            <w:shd w:val="clear" w:color="auto" w:fill="E5E5E5"/>
          </w:tcPr>
          <w:p>
            <w:pPr>
              <w:spacing w:after="0" w:line="201" w:lineRule="exact"/>
              <w:rPr>
                <w:sz w:val="20"/>
                <w:szCs w:val="20"/>
                <w:color w:val="auto"/>
              </w:rPr>
            </w:pPr>
            <w:r>
              <w:rPr>
                <w:rFonts w:ascii="Arial" w:cs="Arial" w:eastAsia="Arial" w:hAnsi="Arial"/>
                <w:sz w:val="18"/>
                <w:szCs w:val="18"/>
                <w:color w:val="auto"/>
              </w:rPr>
              <w:t>H. Ilan</w:t>
            </w:r>
          </w:p>
        </w:tc>
        <w:tc>
          <w:tcPr>
            <w:tcW w:w="260" w:type="dxa"/>
            <w:vAlign w:val="bottom"/>
            <w:shd w:val="clear" w:color="auto" w:fill="E5E5E5"/>
          </w:tcPr>
          <w:p>
            <w:pPr>
              <w:spacing w:after="0"/>
              <w:rPr>
                <w:sz w:val="17"/>
                <w:szCs w:val="17"/>
                <w:color w:val="auto"/>
              </w:rPr>
            </w:pPr>
          </w:p>
        </w:tc>
        <w:tc>
          <w:tcPr>
            <w:tcW w:w="920" w:type="dxa"/>
            <w:vAlign w:val="bottom"/>
            <w:shd w:val="clear" w:color="auto" w:fill="E5E5E5"/>
          </w:tcPr>
          <w:p>
            <w:pPr>
              <w:jc w:val="right"/>
              <w:spacing w:after="0" w:line="201" w:lineRule="exact"/>
              <w:rPr>
                <w:sz w:val="20"/>
                <w:szCs w:val="20"/>
                <w:color w:val="auto"/>
              </w:rPr>
            </w:pPr>
            <w:r>
              <w:rPr>
                <w:rFonts w:ascii="Arial" w:cs="Arial" w:eastAsia="Arial" w:hAnsi="Arial"/>
                <w:sz w:val="18"/>
                <w:szCs w:val="18"/>
                <w:color w:val="auto"/>
              </w:rPr>
              <w:t>—</w:t>
            </w:r>
          </w:p>
        </w:tc>
        <w:tc>
          <w:tcPr>
            <w:tcW w:w="1260" w:type="dxa"/>
            <w:vAlign w:val="bottom"/>
            <w:shd w:val="clear" w:color="auto" w:fill="E5E5E5"/>
          </w:tcPr>
          <w:p>
            <w:pPr>
              <w:jc w:val="right"/>
              <w:spacing w:after="0" w:line="201" w:lineRule="exact"/>
              <w:rPr>
                <w:sz w:val="20"/>
                <w:szCs w:val="20"/>
                <w:color w:val="auto"/>
              </w:rPr>
            </w:pPr>
            <w:r>
              <w:rPr>
                <w:rFonts w:ascii="Arial" w:cs="Arial" w:eastAsia="Arial" w:hAnsi="Arial"/>
                <w:sz w:val="18"/>
                <w:szCs w:val="18"/>
                <w:color w:val="auto"/>
              </w:rPr>
              <w:t>86,122</w:t>
            </w:r>
          </w:p>
        </w:tc>
        <w:tc>
          <w:tcPr>
            <w:tcW w:w="340" w:type="dxa"/>
            <w:vAlign w:val="bottom"/>
            <w:shd w:val="clear" w:color="auto" w:fill="E5E5E5"/>
          </w:tcPr>
          <w:p>
            <w:pPr>
              <w:jc w:val="center"/>
              <w:ind w:right="30"/>
              <w:spacing w:after="0" w:line="201" w:lineRule="exact"/>
              <w:rPr>
                <w:sz w:val="20"/>
                <w:szCs w:val="20"/>
                <w:color w:val="auto"/>
              </w:rPr>
            </w:pPr>
            <w:r>
              <w:rPr>
                <w:rFonts w:ascii="Arial" w:cs="Arial" w:eastAsia="Arial" w:hAnsi="Arial"/>
                <w:sz w:val="18"/>
                <w:szCs w:val="18"/>
                <w:color w:val="auto"/>
                <w:w w:val="99"/>
              </w:rPr>
              <w:t>(2)</w:t>
            </w:r>
          </w:p>
        </w:tc>
        <w:tc>
          <w:tcPr>
            <w:tcW w:w="1020" w:type="dxa"/>
            <w:vAlign w:val="bottom"/>
            <w:gridSpan w:val="2"/>
            <w:shd w:val="clear" w:color="auto" w:fill="E5E5E5"/>
          </w:tcPr>
          <w:p>
            <w:pPr>
              <w:jc w:val="right"/>
              <w:ind w:right="111"/>
              <w:spacing w:after="0" w:line="201" w:lineRule="exact"/>
              <w:rPr>
                <w:sz w:val="20"/>
                <w:szCs w:val="20"/>
                <w:color w:val="auto"/>
              </w:rPr>
            </w:pPr>
            <w:r>
              <w:rPr>
                <w:rFonts w:ascii="Arial" w:cs="Arial" w:eastAsia="Arial" w:hAnsi="Arial"/>
                <w:sz w:val="18"/>
                <w:szCs w:val="18"/>
                <w:color w:val="auto"/>
              </w:rPr>
              <w:t>$ 104.41</w:t>
            </w:r>
          </w:p>
        </w:tc>
        <w:tc>
          <w:tcPr>
            <w:tcW w:w="1320" w:type="dxa"/>
            <w:vAlign w:val="bottom"/>
            <w:gridSpan w:val="2"/>
            <w:shd w:val="clear" w:color="auto" w:fill="E5E5E5"/>
          </w:tcPr>
          <w:p>
            <w:pPr>
              <w:ind w:left="180"/>
              <w:spacing w:after="0" w:line="201" w:lineRule="exact"/>
              <w:rPr>
                <w:sz w:val="20"/>
                <w:szCs w:val="20"/>
                <w:color w:val="auto"/>
              </w:rPr>
            </w:pPr>
            <w:r>
              <w:rPr>
                <w:rFonts w:ascii="Arial" w:cs="Arial" w:eastAsia="Arial" w:hAnsi="Arial"/>
                <w:sz w:val="18"/>
                <w:szCs w:val="18"/>
                <w:color w:val="auto"/>
              </w:rPr>
              <w:t>1/25/2029</w:t>
            </w:r>
          </w:p>
        </w:tc>
        <w:tc>
          <w:tcPr>
            <w:tcW w:w="960" w:type="dxa"/>
            <w:vAlign w:val="bottom"/>
            <w:shd w:val="clear" w:color="auto" w:fill="E5E5E5"/>
          </w:tcPr>
          <w:p>
            <w:pPr>
              <w:jc w:val="right"/>
              <w:spacing w:after="0" w:line="201" w:lineRule="exact"/>
              <w:rPr>
                <w:sz w:val="20"/>
                <w:szCs w:val="20"/>
                <w:color w:val="auto"/>
              </w:rPr>
            </w:pPr>
            <w:r>
              <w:rPr>
                <w:rFonts w:ascii="Arial" w:cs="Arial" w:eastAsia="Arial" w:hAnsi="Arial"/>
                <w:sz w:val="18"/>
                <w:szCs w:val="18"/>
                <w:color w:val="auto"/>
              </w:rPr>
              <w:t>18,198</w:t>
            </w:r>
          </w:p>
        </w:tc>
        <w:tc>
          <w:tcPr>
            <w:tcW w:w="340" w:type="dxa"/>
            <w:vAlign w:val="bottom"/>
            <w:shd w:val="clear" w:color="auto" w:fill="E5E5E5"/>
          </w:tcPr>
          <w:p>
            <w:pPr>
              <w:jc w:val="right"/>
              <w:ind w:right="30"/>
              <w:spacing w:after="0" w:line="201" w:lineRule="exact"/>
              <w:rPr>
                <w:sz w:val="20"/>
                <w:szCs w:val="20"/>
                <w:color w:val="auto"/>
              </w:rPr>
            </w:pPr>
            <w:r>
              <w:rPr>
                <w:rFonts w:ascii="Arial" w:cs="Arial" w:eastAsia="Arial" w:hAnsi="Arial"/>
                <w:sz w:val="18"/>
                <w:szCs w:val="18"/>
                <w:color w:val="auto"/>
                <w:w w:val="90"/>
              </w:rPr>
              <w:t>(6)</w:t>
            </w:r>
          </w:p>
        </w:tc>
        <w:tc>
          <w:tcPr>
            <w:tcW w:w="220" w:type="dxa"/>
            <w:vAlign w:val="bottom"/>
            <w:shd w:val="clear" w:color="auto" w:fill="E5E5E5"/>
          </w:tcPr>
          <w:p>
            <w:pPr>
              <w:jc w:val="right"/>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60"/>
              <w:spacing w:after="0" w:line="201" w:lineRule="exact"/>
              <w:rPr>
                <w:sz w:val="20"/>
                <w:szCs w:val="20"/>
                <w:color w:val="auto"/>
              </w:rPr>
            </w:pPr>
            <w:r>
              <w:rPr>
                <w:rFonts w:ascii="Arial" w:cs="Arial" w:eastAsia="Arial" w:hAnsi="Arial"/>
                <w:sz w:val="18"/>
                <w:szCs w:val="18"/>
                <w:color w:val="auto"/>
              </w:rPr>
              <w:t>2,334,621</w:t>
            </w:r>
          </w:p>
        </w:tc>
      </w:tr>
      <w:tr>
        <w:trPr>
          <w:trHeight w:val="203"/>
        </w:trPr>
        <w:tc>
          <w:tcPr>
            <w:tcW w:w="336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20,457</w:t>
            </w:r>
          </w:p>
        </w:tc>
        <w:tc>
          <w:tcPr>
            <w:tcW w:w="1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61,371</w:t>
            </w:r>
          </w:p>
        </w:tc>
        <w:tc>
          <w:tcPr>
            <w:tcW w:w="340" w:type="dxa"/>
            <w:vAlign w:val="bottom"/>
            <w:shd w:val="clear" w:color="auto" w:fill="E5E5E5"/>
          </w:tcPr>
          <w:p>
            <w:pPr>
              <w:jc w:val="center"/>
              <w:ind w:right="30"/>
              <w:spacing w:after="0" w:line="202" w:lineRule="exact"/>
              <w:rPr>
                <w:sz w:val="20"/>
                <w:szCs w:val="20"/>
                <w:color w:val="auto"/>
              </w:rPr>
            </w:pPr>
            <w:r>
              <w:rPr>
                <w:rFonts w:ascii="Arial" w:cs="Arial" w:eastAsia="Arial" w:hAnsi="Arial"/>
                <w:sz w:val="18"/>
                <w:szCs w:val="18"/>
                <w:color w:val="auto"/>
                <w:w w:val="99"/>
              </w:rPr>
              <w:t>(3)</w:t>
            </w:r>
          </w:p>
        </w:tc>
        <w:tc>
          <w:tcPr>
            <w:tcW w:w="1020" w:type="dxa"/>
            <w:vAlign w:val="bottom"/>
            <w:gridSpan w:val="2"/>
            <w:shd w:val="clear" w:color="auto" w:fill="E5E5E5"/>
          </w:tcPr>
          <w:p>
            <w:pPr>
              <w:jc w:val="right"/>
              <w:ind w:right="111"/>
              <w:spacing w:after="0" w:line="202" w:lineRule="exact"/>
              <w:rPr>
                <w:sz w:val="20"/>
                <w:szCs w:val="20"/>
                <w:color w:val="auto"/>
              </w:rPr>
            </w:pPr>
            <w:r>
              <w:rPr>
                <w:rFonts w:ascii="Arial" w:cs="Arial" w:eastAsia="Arial" w:hAnsi="Arial"/>
                <w:sz w:val="18"/>
                <w:szCs w:val="18"/>
                <w:color w:val="auto"/>
              </w:rPr>
              <w:t>$ 110.15</w:t>
            </w:r>
          </w:p>
        </w:tc>
        <w:tc>
          <w:tcPr>
            <w:tcW w:w="1320" w:type="dxa"/>
            <w:vAlign w:val="bottom"/>
            <w:gridSpan w:val="2"/>
            <w:shd w:val="clear" w:color="auto" w:fill="E5E5E5"/>
          </w:tcPr>
          <w:p>
            <w:pPr>
              <w:ind w:left="180"/>
              <w:spacing w:after="0" w:line="202" w:lineRule="exact"/>
              <w:rPr>
                <w:sz w:val="20"/>
                <w:szCs w:val="20"/>
                <w:color w:val="auto"/>
              </w:rPr>
            </w:pPr>
            <w:r>
              <w:rPr>
                <w:rFonts w:ascii="Arial" w:cs="Arial" w:eastAsia="Arial" w:hAnsi="Arial"/>
                <w:sz w:val="18"/>
                <w:szCs w:val="18"/>
                <w:color w:val="auto"/>
              </w:rPr>
              <w:t>1/25/2028</w:t>
            </w: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17,250</w:t>
            </w:r>
          </w:p>
        </w:tc>
        <w:tc>
          <w:tcPr>
            <w:tcW w:w="34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color w:val="auto"/>
                <w:w w:val="90"/>
              </w:rPr>
              <w:t>(7)</w:t>
            </w:r>
          </w:p>
        </w:tc>
        <w:tc>
          <w:tcPr>
            <w:tcW w:w="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2,213,003</w:t>
            </w:r>
          </w:p>
        </w:tc>
      </w:tr>
      <w:tr>
        <w:trPr>
          <w:trHeight w:val="203"/>
        </w:trPr>
        <w:tc>
          <w:tcPr>
            <w:tcW w:w="336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53,075</w:t>
            </w:r>
          </w:p>
        </w:tc>
        <w:tc>
          <w:tcPr>
            <w:tcW w:w="1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53,076</w:t>
            </w:r>
          </w:p>
        </w:tc>
        <w:tc>
          <w:tcPr>
            <w:tcW w:w="340" w:type="dxa"/>
            <w:vAlign w:val="bottom"/>
            <w:shd w:val="clear" w:color="auto" w:fill="E5E5E5"/>
          </w:tcPr>
          <w:p>
            <w:pPr>
              <w:jc w:val="center"/>
              <w:ind w:right="30"/>
              <w:spacing w:after="0" w:line="202" w:lineRule="exact"/>
              <w:rPr>
                <w:sz w:val="20"/>
                <w:szCs w:val="20"/>
                <w:color w:val="auto"/>
              </w:rPr>
            </w:pPr>
            <w:r>
              <w:rPr>
                <w:rFonts w:ascii="Arial" w:cs="Arial" w:eastAsia="Arial" w:hAnsi="Arial"/>
                <w:sz w:val="18"/>
                <w:szCs w:val="18"/>
                <w:color w:val="auto"/>
                <w:w w:val="99"/>
              </w:rPr>
              <w:t>(4)</w:t>
            </w:r>
          </w:p>
        </w:tc>
        <w:tc>
          <w:tcPr>
            <w:tcW w:w="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111"/>
              <w:spacing w:after="0" w:line="202" w:lineRule="exact"/>
              <w:rPr>
                <w:sz w:val="20"/>
                <w:szCs w:val="20"/>
                <w:color w:val="auto"/>
              </w:rPr>
            </w:pPr>
            <w:r>
              <w:rPr>
                <w:rFonts w:ascii="Arial" w:cs="Arial" w:eastAsia="Arial" w:hAnsi="Arial"/>
                <w:sz w:val="18"/>
                <w:szCs w:val="18"/>
                <w:color w:val="auto"/>
              </w:rPr>
              <w:t>79.26</w:t>
            </w:r>
          </w:p>
        </w:tc>
        <w:tc>
          <w:tcPr>
            <w:tcW w:w="1320" w:type="dxa"/>
            <w:vAlign w:val="bottom"/>
            <w:gridSpan w:val="2"/>
            <w:shd w:val="clear" w:color="auto" w:fill="E5E5E5"/>
          </w:tcPr>
          <w:p>
            <w:pPr>
              <w:ind w:left="180"/>
              <w:spacing w:after="0" w:line="202" w:lineRule="exact"/>
              <w:rPr>
                <w:sz w:val="20"/>
                <w:szCs w:val="20"/>
                <w:color w:val="auto"/>
              </w:rPr>
            </w:pPr>
            <w:r>
              <w:rPr>
                <w:rFonts w:ascii="Arial" w:cs="Arial" w:eastAsia="Arial" w:hAnsi="Arial"/>
                <w:sz w:val="18"/>
                <w:szCs w:val="18"/>
                <w:color w:val="auto"/>
              </w:rPr>
              <w:t>1/26/2027</w:t>
            </w: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22,080</w:t>
            </w:r>
          </w:p>
        </w:tc>
        <w:tc>
          <w:tcPr>
            <w:tcW w:w="34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color w:val="auto"/>
                <w:w w:val="90"/>
              </w:rPr>
              <w:t>(8)</w:t>
            </w:r>
          </w:p>
        </w:tc>
        <w:tc>
          <w:tcPr>
            <w:tcW w:w="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2,832,643</w:t>
            </w:r>
          </w:p>
        </w:tc>
      </w:tr>
      <w:tr>
        <w:trPr>
          <w:trHeight w:val="203"/>
        </w:trPr>
        <w:tc>
          <w:tcPr>
            <w:tcW w:w="336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92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w:t>
            </w:r>
          </w:p>
        </w:tc>
        <w:tc>
          <w:tcPr>
            <w:tcW w:w="126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31,222</w:t>
            </w:r>
          </w:p>
        </w:tc>
        <w:tc>
          <w:tcPr>
            <w:tcW w:w="340" w:type="dxa"/>
            <w:vAlign w:val="bottom"/>
            <w:shd w:val="clear" w:color="auto" w:fill="E5E5E5"/>
          </w:tcPr>
          <w:p>
            <w:pPr>
              <w:jc w:val="center"/>
              <w:ind w:right="30"/>
              <w:spacing w:after="0" w:line="203" w:lineRule="exact"/>
              <w:rPr>
                <w:sz w:val="20"/>
                <w:szCs w:val="20"/>
                <w:color w:val="auto"/>
              </w:rPr>
            </w:pPr>
            <w:r>
              <w:rPr>
                <w:rFonts w:ascii="Arial" w:cs="Arial" w:eastAsia="Arial" w:hAnsi="Arial"/>
                <w:sz w:val="18"/>
                <w:szCs w:val="18"/>
                <w:color w:val="auto"/>
                <w:w w:val="99"/>
              </w:rPr>
              <w:t>(5)</w:t>
            </w:r>
          </w:p>
        </w:tc>
        <w:tc>
          <w:tcPr>
            <w:tcW w:w="22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111"/>
              <w:spacing w:after="0" w:line="203" w:lineRule="exact"/>
              <w:rPr>
                <w:sz w:val="20"/>
                <w:szCs w:val="20"/>
                <w:color w:val="auto"/>
              </w:rPr>
            </w:pPr>
            <w:r>
              <w:rPr>
                <w:rFonts w:ascii="Arial" w:cs="Arial" w:eastAsia="Arial" w:hAnsi="Arial"/>
                <w:sz w:val="18"/>
                <w:szCs w:val="18"/>
                <w:color w:val="auto"/>
              </w:rPr>
              <w:t>52.93</w:t>
            </w:r>
          </w:p>
        </w:tc>
        <w:tc>
          <w:tcPr>
            <w:tcW w:w="1320" w:type="dxa"/>
            <w:vAlign w:val="bottom"/>
            <w:gridSpan w:val="2"/>
            <w:shd w:val="clear" w:color="auto" w:fill="E5E5E5"/>
          </w:tcPr>
          <w:p>
            <w:pPr>
              <w:ind w:left="180"/>
              <w:spacing w:after="0" w:line="203" w:lineRule="exact"/>
              <w:rPr>
                <w:sz w:val="20"/>
                <w:szCs w:val="20"/>
                <w:color w:val="auto"/>
              </w:rPr>
            </w:pPr>
            <w:r>
              <w:rPr>
                <w:rFonts w:ascii="Arial" w:cs="Arial" w:eastAsia="Arial" w:hAnsi="Arial"/>
                <w:sz w:val="18"/>
                <w:szCs w:val="18"/>
                <w:color w:val="auto"/>
              </w:rPr>
              <w:t>1/29/2026</w:t>
            </w:r>
          </w:p>
        </w:tc>
        <w:tc>
          <w:tcPr>
            <w:tcW w:w="96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23,617</w:t>
            </w:r>
          </w:p>
        </w:tc>
        <w:tc>
          <w:tcPr>
            <w:tcW w:w="340" w:type="dxa"/>
            <w:vAlign w:val="bottom"/>
            <w:shd w:val="clear" w:color="auto" w:fill="E5E5E5"/>
          </w:tcPr>
          <w:p>
            <w:pPr>
              <w:jc w:val="right"/>
              <w:ind w:right="30"/>
              <w:spacing w:after="0" w:line="203" w:lineRule="exact"/>
              <w:rPr>
                <w:sz w:val="20"/>
                <w:szCs w:val="20"/>
                <w:color w:val="auto"/>
              </w:rPr>
            </w:pPr>
            <w:r>
              <w:rPr>
                <w:rFonts w:ascii="Arial" w:cs="Arial" w:eastAsia="Arial" w:hAnsi="Arial"/>
                <w:sz w:val="18"/>
                <w:szCs w:val="18"/>
                <w:color w:val="auto"/>
                <w:w w:val="90"/>
              </w:rPr>
              <w:t>(9)</w:t>
            </w:r>
          </w:p>
        </w:tc>
        <w:tc>
          <w:tcPr>
            <w:tcW w:w="22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60"/>
              <w:spacing w:after="0" w:line="203" w:lineRule="exact"/>
              <w:rPr>
                <w:sz w:val="20"/>
                <w:szCs w:val="20"/>
                <w:color w:val="auto"/>
              </w:rPr>
            </w:pPr>
            <w:r>
              <w:rPr>
                <w:rFonts w:ascii="Arial" w:cs="Arial" w:eastAsia="Arial" w:hAnsi="Arial"/>
                <w:sz w:val="18"/>
                <w:szCs w:val="18"/>
                <w:color w:val="auto"/>
              </w:rPr>
              <w:t>3,029,825</w:t>
            </w:r>
          </w:p>
        </w:tc>
      </w:tr>
    </w:tbl>
    <w:p>
      <w:pPr>
        <w:spacing w:after="0" w:line="121" w:lineRule="exact"/>
        <w:rPr>
          <w:sz w:val="20"/>
          <w:szCs w:val="20"/>
          <w:color w:val="auto"/>
        </w:rPr>
      </w:pPr>
    </w:p>
    <w:p>
      <w:pPr>
        <w:ind w:left="540" w:hanging="424"/>
        <w:spacing w:after="0"/>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Calculated by multiplying the number of RSUs by the closing price of TI common stock on December 31, 2019 ($128.29).</w:t>
      </w:r>
    </w:p>
    <w:p>
      <w:pPr>
        <w:spacing w:after="0" w:line="117" w:lineRule="exact"/>
        <w:rPr>
          <w:rFonts w:ascii="Arial" w:cs="Arial" w:eastAsia="Arial" w:hAnsi="Arial"/>
          <w:sz w:val="18"/>
          <w:szCs w:val="18"/>
          <w:color w:val="auto"/>
        </w:rPr>
      </w:pPr>
    </w:p>
    <w:p>
      <w:pPr>
        <w:ind w:left="540" w:right="200" w:hanging="424"/>
        <w:spacing w:after="0" w:line="246" w:lineRule="auto"/>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One-quarter of the shares became exercisable on January 25, 2020, and one-third of the remaining shares become exercisable on each of January 25, 2021, January 25, 2022, and January 25, 2023.</w:t>
      </w:r>
    </w:p>
    <w:p>
      <w:pPr>
        <w:spacing w:after="0" w:line="102" w:lineRule="exact"/>
        <w:rPr>
          <w:rFonts w:ascii="Arial" w:cs="Arial" w:eastAsia="Arial" w:hAnsi="Arial"/>
          <w:sz w:val="18"/>
          <w:szCs w:val="18"/>
          <w:color w:val="auto"/>
        </w:rPr>
      </w:pPr>
    </w:p>
    <w:p>
      <w:pPr>
        <w:ind w:left="540" w:right="40" w:hanging="424"/>
        <w:spacing w:after="0" w:line="246" w:lineRule="auto"/>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One-third of the shares became exercisable on January 25, 2020, and one-half of the remaining shares become exercisable on each of January 25, 2021, and January 25, 2022.</w:t>
      </w:r>
    </w:p>
    <w:p>
      <w:pPr>
        <w:spacing w:after="0" w:line="102" w:lineRule="exact"/>
        <w:rPr>
          <w:rFonts w:ascii="Arial" w:cs="Arial" w:eastAsia="Arial" w:hAnsi="Arial"/>
          <w:sz w:val="18"/>
          <w:szCs w:val="18"/>
          <w:color w:val="auto"/>
        </w:rPr>
      </w:pPr>
    </w:p>
    <w:p>
      <w:pPr>
        <w:ind w:left="540" w:right="340" w:hanging="424"/>
        <w:spacing w:after="0" w:line="246" w:lineRule="auto"/>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One-half of the shares became exercisable on January 26, 2020, and the remaining one-half become exercisable on January 26, 2021.</w:t>
      </w:r>
    </w:p>
    <w:p>
      <w:pPr>
        <w:spacing w:after="0" w:line="102" w:lineRule="exact"/>
        <w:rPr>
          <w:rFonts w:ascii="Arial" w:cs="Arial" w:eastAsia="Arial" w:hAnsi="Arial"/>
          <w:sz w:val="18"/>
          <w:szCs w:val="18"/>
          <w:color w:val="auto"/>
        </w:rPr>
      </w:pPr>
    </w:p>
    <w:p>
      <w:pPr>
        <w:ind w:left="540" w:hanging="424"/>
        <w:spacing w:after="0"/>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Became fully exercisable on January 29, 2020.</w:t>
      </w:r>
    </w:p>
    <w:p>
      <w:pPr>
        <w:spacing w:after="0" w:line="117" w:lineRule="exact"/>
        <w:rPr>
          <w:rFonts w:ascii="Arial" w:cs="Arial" w:eastAsia="Arial" w:hAnsi="Arial"/>
          <w:sz w:val="18"/>
          <w:szCs w:val="18"/>
          <w:color w:val="auto"/>
        </w:rPr>
      </w:pPr>
    </w:p>
    <w:p>
      <w:pPr>
        <w:ind w:left="540" w:hanging="424"/>
        <w:spacing w:after="0"/>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Vesting date is January 31, 2023.</w:t>
      </w:r>
    </w:p>
    <w:p>
      <w:pPr>
        <w:spacing w:after="0" w:line="117" w:lineRule="exact"/>
        <w:rPr>
          <w:rFonts w:ascii="Arial" w:cs="Arial" w:eastAsia="Arial" w:hAnsi="Arial"/>
          <w:sz w:val="18"/>
          <w:szCs w:val="18"/>
          <w:color w:val="auto"/>
        </w:rPr>
      </w:pPr>
    </w:p>
    <w:p>
      <w:pPr>
        <w:ind w:left="540" w:hanging="424"/>
        <w:spacing w:after="0"/>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Vesting date is January 31, 2022.</w:t>
      </w:r>
    </w:p>
    <w:p>
      <w:pPr>
        <w:spacing w:after="0" w:line="117" w:lineRule="exact"/>
        <w:rPr>
          <w:rFonts w:ascii="Arial" w:cs="Arial" w:eastAsia="Arial" w:hAnsi="Arial"/>
          <w:sz w:val="18"/>
          <w:szCs w:val="18"/>
          <w:color w:val="auto"/>
        </w:rPr>
      </w:pPr>
    </w:p>
    <w:p>
      <w:pPr>
        <w:ind w:left="540" w:hanging="424"/>
        <w:spacing w:after="0"/>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Vesting date is February 1, 2021.</w:t>
      </w:r>
    </w:p>
    <w:p>
      <w:pPr>
        <w:spacing w:after="0" w:line="117" w:lineRule="exact"/>
        <w:rPr>
          <w:rFonts w:ascii="Arial" w:cs="Arial" w:eastAsia="Arial" w:hAnsi="Arial"/>
          <w:sz w:val="18"/>
          <w:szCs w:val="18"/>
          <w:color w:val="auto"/>
        </w:rPr>
      </w:pPr>
    </w:p>
    <w:p>
      <w:pPr>
        <w:ind w:left="540" w:hanging="424"/>
        <w:spacing w:after="0"/>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Vested on January 31, 2020.</w:t>
      </w:r>
    </w:p>
    <w:p>
      <w:pPr>
        <w:sectPr>
          <w:pgSz w:w="11900" w:h="16838" w:orient="portrait"/>
          <w:cols w:equalWidth="0" w:num="1">
            <w:col w:w="11140"/>
          </w:cols>
          <w:pgMar w:left="320" w:top="459" w:right="439" w:bottom="1440" w:gutter="0" w:footer="0" w:header="0"/>
        </w:sectPr>
      </w:pPr>
    </w:p>
    <w:p>
      <w:pPr>
        <w:spacing w:after="0" w:line="139" w:lineRule="exact"/>
        <w:rPr>
          <w:sz w:val="20"/>
          <w:szCs w:val="20"/>
          <w:color w:val="auto"/>
        </w:rPr>
      </w:pPr>
    </w:p>
    <w:p>
      <w:pPr>
        <w:ind w:left="120"/>
        <w:spacing w:after="0"/>
        <w:tabs>
          <w:tab w:leader="none" w:pos="4020" w:val="left"/>
          <w:tab w:leader="none" w:pos="5500" w:val="left"/>
          <w:tab w:leader="none" w:pos="5700" w:val="left"/>
        </w:tabs>
        <w:rPr>
          <w:sz w:val="20"/>
          <w:szCs w:val="20"/>
          <w:color w:val="auto"/>
        </w:rPr>
      </w:pPr>
      <w:r>
        <w:rPr>
          <w:rFonts w:ascii="Arial" w:cs="Arial" w:eastAsia="Arial" w:hAnsi="Arial"/>
          <w:sz w:val="13"/>
          <w:szCs w:val="13"/>
          <w:color w:val="666666"/>
        </w:rPr>
        <w:t>34</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2020 PROXY STATEMENT</w:t>
      </w:r>
    </w:p>
    <w:p>
      <w:pPr>
        <w:sectPr>
          <w:pgSz w:w="11900" w:h="16838" w:orient="portrait"/>
          <w:cols w:equalWidth="0" w:num="1">
            <w:col w:w="11140"/>
          </w:cols>
          <w:pgMar w:left="320" w:top="459" w:right="4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Option awards</w:t>
      </w:r>
    </w:p>
    <w:p>
      <w:pPr>
        <w:spacing w:after="0" w:line="212"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The “Option Awards” shown in the table above are non-qualified stock options, each of which represents the right to purchase shares of TI common stock at the stated exercise price. The exercise price is the closing price of TI common stock on the grant date. The term of each option is 10 years unless the option is terminated earlier pursuant to provisions summarized in the chart below and in the paragraph following the chart. Options become exercisable in increments of 25 percent per year beginning on the first anniversary of the date of the grant. The chart below shows the termination provisions relating to stock options outstanding as of December 31, 2019. The Compensation Committee of the board of directors established these termination provisions to promote employee retention while offering competitive terms.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2680" w:type="dxa"/>
            <w:vAlign w:val="bottom"/>
          </w:tcPr>
          <w:p>
            <w:pPr>
              <w:ind w:left="860"/>
              <w:spacing w:after="0"/>
              <w:rPr>
                <w:sz w:val="20"/>
                <w:szCs w:val="20"/>
                <w:color w:val="auto"/>
              </w:rPr>
            </w:pPr>
            <w:r>
              <w:rPr>
                <w:rFonts w:ascii="Arial" w:cs="Arial" w:eastAsia="Arial" w:hAnsi="Arial"/>
                <w:sz w:val="14"/>
                <w:szCs w:val="14"/>
                <w:b w:val="1"/>
                <w:bCs w:val="1"/>
                <w:color w:val="auto"/>
              </w:rPr>
              <w:t>Employment Termination</w:t>
            </w:r>
          </w:p>
        </w:tc>
        <w:tc>
          <w:tcPr>
            <w:tcW w:w="2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2"/>
        </w:trPr>
        <w:tc>
          <w:tcPr>
            <w:tcW w:w="2720" w:type="dxa"/>
            <w:vAlign w:val="bottom"/>
          </w:tcPr>
          <w:p>
            <w:pPr>
              <w:spacing w:after="0"/>
              <w:rPr>
                <w:sz w:val="14"/>
                <w:szCs w:val="14"/>
                <w:color w:val="auto"/>
              </w:rPr>
            </w:pPr>
          </w:p>
        </w:tc>
        <w:tc>
          <w:tcPr>
            <w:tcW w:w="2680" w:type="dxa"/>
            <w:vAlign w:val="bottom"/>
          </w:tcPr>
          <w:p>
            <w:pPr>
              <w:jc w:val="center"/>
              <w:ind w:left="682"/>
              <w:spacing w:after="0"/>
              <w:rPr>
                <w:sz w:val="20"/>
                <w:szCs w:val="20"/>
                <w:color w:val="auto"/>
              </w:rPr>
            </w:pPr>
            <w:r>
              <w:rPr>
                <w:rFonts w:ascii="Arial" w:cs="Arial" w:eastAsia="Arial" w:hAnsi="Arial"/>
                <w:sz w:val="14"/>
                <w:szCs w:val="14"/>
                <w:b w:val="1"/>
                <w:bCs w:val="1"/>
                <w:color w:val="auto"/>
              </w:rPr>
              <w:t>due to Death or</w:t>
            </w:r>
          </w:p>
        </w:tc>
        <w:tc>
          <w:tcPr>
            <w:tcW w:w="2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2"/>
        </w:trPr>
        <w:tc>
          <w:tcPr>
            <w:tcW w:w="2720" w:type="dxa"/>
            <w:vAlign w:val="bottom"/>
          </w:tcPr>
          <w:p>
            <w:pPr>
              <w:spacing w:after="0"/>
              <w:rPr>
                <w:sz w:val="14"/>
                <w:szCs w:val="14"/>
                <w:color w:val="auto"/>
              </w:rPr>
            </w:pPr>
          </w:p>
        </w:tc>
        <w:tc>
          <w:tcPr>
            <w:tcW w:w="2680" w:type="dxa"/>
            <w:vAlign w:val="bottom"/>
          </w:tcPr>
          <w:p>
            <w:pPr>
              <w:jc w:val="center"/>
              <w:ind w:left="662"/>
              <w:spacing w:after="0"/>
              <w:rPr>
                <w:sz w:val="20"/>
                <w:szCs w:val="20"/>
                <w:color w:val="auto"/>
              </w:rPr>
            </w:pPr>
            <w:r>
              <w:rPr>
                <w:rFonts w:ascii="Arial" w:cs="Arial" w:eastAsia="Arial" w:hAnsi="Arial"/>
                <w:sz w:val="14"/>
                <w:szCs w:val="14"/>
                <w:b w:val="1"/>
                <w:bCs w:val="1"/>
                <w:color w:val="auto"/>
              </w:rPr>
              <w:t>Permanent Disability</w:t>
            </w:r>
          </w:p>
        </w:tc>
        <w:tc>
          <w:tcPr>
            <w:tcW w:w="2580" w:type="dxa"/>
            <w:vAlign w:val="bottom"/>
          </w:tcPr>
          <w:p>
            <w:pPr>
              <w:jc w:val="center"/>
              <w:spacing w:after="0"/>
              <w:rPr>
                <w:sz w:val="20"/>
                <w:szCs w:val="20"/>
                <w:color w:val="auto"/>
              </w:rPr>
            </w:pPr>
            <w:r>
              <w:rPr>
                <w:rFonts w:ascii="Arial" w:cs="Arial" w:eastAsia="Arial" w:hAnsi="Arial"/>
                <w:sz w:val="14"/>
                <w:szCs w:val="14"/>
                <w:b w:val="1"/>
                <w:bCs w:val="1"/>
                <w:color w:val="auto"/>
              </w:rPr>
              <w:t>Employment Termination</w:t>
            </w:r>
          </w:p>
        </w:tc>
        <w:tc>
          <w:tcPr>
            <w:tcW w:w="12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2"/>
        </w:trPr>
        <w:tc>
          <w:tcPr>
            <w:tcW w:w="2720" w:type="dxa"/>
            <w:vAlign w:val="bottom"/>
          </w:tcPr>
          <w:p>
            <w:pPr>
              <w:spacing w:after="0"/>
              <w:rPr>
                <w:sz w:val="14"/>
                <w:szCs w:val="14"/>
                <w:color w:val="auto"/>
              </w:rPr>
            </w:pPr>
          </w:p>
        </w:tc>
        <w:tc>
          <w:tcPr>
            <w:tcW w:w="2680" w:type="dxa"/>
            <w:vAlign w:val="bottom"/>
          </w:tcPr>
          <w:p>
            <w:pPr>
              <w:jc w:val="center"/>
              <w:ind w:left="682"/>
              <w:spacing w:after="0"/>
              <w:rPr>
                <w:sz w:val="20"/>
                <w:szCs w:val="20"/>
                <w:color w:val="auto"/>
              </w:rPr>
            </w:pPr>
            <w:r>
              <w:rPr>
                <w:rFonts w:ascii="Arial" w:cs="Arial" w:eastAsia="Arial" w:hAnsi="Arial"/>
                <w:sz w:val="14"/>
                <w:szCs w:val="14"/>
                <w:b w:val="1"/>
                <w:bCs w:val="1"/>
                <w:color w:val="auto"/>
              </w:rPr>
              <w:t>or at Least 6 Months</w:t>
            </w:r>
          </w:p>
        </w:tc>
        <w:tc>
          <w:tcPr>
            <w:tcW w:w="2580" w:type="dxa"/>
            <w:vAlign w:val="bottom"/>
          </w:tcPr>
          <w:p>
            <w:pPr>
              <w:jc w:val="center"/>
              <w:spacing w:after="0"/>
              <w:rPr>
                <w:sz w:val="20"/>
                <w:szCs w:val="20"/>
                <w:color w:val="auto"/>
              </w:rPr>
            </w:pPr>
            <w:r>
              <w:rPr>
                <w:rFonts w:ascii="Arial" w:cs="Arial" w:eastAsia="Arial" w:hAnsi="Arial"/>
                <w:sz w:val="14"/>
                <w:szCs w:val="14"/>
                <w:b w:val="1"/>
                <w:bCs w:val="1"/>
                <w:color w:val="auto"/>
              </w:rPr>
              <w:t>(at Least 6 Months after Grant)</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Employment</w:t>
            </w:r>
          </w:p>
        </w:tc>
        <w:tc>
          <w:tcPr>
            <w:tcW w:w="1840" w:type="dxa"/>
            <w:vAlign w:val="bottom"/>
          </w:tcPr>
          <w:p>
            <w:pPr>
              <w:jc w:val="center"/>
              <w:ind w:left="59"/>
              <w:spacing w:after="0"/>
              <w:rPr>
                <w:sz w:val="20"/>
                <w:szCs w:val="20"/>
                <w:color w:val="auto"/>
              </w:rPr>
            </w:pPr>
            <w:r>
              <w:rPr>
                <w:rFonts w:ascii="Arial" w:cs="Arial" w:eastAsia="Arial" w:hAnsi="Arial"/>
                <w:sz w:val="14"/>
                <w:szCs w:val="14"/>
                <w:b w:val="1"/>
                <w:bCs w:val="1"/>
                <w:color w:val="auto"/>
              </w:rPr>
              <w:t>Other Circumstances</w:t>
            </w:r>
          </w:p>
        </w:tc>
      </w:tr>
      <w:tr>
        <w:trPr>
          <w:trHeight w:val="162"/>
        </w:trPr>
        <w:tc>
          <w:tcPr>
            <w:tcW w:w="2720" w:type="dxa"/>
            <w:vAlign w:val="bottom"/>
          </w:tcPr>
          <w:p>
            <w:pPr>
              <w:spacing w:after="0"/>
              <w:rPr>
                <w:sz w:val="14"/>
                <w:szCs w:val="14"/>
                <w:color w:val="auto"/>
              </w:rPr>
            </w:pPr>
          </w:p>
        </w:tc>
        <w:tc>
          <w:tcPr>
            <w:tcW w:w="2680" w:type="dxa"/>
            <w:vAlign w:val="bottom"/>
          </w:tcPr>
          <w:p>
            <w:pPr>
              <w:jc w:val="center"/>
              <w:ind w:left="682"/>
              <w:spacing w:after="0"/>
              <w:rPr>
                <w:sz w:val="20"/>
                <w:szCs w:val="20"/>
                <w:color w:val="auto"/>
              </w:rPr>
            </w:pPr>
            <w:r>
              <w:rPr>
                <w:rFonts w:ascii="Arial" w:cs="Arial" w:eastAsia="Arial" w:hAnsi="Arial"/>
                <w:sz w:val="14"/>
                <w:szCs w:val="14"/>
                <w:b w:val="1"/>
                <w:bCs w:val="1"/>
                <w:color w:val="auto"/>
              </w:rPr>
              <w:t>after Grant When</w:t>
            </w:r>
          </w:p>
        </w:tc>
        <w:tc>
          <w:tcPr>
            <w:tcW w:w="2580" w:type="dxa"/>
            <w:vAlign w:val="bottom"/>
          </w:tcPr>
          <w:p>
            <w:pPr>
              <w:ind w:left="120"/>
              <w:spacing w:after="0"/>
              <w:rPr>
                <w:sz w:val="20"/>
                <w:szCs w:val="20"/>
                <w:color w:val="auto"/>
              </w:rPr>
            </w:pPr>
            <w:r>
              <w:rPr>
                <w:rFonts w:ascii="Arial" w:cs="Arial" w:eastAsia="Arial" w:hAnsi="Arial"/>
                <w:sz w:val="14"/>
                <w:szCs w:val="14"/>
                <w:b w:val="1"/>
                <w:bCs w:val="1"/>
                <w:color w:val="auto"/>
              </w:rPr>
              <w:t>with 20 Years of Credited Service,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9"/>
              </w:rPr>
              <w:t>Termination</w:t>
            </w:r>
          </w:p>
        </w:tc>
        <w:tc>
          <w:tcPr>
            <w:tcW w:w="1840" w:type="dxa"/>
            <w:vAlign w:val="bottom"/>
          </w:tcPr>
          <w:p>
            <w:pPr>
              <w:jc w:val="center"/>
              <w:ind w:left="79"/>
              <w:spacing w:after="0"/>
              <w:rPr>
                <w:sz w:val="20"/>
                <w:szCs w:val="20"/>
                <w:color w:val="auto"/>
              </w:rPr>
            </w:pPr>
            <w:r>
              <w:rPr>
                <w:rFonts w:ascii="Arial" w:cs="Arial" w:eastAsia="Arial" w:hAnsi="Arial"/>
                <w:sz w:val="14"/>
                <w:szCs w:val="14"/>
                <w:b w:val="1"/>
                <w:bCs w:val="1"/>
                <w:color w:val="auto"/>
              </w:rPr>
              <w:t>of Employment</w:t>
            </w:r>
          </w:p>
        </w:tc>
      </w:tr>
      <w:tr>
        <w:trPr>
          <w:trHeight w:val="189"/>
        </w:trPr>
        <w:tc>
          <w:tcPr>
            <w:tcW w:w="27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tcPr>
          <w:p>
            <w:pPr>
              <w:jc w:val="center"/>
              <w:ind w:left="682"/>
              <w:spacing w:after="0"/>
              <w:rPr>
                <w:sz w:val="20"/>
                <w:szCs w:val="20"/>
                <w:color w:val="auto"/>
              </w:rPr>
            </w:pPr>
            <w:r>
              <w:rPr>
                <w:rFonts w:ascii="Arial" w:cs="Arial" w:eastAsia="Arial" w:hAnsi="Arial"/>
                <w:sz w:val="14"/>
                <w:szCs w:val="14"/>
                <w:b w:val="1"/>
                <w:bCs w:val="1"/>
                <w:color w:val="auto"/>
              </w:rPr>
              <w:t>Retirement Eligible *</w:t>
            </w: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but Not Retirement Eligible **</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 Cause</w:t>
            </w:r>
          </w:p>
        </w:tc>
        <w:tc>
          <w:tcPr>
            <w:tcW w:w="1840" w:type="dxa"/>
            <w:vAlign w:val="bottom"/>
            <w:tcBorders>
              <w:bottom w:val="single" w:sz="8" w:color="auto"/>
            </w:tcBorders>
          </w:tcPr>
          <w:p>
            <w:pPr>
              <w:jc w:val="center"/>
              <w:ind w:left="59"/>
              <w:spacing w:after="0"/>
              <w:rPr>
                <w:sz w:val="20"/>
                <w:szCs w:val="20"/>
                <w:color w:val="auto"/>
              </w:rPr>
            </w:pPr>
            <w:r>
              <w:rPr>
                <w:rFonts w:ascii="Arial" w:cs="Arial" w:eastAsia="Arial" w:hAnsi="Arial"/>
                <w:sz w:val="14"/>
                <w:szCs w:val="14"/>
                <w:b w:val="1"/>
                <w:bCs w:val="1"/>
                <w:color w:val="auto"/>
              </w:rPr>
              <w:t>Termination</w:t>
            </w:r>
          </w:p>
        </w:tc>
      </w:tr>
      <w:tr>
        <w:trPr>
          <w:trHeight w:val="173"/>
        </w:trPr>
        <w:tc>
          <w:tcPr>
            <w:tcW w:w="2720" w:type="dxa"/>
            <w:vAlign w:val="bottom"/>
          </w:tcPr>
          <w:p>
            <w:pPr>
              <w:spacing w:after="0" w:line="173" w:lineRule="exact"/>
              <w:rPr>
                <w:sz w:val="20"/>
                <w:szCs w:val="20"/>
                <w:color w:val="auto"/>
              </w:rPr>
            </w:pPr>
            <w:r>
              <w:rPr>
                <w:rFonts w:ascii="Arial" w:cs="Arial" w:eastAsia="Arial" w:hAnsi="Arial"/>
                <w:sz w:val="18"/>
                <w:szCs w:val="18"/>
                <w:b w:val="1"/>
                <w:bCs w:val="1"/>
                <w:color w:val="auto"/>
              </w:rPr>
              <w:t>Unexercisable portion</w:t>
            </w:r>
          </w:p>
        </w:tc>
        <w:tc>
          <w:tcPr>
            <w:tcW w:w="2680" w:type="dxa"/>
            <w:vAlign w:val="bottom"/>
          </w:tcPr>
          <w:p>
            <w:pPr>
              <w:ind w:left="860"/>
              <w:spacing w:after="0" w:line="173" w:lineRule="exact"/>
              <w:rPr>
                <w:sz w:val="20"/>
                <w:szCs w:val="20"/>
                <w:color w:val="auto"/>
              </w:rPr>
            </w:pPr>
            <w:r>
              <w:rPr>
                <w:rFonts w:ascii="Arial" w:cs="Arial" w:eastAsia="Arial" w:hAnsi="Arial"/>
                <w:sz w:val="18"/>
                <w:szCs w:val="18"/>
                <w:color w:val="auto"/>
              </w:rPr>
              <w:t>Continues</w:t>
            </w:r>
          </w:p>
        </w:tc>
        <w:tc>
          <w:tcPr>
            <w:tcW w:w="2580" w:type="dxa"/>
            <w:vAlign w:val="bottom"/>
          </w:tcPr>
          <w:p>
            <w:pPr>
              <w:ind w:left="120"/>
              <w:spacing w:after="0" w:line="173" w:lineRule="exact"/>
              <w:rPr>
                <w:sz w:val="20"/>
                <w:szCs w:val="20"/>
                <w:color w:val="auto"/>
              </w:rPr>
            </w:pPr>
            <w:r>
              <w:rPr>
                <w:rFonts w:ascii="Arial" w:cs="Arial" w:eastAsia="Arial" w:hAnsi="Arial"/>
                <w:sz w:val="18"/>
                <w:szCs w:val="18"/>
                <w:color w:val="auto"/>
              </w:rPr>
              <w:t>Stops</w:t>
            </w:r>
          </w:p>
        </w:tc>
        <w:tc>
          <w:tcPr>
            <w:tcW w:w="1200" w:type="dxa"/>
            <w:vAlign w:val="bottom"/>
          </w:tcPr>
          <w:p>
            <w:pPr>
              <w:ind w:left="160"/>
              <w:spacing w:after="0" w:line="173" w:lineRule="exact"/>
              <w:rPr>
                <w:sz w:val="20"/>
                <w:szCs w:val="20"/>
                <w:color w:val="auto"/>
              </w:rPr>
            </w:pPr>
            <w:r>
              <w:rPr>
                <w:rFonts w:ascii="Arial" w:cs="Arial" w:eastAsia="Arial" w:hAnsi="Arial"/>
                <w:sz w:val="18"/>
                <w:szCs w:val="18"/>
                <w:color w:val="auto"/>
              </w:rPr>
              <w:t>Stops</w:t>
            </w:r>
          </w:p>
        </w:tc>
        <w:tc>
          <w:tcPr>
            <w:tcW w:w="1840" w:type="dxa"/>
            <w:vAlign w:val="bottom"/>
          </w:tcPr>
          <w:p>
            <w:pPr>
              <w:ind w:left="160"/>
              <w:spacing w:after="0" w:line="173" w:lineRule="exact"/>
              <w:rPr>
                <w:sz w:val="20"/>
                <w:szCs w:val="20"/>
                <w:color w:val="auto"/>
              </w:rPr>
            </w:pPr>
            <w:r>
              <w:rPr>
                <w:rFonts w:ascii="Arial" w:cs="Arial" w:eastAsia="Arial" w:hAnsi="Arial"/>
                <w:sz w:val="18"/>
                <w:szCs w:val="18"/>
                <w:color w:val="auto"/>
              </w:rPr>
              <w:t>Stops</w:t>
            </w:r>
          </w:p>
        </w:tc>
      </w:tr>
      <w:tr>
        <w:trPr>
          <w:trHeight w:val="239"/>
        </w:trPr>
        <w:tc>
          <w:tcPr>
            <w:tcW w:w="2720" w:type="dxa"/>
            <w:vAlign w:val="bottom"/>
          </w:tcPr>
          <w:p>
            <w:pPr>
              <w:spacing w:after="0"/>
              <w:rPr>
                <w:sz w:val="20"/>
                <w:szCs w:val="20"/>
                <w:color w:val="auto"/>
              </w:rPr>
            </w:pPr>
            <w:r>
              <w:rPr>
                <w:rFonts w:ascii="Arial" w:cs="Arial" w:eastAsia="Arial" w:hAnsi="Arial"/>
                <w:sz w:val="18"/>
                <w:szCs w:val="18"/>
                <w:b w:val="1"/>
                <w:bCs w:val="1"/>
                <w:color w:val="auto"/>
              </w:rPr>
              <w:t>of option</w:t>
            </w:r>
          </w:p>
        </w:tc>
        <w:tc>
          <w:tcPr>
            <w:tcW w:w="26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82"/>
        </w:trPr>
        <w:tc>
          <w:tcPr>
            <w:tcW w:w="2720" w:type="dxa"/>
            <w:vAlign w:val="bottom"/>
          </w:tcPr>
          <w:p>
            <w:pPr>
              <w:spacing w:after="0"/>
              <w:rPr>
                <w:sz w:val="20"/>
                <w:szCs w:val="20"/>
                <w:color w:val="auto"/>
              </w:rPr>
            </w:pPr>
            <w:r>
              <w:rPr>
                <w:rFonts w:ascii="Arial" w:cs="Arial" w:eastAsia="Arial" w:hAnsi="Arial"/>
                <w:sz w:val="18"/>
                <w:szCs w:val="18"/>
                <w:b w:val="1"/>
                <w:bCs w:val="1"/>
                <w:color w:val="auto"/>
              </w:rPr>
              <w:t>Exercisable portion</w:t>
            </w:r>
          </w:p>
        </w:tc>
        <w:tc>
          <w:tcPr>
            <w:tcW w:w="2680" w:type="dxa"/>
            <w:vAlign w:val="bottom"/>
          </w:tcPr>
          <w:p>
            <w:pPr>
              <w:ind w:left="860"/>
              <w:spacing w:after="0"/>
              <w:rPr>
                <w:sz w:val="20"/>
                <w:szCs w:val="20"/>
                <w:color w:val="auto"/>
              </w:rPr>
            </w:pPr>
            <w:r>
              <w:rPr>
                <w:rFonts w:ascii="Arial" w:cs="Arial" w:eastAsia="Arial" w:hAnsi="Arial"/>
                <w:sz w:val="18"/>
                <w:szCs w:val="18"/>
                <w:color w:val="auto"/>
              </w:rPr>
              <w:t>Remains exercisable</w:t>
            </w:r>
          </w:p>
        </w:tc>
        <w:tc>
          <w:tcPr>
            <w:tcW w:w="2580" w:type="dxa"/>
            <w:vAlign w:val="bottom"/>
          </w:tcPr>
          <w:p>
            <w:pPr>
              <w:ind w:left="120"/>
              <w:spacing w:after="0"/>
              <w:rPr>
                <w:sz w:val="20"/>
                <w:szCs w:val="20"/>
                <w:color w:val="auto"/>
              </w:rPr>
            </w:pPr>
            <w:r>
              <w:rPr>
                <w:rFonts w:ascii="Arial" w:cs="Arial" w:eastAsia="Arial" w:hAnsi="Arial"/>
                <w:sz w:val="18"/>
                <w:szCs w:val="18"/>
                <w:color w:val="auto"/>
              </w:rPr>
              <w:t>Remains exercisable</w:t>
            </w:r>
          </w:p>
        </w:tc>
        <w:tc>
          <w:tcPr>
            <w:tcW w:w="1200" w:type="dxa"/>
            <w:vAlign w:val="bottom"/>
          </w:tcPr>
          <w:p>
            <w:pPr>
              <w:jc w:val="center"/>
              <w:spacing w:after="0"/>
              <w:rPr>
                <w:sz w:val="20"/>
                <w:szCs w:val="20"/>
                <w:color w:val="auto"/>
              </w:rPr>
            </w:pPr>
            <w:r>
              <w:rPr>
                <w:rFonts w:ascii="Arial" w:cs="Arial" w:eastAsia="Arial" w:hAnsi="Arial"/>
                <w:sz w:val="18"/>
                <w:szCs w:val="18"/>
                <w:color w:val="auto"/>
                <w:w w:val="97"/>
              </w:rPr>
              <w:t>Terminates</w:t>
            </w:r>
          </w:p>
        </w:tc>
        <w:tc>
          <w:tcPr>
            <w:tcW w:w="1840" w:type="dxa"/>
            <w:vAlign w:val="bottom"/>
          </w:tcPr>
          <w:p>
            <w:pPr>
              <w:jc w:val="center"/>
              <w:ind w:left="59"/>
              <w:spacing w:after="0"/>
              <w:rPr>
                <w:sz w:val="20"/>
                <w:szCs w:val="20"/>
                <w:color w:val="auto"/>
              </w:rPr>
            </w:pPr>
            <w:r>
              <w:rPr>
                <w:rFonts w:ascii="Arial" w:cs="Arial" w:eastAsia="Arial" w:hAnsi="Arial"/>
                <w:sz w:val="18"/>
                <w:szCs w:val="18"/>
                <w:color w:val="auto"/>
                <w:w w:val="99"/>
              </w:rPr>
              <w:t>Remains exercisable</w:t>
            </w:r>
          </w:p>
        </w:tc>
      </w:tr>
      <w:tr>
        <w:trPr>
          <w:trHeight w:val="239"/>
        </w:trPr>
        <w:tc>
          <w:tcPr>
            <w:tcW w:w="2720" w:type="dxa"/>
            <w:vAlign w:val="bottom"/>
          </w:tcPr>
          <w:p>
            <w:pPr>
              <w:spacing w:after="0"/>
              <w:rPr>
                <w:sz w:val="20"/>
                <w:szCs w:val="20"/>
                <w:color w:val="auto"/>
              </w:rPr>
            </w:pPr>
            <w:r>
              <w:rPr>
                <w:rFonts w:ascii="Arial" w:cs="Arial" w:eastAsia="Arial" w:hAnsi="Arial"/>
                <w:sz w:val="18"/>
                <w:szCs w:val="18"/>
                <w:b w:val="1"/>
                <w:bCs w:val="1"/>
                <w:color w:val="auto"/>
              </w:rPr>
              <w:t>of option</w:t>
            </w:r>
          </w:p>
        </w:tc>
        <w:tc>
          <w:tcPr>
            <w:tcW w:w="2680" w:type="dxa"/>
            <w:vAlign w:val="bottom"/>
          </w:tcPr>
          <w:p>
            <w:pPr>
              <w:ind w:left="860"/>
              <w:spacing w:after="0"/>
              <w:rPr>
                <w:sz w:val="20"/>
                <w:szCs w:val="20"/>
                <w:color w:val="auto"/>
              </w:rPr>
            </w:pPr>
            <w:r>
              <w:rPr>
                <w:rFonts w:ascii="Arial" w:cs="Arial" w:eastAsia="Arial" w:hAnsi="Arial"/>
                <w:sz w:val="18"/>
                <w:szCs w:val="18"/>
                <w:color w:val="auto"/>
              </w:rPr>
              <w:t>to end of term</w:t>
            </w:r>
          </w:p>
        </w:tc>
        <w:tc>
          <w:tcPr>
            <w:tcW w:w="2580" w:type="dxa"/>
            <w:vAlign w:val="bottom"/>
          </w:tcPr>
          <w:p>
            <w:pPr>
              <w:ind w:left="120"/>
              <w:spacing w:after="0"/>
              <w:rPr>
                <w:sz w:val="20"/>
                <w:szCs w:val="20"/>
                <w:color w:val="auto"/>
              </w:rPr>
            </w:pPr>
            <w:r>
              <w:rPr>
                <w:rFonts w:ascii="Arial" w:cs="Arial" w:eastAsia="Arial" w:hAnsi="Arial"/>
                <w:sz w:val="18"/>
                <w:szCs w:val="18"/>
                <w:color w:val="auto"/>
              </w:rPr>
              <w:t>to end of term</w:t>
            </w:r>
          </w:p>
        </w:tc>
        <w:tc>
          <w:tcPr>
            <w:tcW w:w="1200" w:type="dxa"/>
            <w:vAlign w:val="bottom"/>
          </w:tcPr>
          <w:p>
            <w:pPr>
              <w:spacing w:after="0"/>
              <w:rPr>
                <w:sz w:val="20"/>
                <w:szCs w:val="20"/>
                <w:color w:val="auto"/>
              </w:rPr>
            </w:pPr>
          </w:p>
        </w:tc>
        <w:tc>
          <w:tcPr>
            <w:tcW w:w="1840" w:type="dxa"/>
            <w:vAlign w:val="bottom"/>
          </w:tcPr>
          <w:p>
            <w:pPr>
              <w:ind w:left="160"/>
              <w:spacing w:after="0"/>
              <w:rPr>
                <w:sz w:val="20"/>
                <w:szCs w:val="20"/>
                <w:color w:val="auto"/>
              </w:rPr>
            </w:pPr>
            <w:r>
              <w:rPr>
                <w:rFonts w:ascii="Arial" w:cs="Arial" w:eastAsia="Arial" w:hAnsi="Arial"/>
                <w:sz w:val="18"/>
                <w:szCs w:val="18"/>
                <w:color w:val="auto"/>
              </w:rPr>
              <w:t>for 30 days</w:t>
            </w:r>
          </w:p>
        </w:tc>
      </w:tr>
    </w:tbl>
    <w:p>
      <w:pPr>
        <w:spacing w:after="0" w:line="121" w:lineRule="exact"/>
        <w:rPr>
          <w:sz w:val="20"/>
          <w:szCs w:val="20"/>
          <w:color w:val="auto"/>
        </w:rPr>
      </w:pPr>
    </w:p>
    <w:p>
      <w:pPr>
        <w:jc w:val="both"/>
        <w:ind w:left="340" w:right="80" w:hanging="224"/>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Retirement eligibility is defined for purposes of equity awards made after 2012 as at least age 55 with 10 or more years of TI service or at least age 65. For awards made before 2013, the definition of normal or early retirement eligibility in the relevant pension plan applies (see “2019 pension benefits”).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This provision is not applicable to grants made after 2012.</w:t>
      </w:r>
    </w:p>
    <w:p>
      <w:pPr>
        <w:spacing w:after="0" w:line="212"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Options may be cancelled if, during the two years after employment termination, the grantee competes with TI or solicits TI employees to work for another company, or if the grantee discloses TI trade secrets. In addition, for options received while the grantee was an executive officer, the company may reclaim (or “claw back”) profits earned under grants if the officer engages in such conduct. These provisions are intended to strengthen retention and provide a reasonable remedy to TI in case of competition, solicitation of our employees or disclosure of our confidential information.</w:t>
      </w:r>
    </w:p>
    <w:p>
      <w:pPr>
        <w:spacing w:after="0" w:line="202" w:lineRule="exact"/>
        <w:rPr>
          <w:sz w:val="20"/>
          <w:szCs w:val="20"/>
          <w:color w:val="auto"/>
        </w:rPr>
      </w:pPr>
    </w:p>
    <w:p>
      <w:pPr>
        <w:ind w:left="120" w:right="280"/>
        <w:spacing w:after="0" w:line="248" w:lineRule="auto"/>
        <w:rPr>
          <w:sz w:val="20"/>
          <w:szCs w:val="20"/>
          <w:color w:val="auto"/>
        </w:rPr>
      </w:pPr>
      <w:r>
        <w:rPr>
          <w:rFonts w:ascii="Arial" w:cs="Arial" w:eastAsia="Arial" w:hAnsi="Arial"/>
          <w:sz w:val="17"/>
          <w:szCs w:val="17"/>
          <w:color w:val="auto"/>
        </w:rPr>
        <w:t>Options granted after 2009 become fully vested if the grantee is involuntarily terminated from employment with TI (other than for cause) within 24 months after a change in control of TI. “Change in control” is defined as provided in the Texas Instruments 2009 Long-Term Incentive Plan and occurs upon (i) acquisition of more than 50 percent of the voting stock or at least 80 percent of the assets of TI or</w:t>
      </w:r>
    </w:p>
    <w:p>
      <w:pPr>
        <w:spacing w:after="0" w:line="2" w:lineRule="exact"/>
        <w:rPr>
          <w:sz w:val="20"/>
          <w:szCs w:val="20"/>
          <w:color w:val="auto"/>
        </w:rPr>
      </w:pPr>
    </w:p>
    <w:p>
      <w:pPr>
        <w:ind w:left="120" w:right="40" w:hanging="4"/>
        <w:spacing w:after="0" w:line="236" w:lineRule="auto"/>
        <w:tabs>
          <w:tab w:leader="none" w:pos="37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change of a majority of the board of directors in a 12-month period unless a majority of the directors then in office endorsed the appointment or election of the new directors (“Plan definition”). These terms are intended to reduce employee uncertainty and distraction in the period leading up to a change in control, if such an event were to occur. For options granted before 2010, the stock option terms provide that upon a change in control of TI, the option becomes fully vested to the extent it is then outstanding; and if employment termination (except for cause) has occurred within 30 days before the change in control, the change in control is deemed to have occurred first. “Change in control” is defined in these pre-2010 options as (i) acquisition of 20 percent of TI common stock other than through a transaction approved by the board of directors, or (ii) change of a majority of the board of directors in a 24-month period unless a majority of the directors then in office have elected or nominated the new directors (together, the “pre-2010 definition”).</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Stock awards</w:t>
      </w:r>
    </w:p>
    <w:p>
      <w:pPr>
        <w:spacing w:after="0" w:line="212"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The “Stock Awards” column in the table of outstanding equity awards at fiscal year-end 2019 are RSU awards. Each RSU represents the right to receive one share of TI common stock on a stated date (the “vesting date”) unless the award is terminated earlier under terms summarized below. In general, the vesting date is approximately four years after the grant date. Each RSU includes the right to receive dividend equivalents, which are paid annually in cash at a rate equal to the amount paid to stockholders in dividends.</w:t>
      </w:r>
    </w:p>
    <w:p>
      <w:pPr>
        <w:spacing w:after="0" w:line="132" w:lineRule="exact"/>
        <w:rPr>
          <w:sz w:val="20"/>
          <w:szCs w:val="20"/>
          <w:color w:val="auto"/>
        </w:rPr>
      </w:pPr>
    </w:p>
    <w:tbl>
      <w:tblPr>
        <w:tblLayout w:type="fixed"/>
        <w:tblInd w:w="4040" w:type="dxa"/>
        <w:tblCellMar>
          <w:top w:w="0" w:type="dxa"/>
          <w:left w:w="0" w:type="dxa"/>
          <w:bottom w:w="0" w:type="dxa"/>
          <w:right w:w="0" w:type="dxa"/>
        </w:tblCellMar>
      </w:tblPr>
      <w:tr>
        <w:trPr>
          <w:trHeight w:val="152"/>
        </w:trPr>
        <w:tc>
          <w:tcPr>
            <w:tcW w:w="5080" w:type="dxa"/>
            <w:vAlign w:val="bottom"/>
          </w:tcPr>
          <w:p>
            <w:pPr>
              <w:spacing w:after="0"/>
              <w:rPr>
                <w:sz w:val="20"/>
                <w:szCs w:val="20"/>
                <w:color w:val="auto"/>
              </w:rPr>
            </w:pPr>
            <w:r>
              <w:rPr>
                <w:rFonts w:ascii="Arial" w:cs="Arial" w:eastAsia="Arial" w:hAnsi="Arial"/>
                <w:sz w:val="13"/>
                <w:szCs w:val="13"/>
                <w:color w:val="666666"/>
              </w:rPr>
              <w:t>TEXAS INSTRUMENTS  •  2020 PROXY STATEMENT</w:t>
            </w:r>
          </w:p>
        </w:tc>
        <w:tc>
          <w:tcPr>
            <w:tcW w:w="2000" w:type="dxa"/>
            <w:vAlign w:val="bottom"/>
          </w:tcPr>
          <w:p>
            <w:pPr>
              <w:jc w:val="right"/>
              <w:spacing w:after="0"/>
              <w:rPr>
                <w:sz w:val="20"/>
                <w:szCs w:val="20"/>
                <w:color w:val="auto"/>
              </w:rPr>
            </w:pPr>
            <w:r>
              <w:rPr>
                <w:rFonts w:ascii="Arial" w:cs="Arial" w:eastAsia="Arial" w:hAnsi="Arial"/>
                <w:sz w:val="13"/>
                <w:szCs w:val="13"/>
                <w:color w:val="666666"/>
              </w:rPr>
              <w:t>35</w:t>
            </w:r>
          </w:p>
        </w:tc>
      </w:tr>
    </w:tbl>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shows the termination provisions of RSUs outstanding as of December 31, 2019.</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280" w:type="dxa"/>
            <w:vAlign w:val="bottom"/>
          </w:tcPr>
          <w:p>
            <w:pPr>
              <w:jc w:val="center"/>
              <w:ind w:right="522"/>
              <w:spacing w:after="0"/>
              <w:rPr>
                <w:sz w:val="20"/>
                <w:szCs w:val="20"/>
                <w:color w:val="auto"/>
              </w:rPr>
            </w:pPr>
            <w:r>
              <w:rPr>
                <w:rFonts w:ascii="Arial" w:cs="Arial" w:eastAsia="Arial" w:hAnsi="Arial"/>
                <w:sz w:val="14"/>
                <w:szCs w:val="14"/>
                <w:b w:val="1"/>
                <w:bCs w:val="1"/>
                <w:color w:val="auto"/>
              </w:rPr>
              <w:t>Employment Termination</w:t>
            </w:r>
          </w:p>
        </w:tc>
        <w:tc>
          <w:tcPr>
            <w:tcW w:w="3540" w:type="dxa"/>
            <w:vAlign w:val="bottom"/>
          </w:tcPr>
          <w:p>
            <w:pPr>
              <w:spacing w:after="0"/>
              <w:rPr>
                <w:sz w:val="14"/>
                <w:szCs w:val="14"/>
                <w:color w:val="auto"/>
              </w:rPr>
            </w:pPr>
          </w:p>
        </w:tc>
        <w:tc>
          <w:tcPr>
            <w:tcW w:w="3200" w:type="dxa"/>
            <w:vAlign w:val="bottom"/>
          </w:tcPr>
          <w:p>
            <w:pPr>
              <w:spacing w:after="0"/>
              <w:rPr>
                <w:sz w:val="14"/>
                <w:szCs w:val="14"/>
                <w:color w:val="auto"/>
              </w:rPr>
            </w:pPr>
          </w:p>
        </w:tc>
      </w:tr>
      <w:tr>
        <w:trPr>
          <w:trHeight w:val="162"/>
        </w:trPr>
        <w:tc>
          <w:tcPr>
            <w:tcW w:w="4280" w:type="dxa"/>
            <w:vAlign w:val="bottom"/>
          </w:tcPr>
          <w:p>
            <w:pPr>
              <w:jc w:val="center"/>
              <w:ind w:right="542"/>
              <w:spacing w:after="0"/>
              <w:rPr>
                <w:sz w:val="20"/>
                <w:szCs w:val="20"/>
                <w:color w:val="auto"/>
              </w:rPr>
            </w:pPr>
            <w:r>
              <w:rPr>
                <w:rFonts w:ascii="Arial" w:cs="Arial" w:eastAsia="Arial" w:hAnsi="Arial"/>
                <w:sz w:val="14"/>
                <w:szCs w:val="14"/>
                <w:b w:val="1"/>
                <w:bCs w:val="1"/>
                <w:color w:val="auto"/>
              </w:rPr>
              <w:t>Due to Death or Permanent Disability</w:t>
            </w:r>
          </w:p>
        </w:tc>
        <w:tc>
          <w:tcPr>
            <w:tcW w:w="3540" w:type="dxa"/>
            <w:vAlign w:val="bottom"/>
          </w:tcPr>
          <w:p>
            <w:pPr>
              <w:spacing w:after="0"/>
              <w:rPr>
                <w:sz w:val="14"/>
                <w:szCs w:val="14"/>
                <w:color w:val="auto"/>
              </w:rPr>
            </w:pPr>
          </w:p>
        </w:tc>
        <w:tc>
          <w:tcPr>
            <w:tcW w:w="3200" w:type="dxa"/>
            <w:vAlign w:val="bottom"/>
          </w:tcPr>
          <w:p>
            <w:pPr>
              <w:spacing w:after="0"/>
              <w:rPr>
                <w:sz w:val="14"/>
                <w:szCs w:val="14"/>
                <w:color w:val="auto"/>
              </w:rPr>
            </w:pPr>
          </w:p>
        </w:tc>
      </w:tr>
      <w:tr>
        <w:trPr>
          <w:trHeight w:val="162"/>
        </w:trPr>
        <w:tc>
          <w:tcPr>
            <w:tcW w:w="4280" w:type="dxa"/>
            <w:vAlign w:val="bottom"/>
          </w:tcPr>
          <w:p>
            <w:pPr>
              <w:jc w:val="center"/>
              <w:ind w:right="542"/>
              <w:spacing w:after="0"/>
              <w:rPr>
                <w:sz w:val="20"/>
                <w:szCs w:val="20"/>
                <w:color w:val="auto"/>
              </w:rPr>
            </w:pPr>
            <w:r>
              <w:rPr>
                <w:rFonts w:ascii="Arial" w:cs="Arial" w:eastAsia="Arial" w:hAnsi="Arial"/>
                <w:sz w:val="14"/>
                <w:szCs w:val="14"/>
                <w:b w:val="1"/>
                <w:bCs w:val="1"/>
                <w:color w:val="auto"/>
              </w:rPr>
              <w:t>or at Least 6 Months after Grant</w:t>
            </w:r>
          </w:p>
        </w:tc>
        <w:tc>
          <w:tcPr>
            <w:tcW w:w="3540" w:type="dxa"/>
            <w:vAlign w:val="bottom"/>
          </w:tcPr>
          <w:p>
            <w:pPr>
              <w:jc w:val="center"/>
              <w:ind w:left="139"/>
              <w:spacing w:after="0"/>
              <w:rPr>
                <w:sz w:val="20"/>
                <w:szCs w:val="20"/>
                <w:color w:val="auto"/>
              </w:rPr>
            </w:pPr>
            <w:r>
              <w:rPr>
                <w:rFonts w:ascii="Arial" w:cs="Arial" w:eastAsia="Arial" w:hAnsi="Arial"/>
                <w:sz w:val="14"/>
                <w:szCs w:val="14"/>
                <w:b w:val="1"/>
                <w:bCs w:val="1"/>
                <w:color w:val="auto"/>
              </w:rPr>
              <w:t>Employment Termination</w:t>
            </w:r>
          </w:p>
        </w:tc>
        <w:tc>
          <w:tcPr>
            <w:tcW w:w="3200" w:type="dxa"/>
            <w:vAlign w:val="bottom"/>
          </w:tcPr>
          <w:p>
            <w:pPr>
              <w:ind w:left="860"/>
              <w:spacing w:after="0"/>
              <w:rPr>
                <w:sz w:val="20"/>
                <w:szCs w:val="20"/>
                <w:color w:val="auto"/>
              </w:rPr>
            </w:pPr>
            <w:r>
              <w:rPr>
                <w:rFonts w:ascii="Arial" w:cs="Arial" w:eastAsia="Arial" w:hAnsi="Arial"/>
                <w:sz w:val="14"/>
                <w:szCs w:val="14"/>
                <w:b w:val="1"/>
                <w:bCs w:val="1"/>
                <w:color w:val="auto"/>
              </w:rPr>
              <w:t>Other Circumstances of</w:t>
            </w:r>
          </w:p>
        </w:tc>
      </w:tr>
      <w:tr>
        <w:trPr>
          <w:trHeight w:val="189"/>
        </w:trPr>
        <w:tc>
          <w:tcPr>
            <w:tcW w:w="4280" w:type="dxa"/>
            <w:vAlign w:val="bottom"/>
            <w:tcBorders>
              <w:bottom w:val="single" w:sz="8" w:color="auto"/>
            </w:tcBorders>
          </w:tcPr>
          <w:p>
            <w:pPr>
              <w:jc w:val="center"/>
              <w:ind w:right="542"/>
              <w:spacing w:after="0"/>
              <w:rPr>
                <w:sz w:val="20"/>
                <w:szCs w:val="20"/>
                <w:color w:val="auto"/>
              </w:rPr>
            </w:pPr>
            <w:r>
              <w:rPr>
                <w:rFonts w:ascii="Arial" w:cs="Arial" w:eastAsia="Arial" w:hAnsi="Arial"/>
                <w:sz w:val="14"/>
                <w:szCs w:val="14"/>
                <w:b w:val="1"/>
                <w:bCs w:val="1"/>
                <w:color w:val="auto"/>
              </w:rPr>
              <w:t>When Retirement Eligible</w:t>
            </w:r>
          </w:p>
        </w:tc>
        <w:tc>
          <w:tcPr>
            <w:tcW w:w="3540" w:type="dxa"/>
            <w:vAlign w:val="bottom"/>
            <w:tcBorders>
              <w:bottom w:val="single" w:sz="8" w:color="auto"/>
            </w:tcBorders>
          </w:tcPr>
          <w:p>
            <w:pPr>
              <w:jc w:val="center"/>
              <w:ind w:left="119"/>
              <w:spacing w:after="0"/>
              <w:rPr>
                <w:sz w:val="20"/>
                <w:szCs w:val="20"/>
                <w:color w:val="auto"/>
              </w:rPr>
            </w:pPr>
            <w:r>
              <w:rPr>
                <w:rFonts w:ascii="Arial" w:cs="Arial" w:eastAsia="Arial" w:hAnsi="Arial"/>
                <w:sz w:val="14"/>
                <w:szCs w:val="14"/>
                <w:b w:val="1"/>
                <w:bCs w:val="1"/>
                <w:color w:val="auto"/>
              </w:rPr>
              <w:t>For Cause</w:t>
            </w:r>
          </w:p>
        </w:tc>
        <w:tc>
          <w:tcPr>
            <w:tcW w:w="320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Employment Termination</w:t>
            </w:r>
          </w:p>
        </w:tc>
      </w:tr>
      <w:tr>
        <w:trPr>
          <w:trHeight w:val="195"/>
        </w:trPr>
        <w:tc>
          <w:tcPr>
            <w:tcW w:w="4280" w:type="dxa"/>
            <w:vAlign w:val="bottom"/>
          </w:tcPr>
          <w:p>
            <w:pPr>
              <w:spacing w:after="0" w:line="195" w:lineRule="exact"/>
              <w:rPr>
                <w:sz w:val="20"/>
                <w:szCs w:val="20"/>
                <w:color w:val="auto"/>
              </w:rPr>
            </w:pPr>
            <w:r>
              <w:rPr>
                <w:rFonts w:ascii="Arial" w:cs="Arial" w:eastAsia="Arial" w:hAnsi="Arial"/>
                <w:sz w:val="18"/>
                <w:szCs w:val="18"/>
                <w:color w:val="auto"/>
              </w:rPr>
              <w:t>Vesting continues; shares are paid at the</w:t>
            </w:r>
          </w:p>
        </w:tc>
        <w:tc>
          <w:tcPr>
            <w:tcW w:w="3540" w:type="dxa"/>
            <w:vAlign w:val="bottom"/>
          </w:tcPr>
          <w:p>
            <w:pPr>
              <w:jc w:val="center"/>
              <w:ind w:left="119"/>
              <w:spacing w:after="0" w:line="195" w:lineRule="exact"/>
              <w:rPr>
                <w:sz w:val="20"/>
                <w:szCs w:val="20"/>
                <w:color w:val="auto"/>
              </w:rPr>
            </w:pPr>
            <w:r>
              <w:rPr>
                <w:rFonts w:ascii="Arial" w:cs="Arial" w:eastAsia="Arial" w:hAnsi="Arial"/>
                <w:sz w:val="18"/>
                <w:szCs w:val="18"/>
                <w:color w:val="auto"/>
              </w:rPr>
              <w:t>Grant cancels; no</w:t>
            </w:r>
          </w:p>
        </w:tc>
        <w:tc>
          <w:tcPr>
            <w:tcW w:w="3200" w:type="dxa"/>
            <w:vAlign w:val="bottom"/>
          </w:tcPr>
          <w:p>
            <w:pPr>
              <w:ind w:left="820"/>
              <w:spacing w:after="0" w:line="195" w:lineRule="exact"/>
              <w:rPr>
                <w:sz w:val="20"/>
                <w:szCs w:val="20"/>
                <w:color w:val="auto"/>
              </w:rPr>
            </w:pPr>
            <w:r>
              <w:rPr>
                <w:rFonts w:ascii="Arial" w:cs="Arial" w:eastAsia="Arial" w:hAnsi="Arial"/>
                <w:sz w:val="18"/>
                <w:szCs w:val="18"/>
                <w:color w:val="auto"/>
              </w:rPr>
              <w:t>Grant cancels; no</w:t>
            </w:r>
          </w:p>
        </w:tc>
      </w:tr>
      <w:tr>
        <w:trPr>
          <w:trHeight w:val="217"/>
        </w:trPr>
        <w:tc>
          <w:tcPr>
            <w:tcW w:w="4280" w:type="dxa"/>
            <w:vAlign w:val="bottom"/>
          </w:tcPr>
          <w:p>
            <w:pPr>
              <w:spacing w:after="0"/>
              <w:rPr>
                <w:sz w:val="20"/>
                <w:szCs w:val="20"/>
                <w:color w:val="auto"/>
              </w:rPr>
            </w:pPr>
            <w:r>
              <w:rPr>
                <w:rFonts w:ascii="Arial" w:cs="Arial" w:eastAsia="Arial" w:hAnsi="Arial"/>
                <w:sz w:val="18"/>
                <w:szCs w:val="18"/>
                <w:color w:val="auto"/>
              </w:rPr>
              <w:t>scheduled vesting date</w:t>
            </w:r>
          </w:p>
        </w:tc>
        <w:tc>
          <w:tcPr>
            <w:tcW w:w="3540" w:type="dxa"/>
            <w:vAlign w:val="bottom"/>
          </w:tcPr>
          <w:p>
            <w:pPr>
              <w:jc w:val="center"/>
              <w:ind w:left="119"/>
              <w:spacing w:after="0"/>
              <w:rPr>
                <w:sz w:val="20"/>
                <w:szCs w:val="20"/>
                <w:color w:val="auto"/>
              </w:rPr>
            </w:pPr>
            <w:r>
              <w:rPr>
                <w:rFonts w:ascii="Arial" w:cs="Arial" w:eastAsia="Arial" w:hAnsi="Arial"/>
                <w:sz w:val="18"/>
                <w:szCs w:val="18"/>
                <w:color w:val="auto"/>
                <w:w w:val="99"/>
              </w:rPr>
              <w:t>shares are issued</w:t>
            </w:r>
          </w:p>
        </w:tc>
        <w:tc>
          <w:tcPr>
            <w:tcW w:w="3200" w:type="dxa"/>
            <w:vAlign w:val="bottom"/>
          </w:tcPr>
          <w:p>
            <w:pPr>
              <w:ind w:left="820"/>
              <w:spacing w:after="0"/>
              <w:rPr>
                <w:sz w:val="20"/>
                <w:szCs w:val="20"/>
                <w:color w:val="auto"/>
              </w:rPr>
            </w:pPr>
            <w:r>
              <w:rPr>
                <w:rFonts w:ascii="Arial" w:cs="Arial" w:eastAsia="Arial" w:hAnsi="Arial"/>
                <w:sz w:val="18"/>
                <w:szCs w:val="18"/>
                <w:color w:val="auto"/>
              </w:rPr>
              <w:t>shares are issued</w:t>
            </w:r>
          </w:p>
        </w:tc>
      </w:tr>
    </w:tbl>
    <w:p>
      <w:pPr>
        <w:spacing w:after="0" w:line="215"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These termination provisions are intended to promote retention. All RSU awards contain cancellation and clawback provisions like those described above for stock options. The terms provide that, to the extent permitted by Section 409A of the IRC, the award vests upon involuntary termination of TI employment within 24 months after a change in control. Change in control is the Plan definition. These cancellation, clawback and change-in-control terms are intended to conform RSU terms with those of stock options (to the extent permitted by the IRC) and to achieve the objectives described above in the discussion of stock options.</w:t>
      </w:r>
    </w:p>
    <w:p>
      <w:pPr>
        <w:spacing w:after="0" w:line="202"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In addition to the “Stock Awards” shown in the outstanding equity awards at fiscal year-end 2019 table, Mr. Templeton holds an award of RSUs that was granted in 1995. The award, for 120,000 shares of TI common stock, vested in 2000. Under the award terms, the shares will be issued to Mr. Templeton in March of the year after his termination of employment for any reason. These terms were designed to provide a tax benefit to the company by postponing the related compensation expense until it was likely to be fully deductible. In accordance with SEC requirements, this award is reflected in the 2019 non-qualified deferred compensation table.</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2019 option exercises and stock vested</w:t>
      </w:r>
    </w:p>
    <w:p>
      <w:pPr>
        <w:spacing w:after="0" w:line="229"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The following table lists the number of shares acquired and the value realized as a result of option exercises by the named executive officers in 2019 and the value of any RSUs that vested in 2019. For option exercises, the value realized is calculated by multiplying the number of shares acquired by the difference between the exercise price and the market price of TI common stock on the exercise date. For RSUs, the value realized is calculated by multiplying the number of RSUs that vested by the market price of TI common stock on the vesting date.</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1900" w:type="dxa"/>
            <w:vAlign w:val="bottom"/>
            <w:tcBorders>
              <w:bottom w:val="single" w:sz="8" w:color="auto"/>
            </w:tcBorders>
            <w:gridSpan w:val="2"/>
          </w:tcPr>
          <w:p>
            <w:pPr>
              <w:ind w:left="860"/>
              <w:spacing w:after="0"/>
              <w:rPr>
                <w:sz w:val="20"/>
                <w:szCs w:val="20"/>
                <w:color w:val="auto"/>
              </w:rPr>
            </w:pPr>
            <w:r>
              <w:rPr>
                <w:rFonts w:ascii="Arial" w:cs="Arial" w:eastAsia="Arial" w:hAnsi="Arial"/>
                <w:sz w:val="14"/>
                <w:szCs w:val="14"/>
                <w:b w:val="1"/>
                <w:bCs w:val="1"/>
                <w:color w:val="auto"/>
              </w:rPr>
              <w:t>Option Awards</w:t>
            </w:r>
          </w:p>
        </w:tc>
        <w:tc>
          <w:tcPr>
            <w:tcW w:w="82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1840" w:type="dxa"/>
            <w:vAlign w:val="bottom"/>
            <w:tcBorders>
              <w:bottom w:val="single" w:sz="8" w:color="auto"/>
            </w:tcBorders>
            <w:gridSpan w:val="2"/>
          </w:tcPr>
          <w:p>
            <w:pPr>
              <w:ind w:left="860"/>
              <w:spacing w:after="0"/>
              <w:rPr>
                <w:sz w:val="20"/>
                <w:szCs w:val="20"/>
                <w:color w:val="auto"/>
              </w:rPr>
            </w:pPr>
            <w:r>
              <w:rPr>
                <w:rFonts w:ascii="Arial" w:cs="Arial" w:eastAsia="Arial" w:hAnsi="Arial"/>
                <w:sz w:val="14"/>
                <w:szCs w:val="14"/>
                <w:b w:val="1"/>
                <w:bCs w:val="1"/>
                <w:color w:val="auto"/>
              </w:rPr>
              <w:t>Stock Awards</w:t>
            </w:r>
          </w:p>
        </w:tc>
        <w:tc>
          <w:tcPr>
            <w:tcW w:w="8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5080" w:type="dxa"/>
            <w:vAlign w:val="bottom"/>
          </w:tcPr>
          <w:p>
            <w:pPr>
              <w:spacing w:after="0"/>
              <w:rPr>
                <w:sz w:val="12"/>
                <w:szCs w:val="12"/>
                <w:color w:val="auto"/>
              </w:rPr>
            </w:pPr>
          </w:p>
        </w:tc>
        <w:tc>
          <w:tcPr>
            <w:tcW w:w="1400" w:type="dxa"/>
            <w:vAlign w:val="bottom"/>
          </w:tcPr>
          <w:p>
            <w:pPr>
              <w:jc w:val="center"/>
              <w:ind w:right="158"/>
              <w:spacing w:after="0" w:line="143" w:lineRule="exact"/>
              <w:rPr>
                <w:sz w:val="20"/>
                <w:szCs w:val="20"/>
                <w:color w:val="auto"/>
              </w:rPr>
            </w:pPr>
            <w:r>
              <w:rPr>
                <w:rFonts w:ascii="Arial" w:cs="Arial" w:eastAsia="Arial" w:hAnsi="Arial"/>
                <w:sz w:val="14"/>
                <w:szCs w:val="14"/>
                <w:b w:val="1"/>
                <w:bCs w:val="1"/>
                <w:color w:val="auto"/>
              </w:rPr>
              <w:t>Number of</w:t>
            </w: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tcPr>
          <w:p>
            <w:pPr>
              <w:jc w:val="center"/>
              <w:ind w:right="158"/>
              <w:spacing w:after="0" w:line="143" w:lineRule="exact"/>
              <w:rPr>
                <w:sz w:val="20"/>
                <w:szCs w:val="20"/>
                <w:color w:val="auto"/>
              </w:rPr>
            </w:pPr>
            <w:r>
              <w:rPr>
                <w:rFonts w:ascii="Arial" w:cs="Arial" w:eastAsia="Arial" w:hAnsi="Arial"/>
                <w:sz w:val="14"/>
                <w:szCs w:val="14"/>
                <w:b w:val="1"/>
                <w:bCs w:val="1"/>
                <w:color w:val="auto"/>
              </w:rPr>
              <w:t>Number of</w:t>
            </w: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5080" w:type="dxa"/>
            <w:vAlign w:val="bottom"/>
          </w:tcPr>
          <w:p>
            <w:pPr>
              <w:spacing w:after="0"/>
              <w:rPr>
                <w:sz w:val="14"/>
                <w:szCs w:val="14"/>
                <w:color w:val="auto"/>
              </w:rPr>
            </w:pPr>
          </w:p>
        </w:tc>
        <w:tc>
          <w:tcPr>
            <w:tcW w:w="1400" w:type="dxa"/>
            <w:vAlign w:val="bottom"/>
          </w:tcPr>
          <w:p>
            <w:pPr>
              <w:jc w:val="center"/>
              <w:ind w:right="158"/>
              <w:spacing w:after="0"/>
              <w:rPr>
                <w:sz w:val="20"/>
                <w:szCs w:val="20"/>
                <w:color w:val="auto"/>
              </w:rPr>
            </w:pPr>
            <w:r>
              <w:rPr>
                <w:rFonts w:ascii="Arial" w:cs="Arial" w:eastAsia="Arial" w:hAnsi="Arial"/>
                <w:sz w:val="14"/>
                <w:szCs w:val="14"/>
                <w:b w:val="1"/>
                <w:bCs w:val="1"/>
                <w:color w:val="auto"/>
              </w:rPr>
              <w:t>Shares Acquired</w:t>
            </w:r>
          </w:p>
        </w:tc>
        <w:tc>
          <w:tcPr>
            <w:tcW w:w="1820" w:type="dxa"/>
            <w:vAlign w:val="bottom"/>
            <w:gridSpan w:val="3"/>
          </w:tcPr>
          <w:p>
            <w:pPr>
              <w:ind w:left="280"/>
              <w:spacing w:after="0"/>
              <w:rPr>
                <w:sz w:val="20"/>
                <w:szCs w:val="20"/>
                <w:color w:val="auto"/>
              </w:rPr>
            </w:pPr>
            <w:r>
              <w:rPr>
                <w:rFonts w:ascii="Arial" w:cs="Arial" w:eastAsia="Arial" w:hAnsi="Arial"/>
                <w:sz w:val="14"/>
                <w:szCs w:val="14"/>
                <w:b w:val="1"/>
                <w:bCs w:val="1"/>
                <w:color w:val="auto"/>
              </w:rPr>
              <w:t>Value Realized</w:t>
            </w:r>
          </w:p>
        </w:tc>
        <w:tc>
          <w:tcPr>
            <w:tcW w:w="1400" w:type="dxa"/>
            <w:vAlign w:val="bottom"/>
          </w:tcPr>
          <w:p>
            <w:pPr>
              <w:jc w:val="center"/>
              <w:ind w:right="178"/>
              <w:spacing w:after="0"/>
              <w:rPr>
                <w:sz w:val="20"/>
                <w:szCs w:val="20"/>
                <w:color w:val="auto"/>
              </w:rPr>
            </w:pPr>
            <w:r>
              <w:rPr>
                <w:rFonts w:ascii="Arial" w:cs="Arial" w:eastAsia="Arial" w:hAnsi="Arial"/>
                <w:sz w:val="14"/>
                <w:szCs w:val="14"/>
                <w:b w:val="1"/>
                <w:bCs w:val="1"/>
                <w:color w:val="auto"/>
              </w:rPr>
              <w:t>Shares Acquired</w:t>
            </w:r>
          </w:p>
        </w:tc>
        <w:tc>
          <w:tcPr>
            <w:tcW w:w="1320" w:type="dxa"/>
            <w:vAlign w:val="bottom"/>
            <w:gridSpan w:val="3"/>
          </w:tcPr>
          <w:p>
            <w:pPr>
              <w:ind w:left="260"/>
              <w:spacing w:after="0"/>
              <w:rPr>
                <w:sz w:val="20"/>
                <w:szCs w:val="20"/>
                <w:color w:val="auto"/>
              </w:rPr>
            </w:pPr>
            <w:r>
              <w:rPr>
                <w:rFonts w:ascii="Arial" w:cs="Arial" w:eastAsia="Arial" w:hAnsi="Arial"/>
                <w:sz w:val="14"/>
                <w:szCs w:val="14"/>
                <w:b w:val="1"/>
                <w:bCs w:val="1"/>
                <w:color w:val="auto"/>
              </w:rPr>
              <w:t>Value Realized</w:t>
            </w:r>
          </w:p>
        </w:tc>
      </w:tr>
      <w:tr>
        <w:trPr>
          <w:trHeight w:val="175"/>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40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rPr>
              <w:t>on Exercise (#)</w:t>
            </w:r>
          </w:p>
        </w:tc>
        <w:tc>
          <w:tcPr>
            <w:tcW w:w="18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on Exercise ($)</w:t>
            </w:r>
          </w:p>
        </w:tc>
        <w:tc>
          <w:tcPr>
            <w:tcW w:w="14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rPr>
              <w:t>on Vesting (#)</w:t>
            </w:r>
          </w:p>
        </w:tc>
        <w:tc>
          <w:tcPr>
            <w:tcW w:w="13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on Vesting ($)</w:t>
            </w:r>
          </w:p>
        </w:tc>
      </w:tr>
      <w:tr>
        <w:trPr>
          <w:trHeight w:val="196"/>
        </w:trPr>
        <w:tc>
          <w:tcPr>
            <w:tcW w:w="508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R. K. Templeton</w:t>
            </w:r>
          </w:p>
        </w:tc>
        <w:tc>
          <w:tcPr>
            <w:tcW w:w="1400" w:type="dxa"/>
            <w:vAlign w:val="bottom"/>
            <w:shd w:val="clear" w:color="auto" w:fill="E5E5E5"/>
          </w:tcPr>
          <w:p>
            <w:pPr>
              <w:jc w:val="right"/>
              <w:ind w:right="158"/>
              <w:spacing w:after="0" w:line="196" w:lineRule="exact"/>
              <w:rPr>
                <w:sz w:val="20"/>
                <w:szCs w:val="20"/>
                <w:color w:val="auto"/>
              </w:rPr>
            </w:pPr>
            <w:r>
              <w:rPr>
                <w:rFonts w:ascii="Arial" w:cs="Arial" w:eastAsia="Arial" w:hAnsi="Arial"/>
                <w:sz w:val="18"/>
                <w:szCs w:val="18"/>
                <w:color w:val="auto"/>
              </w:rPr>
              <w:t>475,00</w:t>
            </w:r>
          </w:p>
        </w:tc>
        <w:tc>
          <w:tcPr>
            <w:tcW w:w="1820" w:type="dxa"/>
            <w:vAlign w:val="bottom"/>
            <w:gridSpan w:val="3"/>
            <w:shd w:val="clear" w:color="auto" w:fill="E5E5E5"/>
          </w:tcPr>
          <w:p>
            <w:pPr>
              <w:jc w:val="right"/>
              <w:ind w:right="500"/>
              <w:spacing w:after="0" w:line="196" w:lineRule="exact"/>
              <w:rPr>
                <w:sz w:val="20"/>
                <w:szCs w:val="20"/>
                <w:color w:val="auto"/>
              </w:rPr>
            </w:pPr>
            <w:r>
              <w:rPr>
                <w:rFonts w:ascii="Arial" w:cs="Arial" w:eastAsia="Arial" w:hAnsi="Arial"/>
                <w:sz w:val="18"/>
                <w:szCs w:val="18"/>
                <w:color w:val="auto"/>
              </w:rPr>
              <w:t>$ 40,318,250</w:t>
            </w:r>
          </w:p>
        </w:tc>
        <w:tc>
          <w:tcPr>
            <w:tcW w:w="1400" w:type="dxa"/>
            <w:vAlign w:val="bottom"/>
            <w:shd w:val="clear" w:color="auto" w:fill="E5E5E5"/>
          </w:tcPr>
          <w:p>
            <w:pPr>
              <w:jc w:val="right"/>
              <w:ind w:right="178"/>
              <w:spacing w:after="0" w:line="196" w:lineRule="exact"/>
              <w:rPr>
                <w:sz w:val="20"/>
                <w:szCs w:val="20"/>
                <w:color w:val="auto"/>
              </w:rPr>
            </w:pPr>
            <w:r>
              <w:rPr>
                <w:rFonts w:ascii="Arial" w:cs="Arial" w:eastAsia="Arial" w:hAnsi="Arial"/>
                <w:sz w:val="18"/>
                <w:szCs w:val="18"/>
                <w:color w:val="auto"/>
              </w:rPr>
              <w:t>90,842</w:t>
            </w:r>
          </w:p>
        </w:tc>
        <w:tc>
          <w:tcPr>
            <w:tcW w:w="440" w:type="dxa"/>
            <w:vAlign w:val="bottom"/>
            <w:shd w:val="clear" w:color="auto" w:fill="E5E5E5"/>
          </w:tcPr>
          <w:p>
            <w:pPr>
              <w:ind w:left="240"/>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60"/>
              <w:spacing w:after="0" w:line="196" w:lineRule="exact"/>
              <w:rPr>
                <w:sz w:val="20"/>
                <w:szCs w:val="20"/>
                <w:color w:val="auto"/>
              </w:rPr>
            </w:pPr>
            <w:r>
              <w:rPr>
                <w:rFonts w:ascii="Arial" w:cs="Arial" w:eastAsia="Arial" w:hAnsi="Arial"/>
                <w:sz w:val="18"/>
                <w:szCs w:val="18"/>
                <w:color w:val="auto"/>
                <w:w w:val="99"/>
              </w:rPr>
              <w:t>9,278,602</w:t>
            </w: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R. R. Lizardi</w:t>
            </w:r>
          </w:p>
        </w:tc>
        <w:tc>
          <w:tcPr>
            <w:tcW w:w="1400" w:type="dxa"/>
            <w:vAlign w:val="bottom"/>
          </w:tcPr>
          <w:p>
            <w:pPr>
              <w:jc w:val="right"/>
              <w:ind w:right="158"/>
              <w:spacing w:after="0" w:line="202" w:lineRule="exact"/>
              <w:rPr>
                <w:sz w:val="20"/>
                <w:szCs w:val="20"/>
                <w:color w:val="auto"/>
              </w:rPr>
            </w:pPr>
            <w:r>
              <w:rPr>
                <w:rFonts w:ascii="Arial" w:cs="Arial" w:eastAsia="Arial" w:hAnsi="Arial"/>
                <w:sz w:val="18"/>
                <w:szCs w:val="18"/>
                <w:color w:val="auto"/>
              </w:rPr>
              <w:t>104,198</w:t>
            </w:r>
          </w:p>
        </w:tc>
        <w:tc>
          <w:tcPr>
            <w:tcW w:w="50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w w:val="99"/>
              </w:rPr>
              <w:t>6,965,165</w:t>
            </w:r>
          </w:p>
        </w:tc>
        <w:tc>
          <w:tcPr>
            <w:tcW w:w="1400" w:type="dxa"/>
            <w:vAlign w:val="bottom"/>
          </w:tcPr>
          <w:p>
            <w:pPr>
              <w:jc w:val="right"/>
              <w:ind w:right="178"/>
              <w:spacing w:after="0" w:line="202" w:lineRule="exact"/>
              <w:rPr>
                <w:sz w:val="20"/>
                <w:szCs w:val="20"/>
                <w:color w:val="auto"/>
              </w:rPr>
            </w:pPr>
            <w:r>
              <w:rPr>
                <w:rFonts w:ascii="Arial" w:cs="Arial" w:eastAsia="Arial" w:hAnsi="Arial"/>
                <w:sz w:val="18"/>
                <w:szCs w:val="18"/>
                <w:color w:val="auto"/>
              </w:rPr>
              <w:t>4,172</w:t>
            </w:r>
          </w:p>
        </w:tc>
        <w:tc>
          <w:tcPr>
            <w:tcW w:w="44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426,128</w:t>
            </w:r>
          </w:p>
        </w:tc>
      </w:tr>
      <w:tr>
        <w:trPr>
          <w:trHeight w:val="203"/>
        </w:trPr>
        <w:tc>
          <w:tcPr>
            <w:tcW w:w="50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 Anderskouv</w:t>
            </w:r>
          </w:p>
        </w:tc>
        <w:tc>
          <w:tcPr>
            <w:tcW w:w="1400" w:type="dxa"/>
            <w:vAlign w:val="bottom"/>
            <w:shd w:val="clear" w:color="auto" w:fill="E5E5E5"/>
          </w:tcPr>
          <w:p>
            <w:pPr>
              <w:jc w:val="right"/>
              <w:ind w:right="158"/>
              <w:spacing w:after="0" w:line="202" w:lineRule="exact"/>
              <w:rPr>
                <w:sz w:val="20"/>
                <w:szCs w:val="20"/>
                <w:color w:val="auto"/>
              </w:rPr>
            </w:pPr>
            <w:r>
              <w:rPr>
                <w:rFonts w:ascii="Arial" w:cs="Arial" w:eastAsia="Arial" w:hAnsi="Arial"/>
                <w:sz w:val="18"/>
                <w:szCs w:val="18"/>
                <w:color w:val="auto"/>
              </w:rPr>
              <w:t>117,234</w:t>
            </w:r>
          </w:p>
        </w:tc>
        <w:tc>
          <w:tcPr>
            <w:tcW w:w="500" w:type="dxa"/>
            <w:vAlign w:val="bottom"/>
            <w:shd w:val="clear" w:color="auto" w:fill="E5E5E5"/>
          </w:tcPr>
          <w:p>
            <w:pPr>
              <w:ind w:left="26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E5E5E5"/>
          </w:tcPr>
          <w:p>
            <w:pPr>
              <w:jc w:val="right"/>
              <w:ind w:right="500"/>
              <w:spacing w:after="0" w:line="202" w:lineRule="exact"/>
              <w:rPr>
                <w:sz w:val="20"/>
                <w:szCs w:val="20"/>
                <w:color w:val="auto"/>
              </w:rPr>
            </w:pPr>
            <w:r>
              <w:rPr>
                <w:rFonts w:ascii="Arial" w:cs="Arial" w:eastAsia="Arial" w:hAnsi="Arial"/>
                <w:sz w:val="18"/>
                <w:szCs w:val="18"/>
                <w:color w:val="auto"/>
                <w:w w:val="99"/>
              </w:rPr>
              <w:t>5,447,933</w:t>
            </w:r>
          </w:p>
        </w:tc>
        <w:tc>
          <w:tcPr>
            <w:tcW w:w="1400" w:type="dxa"/>
            <w:vAlign w:val="bottom"/>
            <w:shd w:val="clear" w:color="auto" w:fill="E5E5E5"/>
          </w:tcPr>
          <w:p>
            <w:pPr>
              <w:jc w:val="right"/>
              <w:ind w:right="178"/>
              <w:spacing w:after="0" w:line="202" w:lineRule="exact"/>
              <w:rPr>
                <w:sz w:val="20"/>
                <w:szCs w:val="20"/>
                <w:color w:val="auto"/>
              </w:rPr>
            </w:pPr>
            <w:r>
              <w:rPr>
                <w:rFonts w:ascii="Arial" w:cs="Arial" w:eastAsia="Arial" w:hAnsi="Arial"/>
                <w:sz w:val="18"/>
                <w:szCs w:val="18"/>
                <w:color w:val="auto"/>
              </w:rPr>
              <w:t>23,174</w:t>
            </w:r>
          </w:p>
        </w:tc>
        <w:tc>
          <w:tcPr>
            <w:tcW w:w="44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w w:val="99"/>
              </w:rPr>
              <w:t>2,366,992</w:t>
            </w: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R. G. Delagi</w:t>
            </w:r>
          </w:p>
        </w:tc>
        <w:tc>
          <w:tcPr>
            <w:tcW w:w="1400" w:type="dxa"/>
            <w:vAlign w:val="bottom"/>
          </w:tcPr>
          <w:p>
            <w:pPr>
              <w:jc w:val="right"/>
              <w:ind w:right="158"/>
              <w:spacing w:after="0" w:line="202" w:lineRule="exact"/>
              <w:rPr>
                <w:sz w:val="20"/>
                <w:szCs w:val="20"/>
                <w:color w:val="auto"/>
              </w:rPr>
            </w:pPr>
            <w:r>
              <w:rPr>
                <w:rFonts w:ascii="Arial" w:cs="Arial" w:eastAsia="Arial" w:hAnsi="Arial"/>
                <w:sz w:val="18"/>
                <w:szCs w:val="18"/>
                <w:color w:val="auto"/>
              </w:rPr>
              <w:t>948,610</w:t>
            </w:r>
          </w:p>
        </w:tc>
        <w:tc>
          <w:tcPr>
            <w:tcW w:w="1820" w:type="dxa"/>
            <w:vAlign w:val="bottom"/>
            <w:gridSpan w:val="3"/>
          </w:tcPr>
          <w:p>
            <w:pPr>
              <w:jc w:val="right"/>
              <w:ind w:right="500"/>
              <w:spacing w:after="0" w:line="202" w:lineRule="exact"/>
              <w:rPr>
                <w:sz w:val="20"/>
                <w:szCs w:val="20"/>
                <w:color w:val="auto"/>
              </w:rPr>
            </w:pPr>
            <w:r>
              <w:rPr>
                <w:rFonts w:ascii="Arial" w:cs="Arial" w:eastAsia="Arial" w:hAnsi="Arial"/>
                <w:sz w:val="18"/>
                <w:szCs w:val="18"/>
                <w:color w:val="auto"/>
              </w:rPr>
              <w:t>$ 83,024,825</w:t>
            </w:r>
          </w:p>
        </w:tc>
        <w:tc>
          <w:tcPr>
            <w:tcW w:w="1400" w:type="dxa"/>
            <w:vAlign w:val="bottom"/>
          </w:tcPr>
          <w:p>
            <w:pPr>
              <w:jc w:val="right"/>
              <w:ind w:right="178"/>
              <w:spacing w:after="0" w:line="202" w:lineRule="exact"/>
              <w:rPr>
                <w:sz w:val="20"/>
                <w:szCs w:val="20"/>
                <w:color w:val="auto"/>
              </w:rPr>
            </w:pPr>
            <w:r>
              <w:rPr>
                <w:rFonts w:ascii="Arial" w:cs="Arial" w:eastAsia="Arial" w:hAnsi="Arial"/>
                <w:sz w:val="18"/>
                <w:szCs w:val="18"/>
                <w:color w:val="auto"/>
              </w:rPr>
              <w:t>33,371</w:t>
            </w:r>
          </w:p>
        </w:tc>
        <w:tc>
          <w:tcPr>
            <w:tcW w:w="44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9"/>
              </w:rPr>
              <w:t>3,408,514</w:t>
            </w:r>
          </w:p>
        </w:tc>
      </w:tr>
      <w:tr>
        <w:trPr>
          <w:trHeight w:val="203"/>
        </w:trPr>
        <w:tc>
          <w:tcPr>
            <w:tcW w:w="50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H. Ilan</w:t>
            </w:r>
          </w:p>
        </w:tc>
        <w:tc>
          <w:tcPr>
            <w:tcW w:w="1400" w:type="dxa"/>
            <w:vAlign w:val="bottom"/>
            <w:shd w:val="clear" w:color="auto" w:fill="E5E5E5"/>
          </w:tcPr>
          <w:p>
            <w:pPr>
              <w:jc w:val="right"/>
              <w:ind w:right="158"/>
              <w:spacing w:after="0" w:line="202" w:lineRule="exact"/>
              <w:rPr>
                <w:sz w:val="20"/>
                <w:szCs w:val="20"/>
                <w:color w:val="auto"/>
              </w:rPr>
            </w:pPr>
            <w:r>
              <w:rPr>
                <w:rFonts w:ascii="Arial" w:cs="Arial" w:eastAsia="Arial" w:hAnsi="Arial"/>
                <w:sz w:val="18"/>
                <w:szCs w:val="18"/>
                <w:color w:val="auto"/>
              </w:rPr>
              <w:t>64,159</w:t>
            </w:r>
          </w:p>
        </w:tc>
        <w:tc>
          <w:tcPr>
            <w:tcW w:w="500" w:type="dxa"/>
            <w:vAlign w:val="bottom"/>
            <w:shd w:val="clear" w:color="auto" w:fill="E5E5E5"/>
          </w:tcPr>
          <w:p>
            <w:pPr>
              <w:ind w:left="26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E5E5E5"/>
          </w:tcPr>
          <w:p>
            <w:pPr>
              <w:jc w:val="right"/>
              <w:ind w:right="500"/>
              <w:spacing w:after="0" w:line="202" w:lineRule="exact"/>
              <w:rPr>
                <w:sz w:val="20"/>
                <w:szCs w:val="20"/>
                <w:color w:val="auto"/>
              </w:rPr>
            </w:pPr>
            <w:r>
              <w:rPr>
                <w:rFonts w:ascii="Arial" w:cs="Arial" w:eastAsia="Arial" w:hAnsi="Arial"/>
                <w:sz w:val="18"/>
                <w:szCs w:val="18"/>
                <w:color w:val="auto"/>
                <w:w w:val="99"/>
              </w:rPr>
              <w:t>4,100,137</w:t>
            </w:r>
          </w:p>
        </w:tc>
        <w:tc>
          <w:tcPr>
            <w:tcW w:w="1400" w:type="dxa"/>
            <w:vAlign w:val="bottom"/>
            <w:shd w:val="clear" w:color="auto" w:fill="E5E5E5"/>
          </w:tcPr>
          <w:p>
            <w:pPr>
              <w:jc w:val="right"/>
              <w:ind w:right="178"/>
              <w:spacing w:after="0" w:line="202" w:lineRule="exact"/>
              <w:rPr>
                <w:sz w:val="20"/>
                <w:szCs w:val="20"/>
                <w:color w:val="auto"/>
              </w:rPr>
            </w:pPr>
            <w:r>
              <w:rPr>
                <w:rFonts w:ascii="Arial" w:cs="Arial" w:eastAsia="Arial" w:hAnsi="Arial"/>
                <w:sz w:val="18"/>
                <w:szCs w:val="18"/>
                <w:color w:val="auto"/>
              </w:rPr>
              <w:t>23,174</w:t>
            </w:r>
          </w:p>
        </w:tc>
        <w:tc>
          <w:tcPr>
            <w:tcW w:w="44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w w:val="99"/>
              </w:rPr>
              <w:t>2,366,992</w:t>
            </w:r>
          </w:p>
        </w:tc>
      </w:tr>
    </w:tbl>
    <w:p>
      <w:pPr>
        <w:spacing w:after="0" w:line="18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2019 pension benefits</w:t>
      </w:r>
    </w:p>
    <w:p>
      <w:pPr>
        <w:spacing w:after="0" w:line="229" w:lineRule="exact"/>
        <w:rPr>
          <w:sz w:val="20"/>
          <w:szCs w:val="20"/>
          <w:color w:val="auto"/>
        </w:rPr>
      </w:pPr>
    </w:p>
    <w:p>
      <w:pPr>
        <w:ind w:left="120" w:right="220"/>
        <w:spacing w:after="0" w:line="237" w:lineRule="auto"/>
        <w:rPr>
          <w:sz w:val="20"/>
          <w:szCs w:val="20"/>
          <w:color w:val="auto"/>
        </w:rPr>
      </w:pPr>
      <w:r>
        <w:rPr>
          <w:rFonts w:ascii="Arial" w:cs="Arial" w:eastAsia="Arial" w:hAnsi="Arial"/>
          <w:sz w:val="18"/>
          <w:szCs w:val="18"/>
          <w:color w:val="auto"/>
        </w:rPr>
        <w:t>The following table shows the present value as of December 31, 2019, of the benefit of the named executive officers under our qualified defined benefit pension plan (TI Employees Pension Plan) and non-qualified defined benefit pension plans (TI Employees Non-Qualified Pension Plan (which governs amounts earned before 2005) and TI Employees Non-Qualified Pension Plan II (which governs amounts earned after 2004)). In accordance with SEC requirements, the amounts shown in the table do not reflect any named executive officer’s retirement eligibility or any increase in benefits that may result from the named executive officer’s continued employment after December 31, 2019.</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700" w:type="dxa"/>
            <w:vAlign w:val="bottom"/>
          </w:tcPr>
          <w:p>
            <w:pPr>
              <w:jc w:val="center"/>
              <w:ind w:right="136"/>
              <w:spacing w:after="0"/>
              <w:rPr>
                <w:sz w:val="20"/>
                <w:szCs w:val="20"/>
                <w:color w:val="auto"/>
              </w:rPr>
            </w:pPr>
            <w:r>
              <w:rPr>
                <w:rFonts w:ascii="Arial" w:cs="Arial" w:eastAsia="Arial" w:hAnsi="Arial"/>
                <w:sz w:val="14"/>
                <w:szCs w:val="14"/>
                <w:b w:val="1"/>
                <w:bCs w:val="1"/>
                <w:color w:val="auto"/>
              </w:rPr>
              <w:t>Number of</w:t>
            </w: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Present Value of</w:t>
            </w:r>
          </w:p>
        </w:tc>
        <w:tc>
          <w:tcPr>
            <w:tcW w:w="4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Payments</w:t>
            </w:r>
          </w:p>
        </w:tc>
      </w:tr>
      <w:tr>
        <w:trPr>
          <w:trHeight w:val="162"/>
        </w:trPr>
        <w:tc>
          <w:tcPr>
            <w:tcW w:w="20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700" w:type="dxa"/>
            <w:vAlign w:val="bottom"/>
          </w:tcPr>
          <w:p>
            <w:pPr>
              <w:jc w:val="center"/>
              <w:ind w:right="116"/>
              <w:spacing w:after="0"/>
              <w:rPr>
                <w:sz w:val="20"/>
                <w:szCs w:val="20"/>
                <w:color w:val="auto"/>
              </w:rPr>
            </w:pPr>
            <w:r>
              <w:rPr>
                <w:rFonts w:ascii="Arial" w:cs="Arial" w:eastAsia="Arial" w:hAnsi="Arial"/>
                <w:sz w:val="14"/>
                <w:szCs w:val="14"/>
                <w:b w:val="1"/>
                <w:bCs w:val="1"/>
                <w:color w:val="auto"/>
              </w:rPr>
              <w:t>Years Credited</w:t>
            </w:r>
          </w:p>
        </w:tc>
        <w:tc>
          <w:tcPr>
            <w:tcW w:w="340" w:type="dxa"/>
            <w:vAlign w:val="bottom"/>
          </w:tcPr>
          <w:p>
            <w:pPr>
              <w:spacing w:after="0"/>
              <w:rPr>
                <w:sz w:val="14"/>
                <w:szCs w:val="14"/>
                <w:color w:val="auto"/>
              </w:rPr>
            </w:pPr>
          </w:p>
        </w:tc>
        <w:tc>
          <w:tcPr>
            <w:tcW w:w="1020" w:type="dxa"/>
            <w:vAlign w:val="bottom"/>
          </w:tcPr>
          <w:p>
            <w:pPr>
              <w:jc w:val="right"/>
              <w:ind w:right="15"/>
              <w:spacing w:after="0"/>
              <w:rPr>
                <w:sz w:val="20"/>
                <w:szCs w:val="20"/>
                <w:color w:val="auto"/>
              </w:rPr>
            </w:pPr>
            <w:r>
              <w:rPr>
                <w:rFonts w:ascii="Arial" w:cs="Arial" w:eastAsia="Arial" w:hAnsi="Arial"/>
                <w:sz w:val="14"/>
                <w:szCs w:val="14"/>
                <w:b w:val="1"/>
                <w:bCs w:val="1"/>
                <w:color w:val="auto"/>
              </w:rPr>
              <w:t>Accumulated</w:t>
            </w:r>
          </w:p>
        </w:tc>
        <w:tc>
          <w:tcPr>
            <w:tcW w:w="4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During Last</w:t>
            </w:r>
          </w:p>
        </w:tc>
      </w:tr>
      <w:tr>
        <w:trPr>
          <w:trHeight w:val="196"/>
        </w:trPr>
        <w:tc>
          <w:tcPr>
            <w:tcW w:w="2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(1)</w:t>
            </w:r>
          </w:p>
        </w:tc>
        <w:tc>
          <w:tcPr>
            <w:tcW w:w="406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rPr>
              <w:t>Plan Name</w:t>
            </w:r>
          </w:p>
        </w:tc>
        <w:tc>
          <w:tcPr>
            <w:tcW w:w="17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rPr>
              <w:t>Service (#)</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Benefit ($)</w:t>
            </w:r>
          </w:p>
        </w:tc>
        <w:tc>
          <w:tcPr>
            <w:tcW w:w="4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Fiscal Year ($)</w:t>
            </w:r>
          </w:p>
        </w:tc>
      </w:tr>
      <w:tr>
        <w:trPr>
          <w:trHeight w:val="201"/>
        </w:trPr>
        <w:tc>
          <w:tcPr>
            <w:tcW w:w="2040" w:type="dxa"/>
            <w:vAlign w:val="bottom"/>
            <w:shd w:val="clear" w:color="auto" w:fill="E5E5E5"/>
          </w:tcPr>
          <w:p>
            <w:pPr>
              <w:spacing w:after="0" w:line="201" w:lineRule="exact"/>
              <w:rPr>
                <w:sz w:val="20"/>
                <w:szCs w:val="20"/>
                <w:color w:val="auto"/>
              </w:rPr>
            </w:pPr>
            <w:r>
              <w:rPr>
                <w:rFonts w:ascii="Arial" w:cs="Arial" w:eastAsia="Arial" w:hAnsi="Arial"/>
                <w:sz w:val="18"/>
                <w:szCs w:val="18"/>
                <w:color w:val="auto"/>
              </w:rPr>
              <w:t>R. K. Templeton (2)</w:t>
            </w:r>
          </w:p>
        </w:tc>
        <w:tc>
          <w:tcPr>
            <w:tcW w:w="4060" w:type="dxa"/>
            <w:vAlign w:val="bottom"/>
            <w:shd w:val="clear" w:color="auto" w:fill="E5E5E5"/>
          </w:tcPr>
          <w:p>
            <w:pPr>
              <w:ind w:left="300"/>
              <w:spacing w:after="0" w:line="201" w:lineRule="exact"/>
              <w:rPr>
                <w:sz w:val="20"/>
                <w:szCs w:val="20"/>
                <w:color w:val="auto"/>
              </w:rPr>
            </w:pPr>
            <w:r>
              <w:rPr>
                <w:rFonts w:ascii="Arial" w:cs="Arial" w:eastAsia="Arial" w:hAnsi="Arial"/>
                <w:sz w:val="18"/>
                <w:szCs w:val="18"/>
                <w:color w:val="auto"/>
              </w:rPr>
              <w:t>TI Employees Pension Plan</w:t>
            </w:r>
          </w:p>
        </w:tc>
        <w:tc>
          <w:tcPr>
            <w:tcW w:w="1700" w:type="dxa"/>
            <w:vAlign w:val="bottom"/>
            <w:shd w:val="clear" w:color="auto" w:fill="E5E5E5"/>
          </w:tcPr>
          <w:p>
            <w:pPr>
              <w:jc w:val="right"/>
              <w:ind w:right="136"/>
              <w:spacing w:after="0" w:line="201" w:lineRule="exact"/>
              <w:rPr>
                <w:sz w:val="20"/>
                <w:szCs w:val="20"/>
                <w:color w:val="auto"/>
              </w:rPr>
            </w:pPr>
            <w:r>
              <w:rPr>
                <w:rFonts w:ascii="Arial" w:cs="Arial" w:eastAsia="Arial" w:hAnsi="Arial"/>
                <w:sz w:val="18"/>
                <w:szCs w:val="18"/>
                <w:color w:val="auto"/>
              </w:rPr>
              <w:t>16 (3)</w:t>
            </w:r>
          </w:p>
        </w:tc>
        <w:tc>
          <w:tcPr>
            <w:tcW w:w="340" w:type="dxa"/>
            <w:vAlign w:val="bottom"/>
            <w:shd w:val="clear" w:color="auto" w:fill="E5E5E5"/>
          </w:tcPr>
          <w:p>
            <w:pPr>
              <w:ind w:left="240"/>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E5E5E5"/>
          </w:tcPr>
          <w:p>
            <w:pPr>
              <w:jc w:val="right"/>
              <w:spacing w:after="0" w:line="201" w:lineRule="exact"/>
              <w:rPr>
                <w:sz w:val="20"/>
                <w:szCs w:val="20"/>
                <w:color w:val="auto"/>
              </w:rPr>
            </w:pPr>
            <w:r>
              <w:rPr>
                <w:rFonts w:ascii="Arial" w:cs="Arial" w:eastAsia="Arial" w:hAnsi="Arial"/>
                <w:sz w:val="18"/>
                <w:szCs w:val="18"/>
                <w:color w:val="auto"/>
              </w:rPr>
              <w:t>904,750</w:t>
            </w:r>
          </w:p>
        </w:tc>
        <w:tc>
          <w:tcPr>
            <w:tcW w:w="420" w:type="dxa"/>
            <w:vAlign w:val="bottom"/>
            <w:shd w:val="clear" w:color="auto" w:fill="E5E5E5"/>
          </w:tcPr>
          <w:p>
            <w:pPr>
              <w:jc w:val="right"/>
              <w:ind w:right="110"/>
              <w:spacing w:after="0" w:line="201" w:lineRule="exact"/>
              <w:rPr>
                <w:sz w:val="20"/>
                <w:szCs w:val="20"/>
                <w:color w:val="auto"/>
              </w:rPr>
            </w:pPr>
            <w:r>
              <w:rPr>
                <w:rFonts w:ascii="Arial" w:cs="Arial" w:eastAsia="Arial" w:hAnsi="Arial"/>
                <w:sz w:val="18"/>
                <w:szCs w:val="18"/>
                <w:color w:val="auto"/>
                <w:w w:val="90"/>
              </w:rPr>
              <w:t>(6)</w:t>
            </w:r>
          </w:p>
        </w:tc>
        <w:tc>
          <w:tcPr>
            <w:tcW w:w="1440" w:type="dxa"/>
            <w:vAlign w:val="bottom"/>
            <w:shd w:val="clear" w:color="auto" w:fill="E5E5E5"/>
          </w:tcPr>
          <w:p>
            <w:pPr>
              <w:ind w:left="940"/>
              <w:spacing w:after="0" w:line="201" w:lineRule="exact"/>
              <w:rPr>
                <w:sz w:val="20"/>
                <w:szCs w:val="20"/>
                <w:color w:val="auto"/>
              </w:rPr>
            </w:pPr>
            <w:r>
              <w:rPr>
                <w:rFonts w:ascii="Arial" w:cs="Arial" w:eastAsia="Arial" w:hAnsi="Arial"/>
                <w:sz w:val="18"/>
                <w:szCs w:val="18"/>
                <w:color w:val="auto"/>
              </w:rPr>
              <w:t>—</w:t>
            </w:r>
          </w:p>
        </w:tc>
      </w:tr>
      <w:tr>
        <w:trPr>
          <w:trHeight w:val="203"/>
        </w:trPr>
        <w:tc>
          <w:tcPr>
            <w:tcW w:w="2040" w:type="dxa"/>
            <w:vAlign w:val="bottom"/>
            <w:shd w:val="clear" w:color="auto" w:fill="E5E5E5"/>
          </w:tcPr>
          <w:p>
            <w:pPr>
              <w:spacing w:after="0"/>
              <w:rPr>
                <w:sz w:val="17"/>
                <w:szCs w:val="17"/>
                <w:color w:val="auto"/>
              </w:rPr>
            </w:pPr>
          </w:p>
        </w:tc>
        <w:tc>
          <w:tcPr>
            <w:tcW w:w="4060" w:type="dxa"/>
            <w:vAlign w:val="bottom"/>
            <w:shd w:val="clear" w:color="auto" w:fill="E5E5E5"/>
          </w:tcPr>
          <w:p>
            <w:pPr>
              <w:ind w:left="300"/>
              <w:spacing w:after="0" w:line="202" w:lineRule="exact"/>
              <w:rPr>
                <w:sz w:val="20"/>
                <w:szCs w:val="20"/>
                <w:color w:val="auto"/>
              </w:rPr>
            </w:pPr>
            <w:r>
              <w:rPr>
                <w:rFonts w:ascii="Arial" w:cs="Arial" w:eastAsia="Arial" w:hAnsi="Arial"/>
                <w:sz w:val="18"/>
                <w:szCs w:val="18"/>
                <w:color w:val="auto"/>
              </w:rPr>
              <w:t>TI Employees Non-Qualified Pension Plan</w:t>
            </w:r>
          </w:p>
        </w:tc>
        <w:tc>
          <w:tcPr>
            <w:tcW w:w="1700" w:type="dxa"/>
            <w:vAlign w:val="bottom"/>
            <w:shd w:val="clear" w:color="auto" w:fill="E5E5E5"/>
          </w:tcPr>
          <w:p>
            <w:pPr>
              <w:jc w:val="right"/>
              <w:ind w:right="136"/>
              <w:spacing w:after="0" w:line="202" w:lineRule="exact"/>
              <w:rPr>
                <w:sz w:val="20"/>
                <w:szCs w:val="20"/>
                <w:color w:val="auto"/>
              </w:rPr>
            </w:pPr>
            <w:r>
              <w:rPr>
                <w:rFonts w:ascii="Arial" w:cs="Arial" w:eastAsia="Arial" w:hAnsi="Arial"/>
                <w:sz w:val="18"/>
                <w:szCs w:val="18"/>
                <w:color w:val="auto"/>
              </w:rPr>
              <w:t>16 (3)</w:t>
            </w:r>
          </w:p>
        </w:tc>
        <w:tc>
          <w:tcPr>
            <w:tcW w:w="34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421,971</w:t>
            </w:r>
          </w:p>
        </w:tc>
        <w:tc>
          <w:tcPr>
            <w:tcW w:w="420" w:type="dxa"/>
            <w:vAlign w:val="bottom"/>
            <w:shd w:val="clear" w:color="auto" w:fill="E5E5E5"/>
          </w:tcPr>
          <w:p>
            <w:pPr>
              <w:jc w:val="right"/>
              <w:ind w:right="110"/>
              <w:spacing w:after="0" w:line="202" w:lineRule="exact"/>
              <w:rPr>
                <w:sz w:val="20"/>
                <w:szCs w:val="20"/>
                <w:color w:val="auto"/>
              </w:rPr>
            </w:pPr>
            <w:r>
              <w:rPr>
                <w:rFonts w:ascii="Arial" w:cs="Arial" w:eastAsia="Arial" w:hAnsi="Arial"/>
                <w:sz w:val="18"/>
                <w:szCs w:val="18"/>
                <w:color w:val="auto"/>
                <w:w w:val="90"/>
              </w:rPr>
              <w:t>(6)</w:t>
            </w:r>
          </w:p>
        </w:tc>
        <w:tc>
          <w:tcPr>
            <w:tcW w:w="1440" w:type="dxa"/>
            <w:vAlign w:val="bottom"/>
            <w:shd w:val="clear" w:color="auto" w:fill="E5E5E5"/>
          </w:tcPr>
          <w:p>
            <w:pPr>
              <w:ind w:left="940"/>
              <w:spacing w:after="0" w:line="202" w:lineRule="exact"/>
              <w:rPr>
                <w:sz w:val="20"/>
                <w:szCs w:val="20"/>
                <w:color w:val="auto"/>
              </w:rPr>
            </w:pPr>
            <w:r>
              <w:rPr>
                <w:rFonts w:ascii="Arial" w:cs="Arial" w:eastAsia="Arial" w:hAnsi="Arial"/>
                <w:sz w:val="18"/>
                <w:szCs w:val="18"/>
                <w:color w:val="auto"/>
              </w:rPr>
              <w:t>—</w:t>
            </w:r>
          </w:p>
        </w:tc>
      </w:tr>
      <w:tr>
        <w:trPr>
          <w:trHeight w:val="203"/>
        </w:trPr>
        <w:tc>
          <w:tcPr>
            <w:tcW w:w="2040" w:type="dxa"/>
            <w:vAlign w:val="bottom"/>
            <w:shd w:val="clear" w:color="auto" w:fill="E5E5E5"/>
          </w:tcPr>
          <w:p>
            <w:pPr>
              <w:spacing w:after="0"/>
              <w:rPr>
                <w:sz w:val="17"/>
                <w:szCs w:val="17"/>
                <w:color w:val="auto"/>
              </w:rPr>
            </w:pPr>
          </w:p>
        </w:tc>
        <w:tc>
          <w:tcPr>
            <w:tcW w:w="4060" w:type="dxa"/>
            <w:vAlign w:val="bottom"/>
            <w:shd w:val="clear" w:color="auto" w:fill="E5E5E5"/>
          </w:tcPr>
          <w:p>
            <w:pPr>
              <w:ind w:left="300"/>
              <w:spacing w:after="0" w:line="203" w:lineRule="exact"/>
              <w:rPr>
                <w:sz w:val="20"/>
                <w:szCs w:val="20"/>
                <w:color w:val="auto"/>
              </w:rPr>
            </w:pPr>
            <w:r>
              <w:rPr>
                <w:rFonts w:ascii="Arial" w:cs="Arial" w:eastAsia="Arial" w:hAnsi="Arial"/>
                <w:sz w:val="18"/>
                <w:szCs w:val="18"/>
                <w:color w:val="auto"/>
              </w:rPr>
              <w:t>TI Employees Non-Qualified Pension Plan II</w:t>
            </w:r>
          </w:p>
        </w:tc>
        <w:tc>
          <w:tcPr>
            <w:tcW w:w="1700" w:type="dxa"/>
            <w:vAlign w:val="bottom"/>
            <w:shd w:val="clear" w:color="auto" w:fill="E5E5E5"/>
          </w:tcPr>
          <w:p>
            <w:pPr>
              <w:jc w:val="right"/>
              <w:ind w:right="136"/>
              <w:spacing w:after="0" w:line="203" w:lineRule="exact"/>
              <w:rPr>
                <w:sz w:val="20"/>
                <w:szCs w:val="20"/>
                <w:color w:val="auto"/>
              </w:rPr>
            </w:pPr>
            <w:r>
              <w:rPr>
                <w:rFonts w:ascii="Arial" w:cs="Arial" w:eastAsia="Arial" w:hAnsi="Arial"/>
                <w:sz w:val="18"/>
                <w:szCs w:val="18"/>
                <w:color w:val="auto"/>
              </w:rPr>
              <w:t>16 (5)</w:t>
            </w:r>
          </w:p>
        </w:tc>
        <w:tc>
          <w:tcPr>
            <w:tcW w:w="340" w:type="dxa"/>
            <w:vAlign w:val="bottom"/>
            <w:shd w:val="clear" w:color="auto" w:fill="E5E5E5"/>
          </w:tcPr>
          <w:p>
            <w:pPr>
              <w:ind w:left="24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239,993</w:t>
            </w:r>
          </w:p>
        </w:tc>
        <w:tc>
          <w:tcPr>
            <w:tcW w:w="420" w:type="dxa"/>
            <w:vAlign w:val="bottom"/>
            <w:shd w:val="clear" w:color="auto" w:fill="E5E5E5"/>
          </w:tcPr>
          <w:p>
            <w:pPr>
              <w:jc w:val="right"/>
              <w:ind w:right="110"/>
              <w:spacing w:after="0" w:line="203" w:lineRule="exact"/>
              <w:rPr>
                <w:sz w:val="20"/>
                <w:szCs w:val="20"/>
                <w:color w:val="auto"/>
              </w:rPr>
            </w:pPr>
            <w:r>
              <w:rPr>
                <w:rFonts w:ascii="Arial" w:cs="Arial" w:eastAsia="Arial" w:hAnsi="Arial"/>
                <w:sz w:val="18"/>
                <w:szCs w:val="18"/>
                <w:color w:val="auto"/>
                <w:w w:val="90"/>
              </w:rPr>
              <w:t>(6)</w:t>
            </w:r>
          </w:p>
        </w:tc>
        <w:tc>
          <w:tcPr>
            <w:tcW w:w="1440" w:type="dxa"/>
            <w:vAlign w:val="bottom"/>
            <w:shd w:val="clear" w:color="auto" w:fill="E5E5E5"/>
          </w:tcPr>
          <w:p>
            <w:pPr>
              <w:ind w:left="940"/>
              <w:spacing w:after="0" w:line="203" w:lineRule="exact"/>
              <w:rPr>
                <w:sz w:val="20"/>
                <w:szCs w:val="20"/>
                <w:color w:val="auto"/>
              </w:rPr>
            </w:pPr>
            <w:r>
              <w:rPr>
                <w:rFonts w:ascii="Arial" w:cs="Arial" w:eastAsia="Arial" w:hAnsi="Arial"/>
                <w:sz w:val="18"/>
                <w:szCs w:val="18"/>
                <w:color w:val="auto"/>
              </w:rPr>
              <w:t>—</w:t>
            </w:r>
          </w:p>
        </w:tc>
      </w:tr>
      <w:tr>
        <w:trPr>
          <w:trHeight w:val="310"/>
        </w:trPr>
        <w:tc>
          <w:tcPr>
            <w:tcW w:w="2040" w:type="dxa"/>
            <w:vAlign w:val="bottom"/>
          </w:tcPr>
          <w:p>
            <w:pPr>
              <w:spacing w:after="0"/>
              <w:rPr>
                <w:sz w:val="20"/>
                <w:szCs w:val="20"/>
                <w:color w:val="auto"/>
              </w:rPr>
            </w:pPr>
            <w:r>
              <w:rPr>
                <w:rFonts w:ascii="Arial" w:cs="Arial" w:eastAsia="Arial" w:hAnsi="Arial"/>
                <w:sz w:val="18"/>
                <w:szCs w:val="18"/>
                <w:color w:val="auto"/>
              </w:rPr>
              <w:t>R. G. Delagi</w:t>
            </w:r>
          </w:p>
        </w:tc>
        <w:tc>
          <w:tcPr>
            <w:tcW w:w="4060" w:type="dxa"/>
            <w:vAlign w:val="bottom"/>
          </w:tcPr>
          <w:p>
            <w:pPr>
              <w:ind w:left="300"/>
              <w:spacing w:after="0"/>
              <w:rPr>
                <w:sz w:val="20"/>
                <w:szCs w:val="20"/>
                <w:color w:val="auto"/>
              </w:rPr>
            </w:pPr>
            <w:r>
              <w:rPr>
                <w:rFonts w:ascii="Arial" w:cs="Arial" w:eastAsia="Arial" w:hAnsi="Arial"/>
                <w:sz w:val="18"/>
                <w:szCs w:val="18"/>
                <w:color w:val="auto"/>
              </w:rPr>
              <w:t>TI Employees Pension Plan</w:t>
            </w:r>
          </w:p>
        </w:tc>
        <w:tc>
          <w:tcPr>
            <w:tcW w:w="1700" w:type="dxa"/>
            <w:vAlign w:val="bottom"/>
          </w:tcPr>
          <w:p>
            <w:pPr>
              <w:jc w:val="right"/>
              <w:ind w:right="136"/>
              <w:spacing w:after="0"/>
              <w:rPr>
                <w:sz w:val="20"/>
                <w:szCs w:val="20"/>
                <w:color w:val="auto"/>
              </w:rPr>
            </w:pPr>
            <w:r>
              <w:rPr>
                <w:rFonts w:ascii="Arial" w:cs="Arial" w:eastAsia="Arial" w:hAnsi="Arial"/>
                <w:sz w:val="18"/>
                <w:szCs w:val="18"/>
                <w:color w:val="auto"/>
              </w:rPr>
              <w:t>34 (3)</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1,378,652</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0"/>
              </w:rPr>
              <w:t>(6)</w:t>
            </w:r>
          </w:p>
        </w:tc>
        <w:tc>
          <w:tcPr>
            <w:tcW w:w="144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03"/>
        </w:trPr>
        <w:tc>
          <w:tcPr>
            <w:tcW w:w="2040" w:type="dxa"/>
            <w:vAlign w:val="bottom"/>
          </w:tcPr>
          <w:p>
            <w:pPr>
              <w:spacing w:after="0"/>
              <w:rPr>
                <w:sz w:val="17"/>
                <w:szCs w:val="17"/>
                <w:color w:val="auto"/>
              </w:rPr>
            </w:pPr>
          </w:p>
        </w:tc>
        <w:tc>
          <w:tcPr>
            <w:tcW w:w="4060" w:type="dxa"/>
            <w:vAlign w:val="bottom"/>
          </w:tcPr>
          <w:p>
            <w:pPr>
              <w:ind w:left="300"/>
              <w:spacing w:after="0" w:line="202" w:lineRule="exact"/>
              <w:rPr>
                <w:sz w:val="20"/>
                <w:szCs w:val="20"/>
                <w:color w:val="auto"/>
              </w:rPr>
            </w:pPr>
            <w:r>
              <w:rPr>
                <w:rFonts w:ascii="Arial" w:cs="Arial" w:eastAsia="Arial" w:hAnsi="Arial"/>
                <w:sz w:val="18"/>
                <w:szCs w:val="18"/>
                <w:color w:val="auto"/>
              </w:rPr>
              <w:t>TI Employees Non-Qualified Pension Plan</w:t>
            </w:r>
          </w:p>
        </w:tc>
        <w:tc>
          <w:tcPr>
            <w:tcW w:w="170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19 (4)</w:t>
            </w:r>
          </w:p>
        </w:tc>
        <w:tc>
          <w:tcPr>
            <w:tcW w:w="340" w:type="dxa"/>
            <w:vAlign w:val="bottom"/>
          </w:tcPr>
          <w:p>
            <w:pPr>
              <w:ind w:left="24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260,349</w:t>
            </w:r>
          </w:p>
        </w:tc>
        <w:tc>
          <w:tcPr>
            <w:tcW w:w="4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0"/>
              </w:rPr>
              <w:t>(6)</w:t>
            </w:r>
          </w:p>
        </w:tc>
        <w:tc>
          <w:tcPr>
            <w:tcW w:w="1440" w:type="dxa"/>
            <w:vAlign w:val="bottom"/>
          </w:tcPr>
          <w:p>
            <w:pPr>
              <w:ind w:left="940"/>
              <w:spacing w:after="0" w:line="202" w:lineRule="exact"/>
              <w:rPr>
                <w:sz w:val="20"/>
                <w:szCs w:val="20"/>
                <w:color w:val="auto"/>
              </w:rPr>
            </w:pPr>
            <w:r>
              <w:rPr>
                <w:rFonts w:ascii="Arial" w:cs="Arial" w:eastAsia="Arial" w:hAnsi="Arial"/>
                <w:sz w:val="18"/>
                <w:szCs w:val="18"/>
                <w:color w:val="auto"/>
              </w:rPr>
              <w:t>—</w:t>
            </w:r>
          </w:p>
        </w:tc>
      </w:tr>
      <w:tr>
        <w:trPr>
          <w:trHeight w:val="217"/>
        </w:trPr>
        <w:tc>
          <w:tcPr>
            <w:tcW w:w="2040" w:type="dxa"/>
            <w:vAlign w:val="bottom"/>
          </w:tcPr>
          <w:p>
            <w:pPr>
              <w:spacing w:after="0"/>
              <w:rPr>
                <w:sz w:val="18"/>
                <w:szCs w:val="18"/>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TI Employees Non-Qualified Pension Plan II</w:t>
            </w:r>
          </w:p>
        </w:tc>
        <w:tc>
          <w:tcPr>
            <w:tcW w:w="1700" w:type="dxa"/>
            <w:vAlign w:val="bottom"/>
          </w:tcPr>
          <w:p>
            <w:pPr>
              <w:jc w:val="right"/>
              <w:ind w:right="136"/>
              <w:spacing w:after="0"/>
              <w:rPr>
                <w:sz w:val="20"/>
                <w:szCs w:val="20"/>
                <w:color w:val="auto"/>
              </w:rPr>
            </w:pPr>
            <w:r>
              <w:rPr>
                <w:rFonts w:ascii="Arial" w:cs="Arial" w:eastAsia="Arial" w:hAnsi="Arial"/>
                <w:sz w:val="18"/>
                <w:szCs w:val="18"/>
                <w:color w:val="auto"/>
              </w:rPr>
              <w:t>34 (5)</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7,841,814</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0"/>
              </w:rPr>
              <w:t>(6)</w:t>
            </w:r>
          </w:p>
        </w:tc>
        <w:tc>
          <w:tcPr>
            <w:tcW w:w="144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81"/>
        </w:trPr>
        <w:tc>
          <w:tcPr>
            <w:tcW w:w="2040" w:type="dxa"/>
            <w:vAlign w:val="bottom"/>
          </w:tcPr>
          <w:p>
            <w:pPr>
              <w:spacing w:after="0"/>
              <w:rPr>
                <w:sz w:val="20"/>
                <w:szCs w:val="20"/>
                <w:color w:val="auto"/>
              </w:rPr>
            </w:pPr>
            <w:r>
              <w:rPr>
                <w:rFonts w:ascii="Arial" w:cs="Arial" w:eastAsia="Arial" w:hAnsi="Arial"/>
                <w:sz w:val="13"/>
                <w:szCs w:val="13"/>
                <w:color w:val="666666"/>
              </w:rPr>
              <w:t>36</w:t>
            </w:r>
          </w:p>
        </w:tc>
        <w:tc>
          <w:tcPr>
            <w:tcW w:w="5760" w:type="dxa"/>
            <w:vAlign w:val="bottom"/>
            <w:gridSpan w:val="2"/>
          </w:tcPr>
          <w:p>
            <w:pPr>
              <w:ind w:left="1880"/>
              <w:spacing w:after="0"/>
              <w:rPr>
                <w:sz w:val="20"/>
                <w:szCs w:val="20"/>
                <w:color w:val="auto"/>
              </w:rPr>
            </w:pPr>
            <w:r>
              <w:rPr>
                <w:rFonts w:ascii="Arial" w:cs="Arial" w:eastAsia="Arial" w:hAnsi="Arial"/>
                <w:sz w:val="13"/>
                <w:szCs w:val="13"/>
                <w:color w:val="666666"/>
              </w:rPr>
              <w:t>TEXAS INSTRUMENTS  •  2020 PROXY STATEMENT</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hanging="424"/>
        <w:spacing w:after="0" w:line="246"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Messrs. Lizardi, Anderskouv and Ilan do not participate in any of the company’s defined benefit pension plans because they joined TI after these plans were closed to new participants.</w:t>
      </w:r>
    </w:p>
    <w:p>
      <w:pPr>
        <w:spacing w:after="0" w:line="102" w:lineRule="exact"/>
        <w:rPr>
          <w:rFonts w:ascii="Arial" w:cs="Arial" w:eastAsia="Arial" w:hAnsi="Arial"/>
          <w:sz w:val="18"/>
          <w:szCs w:val="18"/>
          <w:color w:val="auto"/>
        </w:rPr>
      </w:pPr>
    </w:p>
    <w:p>
      <w:pPr>
        <w:ind w:left="540" w:right="220" w:hanging="424"/>
        <w:spacing w:after="0" w:line="238"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1997, TI’s U.S. employees were given the choice between continuing to participate in the defined benefit pension plans or participating in a new enhanced defined contribution retirement plan. Mr. Templeton chose to participate in the defined contribution plan. Accordingly, his accrued pension benefits under the qualified and non-qualified plans were frozen (i.e., he will experience no increase attributable to years of service or change in eligible earnings) as of December 31, 1997. Contributions to the defined contribution plan for Mr. Templeton’s benefits are included in the 2019 summary compensation table.</w:t>
      </w:r>
    </w:p>
    <w:p>
      <w:pPr>
        <w:spacing w:after="0" w:line="107" w:lineRule="exact"/>
        <w:rPr>
          <w:rFonts w:ascii="Arial" w:cs="Arial" w:eastAsia="Arial" w:hAnsi="Arial"/>
          <w:sz w:val="18"/>
          <w:szCs w:val="18"/>
          <w:color w:val="auto"/>
        </w:rPr>
      </w:pPr>
    </w:p>
    <w:p>
      <w:pPr>
        <w:ind w:left="540" w:right="140" w:hanging="424"/>
        <w:spacing w:after="0"/>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Credited service began on the date the officer became eligible to participate in the plan. Eligibility to participate began on the earlier of 18 months of employment, or January 1 following the completion of one year of employment. Accordingly, Mr. Templeton and Mr. Delagi have been employed by TI for longer than the years of credited service shown above.</w:t>
      </w:r>
    </w:p>
    <w:p>
      <w:pPr>
        <w:spacing w:after="0" w:line="108" w:lineRule="exact"/>
        <w:rPr>
          <w:rFonts w:ascii="Arial" w:cs="Arial" w:eastAsia="Arial" w:hAnsi="Arial"/>
          <w:sz w:val="18"/>
          <w:szCs w:val="18"/>
          <w:color w:val="auto"/>
        </w:rPr>
      </w:pPr>
    </w:p>
    <w:p>
      <w:pPr>
        <w:ind w:left="540" w:right="160" w:hanging="424"/>
        <w:spacing w:after="0" w:line="246"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Credited service began on the date the named executive officer became eligible to participate in the TI Employees Pension Plan as described in Note 3 and ceased at December 31, 2004.</w:t>
      </w:r>
    </w:p>
    <w:p>
      <w:pPr>
        <w:spacing w:after="0" w:line="102" w:lineRule="exact"/>
        <w:rPr>
          <w:rFonts w:ascii="Arial" w:cs="Arial" w:eastAsia="Arial" w:hAnsi="Arial"/>
          <w:sz w:val="18"/>
          <w:szCs w:val="18"/>
          <w:color w:val="auto"/>
        </w:rPr>
      </w:pPr>
    </w:p>
    <w:p>
      <w:pPr>
        <w:ind w:left="540" w:right="160" w:hanging="424"/>
        <w:spacing w:after="0" w:line="246"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Credited service began on the date the named executive officer became eligible to participate in the TI Employees Pension Plan as described in Note 3.</w:t>
      </w:r>
    </w:p>
    <w:p>
      <w:pPr>
        <w:spacing w:after="0" w:line="102" w:lineRule="exact"/>
        <w:rPr>
          <w:rFonts w:ascii="Arial" w:cs="Arial" w:eastAsia="Arial" w:hAnsi="Arial"/>
          <w:sz w:val="18"/>
          <w:szCs w:val="18"/>
          <w:color w:val="auto"/>
        </w:rPr>
      </w:pPr>
    </w:p>
    <w:p>
      <w:pPr>
        <w:ind w:left="540" w:hanging="424"/>
        <w:spacing w:after="0" w:line="234"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assumptions and valuation methods used to calculate the present value of the accumulated pension benefits shown are the same as those used by TI for financial reporting purposes and are described in Note 8 to the 2019 financial statements, except that a named executive officer’s retirement is assumed (in accordance with SEC rules) for purposes of this table to occur at age 65 and no assumption for termination prior to that date is used. The amount of the lump-sum benefit earned as of December 31, 2019, is determined using either (i) the Pension Benefit Guaranty Corporation (PBGC) interest assumption of 0.50 percent or (ii) the Pension Protection Act of 2006 (PPA) corporate bond yield interest assumption of 3.61 percent for the TI Employees Pension Plan and</w:t>
      </w:r>
    </w:p>
    <w:p>
      <w:pPr>
        <w:spacing w:after="0" w:line="4"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3.87 percent for the TI Employees Non-Qualified Pension Plans, whichever rate produces the higher lump-sum amount. A discount rate assumption of 3.61 percent for the TI Employees Pension Plan and 3.87 percent for the non-qualified pension plans was used to determine the present value of each lump sum.</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TI Employees Pension Plan</w:t>
      </w:r>
    </w:p>
    <w:p>
      <w:pPr>
        <w:spacing w:after="0" w:line="212"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The TI Employees Pension Plan is a qualified defined benefit pension plan. See “Benefits – Retirement plans” for a discussion of the origin and purpose of the plan. Employees who joined the U.S. payroll after November 30, 1997, are not eligible to participate in this plan.</w:t>
      </w:r>
    </w:p>
    <w:p>
      <w:pPr>
        <w:spacing w:after="0" w:line="197" w:lineRule="exact"/>
        <w:rPr>
          <w:sz w:val="20"/>
          <w:szCs w:val="20"/>
          <w:color w:val="auto"/>
        </w:rPr>
      </w:pPr>
    </w:p>
    <w:p>
      <w:pPr>
        <w:ind w:left="120" w:right="660"/>
        <w:spacing w:after="0"/>
        <w:rPr>
          <w:sz w:val="20"/>
          <w:szCs w:val="20"/>
          <w:color w:val="auto"/>
        </w:rPr>
      </w:pPr>
      <w:r>
        <w:rPr>
          <w:rFonts w:ascii="Arial" w:cs="Arial" w:eastAsia="Arial" w:hAnsi="Arial"/>
          <w:sz w:val="18"/>
          <w:szCs w:val="18"/>
          <w:color w:val="auto"/>
        </w:rPr>
        <w:t>Plan participants are eligible for normal retirement under the terms of the plan at 65 years of age with one year of credited service. Participants are eligible for early retirement at 55 years of age with 20 years of employment or 60 years of age with five years of employment. As of December 31, 2019, Mr. Templeton and Mr. Delagi were eligible for early or normal retirement.</w:t>
      </w:r>
    </w:p>
    <w:p>
      <w:pPr>
        <w:spacing w:after="0" w:line="203"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Participants may request payment of accrued benefits at termination or any time thereafter. Participants may choose a lump-sum payment or one of six forms of annuity. In order of largest to smallest periodic payment, the forms of annuity are: (i) single life annuity, (ii) 5-year certain and life annuity, (iii) 10-year certain and life annuity, (iv) joint and 50 percent survivor annuity, (v) joint and 75 percent survivor annuity, and (vi) joint and 100 percent survivor annuity. Participants who do not request payment will begin to receive benefits in April of the year after reaching the age of 70</w:t>
      </w:r>
      <w:r>
        <w:rPr>
          <w:rFonts w:ascii="Arial" w:cs="Arial" w:eastAsia="Arial" w:hAnsi="Arial"/>
          <w:sz w:val="15"/>
          <w:szCs w:val="15"/>
          <w:color w:val="auto"/>
        </w:rPr>
        <w:t>1</w:t>
      </w:r>
      <w:r>
        <w:rPr>
          <w:rFonts w:ascii="Arial" w:cs="Arial" w:eastAsia="Arial" w:hAnsi="Arial"/>
          <w:sz w:val="18"/>
          <w:szCs w:val="18"/>
          <w:color w:val="auto"/>
        </w:rPr>
        <w:t>/</w:t>
      </w:r>
      <w:r>
        <w:rPr>
          <w:rFonts w:ascii="Arial" w:cs="Arial" w:eastAsia="Arial" w:hAnsi="Arial"/>
          <w:sz w:val="15"/>
          <w:szCs w:val="15"/>
          <w:color w:val="auto"/>
        </w:rPr>
        <w:t>2</w:t>
      </w:r>
      <w:r>
        <w:rPr>
          <w:rFonts w:ascii="Arial" w:cs="Arial" w:eastAsia="Arial" w:hAnsi="Arial"/>
          <w:sz w:val="18"/>
          <w:szCs w:val="18"/>
          <w:color w:val="auto"/>
        </w:rPr>
        <w:t xml:space="preserve"> in the form of annuity required under the IRC.</w:t>
      </w:r>
    </w:p>
    <w:p>
      <w:pPr>
        <w:spacing w:after="0" w:line="198"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The pension formula for the qualified plan is intended to provide a participant with an annual retirement benefit equal to 1.5 percent multiplied by the product of (i) years of credited service and (ii) the average of the five highest consecutive years of the participant’s base salary plus bonus up to a limit imposed by the IRS, less a percentage (based on the participant’s year of birth, when the participant elects to retire and the participant’s years of service with TI) of the amount of compensation on which the participant’s Social Security benefit is based.</w:t>
      </w:r>
    </w:p>
    <w:p>
      <w:pPr>
        <w:spacing w:after="0" w:line="202"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auto"/>
        </w:rPr>
        <w:t>If an individual takes early retirement and chooses to begin receiving an annual retirement benefit at that time, such benefit is reduced by an early retirement factor. As a result, the annual benefit is lower than the one the participant would have received at age 65.</w:t>
      </w:r>
    </w:p>
    <w:p>
      <w:pPr>
        <w:spacing w:after="0" w:line="197"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Participants whose employment terminates due to disability may choose to receive their accrued benefits at any time prior to age 65. Alternatively, the participant may choose to defer receipt of the accrued benefit until reaching age 65 and then take a disability benefit. The disability benefit paid at age 65 is based on salary and bonus, years of credited service the participant would have accrued to age 65 had the participant not become disabled, and disabled status.</w:t>
      </w:r>
    </w:p>
    <w:p>
      <w:pPr>
        <w:spacing w:after="0" w:line="132" w:lineRule="exact"/>
        <w:rPr>
          <w:sz w:val="20"/>
          <w:szCs w:val="20"/>
          <w:color w:val="auto"/>
        </w:rPr>
      </w:pPr>
    </w:p>
    <w:tbl>
      <w:tblPr>
        <w:tblLayout w:type="fixed"/>
        <w:tblInd w:w="4040" w:type="dxa"/>
        <w:tblCellMar>
          <w:top w:w="0" w:type="dxa"/>
          <w:left w:w="0" w:type="dxa"/>
          <w:bottom w:w="0" w:type="dxa"/>
          <w:right w:w="0" w:type="dxa"/>
        </w:tblCellMar>
      </w:tblPr>
      <w:tr>
        <w:trPr>
          <w:trHeight w:val="152"/>
        </w:trPr>
        <w:tc>
          <w:tcPr>
            <w:tcW w:w="5080" w:type="dxa"/>
            <w:vAlign w:val="bottom"/>
          </w:tcPr>
          <w:p>
            <w:pPr>
              <w:spacing w:after="0"/>
              <w:rPr>
                <w:sz w:val="20"/>
                <w:szCs w:val="20"/>
                <w:color w:val="auto"/>
              </w:rPr>
            </w:pPr>
            <w:r>
              <w:rPr>
                <w:rFonts w:ascii="Arial" w:cs="Arial" w:eastAsia="Arial" w:hAnsi="Arial"/>
                <w:sz w:val="13"/>
                <w:szCs w:val="13"/>
                <w:color w:val="666666"/>
              </w:rPr>
              <w:t>TEXAS INSTRUMENTS  •  2020 PROXY STATEMENT</w:t>
            </w:r>
          </w:p>
        </w:tc>
        <w:tc>
          <w:tcPr>
            <w:tcW w:w="2000" w:type="dxa"/>
            <w:vAlign w:val="bottom"/>
          </w:tcPr>
          <w:p>
            <w:pPr>
              <w:jc w:val="right"/>
              <w:spacing w:after="0"/>
              <w:rPr>
                <w:sz w:val="20"/>
                <w:szCs w:val="20"/>
                <w:color w:val="auto"/>
              </w:rPr>
            </w:pPr>
            <w:r>
              <w:rPr>
                <w:rFonts w:ascii="Arial" w:cs="Arial" w:eastAsia="Arial" w:hAnsi="Arial"/>
                <w:sz w:val="13"/>
                <w:szCs w:val="13"/>
                <w:color w:val="666666"/>
              </w:rPr>
              <w:t>37</w:t>
            </w:r>
          </w:p>
        </w:tc>
      </w:tr>
    </w:tbl>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20"/>
        <w:spacing w:after="0"/>
        <w:rPr>
          <w:sz w:val="20"/>
          <w:szCs w:val="20"/>
          <w:color w:val="auto"/>
        </w:rPr>
      </w:pPr>
      <w:r>
        <w:rPr>
          <w:rFonts w:ascii="Arial" w:cs="Arial" w:eastAsia="Arial" w:hAnsi="Arial"/>
          <w:sz w:val="18"/>
          <w:szCs w:val="18"/>
          <w:color w:val="auto"/>
        </w:rPr>
        <w:t>The benefit payable in the event of death is based on salary and bonus, years of credited service and age at the time of death, and may be in the form of a lump sum or annuity at the election of the beneficiary. The earliest date of payment is the first day of the second calendar month following the month of death.</w:t>
      </w:r>
    </w:p>
    <w:p>
      <w:pPr>
        <w:spacing w:after="0" w:line="203" w:lineRule="exact"/>
        <w:rPr>
          <w:sz w:val="20"/>
          <w:szCs w:val="20"/>
          <w:color w:val="auto"/>
        </w:rPr>
      </w:pPr>
    </w:p>
    <w:p>
      <w:pPr>
        <w:ind w:left="120" w:right="160"/>
        <w:spacing w:after="0" w:line="246" w:lineRule="auto"/>
        <w:rPr>
          <w:sz w:val="20"/>
          <w:szCs w:val="20"/>
          <w:color w:val="auto"/>
        </w:rPr>
      </w:pPr>
      <w:r>
        <w:rPr>
          <w:rFonts w:ascii="Arial" w:cs="Arial" w:eastAsia="Arial" w:hAnsi="Arial"/>
          <w:sz w:val="18"/>
          <w:szCs w:val="18"/>
          <w:color w:val="auto"/>
        </w:rPr>
        <w:t>Leaves of absence, including a bridge to retirement, are credited to years of service under the qualified pension plan. See the discussion of leaves of absence under “Potential payments upon termination or change in control – Termination – Perquisites.”</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TI employees non-qualified pension plans</w:t>
      </w:r>
    </w:p>
    <w:p>
      <w:pPr>
        <w:spacing w:after="0" w:line="212"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TI has two non-qualified pension plans: the TI Employees Non-Qualified Pension Plan (Plan I), which governs amounts earned before 2005; and the TI Employees Non-Qualified Pension Plan II (Plan II), which governs amounts earned after 2004. Each is a non-qualified defined benefit pension plan. See “Benefits – Retirement plans” for a discussion of the purpose of the plans. As with the qualified defined benefit pension plan, employees who joined the U.S. payroll after November 30, 1997, are not eligible to participate in Plan I or Plan II. Eligibility for normal and early retirement under these plans is the same as under the qualified plan (see above). Benefits are paid in a lump sum.</w:t>
      </w:r>
    </w:p>
    <w:p>
      <w:pPr>
        <w:spacing w:after="0" w:line="205"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A participant’s benefits under Plan I and Plan II are calculated using the same formula as described above for the TI Employees Pension Plan. However, the IRS limit on the amount of compensation on which a qualified pension benefit may be calculated does not apply. Additionally, the IRS limit on the amount of qualified benefit the participant may receive does not apply to these plans. Once this non-qualified benefit amount has been determined using the formula described above, the individual’s qualified benefit is subtracted from it. The resulting difference is multiplied by an age-based factor to obtain the amount of the lump-sum benefit payable to an individual under the non-qualified plans.</w:t>
      </w:r>
    </w:p>
    <w:p>
      <w:pPr>
        <w:spacing w:after="0" w:line="205"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Amounts under Plan I will be distributed when payment of the participant’s benefit under the qualified pension plan commences. Amounts under Plan II will be distributed subject to the requirements of Section 409A of the IRC. Because the named executive officers are among the 50 most highly compensated officers of the company, Section 409A of the IRC requires that they not receive any lump-sum distribution payment under Plan II before the first day of the seventh month following termination of employment.</w:t>
      </w:r>
    </w:p>
    <w:p>
      <w:pPr>
        <w:spacing w:after="0" w:line="205" w:lineRule="exact"/>
        <w:rPr>
          <w:sz w:val="20"/>
          <w:szCs w:val="20"/>
          <w:color w:val="auto"/>
        </w:rPr>
      </w:pPr>
    </w:p>
    <w:p>
      <w:pPr>
        <w:jc w:val="both"/>
        <w:ind w:left="120" w:right="340"/>
        <w:spacing w:after="0"/>
        <w:rPr>
          <w:sz w:val="20"/>
          <w:szCs w:val="20"/>
          <w:color w:val="auto"/>
        </w:rPr>
      </w:pPr>
      <w:r>
        <w:rPr>
          <w:rFonts w:ascii="Arial" w:cs="Arial" w:eastAsia="Arial" w:hAnsi="Arial"/>
          <w:sz w:val="18"/>
          <w:szCs w:val="18"/>
          <w:color w:val="auto"/>
        </w:rPr>
        <w:t>If a participant terminates due to disability, amounts under Plan I will be distributed when payment of the participant’s benefit under the qualified plan commences. For amounts under Plan II, distribution is governed by Section 409A of the IRC, and the disability benefit is reduced to reflect the payment of the benefit prior to age 65.</w:t>
      </w:r>
    </w:p>
    <w:p>
      <w:pPr>
        <w:spacing w:after="0" w:line="203" w:lineRule="exact"/>
        <w:rPr>
          <w:sz w:val="20"/>
          <w:szCs w:val="20"/>
          <w:color w:val="auto"/>
        </w:rPr>
      </w:pPr>
    </w:p>
    <w:p>
      <w:pPr>
        <w:jc w:val="both"/>
        <w:ind w:left="120" w:right="100"/>
        <w:spacing w:after="0" w:line="274" w:lineRule="auto"/>
        <w:rPr>
          <w:sz w:val="20"/>
          <w:szCs w:val="20"/>
          <w:color w:val="auto"/>
        </w:rPr>
      </w:pPr>
      <w:r>
        <w:rPr>
          <w:rFonts w:ascii="Arial" w:cs="Arial" w:eastAsia="Arial" w:hAnsi="Arial"/>
          <w:sz w:val="17"/>
          <w:szCs w:val="17"/>
          <w:color w:val="auto"/>
        </w:rPr>
        <w:t>In the event of death, payment under both plans is based on salary and bonus, years of credited service and age at the time of death and will be in the form of a lump sum. The earliest date of payment is the first day of the second calendar month following the month of death.</w:t>
      </w:r>
    </w:p>
    <w:p>
      <w:pPr>
        <w:spacing w:after="0" w:line="175"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Balances in the plans are unsecured obligations of the company. For amounts under Plan I, in the event of a change in control, the present value of the individual’s benefit would be paid not later than the month following the month in which the change in control occurred. For such amounts, the pre-2010 definition of a change in control (see the discussion following the Outstanding equity awards at fiscal year-end 2019 table) applies. For all amounts accrued under this plan, if a sale of substantially all of the assets of the company occurred, the present value of the individual’s benefit would be distributed in a lump sum as soon as reasonably practicable following the sale of assets. For amounts under Plan II, no distribution of benefits is triggered by a change in control.</w:t>
      </w:r>
    </w:p>
    <w:p>
      <w:pPr>
        <w:spacing w:after="0" w:line="205" w:lineRule="exact"/>
        <w:rPr>
          <w:sz w:val="20"/>
          <w:szCs w:val="20"/>
          <w:color w:val="auto"/>
        </w:rPr>
      </w:pPr>
    </w:p>
    <w:p>
      <w:pPr>
        <w:ind w:left="120" w:right="800"/>
        <w:spacing w:after="0" w:line="246" w:lineRule="auto"/>
        <w:rPr>
          <w:sz w:val="20"/>
          <w:szCs w:val="20"/>
          <w:color w:val="auto"/>
        </w:rPr>
      </w:pPr>
      <w:r>
        <w:rPr>
          <w:rFonts w:ascii="Arial" w:cs="Arial" w:eastAsia="Arial" w:hAnsi="Arial"/>
          <w:sz w:val="18"/>
          <w:szCs w:val="18"/>
          <w:color w:val="auto"/>
        </w:rPr>
        <w:t>Leaves of absence, including a bridge to retirement, are credited to years of service under the non-qualified pension plans. For a discussion of leaves of absence, see “Potential payments upon termination or change in control – Termination – Perquisites.”</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TI Employees Survivor Benefit Plan</w:t>
      </w:r>
    </w:p>
    <w:p>
      <w:pPr>
        <w:spacing w:after="0" w:line="212"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TI’s qualified and non-qualified pension plans provide that upon the death of a retirement-eligible employee, the employee’s beneficiary receives a payment equal to half of the benefit to which the employee would have been entitled under the pension plans had the employee retired instead of died. We have a survivor benefit plan that pays the beneficiary a lump sum that, when added to the reduced amounts the beneficiary receives under the pension plans, equals the benefit the employee would have been entitled to receive had the employee retired instead of died. Because Messrs. Templeton and Delagi were eligible for early retirement as of December 31, 2019, their beneficiaries would be eligible for benefits under the survivor benefit plan if they were to die.</w:t>
      </w:r>
    </w:p>
    <w:p>
      <w:pPr>
        <w:spacing w:after="0" w:line="132" w:lineRule="exact"/>
        <w:rPr>
          <w:sz w:val="20"/>
          <w:szCs w:val="20"/>
          <w:color w:val="auto"/>
        </w:rPr>
      </w:pPr>
    </w:p>
    <w:p>
      <w:pPr>
        <w:ind w:left="120"/>
        <w:spacing w:after="0"/>
        <w:tabs>
          <w:tab w:leader="none" w:pos="4020" w:val="left"/>
          <w:tab w:leader="none" w:pos="5500" w:val="left"/>
          <w:tab w:leader="none" w:pos="5700" w:val="left"/>
        </w:tabs>
        <w:rPr>
          <w:sz w:val="20"/>
          <w:szCs w:val="20"/>
          <w:color w:val="auto"/>
        </w:rPr>
      </w:pPr>
      <w:r>
        <w:rPr>
          <w:rFonts w:ascii="Arial" w:cs="Arial" w:eastAsia="Arial" w:hAnsi="Arial"/>
          <w:sz w:val="13"/>
          <w:szCs w:val="13"/>
          <w:color w:val="666666"/>
        </w:rPr>
        <w:t>38</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2020 PROXY STATEMENT</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2019 non-qualified deferred compensation</w:t>
      </w:r>
    </w:p>
    <w:p>
      <w:pPr>
        <w:spacing w:after="0" w:line="229" w:lineRule="exact"/>
        <w:rPr>
          <w:sz w:val="20"/>
          <w:szCs w:val="20"/>
          <w:color w:val="auto"/>
        </w:rPr>
      </w:pPr>
    </w:p>
    <w:p>
      <w:pPr>
        <w:ind w:left="120" w:right="460"/>
        <w:spacing w:after="0" w:line="246" w:lineRule="auto"/>
        <w:rPr>
          <w:sz w:val="20"/>
          <w:szCs w:val="20"/>
          <w:color w:val="auto"/>
        </w:rPr>
      </w:pPr>
      <w:r>
        <w:rPr>
          <w:rFonts w:ascii="Arial" w:cs="Arial" w:eastAsia="Arial" w:hAnsi="Arial"/>
          <w:sz w:val="18"/>
          <w:szCs w:val="18"/>
          <w:color w:val="auto"/>
        </w:rPr>
        <w:t>The following table shows contributions to each named executive officer’s deferred compensation account in 2019 and the aggregate amount of his deferred compensation as of December 31, 2019.</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2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Executive</w:t>
            </w:r>
          </w:p>
        </w:tc>
        <w:tc>
          <w:tcPr>
            <w:tcW w:w="2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Registrant</w:t>
            </w: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240" w:type="dxa"/>
            <w:vAlign w:val="bottom"/>
          </w:tcPr>
          <w:p>
            <w:pPr>
              <w:spacing w:after="0"/>
              <w:rPr>
                <w:sz w:val="14"/>
                <w:szCs w:val="14"/>
                <w:color w:val="auto"/>
              </w:rPr>
            </w:pPr>
          </w:p>
        </w:tc>
        <w:tc>
          <w:tcPr>
            <w:tcW w:w="980" w:type="dxa"/>
            <w:vAlign w:val="bottom"/>
          </w:tcPr>
          <w:p>
            <w:pPr>
              <w:jc w:val="center"/>
              <w:ind w:left="17"/>
              <w:spacing w:after="0"/>
              <w:rPr>
                <w:sz w:val="20"/>
                <w:szCs w:val="20"/>
                <w:color w:val="auto"/>
              </w:rPr>
            </w:pPr>
            <w:r>
              <w:rPr>
                <w:rFonts w:ascii="Arial" w:cs="Arial" w:eastAsia="Arial" w:hAnsi="Arial"/>
                <w:sz w:val="14"/>
                <w:szCs w:val="14"/>
                <w:b w:val="1"/>
                <w:bCs w:val="1"/>
                <w:color w:val="auto"/>
              </w:rPr>
              <w:t>Aggregate</w:t>
            </w:r>
          </w:p>
        </w:tc>
        <w:tc>
          <w:tcPr>
            <w:tcW w:w="260" w:type="dxa"/>
            <w:vAlign w:val="bottom"/>
          </w:tcPr>
          <w:p>
            <w:pPr>
              <w:spacing w:after="0"/>
              <w:rPr>
                <w:sz w:val="14"/>
                <w:szCs w:val="14"/>
                <w:color w:val="auto"/>
              </w:rPr>
            </w:pPr>
          </w:p>
        </w:tc>
      </w:tr>
      <w:tr>
        <w:trPr>
          <w:trHeight w:val="162"/>
        </w:trPr>
        <w:tc>
          <w:tcPr>
            <w:tcW w:w="1700" w:type="dxa"/>
            <w:vAlign w:val="bottom"/>
          </w:tcPr>
          <w:p>
            <w:pPr>
              <w:spacing w:after="0"/>
              <w:rPr>
                <w:sz w:val="14"/>
                <w:szCs w:val="14"/>
                <w:color w:val="auto"/>
              </w:rPr>
            </w:pPr>
          </w:p>
        </w:tc>
        <w:tc>
          <w:tcPr>
            <w:tcW w:w="2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Contributions</w:t>
            </w:r>
          </w:p>
        </w:tc>
        <w:tc>
          <w:tcPr>
            <w:tcW w:w="2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Contributions</w:t>
            </w:r>
          </w:p>
        </w:tc>
        <w:tc>
          <w:tcPr>
            <w:tcW w:w="218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Aggregate Earnings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Withdrawals/</w:t>
            </w:r>
          </w:p>
        </w:tc>
        <w:tc>
          <w:tcPr>
            <w:tcW w:w="240" w:type="dxa"/>
            <w:vAlign w:val="bottom"/>
          </w:tcPr>
          <w:p>
            <w:pPr>
              <w:spacing w:after="0"/>
              <w:rPr>
                <w:sz w:val="14"/>
                <w:szCs w:val="14"/>
                <w:color w:val="auto"/>
              </w:rPr>
            </w:pPr>
          </w:p>
        </w:tc>
        <w:tc>
          <w:tcPr>
            <w:tcW w:w="124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rPr>
              <w:t>Balance at Last</w:t>
            </w:r>
          </w:p>
        </w:tc>
      </w:tr>
      <w:tr>
        <w:trPr>
          <w:trHeight w:val="189"/>
        </w:trPr>
        <w:tc>
          <w:tcPr>
            <w:tcW w:w="1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 Last FY ($) (1)</w:t>
            </w:r>
          </w:p>
        </w:tc>
        <w:tc>
          <w:tcPr>
            <w:tcW w:w="2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 Last FY ($) (2)</w:t>
            </w:r>
          </w:p>
        </w:tc>
        <w:tc>
          <w:tcPr>
            <w:tcW w:w="218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4"/>
                <w:szCs w:val="14"/>
                <w:b w:val="1"/>
                <w:bCs w:val="1"/>
                <w:color w:val="auto"/>
              </w:rPr>
              <w:t>in Last FY ($)</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Distributions ($)</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rPr>
              <w:t>FYE ($) (5)</w:t>
            </w:r>
          </w:p>
        </w:tc>
        <w:tc>
          <w:tcPr>
            <w:tcW w:w="260" w:type="dxa"/>
            <w:vAlign w:val="bottom"/>
            <w:tcBorders>
              <w:bottom w:val="single" w:sz="8" w:color="auto"/>
            </w:tcBorders>
          </w:tcPr>
          <w:p>
            <w:pPr>
              <w:spacing w:after="0"/>
              <w:rPr>
                <w:sz w:val="16"/>
                <w:szCs w:val="16"/>
                <w:color w:val="auto"/>
              </w:rPr>
            </w:pPr>
          </w:p>
        </w:tc>
      </w:tr>
      <w:tr>
        <w:trPr>
          <w:trHeight w:val="196"/>
        </w:trPr>
        <w:tc>
          <w:tcPr>
            <w:tcW w:w="170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R. K. Templeton</w:t>
            </w:r>
          </w:p>
        </w:tc>
        <w:tc>
          <w:tcPr>
            <w:tcW w:w="2020" w:type="dxa"/>
            <w:vAlign w:val="bottom"/>
            <w:gridSpan w:val="2"/>
            <w:shd w:val="clear" w:color="auto" w:fill="E5E5E5"/>
          </w:tcPr>
          <w:p>
            <w:pPr>
              <w:jc w:val="right"/>
              <w:ind w:right="530"/>
              <w:spacing w:after="0" w:line="196" w:lineRule="exact"/>
              <w:rPr>
                <w:sz w:val="20"/>
                <w:szCs w:val="20"/>
                <w:color w:val="auto"/>
              </w:rPr>
            </w:pPr>
            <w:r>
              <w:rPr>
                <w:rFonts w:ascii="Arial" w:cs="Arial" w:eastAsia="Arial" w:hAnsi="Arial"/>
                <w:sz w:val="18"/>
                <w:szCs w:val="18"/>
                <w:color w:val="auto"/>
              </w:rPr>
              <w:t>$ 190,875</w:t>
            </w:r>
          </w:p>
        </w:tc>
        <w:tc>
          <w:tcPr>
            <w:tcW w:w="2060" w:type="dxa"/>
            <w:vAlign w:val="bottom"/>
            <w:gridSpan w:val="2"/>
            <w:shd w:val="clear" w:color="auto" w:fill="E5E5E5"/>
          </w:tcPr>
          <w:p>
            <w:pPr>
              <w:jc w:val="right"/>
              <w:ind w:right="550"/>
              <w:spacing w:after="0" w:line="196" w:lineRule="exact"/>
              <w:rPr>
                <w:sz w:val="20"/>
                <w:szCs w:val="20"/>
                <w:color w:val="auto"/>
              </w:rPr>
            </w:pPr>
            <w:r>
              <w:rPr>
                <w:rFonts w:ascii="Arial" w:cs="Arial" w:eastAsia="Arial" w:hAnsi="Arial"/>
                <w:sz w:val="18"/>
                <w:szCs w:val="18"/>
                <w:color w:val="auto"/>
              </w:rPr>
              <w:t>$ 276,044</w:t>
            </w:r>
          </w:p>
        </w:tc>
        <w:tc>
          <w:tcPr>
            <w:tcW w:w="2180" w:type="dxa"/>
            <w:vAlign w:val="bottom"/>
            <w:gridSpan w:val="2"/>
            <w:shd w:val="clear" w:color="auto" w:fill="E5E5E5"/>
          </w:tcPr>
          <w:p>
            <w:pPr>
              <w:jc w:val="right"/>
              <w:ind w:right="170"/>
              <w:spacing w:after="0" w:line="196" w:lineRule="exact"/>
              <w:rPr>
                <w:sz w:val="20"/>
                <w:szCs w:val="20"/>
                <w:color w:val="auto"/>
              </w:rPr>
            </w:pPr>
            <w:r>
              <w:rPr>
                <w:rFonts w:ascii="Arial" w:cs="Arial" w:eastAsia="Arial" w:hAnsi="Arial"/>
                <w:sz w:val="18"/>
                <w:szCs w:val="18"/>
                <w:color w:val="auto"/>
              </w:rPr>
              <w:t>$ 4,671,523 (3)</w:t>
            </w:r>
          </w:p>
        </w:tc>
        <w:tc>
          <w:tcPr>
            <w:tcW w:w="1580" w:type="dxa"/>
            <w:vAlign w:val="bottom"/>
            <w:shd w:val="clear" w:color="auto" w:fill="E5E5E5"/>
          </w:tcPr>
          <w:p>
            <w:pPr>
              <w:jc w:val="right"/>
              <w:ind w:right="57"/>
              <w:spacing w:after="0" w:line="196" w:lineRule="exact"/>
              <w:rPr>
                <w:sz w:val="20"/>
                <w:szCs w:val="20"/>
                <w:color w:val="auto"/>
              </w:rPr>
            </w:pPr>
            <w:r>
              <w:rPr>
                <w:rFonts w:ascii="Arial" w:cs="Arial" w:eastAsia="Arial" w:hAnsi="Arial"/>
                <w:sz w:val="18"/>
                <w:szCs w:val="18"/>
                <w:color w:val="auto"/>
              </w:rPr>
              <w:t>$1,156,570 (4)</w:t>
            </w:r>
          </w:p>
        </w:tc>
        <w:tc>
          <w:tcPr>
            <w:tcW w:w="24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17,433,129</w:t>
            </w:r>
          </w:p>
        </w:tc>
        <w:tc>
          <w:tcPr>
            <w:tcW w:w="26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R. R. Lizardi</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52,400</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74,606</w:t>
            </w:r>
          </w:p>
        </w:tc>
        <w:tc>
          <w:tcPr>
            <w:tcW w:w="9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78,632</w:t>
            </w:r>
          </w:p>
        </w:tc>
        <w:tc>
          <w:tcPr>
            <w:tcW w:w="1580" w:type="dxa"/>
            <w:vAlign w:val="bottom"/>
          </w:tcPr>
          <w:p>
            <w:pPr>
              <w:jc w:val="right"/>
              <w:ind w:right="317"/>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616,316</w:t>
            </w:r>
          </w:p>
        </w:tc>
        <w:tc>
          <w:tcPr>
            <w:tcW w:w="260" w:type="dxa"/>
            <w:vAlign w:val="bottom"/>
          </w:tcPr>
          <w:p>
            <w:pPr>
              <w:spacing w:after="0"/>
              <w:rPr>
                <w:sz w:val="17"/>
                <w:szCs w:val="17"/>
                <w:color w:val="auto"/>
              </w:rPr>
            </w:pPr>
          </w:p>
        </w:tc>
      </w:tr>
      <w:tr>
        <w:trPr>
          <w:trHeight w:val="203"/>
        </w:trPr>
        <w:tc>
          <w:tcPr>
            <w:tcW w:w="17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 Anderskouv</w:t>
            </w:r>
          </w:p>
        </w:tc>
        <w:tc>
          <w:tcPr>
            <w:tcW w:w="7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E5E5E5"/>
          </w:tcPr>
          <w:p>
            <w:pPr>
              <w:jc w:val="right"/>
              <w:ind w:right="530"/>
              <w:spacing w:after="0" w:line="202" w:lineRule="exact"/>
              <w:rPr>
                <w:sz w:val="20"/>
                <w:szCs w:val="20"/>
                <w:color w:val="auto"/>
              </w:rPr>
            </w:pPr>
            <w:r>
              <w:rPr>
                <w:rFonts w:ascii="Arial" w:cs="Arial" w:eastAsia="Arial" w:hAnsi="Arial"/>
                <w:sz w:val="18"/>
                <w:szCs w:val="18"/>
                <w:color w:val="auto"/>
              </w:rPr>
              <w:t>49,817</w:t>
            </w:r>
          </w:p>
        </w:tc>
        <w:tc>
          <w:tcPr>
            <w:tcW w:w="7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E5E5E5"/>
          </w:tcPr>
          <w:p>
            <w:pPr>
              <w:jc w:val="right"/>
              <w:ind w:right="550"/>
              <w:spacing w:after="0" w:line="202" w:lineRule="exact"/>
              <w:rPr>
                <w:sz w:val="20"/>
                <w:szCs w:val="20"/>
                <w:color w:val="auto"/>
              </w:rPr>
            </w:pPr>
            <w:r>
              <w:rPr>
                <w:rFonts w:ascii="Arial" w:cs="Arial" w:eastAsia="Arial" w:hAnsi="Arial"/>
                <w:sz w:val="18"/>
                <w:szCs w:val="18"/>
                <w:color w:val="auto"/>
              </w:rPr>
              <w:t>87,066</w:t>
            </w:r>
          </w:p>
        </w:tc>
        <w:tc>
          <w:tcPr>
            <w:tcW w:w="900" w:type="dxa"/>
            <w:vAlign w:val="bottom"/>
            <w:shd w:val="clear" w:color="auto" w:fill="E5E5E5"/>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E5E5E5"/>
          </w:tcPr>
          <w:p>
            <w:pPr>
              <w:jc w:val="right"/>
              <w:ind w:right="430"/>
              <w:spacing w:after="0" w:line="202" w:lineRule="exact"/>
              <w:rPr>
                <w:sz w:val="20"/>
                <w:szCs w:val="20"/>
                <w:color w:val="auto"/>
              </w:rPr>
            </w:pPr>
            <w:r>
              <w:rPr>
                <w:rFonts w:ascii="Arial" w:cs="Arial" w:eastAsia="Arial" w:hAnsi="Arial"/>
                <w:sz w:val="18"/>
                <w:szCs w:val="18"/>
                <w:color w:val="auto"/>
              </w:rPr>
              <w:t>133,584</w:t>
            </w:r>
          </w:p>
        </w:tc>
        <w:tc>
          <w:tcPr>
            <w:tcW w:w="1580" w:type="dxa"/>
            <w:vAlign w:val="bottom"/>
            <w:shd w:val="clear" w:color="auto" w:fill="E5E5E5"/>
          </w:tcPr>
          <w:p>
            <w:pPr>
              <w:jc w:val="right"/>
              <w:ind w:right="317"/>
              <w:spacing w:after="0" w:line="202" w:lineRule="exact"/>
              <w:rPr>
                <w:sz w:val="20"/>
                <w:szCs w:val="20"/>
                <w:color w:val="auto"/>
              </w:rPr>
            </w:pPr>
            <w:r>
              <w:rPr>
                <w:rFonts w:ascii="Arial" w:cs="Arial" w:eastAsia="Arial" w:hAnsi="Arial"/>
                <w:sz w:val="18"/>
                <w:szCs w:val="18"/>
                <w:color w:val="auto"/>
              </w:rPr>
              <w:t>$   54,196</w:t>
            </w:r>
          </w:p>
        </w:tc>
        <w:tc>
          <w:tcPr>
            <w:tcW w:w="2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558,223</w:t>
            </w:r>
          </w:p>
        </w:tc>
        <w:tc>
          <w:tcPr>
            <w:tcW w:w="260" w:type="dxa"/>
            <w:vAlign w:val="bottom"/>
            <w:shd w:val="clear" w:color="auto" w:fill="E5E5E5"/>
          </w:tcPr>
          <w:p>
            <w:pPr>
              <w:spacing w:after="0"/>
              <w:rPr>
                <w:sz w:val="17"/>
                <w:szCs w:val="17"/>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R. G. Delagi</w:t>
            </w:r>
          </w:p>
        </w:tc>
        <w:tc>
          <w:tcPr>
            <w:tcW w:w="780" w:type="dxa"/>
            <w:vAlign w:val="bottom"/>
          </w:tcPr>
          <w:p>
            <w:pPr>
              <w:spacing w:after="0"/>
              <w:rPr>
                <w:sz w:val="17"/>
                <w:szCs w:val="17"/>
                <w:color w:val="auto"/>
              </w:rPr>
            </w:pPr>
          </w:p>
        </w:tc>
        <w:tc>
          <w:tcPr>
            <w:tcW w:w="124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spacing w:after="0"/>
              <w:rPr>
                <w:sz w:val="17"/>
                <w:szCs w:val="17"/>
                <w:color w:val="auto"/>
              </w:rPr>
            </w:pPr>
          </w:p>
        </w:tc>
        <w:tc>
          <w:tcPr>
            <w:tcW w:w="128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128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1580" w:type="dxa"/>
            <w:vAlign w:val="bottom"/>
          </w:tcPr>
          <w:p>
            <w:pPr>
              <w:jc w:val="right"/>
              <w:ind w:right="317"/>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r>
      <w:tr>
        <w:trPr>
          <w:trHeight w:val="203"/>
        </w:trPr>
        <w:tc>
          <w:tcPr>
            <w:tcW w:w="17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H. Ilan</w:t>
            </w:r>
          </w:p>
        </w:tc>
        <w:tc>
          <w:tcPr>
            <w:tcW w:w="2020" w:type="dxa"/>
            <w:vAlign w:val="bottom"/>
            <w:gridSpan w:val="2"/>
            <w:shd w:val="clear" w:color="auto" w:fill="E5E5E5"/>
          </w:tcPr>
          <w:p>
            <w:pPr>
              <w:jc w:val="right"/>
              <w:ind w:right="530"/>
              <w:spacing w:after="0" w:line="202" w:lineRule="exact"/>
              <w:rPr>
                <w:sz w:val="20"/>
                <w:szCs w:val="20"/>
                <w:color w:val="auto"/>
              </w:rPr>
            </w:pPr>
            <w:r>
              <w:rPr>
                <w:rFonts w:ascii="Arial" w:cs="Arial" w:eastAsia="Arial" w:hAnsi="Arial"/>
                <w:sz w:val="18"/>
                <w:szCs w:val="18"/>
                <w:color w:val="auto"/>
              </w:rPr>
              <w:t>$ 162,700</w:t>
            </w:r>
          </w:p>
        </w:tc>
        <w:tc>
          <w:tcPr>
            <w:tcW w:w="7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E5E5E5"/>
          </w:tcPr>
          <w:p>
            <w:pPr>
              <w:jc w:val="right"/>
              <w:ind w:right="550"/>
              <w:spacing w:after="0" w:line="202" w:lineRule="exact"/>
              <w:rPr>
                <w:sz w:val="20"/>
                <w:szCs w:val="20"/>
                <w:color w:val="auto"/>
              </w:rPr>
            </w:pPr>
            <w:r>
              <w:rPr>
                <w:rFonts w:ascii="Arial" w:cs="Arial" w:eastAsia="Arial" w:hAnsi="Arial"/>
                <w:sz w:val="18"/>
                <w:szCs w:val="18"/>
                <w:color w:val="auto"/>
              </w:rPr>
              <w:t>56,921</w:t>
            </w:r>
          </w:p>
        </w:tc>
        <w:tc>
          <w:tcPr>
            <w:tcW w:w="900" w:type="dxa"/>
            <w:vAlign w:val="bottom"/>
            <w:shd w:val="clear" w:color="auto" w:fill="E5E5E5"/>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E5E5E5"/>
          </w:tcPr>
          <w:p>
            <w:pPr>
              <w:jc w:val="right"/>
              <w:ind w:right="430"/>
              <w:spacing w:after="0" w:line="202" w:lineRule="exact"/>
              <w:rPr>
                <w:sz w:val="20"/>
                <w:szCs w:val="20"/>
                <w:color w:val="auto"/>
              </w:rPr>
            </w:pPr>
            <w:r>
              <w:rPr>
                <w:rFonts w:ascii="Arial" w:cs="Arial" w:eastAsia="Arial" w:hAnsi="Arial"/>
                <w:sz w:val="18"/>
                <w:szCs w:val="18"/>
                <w:color w:val="auto"/>
              </w:rPr>
              <w:t>143,543</w:t>
            </w:r>
          </w:p>
        </w:tc>
        <w:tc>
          <w:tcPr>
            <w:tcW w:w="1580" w:type="dxa"/>
            <w:vAlign w:val="bottom"/>
            <w:shd w:val="clear" w:color="auto" w:fill="E5E5E5"/>
          </w:tcPr>
          <w:p>
            <w:pPr>
              <w:jc w:val="right"/>
              <w:ind w:right="317"/>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1,038,204</w:t>
            </w:r>
          </w:p>
        </w:tc>
        <w:tc>
          <w:tcPr>
            <w:tcW w:w="260" w:type="dxa"/>
            <w:vAlign w:val="bottom"/>
            <w:shd w:val="clear" w:color="auto" w:fill="E5E5E5"/>
          </w:tcPr>
          <w:p>
            <w:pPr>
              <w:spacing w:after="0"/>
              <w:rPr>
                <w:sz w:val="17"/>
                <w:szCs w:val="17"/>
                <w:color w:val="auto"/>
              </w:rPr>
            </w:pPr>
          </w:p>
        </w:tc>
      </w:tr>
    </w:tbl>
    <w:p>
      <w:pPr>
        <w:spacing w:after="0" w:line="121" w:lineRule="exact"/>
        <w:rPr>
          <w:sz w:val="20"/>
          <w:szCs w:val="20"/>
          <w:color w:val="auto"/>
        </w:rPr>
      </w:pPr>
    </w:p>
    <w:p>
      <w:pPr>
        <w:ind w:left="540" w:right="840" w:hanging="424"/>
        <w:spacing w:after="0" w:line="246"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Amounts shown for Mr. Templeton and Ilan include a portion of their salary and bonus paid in 2019; for Messrs. Lizardi and Anderskouv include a portion of their salary paid in 2019.</w:t>
      </w:r>
    </w:p>
    <w:p>
      <w:pPr>
        <w:spacing w:after="0" w:line="102" w:lineRule="exact"/>
        <w:rPr>
          <w:rFonts w:ascii="Arial" w:cs="Arial" w:eastAsia="Arial" w:hAnsi="Arial"/>
          <w:sz w:val="18"/>
          <w:szCs w:val="18"/>
          <w:color w:val="auto"/>
        </w:rPr>
      </w:pPr>
    </w:p>
    <w:p>
      <w:pPr>
        <w:ind w:left="540" w:right="1040" w:hanging="424"/>
        <w:spacing w:after="0" w:line="246"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Company matching contributions pursuant to the defined contribution plan. These amounts are included in the “All Other Compensation” column of the 2019 summary compensation table.</w:t>
      </w:r>
    </w:p>
    <w:p>
      <w:pPr>
        <w:spacing w:after="0" w:line="102" w:lineRule="exact"/>
        <w:rPr>
          <w:rFonts w:ascii="Arial" w:cs="Arial" w:eastAsia="Arial" w:hAnsi="Arial"/>
          <w:sz w:val="18"/>
          <w:szCs w:val="18"/>
          <w:color w:val="auto"/>
        </w:rPr>
      </w:pPr>
    </w:p>
    <w:p>
      <w:pPr>
        <w:ind w:left="540" w:right="40" w:hanging="424"/>
        <w:spacing w:after="0" w:line="234"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Consists of: (a) $385,200 in dividend equivalents paid under the 120,000-share 1995 RSU award previously discussed, settlement of which has been deferred until after termination of employment; (b) a $4,054,800 increase in the value of the RSU award (calculated by subtracting the value of the award at year-end 2018 from the value of the award at year-end 2019 (in both cases, the number of RSUs is multiplied by the closing price of TI common stock on the last trading date of the year)); and (c) a $231,523 gain in</w:t>
      </w:r>
    </w:p>
    <w:p>
      <w:pPr>
        <w:spacing w:after="0" w:line="2" w:lineRule="exact"/>
        <w:rPr>
          <w:rFonts w:ascii="Arial" w:cs="Arial" w:eastAsia="Arial" w:hAnsi="Arial"/>
          <w:sz w:val="18"/>
          <w:szCs w:val="18"/>
          <w:color w:val="auto"/>
        </w:rPr>
      </w:pPr>
    </w:p>
    <w:p>
      <w:pPr>
        <w:ind w:left="540" w:right="60"/>
        <w:spacing w:after="0" w:line="246" w:lineRule="auto"/>
        <w:rPr>
          <w:rFonts w:ascii="Arial" w:cs="Arial" w:eastAsia="Arial" w:hAnsi="Arial"/>
          <w:sz w:val="18"/>
          <w:szCs w:val="18"/>
          <w:color w:val="auto"/>
        </w:rPr>
      </w:pPr>
      <w:r>
        <w:rPr>
          <w:rFonts w:ascii="Arial" w:cs="Arial" w:eastAsia="Arial" w:hAnsi="Arial"/>
          <w:sz w:val="18"/>
          <w:szCs w:val="18"/>
          <w:color w:val="auto"/>
        </w:rPr>
        <w:t>Mr. Templeton’s deferred compensation account in 2019. Dividend equivalents are paid at the same rate as dividends on TI common stock.</w:t>
      </w:r>
    </w:p>
    <w:p>
      <w:pPr>
        <w:spacing w:after="0" w:line="102" w:lineRule="exact"/>
        <w:rPr>
          <w:rFonts w:ascii="Arial" w:cs="Arial" w:eastAsia="Arial" w:hAnsi="Arial"/>
          <w:sz w:val="18"/>
          <w:szCs w:val="18"/>
          <w:color w:val="auto"/>
        </w:rPr>
      </w:pPr>
    </w:p>
    <w:p>
      <w:pPr>
        <w:ind w:left="540" w:right="220" w:hanging="424"/>
        <w:spacing w:after="0" w:line="246"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Consists of dividend equivalents paid on the RSU award discussed in Note 3 and a $771,370 deferred compensation plan account distribution.</w:t>
      </w:r>
    </w:p>
    <w:p>
      <w:pPr>
        <w:spacing w:after="0" w:line="102" w:lineRule="exact"/>
        <w:rPr>
          <w:rFonts w:ascii="Arial" w:cs="Arial" w:eastAsia="Arial" w:hAnsi="Arial"/>
          <w:sz w:val="18"/>
          <w:szCs w:val="18"/>
          <w:color w:val="auto"/>
        </w:rPr>
      </w:pPr>
    </w:p>
    <w:p>
      <w:pPr>
        <w:jc w:val="both"/>
        <w:ind w:left="540" w:right="660" w:hanging="424"/>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amounts contributed by a named executive officer and by the company in prior years have been reported in the summary compensation table in previously filed proxy statements in the year earned to the extent he was a named executive officer for purposes of the SEC’s executive compensation disclosure.</w:t>
      </w:r>
    </w:p>
    <w:p>
      <w:pPr>
        <w:spacing w:after="0" w:line="108" w:lineRule="exact"/>
        <w:rPr>
          <w:rFonts w:ascii="Arial" w:cs="Arial" w:eastAsia="Arial" w:hAnsi="Arial"/>
          <w:sz w:val="18"/>
          <w:szCs w:val="18"/>
          <w:color w:val="auto"/>
        </w:rPr>
      </w:pPr>
    </w:p>
    <w:p>
      <w:pPr>
        <w:ind w:left="540" w:right="80" w:hanging="424"/>
        <w:spacing w:after="0" w:line="246"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Of this amount, $15,394,800 is attributable to Mr. Templeton’s 1995 RSU award, calculated as described in Note 3. The remainder is the balance of his deferred compensation account.</w:t>
      </w:r>
    </w:p>
    <w:p>
      <w:pPr>
        <w:spacing w:after="0" w:line="197" w:lineRule="exact"/>
        <w:rPr>
          <w:sz w:val="20"/>
          <w:szCs w:val="20"/>
          <w:color w:val="auto"/>
        </w:rPr>
      </w:pPr>
    </w:p>
    <w:p>
      <w:pPr>
        <w:ind w:left="120" w:right="360"/>
        <w:spacing w:after="0" w:line="248" w:lineRule="auto"/>
        <w:rPr>
          <w:sz w:val="20"/>
          <w:szCs w:val="20"/>
          <w:color w:val="auto"/>
        </w:rPr>
      </w:pPr>
      <w:r>
        <w:rPr>
          <w:rFonts w:ascii="Arial" w:cs="Arial" w:eastAsia="Arial" w:hAnsi="Arial"/>
          <w:sz w:val="17"/>
          <w:szCs w:val="17"/>
          <w:color w:val="auto"/>
        </w:rPr>
        <w:t>See “Benefits – Retirement plans” for a discussion of the purpose of the plan. An employee’s deferred compensation account contains eligible compensation the employee has elected to defer and contributions by the company that are in excess of the IRS limits on</w:t>
      </w:r>
    </w:p>
    <w:p>
      <w:pPr>
        <w:spacing w:after="0" w:line="1" w:lineRule="exact"/>
        <w:rPr>
          <w:sz w:val="20"/>
          <w:szCs w:val="20"/>
          <w:color w:val="auto"/>
        </w:rPr>
      </w:pPr>
    </w:p>
    <w:p>
      <w:pPr>
        <w:ind w:left="120" w:right="80" w:hanging="4"/>
        <w:spacing w:after="0" w:line="246" w:lineRule="auto"/>
        <w:tabs>
          <w:tab w:leader="none" w:pos="33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contributions the company may make to the enhanced defined contribution plan and (ii) matching contributions the company may make related to compensation the executive officer deferred into his deferred compensation account.</w:t>
      </w:r>
    </w:p>
    <w:p>
      <w:pPr>
        <w:spacing w:after="0" w:line="197" w:lineRule="exact"/>
        <w:rPr>
          <w:sz w:val="20"/>
          <w:szCs w:val="20"/>
          <w:color w:val="auto"/>
        </w:rPr>
      </w:pPr>
    </w:p>
    <w:p>
      <w:pPr>
        <w:ind w:left="120" w:right="200"/>
        <w:spacing w:after="0"/>
        <w:rPr>
          <w:sz w:val="20"/>
          <w:szCs w:val="20"/>
          <w:color w:val="auto"/>
        </w:rPr>
      </w:pPr>
      <w:r>
        <w:rPr>
          <w:rFonts w:ascii="Arial" w:cs="Arial" w:eastAsia="Arial" w:hAnsi="Arial"/>
          <w:sz w:val="18"/>
          <w:szCs w:val="18"/>
          <w:color w:val="auto"/>
        </w:rPr>
        <w:t>Participants in the deferred compensation plan may choose to defer up to (i) 25 percent of their base salary, (ii) 90 percent of their performance bonus, and (iii) 90 percent of profit sharing. Elections to defer compensation must be made in the calendar year prior to the year in which the compensation will be earned.</w:t>
      </w:r>
    </w:p>
    <w:p>
      <w:pPr>
        <w:spacing w:after="0" w:line="203"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During 2019, participants could choose to have their deferred compensation mirror the performance of one or more of the following mutual funds, each of which is managed by a third party (these alternatives, which may be changed at any time, are the same as those offered to participants in the defined contribution plans): BlackRock MSCI ACWI ex-U.S. IMI Index Lendable Fund F, Northern Trust Short Term Investment Fund, Northern Trust Aggregate Bond Index Fund-Lending, Northern Trust Russell 1000 Value Index Fund-Lending, Northern Trust Russell 1000 Growth Index Fund-Lending, Northern Trust Russell 2000 Index Fund-Lending, Northern Trust MidCap 400 Index Fund-Lending, BlackRock Equity Index Fund F, BlackRock (EAFE) (Europe, Australia, Far East) Equity Index Fund F, BlackRock Lifepath Index 2020 Fund F, BlackRock Lifepath Index 2030 Fund F, BlackRock Lifepath Index 2040 Fund F, BlackRock Lifepath Index 2050 Fund F, BlackRock Lifepath Index 2025 Fund F, BlackRock Lifepath Index 2035 Fund F, BlackRock Lifepath Index 2045 Fund F, BlackRock Lifepath Index 2055 Fund F, BlackRock Lifepath Index 2060 Fund F and BlackRock Lifepath Index Retirement Fund F.</w:t>
      </w:r>
    </w:p>
    <w:p>
      <w:pPr>
        <w:spacing w:after="0" w:line="207"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From among the available investment alternatives, participants may change their instructions relating to their deferred compensation daily. Earnings on a participant’s balance are determined solely by the performance of the investments that the participant has chosen. The company does not guarantee any minimum return on investments. A third party administers the company’s deferred compensation program.</w:t>
      </w:r>
    </w:p>
    <w:p>
      <w:pPr>
        <w:spacing w:after="0" w:line="132" w:lineRule="exact"/>
        <w:rPr>
          <w:sz w:val="20"/>
          <w:szCs w:val="20"/>
          <w:color w:val="auto"/>
        </w:rPr>
      </w:pPr>
    </w:p>
    <w:tbl>
      <w:tblPr>
        <w:tblLayout w:type="fixed"/>
        <w:tblInd w:w="4040" w:type="dxa"/>
        <w:tblCellMar>
          <w:top w:w="0" w:type="dxa"/>
          <w:left w:w="0" w:type="dxa"/>
          <w:bottom w:w="0" w:type="dxa"/>
          <w:right w:w="0" w:type="dxa"/>
        </w:tblCellMar>
      </w:tblPr>
      <w:tr>
        <w:trPr>
          <w:trHeight w:val="152"/>
        </w:trPr>
        <w:tc>
          <w:tcPr>
            <w:tcW w:w="5080" w:type="dxa"/>
            <w:vAlign w:val="bottom"/>
          </w:tcPr>
          <w:p>
            <w:pPr>
              <w:spacing w:after="0"/>
              <w:rPr>
                <w:sz w:val="20"/>
                <w:szCs w:val="20"/>
                <w:color w:val="auto"/>
              </w:rPr>
            </w:pPr>
            <w:r>
              <w:rPr>
                <w:rFonts w:ascii="Arial" w:cs="Arial" w:eastAsia="Arial" w:hAnsi="Arial"/>
                <w:sz w:val="13"/>
                <w:szCs w:val="13"/>
                <w:color w:val="666666"/>
              </w:rPr>
              <w:t>TEXAS INSTRUMENTS  •  2020 PROXY STATEMENT</w:t>
            </w:r>
          </w:p>
        </w:tc>
        <w:tc>
          <w:tcPr>
            <w:tcW w:w="2000" w:type="dxa"/>
            <w:vAlign w:val="bottom"/>
          </w:tcPr>
          <w:p>
            <w:pPr>
              <w:jc w:val="right"/>
              <w:spacing w:after="0"/>
              <w:rPr>
                <w:sz w:val="20"/>
                <w:szCs w:val="20"/>
                <w:color w:val="auto"/>
              </w:rPr>
            </w:pPr>
            <w:r>
              <w:rPr>
                <w:rFonts w:ascii="Arial" w:cs="Arial" w:eastAsia="Arial" w:hAnsi="Arial"/>
                <w:sz w:val="13"/>
                <w:szCs w:val="13"/>
                <w:color w:val="666666"/>
              </w:rPr>
              <w:t>39</w:t>
            </w:r>
          </w:p>
        </w:tc>
      </w:tr>
    </w:tbl>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A participant may request distribution from the plan in the case of an unforeseeable emergency. To obtain an unforeseeable emergency withdrawal, a participant must meet the requirements of Section 409A of the IRC. Otherwise, balances are paid to participants pursuant to their distribution elections and are subject to applicable IRC limitations.</w:t>
      </w:r>
    </w:p>
    <w:p>
      <w:pPr>
        <w:spacing w:after="0" w:line="203"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Amounts contributed by the company, and amounts earned and deferred by the participant for which there is a valid distribution election on file, will be distributed in accordance with the participant’s election. Annually participants may elect separate distribution dates for deferred compensation attributable to a participant’s (i) bonus and profit sharing and (ii) salary. Participants may elect that these distributions be in the form of a lump sum or annual installments to be paid out over a period of five or ten consecutive years. Amounts for which no valid distribution election is on file will be distributed three years from the date of deferral.</w:t>
      </w:r>
    </w:p>
    <w:p>
      <w:pPr>
        <w:spacing w:after="0" w:line="202" w:lineRule="exact"/>
        <w:rPr>
          <w:sz w:val="20"/>
          <w:szCs w:val="20"/>
          <w:color w:val="auto"/>
        </w:rPr>
      </w:pPr>
    </w:p>
    <w:p>
      <w:pPr>
        <w:jc w:val="both"/>
        <w:ind w:left="120" w:right="280"/>
        <w:spacing w:after="0"/>
        <w:rPr>
          <w:sz w:val="20"/>
          <w:szCs w:val="20"/>
          <w:color w:val="auto"/>
        </w:rPr>
      </w:pPr>
      <w:r>
        <w:rPr>
          <w:rFonts w:ascii="Arial" w:cs="Arial" w:eastAsia="Arial" w:hAnsi="Arial"/>
          <w:sz w:val="18"/>
          <w:szCs w:val="18"/>
          <w:color w:val="auto"/>
        </w:rPr>
        <w:t>In the event of the participant’s death, payment will be in the form of a lump sum and the earliest date of payment is the first day of the second calendar month following the month of death. For any other circumstance resulting in termination of employment, payments are distributed in accordance with the participant’s valid distribution election.</w:t>
      </w:r>
    </w:p>
    <w:p>
      <w:pPr>
        <w:spacing w:after="0" w:line="20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Like the balances under the non-qualified defined benefit pension plans, deferred compensation balances are unsecured obligations of the company. For amounts earned and deferred prior to 2010, a change in control does not trigger a distribution under the plan. For amounts earned and deferred after 2009, distribution occurs, to the extent permitted by Section 409A of the IRC, if the participant is involuntarily terminated within 24 months after a change in control. Change in control is the Plan definition.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Potential payments upon termination or change in control</w:t>
      </w:r>
    </w:p>
    <w:p>
      <w:pPr>
        <w:spacing w:after="0" w:line="229" w:lineRule="exact"/>
        <w:rPr>
          <w:sz w:val="20"/>
          <w:szCs w:val="20"/>
          <w:color w:val="auto"/>
        </w:rPr>
      </w:pPr>
    </w:p>
    <w:p>
      <w:pPr>
        <w:ind w:left="120" w:right="100"/>
        <w:spacing w:after="0" w:line="255" w:lineRule="auto"/>
        <w:rPr>
          <w:sz w:val="20"/>
          <w:szCs w:val="20"/>
          <w:color w:val="auto"/>
        </w:rPr>
      </w:pPr>
      <w:r>
        <w:rPr>
          <w:rFonts w:ascii="Arial" w:cs="Arial" w:eastAsia="Arial" w:hAnsi="Arial"/>
          <w:sz w:val="17"/>
          <w:szCs w:val="17"/>
          <w:color w:val="auto"/>
        </w:rPr>
        <w:t>None of the named executive officers has an employment contract with the company. They are eligible for benefits on generally the same terms as other U.S. employees upon termination of employment or change in control of the company. TI does not reimburse executive officers for any income or excise taxes that are payable by the executive as a result of payments relating to termination or change in control. For a discussion of the impact of these programs on the compensation decisions for 2019, see “Analysis of compensation determinations for 2019 – Total compensation” and “Compensation following employment termination or change in control.”</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Termination</w:t>
      </w:r>
    </w:p>
    <w:p>
      <w:pPr>
        <w:spacing w:after="0" w:line="212"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The following programs may result in payments to a named executive officer whose employment terminates. Most of these programs have been discussed above.</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Bonus</w:t>
      </w:r>
    </w:p>
    <w:p>
      <w:pPr>
        <w:spacing w:after="0" w:line="122"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Our policies concerning bonus and the timing of payments are described under “Compensation philosophy and elements.” Whether a bonus would be awarded under other circumstances and in what amount would depend on the facts and circumstances of termination and is subject to the Compensation Committee’s discretion. If awarded, bonuses are paid by the company.</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Qualified and non-qualified defined benefit pension plans</w:t>
      </w:r>
    </w:p>
    <w:p>
      <w:pPr>
        <w:spacing w:after="0" w:line="122"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The purposes of these plans are described under “Benefits – Retirement plans.” The formula for determining benefits, the forms of benefit and the timing of payments are described under “2019 pension benefits.” The amounts disbursed under the qualified and non-qualified plans are paid, respectively, by the TI Employees Pension Trust and the company.</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Survivor benefit plan</w:t>
      </w:r>
    </w:p>
    <w:p>
      <w:pPr>
        <w:spacing w:after="0" w:line="122" w:lineRule="exact"/>
        <w:rPr>
          <w:sz w:val="20"/>
          <w:szCs w:val="20"/>
          <w:color w:val="auto"/>
        </w:rPr>
      </w:pPr>
    </w:p>
    <w:p>
      <w:pPr>
        <w:jc w:val="both"/>
        <w:ind w:left="120" w:right="100"/>
        <w:spacing w:after="0"/>
        <w:rPr>
          <w:sz w:val="20"/>
          <w:szCs w:val="20"/>
          <w:color w:val="auto"/>
        </w:rPr>
      </w:pPr>
      <w:r>
        <w:rPr>
          <w:rFonts w:ascii="Arial" w:cs="Arial" w:eastAsia="Arial" w:hAnsi="Arial"/>
          <w:sz w:val="18"/>
          <w:szCs w:val="18"/>
          <w:color w:val="auto"/>
        </w:rPr>
        <w:t>The purpose of this plan, along with the formula for determining the amount of benefit, the form of benefit and the timing of payments, are described under “2019 pension benefits – TI Employees Survivor Benefit Plan.” Amounts distributed are paid by the TI Employees Health Benefit Trust.</w:t>
      </w:r>
    </w:p>
    <w:p>
      <w:pPr>
        <w:spacing w:after="0" w:line="130" w:lineRule="exact"/>
        <w:rPr>
          <w:sz w:val="20"/>
          <w:szCs w:val="20"/>
          <w:color w:val="auto"/>
        </w:rPr>
      </w:pPr>
    </w:p>
    <w:p>
      <w:pPr>
        <w:ind w:left="120"/>
        <w:spacing w:after="0"/>
        <w:tabs>
          <w:tab w:leader="none" w:pos="4020" w:val="left"/>
          <w:tab w:leader="none" w:pos="5500" w:val="left"/>
          <w:tab w:leader="none" w:pos="5700" w:val="left"/>
        </w:tabs>
        <w:rPr>
          <w:sz w:val="20"/>
          <w:szCs w:val="20"/>
          <w:color w:val="auto"/>
        </w:rPr>
      </w:pPr>
      <w:r>
        <w:rPr>
          <w:rFonts w:ascii="Arial" w:cs="Arial" w:eastAsia="Arial" w:hAnsi="Arial"/>
          <w:sz w:val="13"/>
          <w:szCs w:val="13"/>
          <w:color w:val="666666"/>
        </w:rPr>
        <w:t>40</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2020 PROXY STATEMENT</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Deferred compensation plan</w:t>
      </w:r>
    </w:p>
    <w:p>
      <w:pPr>
        <w:spacing w:after="0" w:line="122"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The purpose of this plan is described under “Benefits – Deferred Compensation.” The amounts payable under this program depend solely on the performance of investments that the participant has chosen. The timing of payments is discussed under “2019 non-qualified deferred compensation” and except in the case of death, payments are made according to the participant’s distribution election. Amounts distributed are paid by the company.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Equity compensation</w:t>
      </w:r>
    </w:p>
    <w:p>
      <w:pPr>
        <w:spacing w:after="0" w:line="122"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Depending on the circumstances of termination, grantees whose employment terminates may retain the right to exercise previously granted stock options and receive shares under outstanding RSU awards as described in the discussion following the outstanding equity awards at fiscal year-end 2019 table. RSU awards include a right to receive dividend equivalents. The dividend equivalents are paid annually by the company in a single cash payment after the last dividend payment of the year.</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Perquisites</w:t>
      </w:r>
    </w:p>
    <w:p>
      <w:pPr>
        <w:spacing w:after="0" w:line="122"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Financial counseling is provided to executive officers for a transition period following retirement. Otherwise, no perquisites continue after termination of employment.</w:t>
      </w:r>
    </w:p>
    <w:p>
      <w:pPr>
        <w:spacing w:after="0" w:line="197" w:lineRule="exact"/>
        <w:rPr>
          <w:sz w:val="20"/>
          <w:szCs w:val="20"/>
          <w:color w:val="auto"/>
        </w:rPr>
      </w:pPr>
    </w:p>
    <w:p>
      <w:pPr>
        <w:ind w:left="120" w:right="180"/>
        <w:spacing w:after="0" w:line="237" w:lineRule="auto"/>
        <w:rPr>
          <w:sz w:val="20"/>
          <w:szCs w:val="20"/>
          <w:color w:val="auto"/>
        </w:rPr>
      </w:pPr>
      <w:r>
        <w:rPr>
          <w:rFonts w:ascii="Arial" w:cs="Arial" w:eastAsia="Arial" w:hAnsi="Arial"/>
          <w:sz w:val="18"/>
          <w:szCs w:val="18"/>
          <w:color w:val="auto"/>
        </w:rPr>
        <w:t>In the case of a resignation pursuant to a separation agreement, employees above a certain job grade level, including executive officers, might be offered a 12-month paid leave of absence before termination, in exchange for a non-compete and non-solicitation commitment and a release of claims against the company. The leave period will be credited to years of service under the pension plans described above. During the leave, the executive officer’s stock options will continue to become exercisable and his or her RSUs will continue to vest. Amounts paid to an individual during a paid leave of absence are not counted when calculating benefits under the qualified and non-qualified pension plans.</w:t>
      </w:r>
    </w:p>
    <w:p>
      <w:pPr>
        <w:spacing w:after="0" w:line="205"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In the case of a separation agreement in which the executive officer will be at least 50 years old and have at least 10 years of employment with the company on his or her last day of active employment before beginning the paid leave of absence, the separation agreement will typically include an unpaid leave of absence, to commence at the end of the paid leave and end when the executive officer has reached age 55 (bridge to retirement). During the bridge to retirement, the executive officer will continue to accrue years of service under the qualified and non-qualified pension plans described above. Stock options will continue to become exercisable and RSUs will remain in effect.</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Change in control</w:t>
      </w:r>
    </w:p>
    <w:p>
      <w:pPr>
        <w:spacing w:after="0" w:line="212"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Our only program, plan or arrangement providing benefits triggered by a change in control is the TI Employees Non-Qualified Pension Plan. A change in control at December 31, 2019, would have accelerated payment of the balance under that plan. See “2019 pension benefits – TI employees non-qualified pension plans” for a discussion of the purpose of change in control provisions of that plan as well as the circumstances and the timing of payment.</w:t>
      </w:r>
    </w:p>
    <w:p>
      <w:pPr>
        <w:spacing w:after="0" w:line="205"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Upon a change in control there is no acceleration of vesting of stock options and RSUs granted after 2009. Only upon an involuntary termination (not for cause) within 24 months after a change in control of TI will the vesting of such stock options and RSUs accelerate. See the discussion following the outstanding equity awards at fiscal year-end 2019 table for further information concerning change in control provisions relating to stock options and RSUs.</w:t>
      </w:r>
    </w:p>
    <w:p>
      <w:pPr>
        <w:spacing w:after="0" w:line="132" w:lineRule="exact"/>
        <w:rPr>
          <w:sz w:val="20"/>
          <w:szCs w:val="20"/>
          <w:color w:val="auto"/>
        </w:rPr>
      </w:pPr>
    </w:p>
    <w:tbl>
      <w:tblPr>
        <w:tblLayout w:type="fixed"/>
        <w:tblInd w:w="4040" w:type="dxa"/>
        <w:tblCellMar>
          <w:top w:w="0" w:type="dxa"/>
          <w:left w:w="0" w:type="dxa"/>
          <w:bottom w:w="0" w:type="dxa"/>
          <w:right w:w="0" w:type="dxa"/>
        </w:tblCellMar>
      </w:tblPr>
      <w:tr>
        <w:trPr>
          <w:trHeight w:val="152"/>
        </w:trPr>
        <w:tc>
          <w:tcPr>
            <w:tcW w:w="5080" w:type="dxa"/>
            <w:vAlign w:val="bottom"/>
          </w:tcPr>
          <w:p>
            <w:pPr>
              <w:spacing w:after="0"/>
              <w:rPr>
                <w:sz w:val="20"/>
                <w:szCs w:val="20"/>
                <w:color w:val="auto"/>
              </w:rPr>
            </w:pPr>
            <w:r>
              <w:rPr>
                <w:rFonts w:ascii="Arial" w:cs="Arial" w:eastAsia="Arial" w:hAnsi="Arial"/>
                <w:sz w:val="13"/>
                <w:szCs w:val="13"/>
                <w:color w:val="666666"/>
              </w:rPr>
              <w:t>TEXAS INSTRUMENTS  •  2020 PROXY STATEMENT</w:t>
            </w:r>
          </w:p>
        </w:tc>
        <w:tc>
          <w:tcPr>
            <w:tcW w:w="2000" w:type="dxa"/>
            <w:vAlign w:val="bottom"/>
          </w:tcPr>
          <w:p>
            <w:pPr>
              <w:jc w:val="right"/>
              <w:spacing w:after="0"/>
              <w:rPr>
                <w:sz w:val="20"/>
                <w:szCs w:val="20"/>
                <w:color w:val="auto"/>
              </w:rPr>
            </w:pPr>
            <w:r>
              <w:rPr>
                <w:rFonts w:ascii="Arial" w:cs="Arial" w:eastAsia="Arial" w:hAnsi="Arial"/>
                <w:sz w:val="13"/>
                <w:szCs w:val="13"/>
                <w:color w:val="666666"/>
              </w:rPr>
              <w:t>41</w:t>
            </w:r>
          </w:p>
        </w:tc>
      </w:tr>
    </w:tbl>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0"/>
        <w:spacing w:after="0" w:line="246" w:lineRule="auto"/>
        <w:rPr>
          <w:sz w:val="20"/>
          <w:szCs w:val="20"/>
          <w:color w:val="auto"/>
        </w:rPr>
      </w:pPr>
      <w:r>
        <w:rPr>
          <w:rFonts w:ascii="Arial" w:cs="Arial" w:eastAsia="Arial" w:hAnsi="Arial"/>
          <w:sz w:val="18"/>
          <w:szCs w:val="18"/>
          <w:color w:val="auto"/>
        </w:rPr>
        <w:t>The table below shows as of December 31, 2019, the potential payments upon termination or change in control for each of the named executive officers.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rPr>
              <w:t>Resignation;</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2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center"/>
              <w:ind w:right="28"/>
              <w:spacing w:after="0"/>
              <w:rPr>
                <w:sz w:val="20"/>
                <w:szCs w:val="20"/>
                <w:color w:val="auto"/>
              </w:rPr>
            </w:pPr>
            <w:r>
              <w:rPr>
                <w:rFonts w:ascii="Arial" w:cs="Arial" w:eastAsia="Arial" w:hAnsi="Arial"/>
                <w:sz w:val="14"/>
                <w:szCs w:val="14"/>
                <w:b w:val="1"/>
                <w:bCs w:val="1"/>
                <w:color w:val="auto"/>
              </w:rPr>
              <w:t>Involuntary</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2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Involuntary</w:t>
            </w:r>
          </w:p>
        </w:tc>
        <w:tc>
          <w:tcPr>
            <w:tcW w:w="108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rPr>
              <w:t>Termination</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2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Termination</w:t>
            </w:r>
          </w:p>
        </w:tc>
        <w:tc>
          <w:tcPr>
            <w:tcW w:w="200" w:type="dxa"/>
            <w:vAlign w:val="bottom"/>
          </w:tcPr>
          <w:p>
            <w:pPr>
              <w:spacing w:after="0"/>
              <w:rPr>
                <w:sz w:val="14"/>
                <w:szCs w:val="14"/>
                <w:color w:val="auto"/>
              </w:rPr>
            </w:pPr>
          </w:p>
        </w:tc>
        <w:tc>
          <w:tcPr>
            <w:tcW w:w="880" w:type="dxa"/>
            <w:vAlign w:val="bottom"/>
          </w:tcPr>
          <w:p>
            <w:pPr>
              <w:jc w:val="center"/>
              <w:ind w:right="28"/>
              <w:spacing w:after="0"/>
              <w:rPr>
                <w:sz w:val="20"/>
                <w:szCs w:val="20"/>
                <w:color w:val="auto"/>
              </w:rPr>
            </w:pPr>
            <w:r>
              <w:rPr>
                <w:rFonts w:ascii="Arial" w:cs="Arial" w:eastAsia="Arial" w:hAnsi="Arial"/>
                <w:sz w:val="14"/>
                <w:szCs w:val="14"/>
                <w:b w:val="1"/>
                <w:bCs w:val="1"/>
                <w:color w:val="auto"/>
              </w:rPr>
              <w:t>(not for</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Arial" w:cs="Arial" w:eastAsia="Arial" w:hAnsi="Arial"/>
                <w:sz w:val="14"/>
                <w:szCs w:val="14"/>
                <w:b w:val="1"/>
                <w:bCs w:val="1"/>
                <w:color w:val="auto"/>
              </w:rPr>
              <w:t>Change</w:t>
            </w:r>
          </w:p>
        </w:tc>
      </w:tr>
      <w:tr>
        <w:trPr>
          <w:trHeight w:val="189"/>
        </w:trPr>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Form of Compensation</w:t>
            </w: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Disability</w:t>
            </w: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Death</w:t>
            </w:r>
          </w:p>
        </w:tc>
        <w:tc>
          <w:tcPr>
            <w:tcW w:w="4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for Cause</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Cause)</w:t>
            </w:r>
          </w:p>
        </w:tc>
        <w:tc>
          <w:tcPr>
            <w:tcW w:w="4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Retirement</w:t>
            </w:r>
          </w:p>
        </w:tc>
        <w:tc>
          <w:tcPr>
            <w:tcW w:w="3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99"/>
              </w:rPr>
              <w:t>in Control</w:t>
            </w:r>
          </w:p>
        </w:tc>
      </w:tr>
      <w:tr>
        <w:trPr>
          <w:trHeight w:val="155"/>
        </w:trPr>
        <w:tc>
          <w:tcPr>
            <w:tcW w:w="2540" w:type="dxa"/>
            <w:vAlign w:val="bottom"/>
            <w:shd w:val="clear" w:color="auto" w:fill="E5E5E5"/>
          </w:tcPr>
          <w:p>
            <w:pPr>
              <w:spacing w:after="0" w:line="155" w:lineRule="exact"/>
              <w:rPr>
                <w:sz w:val="20"/>
                <w:szCs w:val="20"/>
                <w:color w:val="auto"/>
              </w:rPr>
            </w:pPr>
            <w:r>
              <w:rPr>
                <w:rFonts w:ascii="Arial" w:cs="Arial" w:eastAsia="Arial" w:hAnsi="Arial"/>
                <w:sz w:val="14"/>
                <w:szCs w:val="14"/>
                <w:b w:val="1"/>
                <w:bCs w:val="1"/>
                <w:color w:val="auto"/>
              </w:rPr>
              <w:t>R. K. Templeton (1)</w:t>
            </w:r>
          </w:p>
        </w:tc>
        <w:tc>
          <w:tcPr>
            <w:tcW w:w="360" w:type="dxa"/>
            <w:vAlign w:val="bottom"/>
            <w:shd w:val="clear" w:color="auto" w:fill="E5E5E5"/>
          </w:tcPr>
          <w:p>
            <w:pPr>
              <w:spacing w:after="0"/>
              <w:rPr>
                <w:sz w:val="13"/>
                <w:szCs w:val="13"/>
                <w:color w:val="auto"/>
              </w:rPr>
            </w:pPr>
          </w:p>
        </w:tc>
        <w:tc>
          <w:tcPr>
            <w:tcW w:w="860" w:type="dxa"/>
            <w:vAlign w:val="bottom"/>
            <w:shd w:val="clear" w:color="auto" w:fill="E5E5E5"/>
          </w:tcPr>
          <w:p>
            <w:pPr>
              <w:spacing w:after="0"/>
              <w:rPr>
                <w:sz w:val="13"/>
                <w:szCs w:val="13"/>
                <w:color w:val="auto"/>
              </w:rPr>
            </w:pPr>
          </w:p>
        </w:tc>
        <w:tc>
          <w:tcPr>
            <w:tcW w:w="320" w:type="dxa"/>
            <w:vAlign w:val="bottom"/>
            <w:shd w:val="clear" w:color="auto" w:fill="E5E5E5"/>
          </w:tcPr>
          <w:p>
            <w:pPr>
              <w:spacing w:after="0"/>
              <w:rPr>
                <w:sz w:val="13"/>
                <w:szCs w:val="13"/>
                <w:color w:val="auto"/>
              </w:rPr>
            </w:pPr>
          </w:p>
        </w:tc>
        <w:tc>
          <w:tcPr>
            <w:tcW w:w="280" w:type="dxa"/>
            <w:vAlign w:val="bottom"/>
            <w:shd w:val="clear" w:color="auto" w:fill="E5E5E5"/>
          </w:tcPr>
          <w:p>
            <w:pPr>
              <w:spacing w:after="0"/>
              <w:rPr>
                <w:sz w:val="13"/>
                <w:szCs w:val="13"/>
                <w:color w:val="auto"/>
              </w:rPr>
            </w:pPr>
          </w:p>
        </w:tc>
        <w:tc>
          <w:tcPr>
            <w:tcW w:w="880" w:type="dxa"/>
            <w:vAlign w:val="bottom"/>
            <w:shd w:val="clear" w:color="auto" w:fill="E5E5E5"/>
          </w:tcPr>
          <w:p>
            <w:pPr>
              <w:spacing w:after="0"/>
              <w:rPr>
                <w:sz w:val="13"/>
                <w:szCs w:val="13"/>
                <w:color w:val="auto"/>
              </w:rPr>
            </w:pPr>
          </w:p>
        </w:tc>
        <w:tc>
          <w:tcPr>
            <w:tcW w:w="40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112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880" w:type="dxa"/>
            <w:vAlign w:val="bottom"/>
            <w:shd w:val="clear" w:color="auto" w:fill="E5E5E5"/>
          </w:tcPr>
          <w:p>
            <w:pPr>
              <w:spacing w:after="0"/>
              <w:rPr>
                <w:sz w:val="13"/>
                <w:szCs w:val="13"/>
                <w:color w:val="auto"/>
              </w:rPr>
            </w:pPr>
          </w:p>
        </w:tc>
        <w:tc>
          <w:tcPr>
            <w:tcW w:w="40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86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1040" w:type="dxa"/>
            <w:vAlign w:val="bottom"/>
            <w:shd w:val="clear" w:color="auto" w:fill="E5E5E5"/>
          </w:tcPr>
          <w:p>
            <w:pPr>
              <w:spacing w:after="0"/>
              <w:rPr>
                <w:sz w:val="13"/>
                <w:szCs w:val="13"/>
                <w:color w:val="auto"/>
              </w:rPr>
            </w:pPr>
          </w:p>
        </w:tc>
      </w:tr>
      <w:tr>
        <w:trPr>
          <w:trHeight w:val="167"/>
        </w:trPr>
        <w:tc>
          <w:tcPr>
            <w:tcW w:w="2540" w:type="dxa"/>
            <w:vAlign w:val="bottom"/>
            <w:shd w:val="clear" w:color="auto" w:fill="E5E5E5"/>
          </w:tcPr>
          <w:p>
            <w:pPr>
              <w:ind w:left="140"/>
              <w:spacing w:after="0"/>
              <w:rPr>
                <w:sz w:val="20"/>
                <w:szCs w:val="20"/>
                <w:color w:val="auto"/>
              </w:rPr>
            </w:pPr>
            <w:r>
              <w:rPr>
                <w:rFonts w:ascii="Arial" w:cs="Arial" w:eastAsia="Arial" w:hAnsi="Arial"/>
                <w:sz w:val="14"/>
                <w:szCs w:val="14"/>
                <w:color w:val="auto"/>
              </w:rPr>
              <w:t>Qualified Defined Benefit</w:t>
            </w:r>
          </w:p>
        </w:tc>
        <w:tc>
          <w:tcPr>
            <w:tcW w:w="360" w:type="dxa"/>
            <w:vAlign w:val="bottom"/>
            <w:shd w:val="clear" w:color="auto" w:fill="E5E5E5"/>
          </w:tcPr>
          <w:p>
            <w:pPr>
              <w:spacing w:after="0"/>
              <w:rPr>
                <w:sz w:val="14"/>
                <w:szCs w:val="14"/>
                <w:color w:val="auto"/>
              </w:rPr>
            </w:pPr>
          </w:p>
        </w:tc>
        <w:tc>
          <w:tcPr>
            <w:tcW w:w="860" w:type="dxa"/>
            <w:vAlign w:val="bottom"/>
            <w:shd w:val="clear" w:color="auto" w:fill="E5E5E5"/>
          </w:tcPr>
          <w:p>
            <w:pPr>
              <w:spacing w:after="0"/>
              <w:rPr>
                <w:sz w:val="14"/>
                <w:szCs w:val="14"/>
                <w:color w:val="auto"/>
              </w:rPr>
            </w:pPr>
          </w:p>
        </w:tc>
        <w:tc>
          <w:tcPr>
            <w:tcW w:w="32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880" w:type="dxa"/>
            <w:vAlign w:val="bottom"/>
            <w:shd w:val="clear" w:color="auto" w:fill="E5E5E5"/>
          </w:tcPr>
          <w:p>
            <w:pPr>
              <w:spacing w:after="0"/>
              <w:rPr>
                <w:sz w:val="14"/>
                <w:szCs w:val="14"/>
                <w:color w:val="auto"/>
              </w:rPr>
            </w:pPr>
          </w:p>
        </w:tc>
        <w:tc>
          <w:tcPr>
            <w:tcW w:w="4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112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880" w:type="dxa"/>
            <w:vAlign w:val="bottom"/>
            <w:shd w:val="clear" w:color="auto" w:fill="E5E5E5"/>
          </w:tcPr>
          <w:p>
            <w:pPr>
              <w:spacing w:after="0"/>
              <w:rPr>
                <w:sz w:val="14"/>
                <w:szCs w:val="14"/>
                <w:color w:val="auto"/>
              </w:rPr>
            </w:pPr>
          </w:p>
        </w:tc>
        <w:tc>
          <w:tcPr>
            <w:tcW w:w="4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860" w:type="dxa"/>
            <w:vAlign w:val="bottom"/>
            <w:shd w:val="clear" w:color="auto" w:fill="E5E5E5"/>
          </w:tcPr>
          <w:p>
            <w:pPr>
              <w:spacing w:after="0"/>
              <w:rPr>
                <w:sz w:val="14"/>
                <w:szCs w:val="14"/>
                <w:color w:val="auto"/>
              </w:rPr>
            </w:pPr>
          </w:p>
        </w:tc>
        <w:tc>
          <w:tcPr>
            <w:tcW w:w="34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040" w:type="dxa"/>
            <w:vAlign w:val="bottom"/>
            <w:shd w:val="clear" w:color="auto" w:fill="E5E5E5"/>
          </w:tcPr>
          <w:p>
            <w:pPr>
              <w:spacing w:after="0"/>
              <w:rPr>
                <w:sz w:val="14"/>
                <w:szCs w:val="14"/>
                <w:color w:val="auto"/>
              </w:rPr>
            </w:pPr>
          </w:p>
        </w:tc>
      </w:tr>
      <w:tr>
        <w:trPr>
          <w:trHeight w:val="157"/>
        </w:trPr>
        <w:tc>
          <w:tcPr>
            <w:tcW w:w="2540" w:type="dxa"/>
            <w:vAlign w:val="bottom"/>
            <w:shd w:val="clear" w:color="auto" w:fill="E5E5E5"/>
          </w:tcPr>
          <w:p>
            <w:pPr>
              <w:ind w:left="280"/>
              <w:spacing w:after="0" w:line="157" w:lineRule="exact"/>
              <w:rPr>
                <w:sz w:val="20"/>
                <w:szCs w:val="20"/>
                <w:color w:val="auto"/>
              </w:rPr>
            </w:pPr>
            <w:r>
              <w:rPr>
                <w:rFonts w:ascii="Arial" w:cs="Arial" w:eastAsia="Arial" w:hAnsi="Arial"/>
                <w:sz w:val="14"/>
                <w:szCs w:val="14"/>
                <w:color w:val="auto"/>
              </w:rPr>
              <w:t>Pension Plan</w:t>
            </w:r>
          </w:p>
        </w:tc>
        <w:tc>
          <w:tcPr>
            <w:tcW w:w="36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1,039,516</w:t>
            </w:r>
          </w:p>
        </w:tc>
        <w:tc>
          <w:tcPr>
            <w:tcW w:w="320" w:type="dxa"/>
            <w:vAlign w:val="bottom"/>
            <w:shd w:val="clear" w:color="auto" w:fill="E5E5E5"/>
          </w:tcPr>
          <w:p>
            <w:pPr>
              <w:ind w:left="20"/>
              <w:spacing w:after="0" w:line="157" w:lineRule="exact"/>
              <w:rPr>
                <w:sz w:val="20"/>
                <w:szCs w:val="20"/>
                <w:color w:val="auto"/>
              </w:rPr>
            </w:pPr>
            <w:r>
              <w:rPr>
                <w:rFonts w:ascii="Arial" w:cs="Arial" w:eastAsia="Arial" w:hAnsi="Arial"/>
                <w:sz w:val="14"/>
                <w:szCs w:val="14"/>
                <w:color w:val="auto"/>
              </w:rPr>
              <w:t>(2)</w:t>
            </w:r>
          </w:p>
        </w:tc>
        <w:tc>
          <w:tcPr>
            <w:tcW w:w="2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524,741</w:t>
            </w:r>
          </w:p>
        </w:tc>
        <w:tc>
          <w:tcPr>
            <w:tcW w:w="400" w:type="dxa"/>
            <w:vAlign w:val="bottom"/>
            <w:shd w:val="clear" w:color="auto" w:fill="E5E5E5"/>
          </w:tcPr>
          <w:p>
            <w:pPr>
              <w:ind w:left="20"/>
              <w:spacing w:after="0" w:line="157" w:lineRule="exact"/>
              <w:rPr>
                <w:sz w:val="20"/>
                <w:szCs w:val="20"/>
                <w:color w:val="auto"/>
              </w:rPr>
            </w:pPr>
            <w:r>
              <w:rPr>
                <w:rFonts w:ascii="Arial" w:cs="Arial" w:eastAsia="Arial" w:hAnsi="Arial"/>
                <w:sz w:val="14"/>
                <w:szCs w:val="14"/>
                <w:color w:val="auto"/>
              </w:rPr>
              <w:t>(3)</w:t>
            </w:r>
          </w:p>
        </w:tc>
        <w:tc>
          <w:tcPr>
            <w:tcW w:w="200" w:type="dxa"/>
            <w:vAlign w:val="bottom"/>
            <w:shd w:val="clear" w:color="auto" w:fill="E5E5E5"/>
          </w:tcPr>
          <w:p>
            <w:pPr>
              <w:ind w:left="120"/>
              <w:spacing w:after="0" w:line="157" w:lineRule="exact"/>
              <w:rPr>
                <w:sz w:val="20"/>
                <w:szCs w:val="20"/>
                <w:color w:val="auto"/>
              </w:rPr>
            </w:pPr>
            <w:r>
              <w:rPr>
                <w:rFonts w:ascii="Arial" w:cs="Arial" w:eastAsia="Arial" w:hAnsi="Arial"/>
                <w:sz w:val="14"/>
                <w:szCs w:val="14"/>
                <w:color w:val="auto"/>
                <w:w w:val="76"/>
              </w:rPr>
              <w:t>$</w:t>
            </w:r>
          </w:p>
        </w:tc>
        <w:tc>
          <w:tcPr>
            <w:tcW w:w="1120" w:type="dxa"/>
            <w:vAlign w:val="bottom"/>
            <w:shd w:val="clear" w:color="auto" w:fill="E5E5E5"/>
          </w:tcPr>
          <w:p>
            <w:pPr>
              <w:jc w:val="right"/>
              <w:ind w:right="68"/>
              <w:spacing w:after="0" w:line="157" w:lineRule="exact"/>
              <w:rPr>
                <w:sz w:val="20"/>
                <w:szCs w:val="20"/>
                <w:color w:val="auto"/>
              </w:rPr>
            </w:pPr>
            <w:r>
              <w:rPr>
                <w:rFonts w:ascii="Arial" w:cs="Arial" w:eastAsia="Arial" w:hAnsi="Arial"/>
                <w:sz w:val="14"/>
                <w:szCs w:val="14"/>
                <w:color w:val="auto"/>
              </w:rPr>
              <w:t>1,037,568 (4)</w:t>
            </w:r>
          </w:p>
        </w:tc>
        <w:tc>
          <w:tcPr>
            <w:tcW w:w="20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1,037,568</w:t>
            </w:r>
          </w:p>
        </w:tc>
        <w:tc>
          <w:tcPr>
            <w:tcW w:w="400" w:type="dxa"/>
            <w:vAlign w:val="bottom"/>
            <w:shd w:val="clear" w:color="auto" w:fill="E5E5E5"/>
          </w:tcPr>
          <w:p>
            <w:pPr>
              <w:ind w:left="20"/>
              <w:spacing w:after="0" w:line="157" w:lineRule="exact"/>
              <w:rPr>
                <w:sz w:val="20"/>
                <w:szCs w:val="20"/>
                <w:color w:val="auto"/>
              </w:rPr>
            </w:pPr>
            <w:r>
              <w:rPr>
                <w:rFonts w:ascii="Arial" w:cs="Arial" w:eastAsia="Arial" w:hAnsi="Arial"/>
                <w:sz w:val="14"/>
                <w:szCs w:val="14"/>
                <w:color w:val="auto"/>
              </w:rPr>
              <w:t>(4)</w:t>
            </w:r>
          </w:p>
        </w:tc>
        <w:tc>
          <w:tcPr>
            <w:tcW w:w="20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1,037,568</w:t>
            </w:r>
          </w:p>
        </w:tc>
        <w:tc>
          <w:tcPr>
            <w:tcW w:w="340" w:type="dxa"/>
            <w:vAlign w:val="bottom"/>
            <w:shd w:val="clear" w:color="auto" w:fill="E5E5E5"/>
          </w:tcPr>
          <w:p>
            <w:pPr>
              <w:ind w:left="20"/>
              <w:spacing w:after="0" w:line="157" w:lineRule="exact"/>
              <w:rPr>
                <w:sz w:val="20"/>
                <w:szCs w:val="20"/>
                <w:color w:val="auto"/>
              </w:rPr>
            </w:pPr>
            <w:r>
              <w:rPr>
                <w:rFonts w:ascii="Arial" w:cs="Arial" w:eastAsia="Arial" w:hAnsi="Arial"/>
                <w:sz w:val="14"/>
                <w:szCs w:val="14"/>
                <w:color w:val="auto"/>
              </w:rPr>
              <w:t>(4)</w:t>
            </w:r>
          </w:p>
        </w:tc>
        <w:tc>
          <w:tcPr>
            <w:tcW w:w="140" w:type="dxa"/>
            <w:vAlign w:val="bottom"/>
            <w:shd w:val="clear" w:color="auto" w:fill="E5E5E5"/>
          </w:tcPr>
          <w:p>
            <w:pPr>
              <w:spacing w:after="0"/>
              <w:rPr>
                <w:sz w:val="13"/>
                <w:szCs w:val="13"/>
                <w:color w:val="auto"/>
              </w:rPr>
            </w:pPr>
          </w:p>
        </w:tc>
        <w:tc>
          <w:tcPr>
            <w:tcW w:w="1040" w:type="dxa"/>
            <w:vAlign w:val="bottom"/>
            <w:shd w:val="clear" w:color="auto" w:fill="E5E5E5"/>
          </w:tcPr>
          <w:p>
            <w:pPr>
              <w:jc w:val="right"/>
              <w:ind w:right="188"/>
              <w:spacing w:after="0" w:line="157" w:lineRule="exact"/>
              <w:rPr>
                <w:sz w:val="20"/>
                <w:szCs w:val="20"/>
                <w:color w:val="auto"/>
              </w:rPr>
            </w:pPr>
            <w:r>
              <w:rPr>
                <w:rFonts w:ascii="Arial" w:cs="Arial" w:eastAsia="Arial" w:hAnsi="Arial"/>
                <w:sz w:val="14"/>
                <w:szCs w:val="14"/>
                <w:color w:val="auto"/>
              </w:rPr>
              <w:t>—</w:t>
            </w:r>
          </w:p>
        </w:tc>
      </w:tr>
      <w:tr>
        <w:trPr>
          <w:trHeight w:val="167"/>
        </w:trPr>
        <w:tc>
          <w:tcPr>
            <w:tcW w:w="2540" w:type="dxa"/>
            <w:vAlign w:val="bottom"/>
            <w:shd w:val="clear" w:color="auto" w:fill="E5E5E5"/>
          </w:tcPr>
          <w:p>
            <w:pPr>
              <w:ind w:left="140"/>
              <w:spacing w:after="0"/>
              <w:rPr>
                <w:sz w:val="20"/>
                <w:szCs w:val="20"/>
                <w:color w:val="auto"/>
              </w:rPr>
            </w:pPr>
            <w:r>
              <w:rPr>
                <w:rFonts w:ascii="Arial" w:cs="Arial" w:eastAsia="Arial" w:hAnsi="Arial"/>
                <w:sz w:val="14"/>
                <w:szCs w:val="14"/>
                <w:color w:val="auto"/>
              </w:rPr>
              <w:t>Non-Qual. Defined Benefit</w:t>
            </w:r>
          </w:p>
        </w:tc>
        <w:tc>
          <w:tcPr>
            <w:tcW w:w="360" w:type="dxa"/>
            <w:vAlign w:val="bottom"/>
            <w:shd w:val="clear" w:color="auto" w:fill="E5E5E5"/>
          </w:tcPr>
          <w:p>
            <w:pPr>
              <w:spacing w:after="0"/>
              <w:rPr>
                <w:sz w:val="14"/>
                <w:szCs w:val="14"/>
                <w:color w:val="auto"/>
              </w:rPr>
            </w:pPr>
          </w:p>
        </w:tc>
        <w:tc>
          <w:tcPr>
            <w:tcW w:w="860" w:type="dxa"/>
            <w:vAlign w:val="bottom"/>
            <w:shd w:val="clear" w:color="auto" w:fill="E5E5E5"/>
          </w:tcPr>
          <w:p>
            <w:pPr>
              <w:spacing w:after="0"/>
              <w:rPr>
                <w:sz w:val="14"/>
                <w:szCs w:val="14"/>
                <w:color w:val="auto"/>
              </w:rPr>
            </w:pPr>
          </w:p>
        </w:tc>
        <w:tc>
          <w:tcPr>
            <w:tcW w:w="32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880" w:type="dxa"/>
            <w:vAlign w:val="bottom"/>
            <w:shd w:val="clear" w:color="auto" w:fill="E5E5E5"/>
          </w:tcPr>
          <w:p>
            <w:pPr>
              <w:spacing w:after="0"/>
              <w:rPr>
                <w:sz w:val="14"/>
                <w:szCs w:val="14"/>
                <w:color w:val="auto"/>
              </w:rPr>
            </w:pPr>
          </w:p>
        </w:tc>
        <w:tc>
          <w:tcPr>
            <w:tcW w:w="4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112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880" w:type="dxa"/>
            <w:vAlign w:val="bottom"/>
            <w:shd w:val="clear" w:color="auto" w:fill="E5E5E5"/>
          </w:tcPr>
          <w:p>
            <w:pPr>
              <w:spacing w:after="0"/>
              <w:rPr>
                <w:sz w:val="14"/>
                <w:szCs w:val="14"/>
                <w:color w:val="auto"/>
              </w:rPr>
            </w:pPr>
          </w:p>
        </w:tc>
        <w:tc>
          <w:tcPr>
            <w:tcW w:w="4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860" w:type="dxa"/>
            <w:vAlign w:val="bottom"/>
            <w:shd w:val="clear" w:color="auto" w:fill="E5E5E5"/>
          </w:tcPr>
          <w:p>
            <w:pPr>
              <w:spacing w:after="0"/>
              <w:rPr>
                <w:sz w:val="14"/>
                <w:szCs w:val="14"/>
                <w:color w:val="auto"/>
              </w:rPr>
            </w:pPr>
          </w:p>
        </w:tc>
        <w:tc>
          <w:tcPr>
            <w:tcW w:w="34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040" w:type="dxa"/>
            <w:vAlign w:val="bottom"/>
            <w:shd w:val="clear" w:color="auto" w:fill="E5E5E5"/>
          </w:tcPr>
          <w:p>
            <w:pPr>
              <w:spacing w:after="0"/>
              <w:rPr>
                <w:sz w:val="14"/>
                <w:szCs w:val="14"/>
                <w:color w:val="auto"/>
              </w:rPr>
            </w:pPr>
          </w:p>
        </w:tc>
      </w:tr>
      <w:tr>
        <w:trPr>
          <w:trHeight w:val="157"/>
        </w:trPr>
        <w:tc>
          <w:tcPr>
            <w:tcW w:w="2540" w:type="dxa"/>
            <w:vAlign w:val="bottom"/>
            <w:shd w:val="clear" w:color="auto" w:fill="E5E5E5"/>
          </w:tcPr>
          <w:p>
            <w:pPr>
              <w:ind w:left="280"/>
              <w:spacing w:after="0" w:line="157" w:lineRule="exact"/>
              <w:rPr>
                <w:sz w:val="20"/>
                <w:szCs w:val="20"/>
                <w:color w:val="auto"/>
              </w:rPr>
            </w:pPr>
            <w:r>
              <w:rPr>
                <w:rFonts w:ascii="Arial" w:cs="Arial" w:eastAsia="Arial" w:hAnsi="Arial"/>
                <w:sz w:val="14"/>
                <w:szCs w:val="14"/>
                <w:color w:val="auto"/>
              </w:rPr>
              <w:t>Pension Plan</w:t>
            </w:r>
          </w:p>
        </w:tc>
        <w:tc>
          <w:tcPr>
            <w:tcW w:w="36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609,677</w:t>
            </w:r>
          </w:p>
        </w:tc>
        <w:tc>
          <w:tcPr>
            <w:tcW w:w="320" w:type="dxa"/>
            <w:vAlign w:val="bottom"/>
            <w:shd w:val="clear" w:color="auto" w:fill="E5E5E5"/>
          </w:tcPr>
          <w:p>
            <w:pPr>
              <w:ind w:left="20"/>
              <w:spacing w:after="0" w:line="157" w:lineRule="exact"/>
              <w:rPr>
                <w:sz w:val="20"/>
                <w:szCs w:val="20"/>
                <w:color w:val="auto"/>
              </w:rPr>
            </w:pPr>
            <w:r>
              <w:rPr>
                <w:rFonts w:ascii="Arial" w:cs="Arial" w:eastAsia="Arial" w:hAnsi="Arial"/>
                <w:sz w:val="14"/>
                <w:szCs w:val="14"/>
                <w:color w:val="auto"/>
              </w:rPr>
              <w:t>(5)</w:t>
            </w:r>
          </w:p>
        </w:tc>
        <w:tc>
          <w:tcPr>
            <w:tcW w:w="2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244,684</w:t>
            </w:r>
          </w:p>
        </w:tc>
        <w:tc>
          <w:tcPr>
            <w:tcW w:w="400" w:type="dxa"/>
            <w:vAlign w:val="bottom"/>
            <w:shd w:val="clear" w:color="auto" w:fill="E5E5E5"/>
          </w:tcPr>
          <w:p>
            <w:pPr>
              <w:ind w:left="20"/>
              <w:spacing w:after="0" w:line="157" w:lineRule="exact"/>
              <w:rPr>
                <w:sz w:val="20"/>
                <w:szCs w:val="20"/>
                <w:color w:val="auto"/>
              </w:rPr>
            </w:pPr>
            <w:r>
              <w:rPr>
                <w:rFonts w:ascii="Arial" w:cs="Arial" w:eastAsia="Arial" w:hAnsi="Arial"/>
                <w:sz w:val="14"/>
                <w:szCs w:val="14"/>
                <w:color w:val="auto"/>
              </w:rPr>
              <w:t>(3)</w:t>
            </w:r>
          </w:p>
        </w:tc>
        <w:tc>
          <w:tcPr>
            <w:tcW w:w="200" w:type="dxa"/>
            <w:vAlign w:val="bottom"/>
            <w:shd w:val="clear" w:color="auto" w:fill="E5E5E5"/>
          </w:tcPr>
          <w:p>
            <w:pPr>
              <w:ind w:left="120"/>
              <w:spacing w:after="0" w:line="157" w:lineRule="exact"/>
              <w:rPr>
                <w:sz w:val="20"/>
                <w:szCs w:val="20"/>
                <w:color w:val="auto"/>
              </w:rPr>
            </w:pPr>
            <w:r>
              <w:rPr>
                <w:rFonts w:ascii="Arial" w:cs="Arial" w:eastAsia="Arial" w:hAnsi="Arial"/>
                <w:sz w:val="14"/>
                <w:szCs w:val="14"/>
                <w:color w:val="auto"/>
                <w:w w:val="76"/>
              </w:rPr>
              <w:t>$</w:t>
            </w:r>
          </w:p>
        </w:tc>
        <w:tc>
          <w:tcPr>
            <w:tcW w:w="1120" w:type="dxa"/>
            <w:vAlign w:val="bottom"/>
            <w:shd w:val="clear" w:color="auto" w:fill="E5E5E5"/>
          </w:tcPr>
          <w:p>
            <w:pPr>
              <w:jc w:val="right"/>
              <w:ind w:right="68"/>
              <w:spacing w:after="0" w:line="157" w:lineRule="exact"/>
              <w:rPr>
                <w:sz w:val="20"/>
                <w:szCs w:val="20"/>
                <w:color w:val="auto"/>
              </w:rPr>
            </w:pPr>
            <w:r>
              <w:rPr>
                <w:rFonts w:ascii="Arial" w:cs="Arial" w:eastAsia="Arial" w:hAnsi="Arial"/>
                <w:sz w:val="14"/>
                <w:szCs w:val="14"/>
                <w:color w:val="auto"/>
              </w:rPr>
              <w:t>484,158 (4)</w:t>
            </w:r>
          </w:p>
        </w:tc>
        <w:tc>
          <w:tcPr>
            <w:tcW w:w="20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484,158</w:t>
            </w:r>
          </w:p>
        </w:tc>
        <w:tc>
          <w:tcPr>
            <w:tcW w:w="400" w:type="dxa"/>
            <w:vAlign w:val="bottom"/>
            <w:shd w:val="clear" w:color="auto" w:fill="E5E5E5"/>
          </w:tcPr>
          <w:p>
            <w:pPr>
              <w:ind w:left="20"/>
              <w:spacing w:after="0" w:line="157" w:lineRule="exact"/>
              <w:rPr>
                <w:sz w:val="20"/>
                <w:szCs w:val="20"/>
                <w:color w:val="auto"/>
              </w:rPr>
            </w:pPr>
            <w:r>
              <w:rPr>
                <w:rFonts w:ascii="Arial" w:cs="Arial" w:eastAsia="Arial" w:hAnsi="Arial"/>
                <w:sz w:val="14"/>
                <w:szCs w:val="14"/>
                <w:color w:val="auto"/>
              </w:rPr>
              <w:t>(4)</w:t>
            </w:r>
          </w:p>
        </w:tc>
        <w:tc>
          <w:tcPr>
            <w:tcW w:w="20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484,158</w:t>
            </w:r>
          </w:p>
        </w:tc>
        <w:tc>
          <w:tcPr>
            <w:tcW w:w="340" w:type="dxa"/>
            <w:vAlign w:val="bottom"/>
            <w:shd w:val="clear" w:color="auto" w:fill="E5E5E5"/>
          </w:tcPr>
          <w:p>
            <w:pPr>
              <w:ind w:left="20"/>
              <w:spacing w:after="0" w:line="157" w:lineRule="exact"/>
              <w:rPr>
                <w:sz w:val="20"/>
                <w:szCs w:val="20"/>
                <w:color w:val="auto"/>
              </w:rPr>
            </w:pPr>
            <w:r>
              <w:rPr>
                <w:rFonts w:ascii="Arial" w:cs="Arial" w:eastAsia="Arial" w:hAnsi="Arial"/>
                <w:sz w:val="14"/>
                <w:szCs w:val="14"/>
                <w:color w:val="auto"/>
              </w:rPr>
              <w:t>(4)</w:t>
            </w:r>
          </w:p>
        </w:tc>
        <w:tc>
          <w:tcPr>
            <w:tcW w:w="14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484,158 (4)</w:t>
            </w:r>
          </w:p>
        </w:tc>
      </w:tr>
      <w:tr>
        <w:trPr>
          <w:trHeight w:val="167"/>
        </w:trPr>
        <w:tc>
          <w:tcPr>
            <w:tcW w:w="2540" w:type="dxa"/>
            <w:vAlign w:val="bottom"/>
            <w:shd w:val="clear" w:color="auto" w:fill="E5E5E5"/>
          </w:tcPr>
          <w:p>
            <w:pPr>
              <w:ind w:left="140"/>
              <w:spacing w:after="0"/>
              <w:rPr>
                <w:sz w:val="20"/>
                <w:szCs w:val="20"/>
                <w:color w:val="auto"/>
              </w:rPr>
            </w:pPr>
            <w:r>
              <w:rPr>
                <w:rFonts w:ascii="Arial" w:cs="Arial" w:eastAsia="Arial" w:hAnsi="Arial"/>
                <w:sz w:val="14"/>
                <w:szCs w:val="14"/>
                <w:color w:val="auto"/>
              </w:rPr>
              <w:t>Non-Qual. Defined Benefit</w:t>
            </w:r>
          </w:p>
        </w:tc>
        <w:tc>
          <w:tcPr>
            <w:tcW w:w="360" w:type="dxa"/>
            <w:vAlign w:val="bottom"/>
            <w:shd w:val="clear" w:color="auto" w:fill="E5E5E5"/>
          </w:tcPr>
          <w:p>
            <w:pPr>
              <w:spacing w:after="0"/>
              <w:rPr>
                <w:sz w:val="14"/>
                <w:szCs w:val="14"/>
                <w:color w:val="auto"/>
              </w:rPr>
            </w:pPr>
          </w:p>
        </w:tc>
        <w:tc>
          <w:tcPr>
            <w:tcW w:w="860" w:type="dxa"/>
            <w:vAlign w:val="bottom"/>
            <w:shd w:val="clear" w:color="auto" w:fill="E5E5E5"/>
          </w:tcPr>
          <w:p>
            <w:pPr>
              <w:spacing w:after="0"/>
              <w:rPr>
                <w:sz w:val="14"/>
                <w:szCs w:val="14"/>
                <w:color w:val="auto"/>
              </w:rPr>
            </w:pPr>
          </w:p>
        </w:tc>
        <w:tc>
          <w:tcPr>
            <w:tcW w:w="32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880" w:type="dxa"/>
            <w:vAlign w:val="bottom"/>
            <w:shd w:val="clear" w:color="auto" w:fill="E5E5E5"/>
          </w:tcPr>
          <w:p>
            <w:pPr>
              <w:spacing w:after="0"/>
              <w:rPr>
                <w:sz w:val="14"/>
                <w:szCs w:val="14"/>
                <w:color w:val="auto"/>
              </w:rPr>
            </w:pPr>
          </w:p>
        </w:tc>
        <w:tc>
          <w:tcPr>
            <w:tcW w:w="4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112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880" w:type="dxa"/>
            <w:vAlign w:val="bottom"/>
            <w:shd w:val="clear" w:color="auto" w:fill="E5E5E5"/>
          </w:tcPr>
          <w:p>
            <w:pPr>
              <w:spacing w:after="0"/>
              <w:rPr>
                <w:sz w:val="14"/>
                <w:szCs w:val="14"/>
                <w:color w:val="auto"/>
              </w:rPr>
            </w:pPr>
          </w:p>
        </w:tc>
        <w:tc>
          <w:tcPr>
            <w:tcW w:w="4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860" w:type="dxa"/>
            <w:vAlign w:val="bottom"/>
            <w:shd w:val="clear" w:color="auto" w:fill="E5E5E5"/>
          </w:tcPr>
          <w:p>
            <w:pPr>
              <w:spacing w:after="0"/>
              <w:rPr>
                <w:sz w:val="14"/>
                <w:szCs w:val="14"/>
                <w:color w:val="auto"/>
              </w:rPr>
            </w:pPr>
          </w:p>
        </w:tc>
        <w:tc>
          <w:tcPr>
            <w:tcW w:w="34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040" w:type="dxa"/>
            <w:vAlign w:val="bottom"/>
            <w:shd w:val="clear" w:color="auto" w:fill="E5E5E5"/>
          </w:tcPr>
          <w:p>
            <w:pPr>
              <w:spacing w:after="0"/>
              <w:rPr>
                <w:sz w:val="14"/>
                <w:szCs w:val="14"/>
                <w:color w:val="auto"/>
              </w:rPr>
            </w:pPr>
          </w:p>
        </w:tc>
      </w:tr>
      <w:tr>
        <w:trPr>
          <w:trHeight w:val="157"/>
        </w:trPr>
        <w:tc>
          <w:tcPr>
            <w:tcW w:w="2540" w:type="dxa"/>
            <w:vAlign w:val="bottom"/>
            <w:shd w:val="clear" w:color="auto" w:fill="E5E5E5"/>
          </w:tcPr>
          <w:p>
            <w:pPr>
              <w:ind w:left="280"/>
              <w:spacing w:after="0" w:line="157" w:lineRule="exact"/>
              <w:rPr>
                <w:sz w:val="20"/>
                <w:szCs w:val="20"/>
                <w:color w:val="auto"/>
              </w:rPr>
            </w:pPr>
            <w:r>
              <w:rPr>
                <w:rFonts w:ascii="Arial" w:cs="Arial" w:eastAsia="Arial" w:hAnsi="Arial"/>
                <w:sz w:val="14"/>
                <w:szCs w:val="14"/>
                <w:color w:val="auto"/>
              </w:rPr>
              <w:t>Pension Plan II</w:t>
            </w:r>
          </w:p>
        </w:tc>
        <w:tc>
          <w:tcPr>
            <w:tcW w:w="36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211,455</w:t>
            </w:r>
          </w:p>
        </w:tc>
        <w:tc>
          <w:tcPr>
            <w:tcW w:w="320" w:type="dxa"/>
            <w:vAlign w:val="bottom"/>
            <w:shd w:val="clear" w:color="auto" w:fill="E5E5E5"/>
          </w:tcPr>
          <w:p>
            <w:pPr>
              <w:ind w:left="20"/>
              <w:spacing w:after="0" w:line="157" w:lineRule="exact"/>
              <w:rPr>
                <w:sz w:val="20"/>
                <w:szCs w:val="20"/>
                <w:color w:val="auto"/>
              </w:rPr>
            </w:pPr>
            <w:r>
              <w:rPr>
                <w:rFonts w:ascii="Arial" w:cs="Arial" w:eastAsia="Arial" w:hAnsi="Arial"/>
                <w:sz w:val="14"/>
                <w:szCs w:val="14"/>
                <w:color w:val="auto"/>
              </w:rPr>
              <w:t>(5)</w:t>
            </w:r>
          </w:p>
        </w:tc>
        <w:tc>
          <w:tcPr>
            <w:tcW w:w="2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139,436</w:t>
            </w:r>
          </w:p>
        </w:tc>
        <w:tc>
          <w:tcPr>
            <w:tcW w:w="400" w:type="dxa"/>
            <w:vAlign w:val="bottom"/>
            <w:shd w:val="clear" w:color="auto" w:fill="E5E5E5"/>
          </w:tcPr>
          <w:p>
            <w:pPr>
              <w:ind w:left="20"/>
              <w:spacing w:after="0" w:line="157" w:lineRule="exact"/>
              <w:rPr>
                <w:sz w:val="20"/>
                <w:szCs w:val="20"/>
                <w:color w:val="auto"/>
              </w:rPr>
            </w:pPr>
            <w:r>
              <w:rPr>
                <w:rFonts w:ascii="Arial" w:cs="Arial" w:eastAsia="Arial" w:hAnsi="Arial"/>
                <w:sz w:val="14"/>
                <w:szCs w:val="14"/>
                <w:color w:val="auto"/>
              </w:rPr>
              <w:t>(3)</w:t>
            </w:r>
          </w:p>
        </w:tc>
        <w:tc>
          <w:tcPr>
            <w:tcW w:w="200" w:type="dxa"/>
            <w:vAlign w:val="bottom"/>
            <w:shd w:val="clear" w:color="auto" w:fill="E5E5E5"/>
          </w:tcPr>
          <w:p>
            <w:pPr>
              <w:ind w:left="120"/>
              <w:spacing w:after="0" w:line="157" w:lineRule="exact"/>
              <w:rPr>
                <w:sz w:val="20"/>
                <w:szCs w:val="20"/>
                <w:color w:val="auto"/>
              </w:rPr>
            </w:pPr>
            <w:r>
              <w:rPr>
                <w:rFonts w:ascii="Arial" w:cs="Arial" w:eastAsia="Arial" w:hAnsi="Arial"/>
                <w:sz w:val="14"/>
                <w:szCs w:val="14"/>
                <w:color w:val="auto"/>
                <w:w w:val="76"/>
              </w:rPr>
              <w:t>$</w:t>
            </w:r>
          </w:p>
        </w:tc>
        <w:tc>
          <w:tcPr>
            <w:tcW w:w="1120" w:type="dxa"/>
            <w:vAlign w:val="bottom"/>
            <w:shd w:val="clear" w:color="auto" w:fill="E5E5E5"/>
          </w:tcPr>
          <w:p>
            <w:pPr>
              <w:jc w:val="right"/>
              <w:ind w:right="68"/>
              <w:spacing w:after="0" w:line="157" w:lineRule="exact"/>
              <w:rPr>
                <w:sz w:val="20"/>
                <w:szCs w:val="20"/>
                <w:color w:val="auto"/>
              </w:rPr>
            </w:pPr>
            <w:r>
              <w:rPr>
                <w:rFonts w:ascii="Arial" w:cs="Arial" w:eastAsia="Arial" w:hAnsi="Arial"/>
                <w:sz w:val="14"/>
                <w:szCs w:val="14"/>
                <w:color w:val="auto"/>
              </w:rPr>
              <w:t>275,362 (4)</w:t>
            </w:r>
          </w:p>
        </w:tc>
        <w:tc>
          <w:tcPr>
            <w:tcW w:w="20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275,362</w:t>
            </w:r>
          </w:p>
        </w:tc>
        <w:tc>
          <w:tcPr>
            <w:tcW w:w="400" w:type="dxa"/>
            <w:vAlign w:val="bottom"/>
            <w:shd w:val="clear" w:color="auto" w:fill="E5E5E5"/>
          </w:tcPr>
          <w:p>
            <w:pPr>
              <w:ind w:left="20"/>
              <w:spacing w:after="0" w:line="157" w:lineRule="exact"/>
              <w:rPr>
                <w:sz w:val="20"/>
                <w:szCs w:val="20"/>
                <w:color w:val="auto"/>
              </w:rPr>
            </w:pPr>
            <w:r>
              <w:rPr>
                <w:rFonts w:ascii="Arial" w:cs="Arial" w:eastAsia="Arial" w:hAnsi="Arial"/>
                <w:sz w:val="14"/>
                <w:szCs w:val="14"/>
                <w:color w:val="auto"/>
              </w:rPr>
              <w:t>(4)</w:t>
            </w:r>
          </w:p>
        </w:tc>
        <w:tc>
          <w:tcPr>
            <w:tcW w:w="20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275,362</w:t>
            </w:r>
          </w:p>
        </w:tc>
        <w:tc>
          <w:tcPr>
            <w:tcW w:w="340" w:type="dxa"/>
            <w:vAlign w:val="bottom"/>
            <w:shd w:val="clear" w:color="auto" w:fill="E5E5E5"/>
          </w:tcPr>
          <w:p>
            <w:pPr>
              <w:ind w:left="20"/>
              <w:spacing w:after="0" w:line="157" w:lineRule="exact"/>
              <w:rPr>
                <w:sz w:val="20"/>
                <w:szCs w:val="20"/>
                <w:color w:val="auto"/>
              </w:rPr>
            </w:pPr>
            <w:r>
              <w:rPr>
                <w:rFonts w:ascii="Arial" w:cs="Arial" w:eastAsia="Arial" w:hAnsi="Arial"/>
                <w:sz w:val="14"/>
                <w:szCs w:val="14"/>
                <w:color w:val="auto"/>
              </w:rPr>
              <w:t>(4)</w:t>
            </w:r>
          </w:p>
        </w:tc>
        <w:tc>
          <w:tcPr>
            <w:tcW w:w="140" w:type="dxa"/>
            <w:vAlign w:val="bottom"/>
            <w:shd w:val="clear" w:color="auto" w:fill="E5E5E5"/>
          </w:tcPr>
          <w:p>
            <w:pPr>
              <w:spacing w:after="0"/>
              <w:rPr>
                <w:sz w:val="13"/>
                <w:szCs w:val="13"/>
                <w:color w:val="auto"/>
              </w:rPr>
            </w:pPr>
          </w:p>
        </w:tc>
        <w:tc>
          <w:tcPr>
            <w:tcW w:w="1040" w:type="dxa"/>
            <w:vAlign w:val="bottom"/>
            <w:shd w:val="clear" w:color="auto" w:fill="E5E5E5"/>
          </w:tcPr>
          <w:p>
            <w:pPr>
              <w:jc w:val="right"/>
              <w:ind w:right="188"/>
              <w:spacing w:after="0" w:line="157" w:lineRule="exact"/>
              <w:rPr>
                <w:sz w:val="20"/>
                <w:szCs w:val="20"/>
                <w:color w:val="auto"/>
              </w:rPr>
            </w:pPr>
            <w:r>
              <w:rPr>
                <w:rFonts w:ascii="Arial" w:cs="Arial" w:eastAsia="Arial" w:hAnsi="Arial"/>
                <w:sz w:val="14"/>
                <w:szCs w:val="14"/>
                <w:color w:val="auto"/>
              </w:rPr>
              <w:t>—</w:t>
            </w:r>
          </w:p>
        </w:tc>
      </w:tr>
      <w:tr>
        <w:trPr>
          <w:trHeight w:val="162"/>
        </w:trPr>
        <w:tc>
          <w:tcPr>
            <w:tcW w:w="2540" w:type="dxa"/>
            <w:vAlign w:val="bottom"/>
            <w:shd w:val="clear" w:color="auto" w:fill="E5E5E5"/>
          </w:tcPr>
          <w:p>
            <w:pPr>
              <w:ind w:left="140"/>
              <w:spacing w:after="0"/>
              <w:rPr>
                <w:sz w:val="20"/>
                <w:szCs w:val="20"/>
                <w:color w:val="auto"/>
              </w:rPr>
            </w:pPr>
            <w:r>
              <w:rPr>
                <w:rFonts w:ascii="Arial" w:cs="Arial" w:eastAsia="Arial" w:hAnsi="Arial"/>
                <w:sz w:val="14"/>
                <w:szCs w:val="14"/>
                <w:color w:val="auto"/>
              </w:rPr>
              <w:t>Survivor Benefit Plan</w:t>
            </w:r>
          </w:p>
        </w:tc>
        <w:tc>
          <w:tcPr>
            <w:tcW w:w="360" w:type="dxa"/>
            <w:vAlign w:val="bottom"/>
            <w:shd w:val="clear" w:color="auto" w:fill="E5E5E5"/>
          </w:tcPr>
          <w:p>
            <w:pPr>
              <w:spacing w:after="0"/>
              <w:rPr>
                <w:sz w:val="14"/>
                <w:szCs w:val="14"/>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4"/>
                <w:szCs w:val="14"/>
                <w:color w:val="auto"/>
              </w:rPr>
            </w:pPr>
          </w:p>
        </w:tc>
        <w:tc>
          <w:tcPr>
            <w:tcW w:w="2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888,227</w:t>
            </w:r>
          </w:p>
        </w:tc>
        <w:tc>
          <w:tcPr>
            <w:tcW w:w="400" w:type="dxa"/>
            <w:vAlign w:val="bottom"/>
            <w:shd w:val="clear" w:color="auto" w:fill="E5E5E5"/>
          </w:tcPr>
          <w:p>
            <w:pPr>
              <w:ind w:left="20"/>
              <w:spacing w:after="0"/>
              <w:rPr>
                <w:sz w:val="20"/>
                <w:szCs w:val="20"/>
                <w:color w:val="auto"/>
              </w:rPr>
            </w:pPr>
            <w:r>
              <w:rPr>
                <w:rFonts w:ascii="Arial" w:cs="Arial" w:eastAsia="Arial" w:hAnsi="Arial"/>
                <w:sz w:val="14"/>
                <w:szCs w:val="14"/>
                <w:color w:val="auto"/>
              </w:rPr>
              <w:t>(6)</w:t>
            </w:r>
          </w:p>
        </w:tc>
        <w:tc>
          <w:tcPr>
            <w:tcW w:w="200" w:type="dxa"/>
            <w:vAlign w:val="bottom"/>
            <w:shd w:val="clear" w:color="auto" w:fill="E5E5E5"/>
          </w:tcPr>
          <w:p>
            <w:pPr>
              <w:spacing w:after="0"/>
              <w:rPr>
                <w:sz w:val="14"/>
                <w:szCs w:val="14"/>
                <w:color w:val="auto"/>
              </w:rPr>
            </w:pPr>
          </w:p>
        </w:tc>
        <w:tc>
          <w:tcPr>
            <w:tcW w:w="112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4"/>
                <w:szCs w:val="14"/>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04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r>
      <w:tr>
        <w:trPr>
          <w:trHeight w:val="162"/>
        </w:trPr>
        <w:tc>
          <w:tcPr>
            <w:tcW w:w="2540" w:type="dxa"/>
            <w:vAlign w:val="bottom"/>
            <w:shd w:val="clear" w:color="auto" w:fill="E5E5E5"/>
          </w:tcPr>
          <w:p>
            <w:pPr>
              <w:ind w:left="140"/>
              <w:spacing w:after="0"/>
              <w:rPr>
                <w:sz w:val="20"/>
                <w:szCs w:val="20"/>
                <w:color w:val="auto"/>
              </w:rPr>
            </w:pPr>
            <w:r>
              <w:rPr>
                <w:rFonts w:ascii="Arial" w:cs="Arial" w:eastAsia="Arial" w:hAnsi="Arial"/>
                <w:sz w:val="14"/>
                <w:szCs w:val="14"/>
                <w:color w:val="auto"/>
              </w:rPr>
              <w:t>Deferred Compensation (7)</w:t>
            </w:r>
          </w:p>
        </w:tc>
        <w:tc>
          <w:tcPr>
            <w:tcW w:w="360" w:type="dxa"/>
            <w:vAlign w:val="bottom"/>
            <w:shd w:val="clear" w:color="auto" w:fill="E5E5E5"/>
          </w:tcPr>
          <w:p>
            <w:pPr>
              <w:spacing w:after="0"/>
              <w:rPr>
                <w:sz w:val="14"/>
                <w:szCs w:val="14"/>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4"/>
                <w:szCs w:val="14"/>
                <w:color w:val="auto"/>
              </w:rPr>
            </w:pPr>
          </w:p>
        </w:tc>
        <w:tc>
          <w:tcPr>
            <w:tcW w:w="2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2,038,329</w:t>
            </w:r>
          </w:p>
        </w:tc>
        <w:tc>
          <w:tcPr>
            <w:tcW w:w="4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112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4"/>
                <w:szCs w:val="14"/>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04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r>
      <w:tr>
        <w:trPr>
          <w:trHeight w:val="162"/>
        </w:trPr>
        <w:tc>
          <w:tcPr>
            <w:tcW w:w="2540" w:type="dxa"/>
            <w:vAlign w:val="bottom"/>
            <w:shd w:val="clear" w:color="auto" w:fill="E5E5E5"/>
          </w:tcPr>
          <w:p>
            <w:pPr>
              <w:ind w:left="140"/>
              <w:spacing w:after="0"/>
              <w:rPr>
                <w:sz w:val="20"/>
                <w:szCs w:val="20"/>
                <w:color w:val="auto"/>
              </w:rPr>
            </w:pPr>
            <w:r>
              <w:rPr>
                <w:rFonts w:ascii="Arial" w:cs="Arial" w:eastAsia="Arial" w:hAnsi="Arial"/>
                <w:sz w:val="14"/>
                <w:szCs w:val="14"/>
                <w:color w:val="auto"/>
              </w:rPr>
              <w:t>RSUs</w:t>
            </w:r>
          </w:p>
        </w:tc>
        <w:tc>
          <w:tcPr>
            <w:tcW w:w="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51,148,582</w:t>
            </w:r>
          </w:p>
        </w:tc>
        <w:tc>
          <w:tcPr>
            <w:tcW w:w="320" w:type="dxa"/>
            <w:vAlign w:val="bottom"/>
            <w:shd w:val="clear" w:color="auto" w:fill="E5E5E5"/>
          </w:tcPr>
          <w:p>
            <w:pPr>
              <w:ind w:left="20"/>
              <w:spacing w:after="0"/>
              <w:rPr>
                <w:sz w:val="20"/>
                <w:szCs w:val="20"/>
                <w:color w:val="auto"/>
              </w:rPr>
            </w:pPr>
            <w:r>
              <w:rPr>
                <w:rFonts w:ascii="Arial" w:cs="Arial" w:eastAsia="Arial" w:hAnsi="Arial"/>
                <w:sz w:val="14"/>
                <w:szCs w:val="14"/>
                <w:color w:val="auto"/>
              </w:rPr>
              <w:t>(8)</w:t>
            </w:r>
          </w:p>
        </w:tc>
        <w:tc>
          <w:tcPr>
            <w:tcW w:w="2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51,148,582</w:t>
            </w:r>
          </w:p>
        </w:tc>
        <w:tc>
          <w:tcPr>
            <w:tcW w:w="400" w:type="dxa"/>
            <w:vAlign w:val="bottom"/>
            <w:shd w:val="clear" w:color="auto" w:fill="E5E5E5"/>
          </w:tcPr>
          <w:p>
            <w:pPr>
              <w:ind w:left="20"/>
              <w:spacing w:after="0"/>
              <w:rPr>
                <w:sz w:val="20"/>
                <w:szCs w:val="20"/>
                <w:color w:val="auto"/>
              </w:rPr>
            </w:pPr>
            <w:r>
              <w:rPr>
                <w:rFonts w:ascii="Arial" w:cs="Arial" w:eastAsia="Arial" w:hAnsi="Arial"/>
                <w:sz w:val="14"/>
                <w:szCs w:val="14"/>
                <w:color w:val="auto"/>
              </w:rPr>
              <w:t>(8)</w:t>
            </w:r>
          </w:p>
        </w:tc>
        <w:tc>
          <w:tcPr>
            <w:tcW w:w="200" w:type="dxa"/>
            <w:vAlign w:val="bottom"/>
            <w:shd w:val="clear" w:color="auto" w:fill="E5E5E5"/>
          </w:tcPr>
          <w:p>
            <w:pPr>
              <w:ind w:left="120"/>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15,394,800 (9)</w:t>
            </w:r>
          </w:p>
        </w:tc>
        <w:tc>
          <w:tcPr>
            <w:tcW w:w="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51,148,582</w:t>
            </w:r>
          </w:p>
        </w:tc>
        <w:tc>
          <w:tcPr>
            <w:tcW w:w="400" w:type="dxa"/>
            <w:vAlign w:val="bottom"/>
            <w:shd w:val="clear" w:color="auto" w:fill="E5E5E5"/>
          </w:tcPr>
          <w:p>
            <w:pPr>
              <w:ind w:left="20"/>
              <w:spacing w:after="0"/>
              <w:rPr>
                <w:sz w:val="20"/>
                <w:szCs w:val="20"/>
                <w:color w:val="auto"/>
              </w:rPr>
            </w:pPr>
            <w:r>
              <w:rPr>
                <w:rFonts w:ascii="Arial" w:cs="Arial" w:eastAsia="Arial" w:hAnsi="Arial"/>
                <w:sz w:val="14"/>
                <w:szCs w:val="14"/>
                <w:color w:val="auto"/>
              </w:rPr>
              <w:t>(10)</w:t>
            </w:r>
          </w:p>
        </w:tc>
        <w:tc>
          <w:tcPr>
            <w:tcW w:w="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51,148,582</w:t>
            </w:r>
          </w:p>
        </w:tc>
        <w:tc>
          <w:tcPr>
            <w:tcW w:w="340" w:type="dxa"/>
            <w:vAlign w:val="bottom"/>
            <w:shd w:val="clear" w:color="auto" w:fill="E5E5E5"/>
          </w:tcPr>
          <w:p>
            <w:pPr>
              <w:ind w:left="20"/>
              <w:spacing w:after="0"/>
              <w:rPr>
                <w:sz w:val="20"/>
                <w:szCs w:val="20"/>
                <w:color w:val="auto"/>
              </w:rPr>
            </w:pPr>
            <w:r>
              <w:rPr>
                <w:rFonts w:ascii="Arial" w:cs="Arial" w:eastAsia="Arial" w:hAnsi="Arial"/>
                <w:sz w:val="14"/>
                <w:szCs w:val="14"/>
                <w:color w:val="auto"/>
              </w:rPr>
              <w:t>(10)</w:t>
            </w:r>
          </w:p>
        </w:tc>
        <w:tc>
          <w:tcPr>
            <w:tcW w:w="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15,394,800 (9)</w:t>
            </w:r>
          </w:p>
        </w:tc>
      </w:tr>
      <w:tr>
        <w:trPr>
          <w:trHeight w:val="162"/>
        </w:trPr>
        <w:tc>
          <w:tcPr>
            <w:tcW w:w="2540" w:type="dxa"/>
            <w:vAlign w:val="bottom"/>
            <w:shd w:val="clear" w:color="auto" w:fill="E5E5E5"/>
          </w:tcPr>
          <w:p>
            <w:pPr>
              <w:ind w:left="140"/>
              <w:spacing w:after="0"/>
              <w:rPr>
                <w:sz w:val="20"/>
                <w:szCs w:val="20"/>
                <w:color w:val="auto"/>
              </w:rPr>
            </w:pPr>
            <w:r>
              <w:rPr>
                <w:rFonts w:ascii="Arial" w:cs="Arial" w:eastAsia="Arial" w:hAnsi="Arial"/>
                <w:sz w:val="14"/>
                <w:szCs w:val="14"/>
                <w:color w:val="auto"/>
              </w:rPr>
              <w:t>Stock Options</w:t>
            </w:r>
          </w:p>
        </w:tc>
        <w:tc>
          <w:tcPr>
            <w:tcW w:w="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204,249,513</w:t>
            </w:r>
          </w:p>
        </w:tc>
        <w:tc>
          <w:tcPr>
            <w:tcW w:w="320" w:type="dxa"/>
            <w:vAlign w:val="bottom"/>
            <w:shd w:val="clear" w:color="auto" w:fill="E5E5E5"/>
          </w:tcPr>
          <w:p>
            <w:pPr>
              <w:ind w:left="20"/>
              <w:spacing w:after="0"/>
              <w:rPr>
                <w:sz w:val="20"/>
                <w:szCs w:val="20"/>
                <w:color w:val="auto"/>
              </w:rPr>
            </w:pPr>
            <w:r>
              <w:rPr>
                <w:rFonts w:ascii="Arial" w:cs="Arial" w:eastAsia="Arial" w:hAnsi="Arial"/>
                <w:sz w:val="14"/>
                <w:szCs w:val="14"/>
                <w:color w:val="auto"/>
              </w:rPr>
              <w:t>(11)</w:t>
            </w:r>
          </w:p>
        </w:tc>
        <w:tc>
          <w:tcPr>
            <w:tcW w:w="2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204,249,513</w:t>
            </w:r>
          </w:p>
        </w:tc>
        <w:tc>
          <w:tcPr>
            <w:tcW w:w="400" w:type="dxa"/>
            <w:vAlign w:val="bottom"/>
            <w:shd w:val="clear" w:color="auto" w:fill="E5E5E5"/>
          </w:tcPr>
          <w:p>
            <w:pPr>
              <w:ind w:left="20"/>
              <w:spacing w:after="0"/>
              <w:rPr>
                <w:sz w:val="20"/>
                <w:szCs w:val="20"/>
                <w:color w:val="auto"/>
              </w:rPr>
            </w:pPr>
            <w:r>
              <w:rPr>
                <w:rFonts w:ascii="Arial" w:cs="Arial" w:eastAsia="Arial" w:hAnsi="Arial"/>
                <w:sz w:val="14"/>
                <w:szCs w:val="14"/>
                <w:color w:val="auto"/>
              </w:rPr>
              <w:t>(11)</w:t>
            </w:r>
          </w:p>
        </w:tc>
        <w:tc>
          <w:tcPr>
            <w:tcW w:w="200" w:type="dxa"/>
            <w:vAlign w:val="bottom"/>
            <w:shd w:val="clear" w:color="auto" w:fill="E5E5E5"/>
          </w:tcPr>
          <w:p>
            <w:pPr>
              <w:spacing w:after="0"/>
              <w:rPr>
                <w:sz w:val="14"/>
                <w:szCs w:val="14"/>
                <w:color w:val="auto"/>
              </w:rPr>
            </w:pPr>
          </w:p>
        </w:tc>
        <w:tc>
          <w:tcPr>
            <w:tcW w:w="112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204,249,513</w:t>
            </w:r>
          </w:p>
        </w:tc>
        <w:tc>
          <w:tcPr>
            <w:tcW w:w="400" w:type="dxa"/>
            <w:vAlign w:val="bottom"/>
            <w:shd w:val="clear" w:color="auto" w:fill="E5E5E5"/>
          </w:tcPr>
          <w:p>
            <w:pPr>
              <w:ind w:left="20"/>
              <w:spacing w:after="0"/>
              <w:rPr>
                <w:sz w:val="20"/>
                <w:szCs w:val="20"/>
                <w:color w:val="auto"/>
              </w:rPr>
            </w:pPr>
            <w:r>
              <w:rPr>
                <w:rFonts w:ascii="Arial" w:cs="Arial" w:eastAsia="Arial" w:hAnsi="Arial"/>
                <w:sz w:val="14"/>
                <w:szCs w:val="14"/>
                <w:color w:val="auto"/>
              </w:rPr>
              <w:t>(11)</w:t>
            </w:r>
          </w:p>
        </w:tc>
        <w:tc>
          <w:tcPr>
            <w:tcW w:w="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204,249,513</w:t>
            </w:r>
          </w:p>
        </w:tc>
        <w:tc>
          <w:tcPr>
            <w:tcW w:w="340" w:type="dxa"/>
            <w:vAlign w:val="bottom"/>
            <w:shd w:val="clear" w:color="auto" w:fill="E5E5E5"/>
          </w:tcPr>
          <w:p>
            <w:pPr>
              <w:ind w:left="20"/>
              <w:spacing w:after="0"/>
              <w:rPr>
                <w:sz w:val="20"/>
                <w:szCs w:val="20"/>
                <w:color w:val="auto"/>
              </w:rPr>
            </w:pPr>
            <w:r>
              <w:rPr>
                <w:rFonts w:ascii="Arial" w:cs="Arial" w:eastAsia="Arial" w:hAnsi="Arial"/>
                <w:sz w:val="14"/>
                <w:szCs w:val="14"/>
                <w:color w:val="auto"/>
              </w:rPr>
              <w:t>(11)</w:t>
            </w:r>
          </w:p>
        </w:tc>
        <w:tc>
          <w:tcPr>
            <w:tcW w:w="140" w:type="dxa"/>
            <w:vAlign w:val="bottom"/>
            <w:shd w:val="clear" w:color="auto" w:fill="E5E5E5"/>
          </w:tcPr>
          <w:p>
            <w:pPr>
              <w:spacing w:after="0"/>
              <w:rPr>
                <w:sz w:val="14"/>
                <w:szCs w:val="14"/>
                <w:color w:val="auto"/>
              </w:rPr>
            </w:pPr>
          </w:p>
        </w:tc>
        <w:tc>
          <w:tcPr>
            <w:tcW w:w="104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r>
      <w:tr>
        <w:trPr>
          <w:trHeight w:val="162"/>
        </w:trPr>
        <w:tc>
          <w:tcPr>
            <w:tcW w:w="2540" w:type="dxa"/>
            <w:vAlign w:val="bottom"/>
            <w:shd w:val="clear" w:color="auto" w:fill="E5E5E5"/>
          </w:tcPr>
          <w:p>
            <w:pPr>
              <w:ind w:left="280"/>
              <w:spacing w:after="0"/>
              <w:rPr>
                <w:sz w:val="20"/>
                <w:szCs w:val="20"/>
                <w:color w:val="auto"/>
              </w:rPr>
            </w:pPr>
            <w:r>
              <w:rPr>
                <w:rFonts w:ascii="Arial" w:cs="Arial" w:eastAsia="Arial" w:hAnsi="Arial"/>
                <w:sz w:val="14"/>
                <w:szCs w:val="14"/>
                <w:b w:val="1"/>
                <w:bCs w:val="1"/>
                <w:color w:val="auto"/>
              </w:rPr>
              <w:t>R. K. Templeton Total</w:t>
            </w:r>
          </w:p>
        </w:tc>
        <w:tc>
          <w:tcPr>
            <w:tcW w:w="36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257,258,743</w:t>
            </w:r>
          </w:p>
        </w:tc>
        <w:tc>
          <w:tcPr>
            <w:tcW w:w="320" w:type="dxa"/>
            <w:vAlign w:val="bottom"/>
            <w:shd w:val="clear" w:color="auto" w:fill="E5E5E5"/>
          </w:tcPr>
          <w:p>
            <w:pPr>
              <w:spacing w:after="0"/>
              <w:rPr>
                <w:sz w:val="14"/>
                <w:szCs w:val="14"/>
                <w:color w:val="auto"/>
              </w:rPr>
            </w:pPr>
          </w:p>
        </w:tc>
        <w:tc>
          <w:tcPr>
            <w:tcW w:w="2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259,233,512</w:t>
            </w:r>
          </w:p>
        </w:tc>
        <w:tc>
          <w:tcPr>
            <w:tcW w:w="400" w:type="dxa"/>
            <w:vAlign w:val="bottom"/>
            <w:shd w:val="clear" w:color="auto" w:fill="E5E5E5"/>
          </w:tcPr>
          <w:p>
            <w:pPr>
              <w:spacing w:after="0"/>
              <w:rPr>
                <w:sz w:val="14"/>
                <w:szCs w:val="14"/>
                <w:color w:val="auto"/>
              </w:rPr>
            </w:pPr>
          </w:p>
        </w:tc>
        <w:tc>
          <w:tcPr>
            <w:tcW w:w="200" w:type="dxa"/>
            <w:vAlign w:val="bottom"/>
            <w:shd w:val="clear" w:color="auto" w:fill="E5E5E5"/>
          </w:tcPr>
          <w:p>
            <w:pPr>
              <w:ind w:left="120"/>
              <w:spacing w:after="0"/>
              <w:rPr>
                <w:sz w:val="20"/>
                <w:szCs w:val="20"/>
                <w:color w:val="auto"/>
              </w:rPr>
            </w:pPr>
            <w:r>
              <w:rPr>
                <w:rFonts w:ascii="Arial" w:cs="Arial" w:eastAsia="Arial" w:hAnsi="Arial"/>
                <w:sz w:val="14"/>
                <w:szCs w:val="14"/>
                <w:b w:val="1"/>
                <w:bCs w:val="1"/>
                <w:color w:val="auto"/>
                <w:w w:val="76"/>
              </w:rPr>
              <w:t>$</w:t>
            </w:r>
          </w:p>
        </w:tc>
        <w:tc>
          <w:tcPr>
            <w:tcW w:w="1120" w:type="dxa"/>
            <w:vAlign w:val="bottom"/>
            <w:shd w:val="clear" w:color="auto" w:fill="E5E5E5"/>
          </w:tcPr>
          <w:p>
            <w:pPr>
              <w:jc w:val="right"/>
              <w:ind w:right="268"/>
              <w:spacing w:after="0"/>
              <w:rPr>
                <w:sz w:val="20"/>
                <w:szCs w:val="20"/>
                <w:color w:val="auto"/>
              </w:rPr>
            </w:pPr>
            <w:r>
              <w:rPr>
                <w:rFonts w:ascii="Arial" w:cs="Arial" w:eastAsia="Arial" w:hAnsi="Arial"/>
                <w:sz w:val="14"/>
                <w:szCs w:val="14"/>
                <w:b w:val="1"/>
                <w:bCs w:val="1"/>
                <w:color w:val="auto"/>
              </w:rPr>
              <w:t>17,191,888</w:t>
            </w:r>
          </w:p>
        </w:tc>
        <w:tc>
          <w:tcPr>
            <w:tcW w:w="20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257,195,183</w:t>
            </w:r>
          </w:p>
        </w:tc>
        <w:tc>
          <w:tcPr>
            <w:tcW w:w="400" w:type="dxa"/>
            <w:vAlign w:val="bottom"/>
            <w:shd w:val="clear" w:color="auto" w:fill="E5E5E5"/>
          </w:tcPr>
          <w:p>
            <w:pPr>
              <w:spacing w:after="0"/>
              <w:rPr>
                <w:sz w:val="14"/>
                <w:szCs w:val="14"/>
                <w:color w:val="auto"/>
              </w:rPr>
            </w:pPr>
          </w:p>
        </w:tc>
        <w:tc>
          <w:tcPr>
            <w:tcW w:w="20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257,195,183</w:t>
            </w:r>
          </w:p>
        </w:tc>
        <w:tc>
          <w:tcPr>
            <w:tcW w:w="340" w:type="dxa"/>
            <w:vAlign w:val="bottom"/>
            <w:shd w:val="clear" w:color="auto" w:fill="E5E5E5"/>
          </w:tcPr>
          <w:p>
            <w:pPr>
              <w:spacing w:after="0"/>
              <w:rPr>
                <w:sz w:val="14"/>
                <w:szCs w:val="14"/>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E5E5E5"/>
          </w:tcPr>
          <w:p>
            <w:pPr>
              <w:jc w:val="right"/>
              <w:ind w:right="188"/>
              <w:spacing w:after="0"/>
              <w:rPr>
                <w:sz w:val="20"/>
                <w:szCs w:val="20"/>
                <w:color w:val="auto"/>
              </w:rPr>
            </w:pPr>
            <w:r>
              <w:rPr>
                <w:rFonts w:ascii="Arial" w:cs="Arial" w:eastAsia="Arial" w:hAnsi="Arial"/>
                <w:sz w:val="14"/>
                <w:szCs w:val="14"/>
                <w:b w:val="1"/>
                <w:bCs w:val="1"/>
                <w:color w:val="auto"/>
              </w:rPr>
              <w:t>15,878,958</w:t>
            </w:r>
          </w:p>
        </w:tc>
      </w:tr>
      <w:tr>
        <w:trPr>
          <w:trHeight w:val="167"/>
        </w:trPr>
        <w:tc>
          <w:tcPr>
            <w:tcW w:w="2540" w:type="dxa"/>
            <w:vAlign w:val="bottom"/>
          </w:tcPr>
          <w:p>
            <w:pPr>
              <w:spacing w:after="0"/>
              <w:rPr>
                <w:sz w:val="20"/>
                <w:szCs w:val="20"/>
                <w:color w:val="auto"/>
              </w:rPr>
            </w:pPr>
            <w:r>
              <w:rPr>
                <w:rFonts w:ascii="Arial" w:cs="Arial" w:eastAsia="Arial" w:hAnsi="Arial"/>
                <w:sz w:val="14"/>
                <w:szCs w:val="14"/>
                <w:b w:val="1"/>
                <w:bCs w:val="1"/>
                <w:color w:val="auto"/>
              </w:rPr>
              <w:t>R. R. Lizardi</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2540" w:type="dxa"/>
            <w:vAlign w:val="bottom"/>
          </w:tcPr>
          <w:p>
            <w:pPr>
              <w:ind w:left="140"/>
              <w:spacing w:after="0"/>
              <w:rPr>
                <w:sz w:val="20"/>
                <w:szCs w:val="20"/>
                <w:color w:val="auto"/>
              </w:rPr>
            </w:pPr>
            <w:r>
              <w:rPr>
                <w:rFonts w:ascii="Arial" w:cs="Arial" w:eastAsia="Arial" w:hAnsi="Arial"/>
                <w:sz w:val="14"/>
                <w:szCs w:val="14"/>
                <w:color w:val="auto"/>
              </w:rPr>
              <w:t>Qualified Defined Benefit</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2540" w:type="dxa"/>
            <w:vAlign w:val="bottom"/>
          </w:tcPr>
          <w:p>
            <w:pPr>
              <w:ind w:left="280"/>
              <w:spacing w:after="0"/>
              <w:rPr>
                <w:sz w:val="20"/>
                <w:szCs w:val="20"/>
                <w:color w:val="auto"/>
              </w:rPr>
            </w:pPr>
            <w:r>
              <w:rPr>
                <w:rFonts w:ascii="Arial" w:cs="Arial" w:eastAsia="Arial" w:hAnsi="Arial"/>
                <w:sz w:val="14"/>
                <w:szCs w:val="14"/>
                <w:color w:val="auto"/>
              </w:rPr>
              <w:t>Pension Plan</w:t>
            </w:r>
          </w:p>
        </w:tc>
        <w:tc>
          <w:tcPr>
            <w:tcW w:w="3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w:t>
            </w:r>
          </w:p>
        </w:tc>
      </w:tr>
      <w:tr>
        <w:trPr>
          <w:trHeight w:val="162"/>
        </w:trPr>
        <w:tc>
          <w:tcPr>
            <w:tcW w:w="2540" w:type="dxa"/>
            <w:vAlign w:val="bottom"/>
          </w:tcPr>
          <w:p>
            <w:pPr>
              <w:ind w:left="140"/>
              <w:spacing w:after="0"/>
              <w:rPr>
                <w:sz w:val="20"/>
                <w:szCs w:val="20"/>
                <w:color w:val="auto"/>
              </w:rPr>
            </w:pPr>
            <w:r>
              <w:rPr>
                <w:rFonts w:ascii="Arial" w:cs="Arial" w:eastAsia="Arial" w:hAnsi="Arial"/>
                <w:sz w:val="14"/>
                <w:szCs w:val="14"/>
                <w:color w:val="auto"/>
              </w:rPr>
              <w:t>Non-Qual. Defined Benefit</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2540" w:type="dxa"/>
            <w:vAlign w:val="bottom"/>
          </w:tcPr>
          <w:p>
            <w:pPr>
              <w:ind w:left="280"/>
              <w:spacing w:after="0"/>
              <w:rPr>
                <w:sz w:val="20"/>
                <w:szCs w:val="20"/>
                <w:color w:val="auto"/>
              </w:rPr>
            </w:pPr>
            <w:r>
              <w:rPr>
                <w:rFonts w:ascii="Arial" w:cs="Arial" w:eastAsia="Arial" w:hAnsi="Arial"/>
                <w:sz w:val="14"/>
                <w:szCs w:val="14"/>
                <w:color w:val="auto"/>
              </w:rPr>
              <w:t>Pension Plan</w:t>
            </w:r>
          </w:p>
        </w:tc>
        <w:tc>
          <w:tcPr>
            <w:tcW w:w="3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w:t>
            </w:r>
          </w:p>
        </w:tc>
      </w:tr>
      <w:tr>
        <w:trPr>
          <w:trHeight w:val="162"/>
        </w:trPr>
        <w:tc>
          <w:tcPr>
            <w:tcW w:w="2540" w:type="dxa"/>
            <w:vAlign w:val="bottom"/>
          </w:tcPr>
          <w:p>
            <w:pPr>
              <w:ind w:left="140"/>
              <w:spacing w:after="0"/>
              <w:rPr>
                <w:sz w:val="20"/>
                <w:szCs w:val="20"/>
                <w:color w:val="auto"/>
              </w:rPr>
            </w:pPr>
            <w:r>
              <w:rPr>
                <w:rFonts w:ascii="Arial" w:cs="Arial" w:eastAsia="Arial" w:hAnsi="Arial"/>
                <w:sz w:val="14"/>
                <w:szCs w:val="14"/>
                <w:color w:val="auto"/>
              </w:rPr>
              <w:t>Non-Qual. Defined Benefit</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2540" w:type="dxa"/>
            <w:vAlign w:val="bottom"/>
          </w:tcPr>
          <w:p>
            <w:pPr>
              <w:ind w:left="280"/>
              <w:spacing w:after="0"/>
              <w:rPr>
                <w:sz w:val="20"/>
                <w:szCs w:val="20"/>
                <w:color w:val="auto"/>
              </w:rPr>
            </w:pPr>
            <w:r>
              <w:rPr>
                <w:rFonts w:ascii="Arial" w:cs="Arial" w:eastAsia="Arial" w:hAnsi="Arial"/>
                <w:sz w:val="14"/>
                <w:szCs w:val="14"/>
                <w:color w:val="auto"/>
              </w:rPr>
              <w:t>Pension Plan II</w:t>
            </w:r>
          </w:p>
        </w:tc>
        <w:tc>
          <w:tcPr>
            <w:tcW w:w="3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w:t>
            </w:r>
          </w:p>
        </w:tc>
      </w:tr>
      <w:tr>
        <w:trPr>
          <w:trHeight w:val="162"/>
        </w:trPr>
        <w:tc>
          <w:tcPr>
            <w:tcW w:w="2540" w:type="dxa"/>
            <w:vAlign w:val="bottom"/>
          </w:tcPr>
          <w:p>
            <w:pPr>
              <w:ind w:left="140"/>
              <w:spacing w:after="0"/>
              <w:rPr>
                <w:sz w:val="20"/>
                <w:szCs w:val="20"/>
                <w:color w:val="auto"/>
              </w:rPr>
            </w:pPr>
            <w:r>
              <w:rPr>
                <w:rFonts w:ascii="Arial" w:cs="Arial" w:eastAsia="Arial" w:hAnsi="Arial"/>
                <w:sz w:val="14"/>
                <w:szCs w:val="14"/>
                <w:color w:val="auto"/>
              </w:rPr>
              <w:t>Survivor Benefit Plan</w:t>
            </w:r>
          </w:p>
        </w:tc>
        <w:tc>
          <w:tcPr>
            <w:tcW w:w="3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w:t>
            </w:r>
          </w:p>
        </w:tc>
      </w:tr>
      <w:tr>
        <w:trPr>
          <w:trHeight w:val="162"/>
        </w:trPr>
        <w:tc>
          <w:tcPr>
            <w:tcW w:w="2540" w:type="dxa"/>
            <w:vAlign w:val="bottom"/>
          </w:tcPr>
          <w:p>
            <w:pPr>
              <w:ind w:left="140"/>
              <w:spacing w:after="0"/>
              <w:rPr>
                <w:sz w:val="20"/>
                <w:szCs w:val="20"/>
                <w:color w:val="auto"/>
              </w:rPr>
            </w:pPr>
            <w:r>
              <w:rPr>
                <w:rFonts w:ascii="Arial" w:cs="Arial" w:eastAsia="Arial" w:hAnsi="Arial"/>
                <w:sz w:val="14"/>
                <w:szCs w:val="14"/>
                <w:color w:val="auto"/>
              </w:rPr>
              <w:t>Deferred Compensation (7)</w:t>
            </w:r>
          </w:p>
        </w:tc>
        <w:tc>
          <w:tcPr>
            <w:tcW w:w="3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616,316</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w:t>
            </w:r>
          </w:p>
        </w:tc>
      </w:tr>
      <w:tr>
        <w:trPr>
          <w:trHeight w:val="162"/>
        </w:trPr>
        <w:tc>
          <w:tcPr>
            <w:tcW w:w="2540" w:type="dxa"/>
            <w:vAlign w:val="bottom"/>
          </w:tcPr>
          <w:p>
            <w:pPr>
              <w:ind w:left="140"/>
              <w:spacing w:after="0"/>
              <w:rPr>
                <w:sz w:val="20"/>
                <w:szCs w:val="20"/>
                <w:color w:val="auto"/>
              </w:rPr>
            </w:pPr>
            <w:r>
              <w:rPr>
                <w:rFonts w:ascii="Arial" w:cs="Arial" w:eastAsia="Arial" w:hAnsi="Arial"/>
                <w:sz w:val="14"/>
                <w:szCs w:val="14"/>
                <w:color w:val="auto"/>
              </w:rPr>
              <w:t>RSUs</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7,205,280</w:t>
            </w:r>
          </w:p>
        </w:tc>
        <w:tc>
          <w:tcPr>
            <w:tcW w:w="320" w:type="dxa"/>
            <w:vAlign w:val="bottom"/>
          </w:tcPr>
          <w:p>
            <w:pPr>
              <w:ind w:left="20"/>
              <w:spacing w:after="0"/>
              <w:rPr>
                <w:sz w:val="20"/>
                <w:szCs w:val="20"/>
                <w:color w:val="auto"/>
              </w:rPr>
            </w:pPr>
            <w:r>
              <w:rPr>
                <w:rFonts w:ascii="Arial" w:cs="Arial" w:eastAsia="Arial" w:hAnsi="Arial"/>
                <w:sz w:val="14"/>
                <w:szCs w:val="14"/>
                <w:color w:val="auto"/>
              </w:rPr>
              <w:t>(8)</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7,205,280</w:t>
            </w:r>
          </w:p>
        </w:tc>
        <w:tc>
          <w:tcPr>
            <w:tcW w:w="400" w:type="dxa"/>
            <w:vAlign w:val="bottom"/>
          </w:tcPr>
          <w:p>
            <w:pPr>
              <w:ind w:left="20"/>
              <w:spacing w:after="0"/>
              <w:rPr>
                <w:sz w:val="20"/>
                <w:szCs w:val="20"/>
                <w:color w:val="auto"/>
              </w:rPr>
            </w:pPr>
            <w:r>
              <w:rPr>
                <w:rFonts w:ascii="Arial" w:cs="Arial" w:eastAsia="Arial" w:hAnsi="Arial"/>
                <w:sz w:val="14"/>
                <w:szCs w:val="14"/>
                <w:color w:val="auto"/>
              </w:rPr>
              <w:t>(8)</w:t>
            </w:r>
          </w:p>
        </w:tc>
        <w:tc>
          <w:tcPr>
            <w:tcW w:w="2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w:t>
            </w:r>
          </w:p>
        </w:tc>
      </w:tr>
      <w:tr>
        <w:trPr>
          <w:trHeight w:val="144"/>
        </w:trPr>
        <w:tc>
          <w:tcPr>
            <w:tcW w:w="2540" w:type="dxa"/>
            <w:vAlign w:val="bottom"/>
          </w:tcPr>
          <w:p>
            <w:pPr>
              <w:ind w:left="140"/>
              <w:spacing w:after="0" w:line="144" w:lineRule="exact"/>
              <w:rPr>
                <w:sz w:val="20"/>
                <w:szCs w:val="20"/>
                <w:color w:val="auto"/>
              </w:rPr>
            </w:pPr>
            <w:r>
              <w:rPr>
                <w:rFonts w:ascii="Arial" w:cs="Arial" w:eastAsia="Arial" w:hAnsi="Arial"/>
                <w:sz w:val="14"/>
                <w:szCs w:val="14"/>
                <w:color w:val="auto"/>
              </w:rPr>
              <w:t>Stock Options</w:t>
            </w:r>
          </w:p>
        </w:tc>
        <w:tc>
          <w:tcPr>
            <w:tcW w:w="360" w:type="dxa"/>
            <w:vAlign w:val="bottom"/>
          </w:tcPr>
          <w:p>
            <w:pPr>
              <w:jc w:val="right"/>
              <w:spacing w:after="0" w:line="144"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4" w:lineRule="exact"/>
              <w:rPr>
                <w:sz w:val="20"/>
                <w:szCs w:val="20"/>
                <w:color w:val="auto"/>
              </w:rPr>
            </w:pPr>
            <w:r>
              <w:rPr>
                <w:rFonts w:ascii="Arial" w:cs="Arial" w:eastAsia="Arial" w:hAnsi="Arial"/>
                <w:sz w:val="14"/>
                <w:szCs w:val="14"/>
                <w:color w:val="auto"/>
              </w:rPr>
              <w:t>4,612,897</w:t>
            </w:r>
          </w:p>
        </w:tc>
        <w:tc>
          <w:tcPr>
            <w:tcW w:w="320" w:type="dxa"/>
            <w:vAlign w:val="bottom"/>
          </w:tcPr>
          <w:p>
            <w:pPr>
              <w:ind w:left="20"/>
              <w:spacing w:after="0" w:line="144" w:lineRule="exact"/>
              <w:rPr>
                <w:sz w:val="20"/>
                <w:szCs w:val="20"/>
                <w:color w:val="auto"/>
              </w:rPr>
            </w:pPr>
            <w:r>
              <w:rPr>
                <w:rFonts w:ascii="Arial" w:cs="Arial" w:eastAsia="Arial" w:hAnsi="Arial"/>
                <w:sz w:val="14"/>
                <w:szCs w:val="14"/>
                <w:color w:val="auto"/>
              </w:rPr>
              <w:t>(11)</w:t>
            </w:r>
          </w:p>
        </w:tc>
        <w:tc>
          <w:tcPr>
            <w:tcW w:w="280" w:type="dxa"/>
            <w:vAlign w:val="bottom"/>
          </w:tcPr>
          <w:p>
            <w:pPr>
              <w:jc w:val="right"/>
              <w:spacing w:after="0" w:line="144"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4" w:lineRule="exact"/>
              <w:rPr>
                <w:sz w:val="20"/>
                <w:szCs w:val="20"/>
                <w:color w:val="auto"/>
              </w:rPr>
            </w:pPr>
            <w:r>
              <w:rPr>
                <w:rFonts w:ascii="Arial" w:cs="Arial" w:eastAsia="Arial" w:hAnsi="Arial"/>
                <w:sz w:val="14"/>
                <w:szCs w:val="14"/>
                <w:color w:val="auto"/>
              </w:rPr>
              <w:t>4,612,897</w:t>
            </w:r>
          </w:p>
        </w:tc>
        <w:tc>
          <w:tcPr>
            <w:tcW w:w="400" w:type="dxa"/>
            <w:vAlign w:val="bottom"/>
          </w:tcPr>
          <w:p>
            <w:pPr>
              <w:ind w:left="20"/>
              <w:spacing w:after="0" w:line="144" w:lineRule="exact"/>
              <w:rPr>
                <w:sz w:val="20"/>
                <w:szCs w:val="20"/>
                <w:color w:val="auto"/>
              </w:rPr>
            </w:pPr>
            <w:r>
              <w:rPr>
                <w:rFonts w:ascii="Arial" w:cs="Arial" w:eastAsia="Arial" w:hAnsi="Arial"/>
                <w:sz w:val="14"/>
                <w:szCs w:val="14"/>
                <w:color w:val="auto"/>
              </w:rPr>
              <w:t>(11)</w:t>
            </w:r>
          </w:p>
        </w:tc>
        <w:tc>
          <w:tcPr>
            <w:tcW w:w="200" w:type="dxa"/>
            <w:vAlign w:val="bottom"/>
          </w:tcPr>
          <w:p>
            <w:pPr>
              <w:spacing w:after="0"/>
              <w:rPr>
                <w:sz w:val="12"/>
                <w:szCs w:val="12"/>
                <w:color w:val="auto"/>
              </w:rPr>
            </w:pPr>
          </w:p>
        </w:tc>
        <w:tc>
          <w:tcPr>
            <w:tcW w:w="1120" w:type="dxa"/>
            <w:vAlign w:val="bottom"/>
          </w:tcPr>
          <w:p>
            <w:pPr>
              <w:jc w:val="right"/>
              <w:ind w:right="268"/>
              <w:spacing w:after="0" w:line="144"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4"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4" w:lineRule="exact"/>
              <w:rPr>
                <w:sz w:val="20"/>
                <w:szCs w:val="20"/>
                <w:color w:val="auto"/>
              </w:rPr>
            </w:pPr>
            <w:r>
              <w:rPr>
                <w:rFonts w:ascii="Arial" w:cs="Arial" w:eastAsia="Arial" w:hAnsi="Arial"/>
                <w:sz w:val="14"/>
                <w:szCs w:val="14"/>
                <w:color w:val="auto"/>
              </w:rPr>
              <w:t>234,369</w:t>
            </w:r>
          </w:p>
        </w:tc>
        <w:tc>
          <w:tcPr>
            <w:tcW w:w="400" w:type="dxa"/>
            <w:vAlign w:val="bottom"/>
          </w:tcPr>
          <w:p>
            <w:pPr>
              <w:ind w:left="20"/>
              <w:spacing w:after="0" w:line="144" w:lineRule="exact"/>
              <w:rPr>
                <w:sz w:val="20"/>
                <w:szCs w:val="20"/>
                <w:color w:val="auto"/>
              </w:rPr>
            </w:pPr>
            <w:r>
              <w:rPr>
                <w:rFonts w:ascii="Arial" w:cs="Arial" w:eastAsia="Arial" w:hAnsi="Arial"/>
                <w:sz w:val="14"/>
                <w:szCs w:val="14"/>
                <w:color w:val="auto"/>
              </w:rPr>
              <w:t>(12)</w:t>
            </w:r>
          </w:p>
        </w:tc>
        <w:tc>
          <w:tcPr>
            <w:tcW w:w="200" w:type="dxa"/>
            <w:vAlign w:val="bottom"/>
          </w:tcPr>
          <w:p>
            <w:pPr>
              <w:spacing w:after="0"/>
              <w:rPr>
                <w:sz w:val="12"/>
                <w:szCs w:val="12"/>
                <w:color w:val="auto"/>
              </w:rPr>
            </w:pPr>
          </w:p>
        </w:tc>
        <w:tc>
          <w:tcPr>
            <w:tcW w:w="860" w:type="dxa"/>
            <w:vAlign w:val="bottom"/>
          </w:tcPr>
          <w:p>
            <w:pPr>
              <w:jc w:val="right"/>
              <w:spacing w:after="0" w:line="144"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188"/>
              <w:spacing w:after="0" w:line="144" w:lineRule="exact"/>
              <w:rPr>
                <w:sz w:val="20"/>
                <w:szCs w:val="20"/>
                <w:color w:val="auto"/>
              </w:rPr>
            </w:pPr>
            <w:r>
              <w:rPr>
                <w:rFonts w:ascii="Arial" w:cs="Arial" w:eastAsia="Arial" w:hAnsi="Arial"/>
                <w:sz w:val="14"/>
                <w:szCs w:val="14"/>
                <w:color w:val="auto"/>
              </w:rPr>
              <w:t>—</w:t>
            </w:r>
          </w:p>
        </w:tc>
      </w:tr>
      <w:tr>
        <w:trPr>
          <w:trHeight w:val="175"/>
        </w:trPr>
        <w:tc>
          <w:tcPr>
            <w:tcW w:w="2540" w:type="dxa"/>
            <w:vAlign w:val="bottom"/>
          </w:tcPr>
          <w:p>
            <w:pPr>
              <w:ind w:left="280"/>
              <w:spacing w:after="0"/>
              <w:rPr>
                <w:sz w:val="20"/>
                <w:szCs w:val="20"/>
                <w:color w:val="auto"/>
              </w:rPr>
            </w:pPr>
            <w:r>
              <w:rPr>
                <w:rFonts w:ascii="Arial" w:cs="Arial" w:eastAsia="Arial" w:hAnsi="Arial"/>
                <w:sz w:val="14"/>
                <w:szCs w:val="14"/>
                <w:b w:val="1"/>
                <w:bCs w:val="1"/>
                <w:color w:val="auto"/>
              </w:rPr>
              <w:t>R. R. Lizardi Total</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11,818,177</w:t>
            </w:r>
          </w:p>
        </w:tc>
        <w:tc>
          <w:tcPr>
            <w:tcW w:w="3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12,434,493</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26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234,369</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r>
      <w:tr>
        <w:trPr>
          <w:trHeight w:val="162"/>
        </w:trPr>
        <w:tc>
          <w:tcPr>
            <w:tcW w:w="2540" w:type="dxa"/>
            <w:vAlign w:val="bottom"/>
            <w:shd w:val="clear" w:color="auto" w:fill="E5E5E5"/>
          </w:tcPr>
          <w:p>
            <w:pPr>
              <w:spacing w:after="0"/>
              <w:rPr>
                <w:sz w:val="20"/>
                <w:szCs w:val="20"/>
                <w:color w:val="auto"/>
              </w:rPr>
            </w:pPr>
            <w:r>
              <w:rPr>
                <w:rFonts w:ascii="Arial" w:cs="Arial" w:eastAsia="Arial" w:hAnsi="Arial"/>
                <w:sz w:val="14"/>
                <w:szCs w:val="14"/>
                <w:b w:val="1"/>
                <w:bCs w:val="1"/>
                <w:color w:val="auto"/>
              </w:rPr>
              <w:t>N. Anderskouv</w:t>
            </w:r>
          </w:p>
        </w:tc>
        <w:tc>
          <w:tcPr>
            <w:tcW w:w="360" w:type="dxa"/>
            <w:vAlign w:val="bottom"/>
            <w:shd w:val="clear" w:color="auto" w:fill="E5E5E5"/>
          </w:tcPr>
          <w:p>
            <w:pPr>
              <w:spacing w:after="0"/>
              <w:rPr>
                <w:sz w:val="14"/>
                <w:szCs w:val="14"/>
                <w:color w:val="auto"/>
              </w:rPr>
            </w:pPr>
          </w:p>
        </w:tc>
        <w:tc>
          <w:tcPr>
            <w:tcW w:w="860" w:type="dxa"/>
            <w:vAlign w:val="bottom"/>
            <w:shd w:val="clear" w:color="auto" w:fill="E5E5E5"/>
          </w:tcPr>
          <w:p>
            <w:pPr>
              <w:spacing w:after="0"/>
              <w:rPr>
                <w:sz w:val="14"/>
                <w:szCs w:val="14"/>
                <w:color w:val="auto"/>
              </w:rPr>
            </w:pPr>
          </w:p>
        </w:tc>
        <w:tc>
          <w:tcPr>
            <w:tcW w:w="32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880" w:type="dxa"/>
            <w:vAlign w:val="bottom"/>
            <w:shd w:val="clear" w:color="auto" w:fill="E5E5E5"/>
          </w:tcPr>
          <w:p>
            <w:pPr>
              <w:spacing w:after="0"/>
              <w:rPr>
                <w:sz w:val="14"/>
                <w:szCs w:val="14"/>
                <w:color w:val="auto"/>
              </w:rPr>
            </w:pPr>
          </w:p>
        </w:tc>
        <w:tc>
          <w:tcPr>
            <w:tcW w:w="4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112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880" w:type="dxa"/>
            <w:vAlign w:val="bottom"/>
            <w:shd w:val="clear" w:color="auto" w:fill="E5E5E5"/>
          </w:tcPr>
          <w:p>
            <w:pPr>
              <w:spacing w:after="0"/>
              <w:rPr>
                <w:sz w:val="14"/>
                <w:szCs w:val="14"/>
                <w:color w:val="auto"/>
              </w:rPr>
            </w:pPr>
          </w:p>
        </w:tc>
        <w:tc>
          <w:tcPr>
            <w:tcW w:w="4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860" w:type="dxa"/>
            <w:vAlign w:val="bottom"/>
            <w:shd w:val="clear" w:color="auto" w:fill="E5E5E5"/>
          </w:tcPr>
          <w:p>
            <w:pPr>
              <w:spacing w:after="0"/>
              <w:rPr>
                <w:sz w:val="14"/>
                <w:szCs w:val="14"/>
                <w:color w:val="auto"/>
              </w:rPr>
            </w:pPr>
          </w:p>
        </w:tc>
        <w:tc>
          <w:tcPr>
            <w:tcW w:w="34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040" w:type="dxa"/>
            <w:vAlign w:val="bottom"/>
            <w:shd w:val="clear" w:color="auto" w:fill="E5E5E5"/>
          </w:tcPr>
          <w:p>
            <w:pPr>
              <w:spacing w:after="0"/>
              <w:rPr>
                <w:sz w:val="14"/>
                <w:szCs w:val="14"/>
                <w:color w:val="auto"/>
              </w:rPr>
            </w:pPr>
          </w:p>
        </w:tc>
      </w:tr>
      <w:tr>
        <w:trPr>
          <w:trHeight w:val="167"/>
        </w:trPr>
        <w:tc>
          <w:tcPr>
            <w:tcW w:w="2540" w:type="dxa"/>
            <w:vAlign w:val="bottom"/>
            <w:shd w:val="clear" w:color="auto" w:fill="E5E5E5"/>
          </w:tcPr>
          <w:p>
            <w:pPr>
              <w:ind w:left="140"/>
              <w:spacing w:after="0"/>
              <w:rPr>
                <w:sz w:val="20"/>
                <w:szCs w:val="20"/>
                <w:color w:val="auto"/>
              </w:rPr>
            </w:pPr>
            <w:r>
              <w:rPr>
                <w:rFonts w:ascii="Arial" w:cs="Arial" w:eastAsia="Arial" w:hAnsi="Arial"/>
                <w:sz w:val="14"/>
                <w:szCs w:val="14"/>
                <w:color w:val="auto"/>
              </w:rPr>
              <w:t>Qualified Defined Benefit</w:t>
            </w:r>
          </w:p>
        </w:tc>
        <w:tc>
          <w:tcPr>
            <w:tcW w:w="360" w:type="dxa"/>
            <w:vAlign w:val="bottom"/>
            <w:shd w:val="clear" w:color="auto" w:fill="E5E5E5"/>
          </w:tcPr>
          <w:p>
            <w:pPr>
              <w:spacing w:after="0"/>
              <w:rPr>
                <w:sz w:val="14"/>
                <w:szCs w:val="14"/>
                <w:color w:val="auto"/>
              </w:rPr>
            </w:pPr>
          </w:p>
        </w:tc>
        <w:tc>
          <w:tcPr>
            <w:tcW w:w="860" w:type="dxa"/>
            <w:vAlign w:val="bottom"/>
            <w:shd w:val="clear" w:color="auto" w:fill="E5E5E5"/>
          </w:tcPr>
          <w:p>
            <w:pPr>
              <w:spacing w:after="0"/>
              <w:rPr>
                <w:sz w:val="14"/>
                <w:szCs w:val="14"/>
                <w:color w:val="auto"/>
              </w:rPr>
            </w:pPr>
          </w:p>
        </w:tc>
        <w:tc>
          <w:tcPr>
            <w:tcW w:w="32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880" w:type="dxa"/>
            <w:vAlign w:val="bottom"/>
            <w:shd w:val="clear" w:color="auto" w:fill="E5E5E5"/>
          </w:tcPr>
          <w:p>
            <w:pPr>
              <w:spacing w:after="0"/>
              <w:rPr>
                <w:sz w:val="14"/>
                <w:szCs w:val="14"/>
                <w:color w:val="auto"/>
              </w:rPr>
            </w:pPr>
          </w:p>
        </w:tc>
        <w:tc>
          <w:tcPr>
            <w:tcW w:w="4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112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880" w:type="dxa"/>
            <w:vAlign w:val="bottom"/>
            <w:shd w:val="clear" w:color="auto" w:fill="E5E5E5"/>
          </w:tcPr>
          <w:p>
            <w:pPr>
              <w:spacing w:after="0"/>
              <w:rPr>
                <w:sz w:val="14"/>
                <w:szCs w:val="14"/>
                <w:color w:val="auto"/>
              </w:rPr>
            </w:pPr>
          </w:p>
        </w:tc>
        <w:tc>
          <w:tcPr>
            <w:tcW w:w="4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860" w:type="dxa"/>
            <w:vAlign w:val="bottom"/>
            <w:shd w:val="clear" w:color="auto" w:fill="E5E5E5"/>
          </w:tcPr>
          <w:p>
            <w:pPr>
              <w:spacing w:after="0"/>
              <w:rPr>
                <w:sz w:val="14"/>
                <w:szCs w:val="14"/>
                <w:color w:val="auto"/>
              </w:rPr>
            </w:pPr>
          </w:p>
        </w:tc>
        <w:tc>
          <w:tcPr>
            <w:tcW w:w="34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040" w:type="dxa"/>
            <w:vAlign w:val="bottom"/>
            <w:shd w:val="clear" w:color="auto" w:fill="E5E5E5"/>
          </w:tcPr>
          <w:p>
            <w:pPr>
              <w:spacing w:after="0"/>
              <w:rPr>
                <w:sz w:val="14"/>
                <w:szCs w:val="14"/>
                <w:color w:val="auto"/>
              </w:rPr>
            </w:pPr>
          </w:p>
        </w:tc>
      </w:tr>
      <w:tr>
        <w:trPr>
          <w:trHeight w:val="157"/>
        </w:trPr>
        <w:tc>
          <w:tcPr>
            <w:tcW w:w="2540" w:type="dxa"/>
            <w:vAlign w:val="bottom"/>
            <w:shd w:val="clear" w:color="auto" w:fill="E5E5E5"/>
          </w:tcPr>
          <w:p>
            <w:pPr>
              <w:ind w:left="280"/>
              <w:spacing w:after="0" w:line="157" w:lineRule="exact"/>
              <w:rPr>
                <w:sz w:val="20"/>
                <w:szCs w:val="20"/>
                <w:color w:val="auto"/>
              </w:rPr>
            </w:pPr>
            <w:r>
              <w:rPr>
                <w:rFonts w:ascii="Arial" w:cs="Arial" w:eastAsia="Arial" w:hAnsi="Arial"/>
                <w:sz w:val="14"/>
                <w:szCs w:val="14"/>
                <w:color w:val="auto"/>
              </w:rPr>
              <w:t>Pension Plan</w:t>
            </w:r>
          </w:p>
        </w:tc>
        <w:tc>
          <w:tcPr>
            <w:tcW w:w="360" w:type="dxa"/>
            <w:vAlign w:val="bottom"/>
            <w:shd w:val="clear" w:color="auto" w:fill="E5E5E5"/>
          </w:tcPr>
          <w:p>
            <w:pPr>
              <w:spacing w:after="0"/>
              <w:rPr>
                <w:sz w:val="13"/>
                <w:szCs w:val="13"/>
                <w:color w:val="auto"/>
              </w:rPr>
            </w:pPr>
          </w:p>
        </w:tc>
        <w:tc>
          <w:tcPr>
            <w:tcW w:w="86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3"/>
                <w:szCs w:val="13"/>
                <w:color w:val="auto"/>
              </w:rPr>
            </w:pPr>
          </w:p>
        </w:tc>
        <w:tc>
          <w:tcPr>
            <w:tcW w:w="280" w:type="dxa"/>
            <w:vAlign w:val="bottom"/>
            <w:shd w:val="clear" w:color="auto" w:fill="E5E5E5"/>
          </w:tcPr>
          <w:p>
            <w:pPr>
              <w:spacing w:after="0"/>
              <w:rPr>
                <w:sz w:val="13"/>
                <w:szCs w:val="13"/>
                <w:color w:val="auto"/>
              </w:rPr>
            </w:pPr>
          </w:p>
        </w:tc>
        <w:tc>
          <w:tcPr>
            <w:tcW w:w="8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1120" w:type="dxa"/>
            <w:vAlign w:val="bottom"/>
            <w:shd w:val="clear" w:color="auto" w:fill="E5E5E5"/>
          </w:tcPr>
          <w:p>
            <w:pPr>
              <w:jc w:val="right"/>
              <w:ind w:right="268"/>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3"/>
                <w:szCs w:val="13"/>
                <w:color w:val="auto"/>
              </w:rPr>
            </w:pPr>
          </w:p>
        </w:tc>
        <w:tc>
          <w:tcPr>
            <w:tcW w:w="8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86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1040" w:type="dxa"/>
            <w:vAlign w:val="bottom"/>
            <w:shd w:val="clear" w:color="auto" w:fill="E5E5E5"/>
          </w:tcPr>
          <w:p>
            <w:pPr>
              <w:jc w:val="right"/>
              <w:ind w:right="188"/>
              <w:spacing w:after="0" w:line="157" w:lineRule="exact"/>
              <w:rPr>
                <w:sz w:val="20"/>
                <w:szCs w:val="20"/>
                <w:color w:val="auto"/>
              </w:rPr>
            </w:pPr>
            <w:r>
              <w:rPr>
                <w:rFonts w:ascii="Arial" w:cs="Arial" w:eastAsia="Arial" w:hAnsi="Arial"/>
                <w:sz w:val="14"/>
                <w:szCs w:val="14"/>
                <w:color w:val="auto"/>
              </w:rPr>
              <w:t>—</w:t>
            </w:r>
          </w:p>
        </w:tc>
      </w:tr>
      <w:tr>
        <w:trPr>
          <w:trHeight w:val="167"/>
        </w:trPr>
        <w:tc>
          <w:tcPr>
            <w:tcW w:w="2540" w:type="dxa"/>
            <w:vAlign w:val="bottom"/>
            <w:shd w:val="clear" w:color="auto" w:fill="E5E5E5"/>
          </w:tcPr>
          <w:p>
            <w:pPr>
              <w:ind w:left="140"/>
              <w:spacing w:after="0"/>
              <w:rPr>
                <w:sz w:val="20"/>
                <w:szCs w:val="20"/>
                <w:color w:val="auto"/>
              </w:rPr>
            </w:pPr>
            <w:r>
              <w:rPr>
                <w:rFonts w:ascii="Arial" w:cs="Arial" w:eastAsia="Arial" w:hAnsi="Arial"/>
                <w:sz w:val="14"/>
                <w:szCs w:val="14"/>
                <w:color w:val="auto"/>
              </w:rPr>
              <w:t>Non-Qual. Defined Benefit</w:t>
            </w:r>
          </w:p>
        </w:tc>
        <w:tc>
          <w:tcPr>
            <w:tcW w:w="360" w:type="dxa"/>
            <w:vAlign w:val="bottom"/>
            <w:shd w:val="clear" w:color="auto" w:fill="E5E5E5"/>
          </w:tcPr>
          <w:p>
            <w:pPr>
              <w:spacing w:after="0"/>
              <w:rPr>
                <w:sz w:val="14"/>
                <w:szCs w:val="14"/>
                <w:color w:val="auto"/>
              </w:rPr>
            </w:pPr>
          </w:p>
        </w:tc>
        <w:tc>
          <w:tcPr>
            <w:tcW w:w="860" w:type="dxa"/>
            <w:vAlign w:val="bottom"/>
            <w:shd w:val="clear" w:color="auto" w:fill="E5E5E5"/>
          </w:tcPr>
          <w:p>
            <w:pPr>
              <w:spacing w:after="0"/>
              <w:rPr>
                <w:sz w:val="14"/>
                <w:szCs w:val="14"/>
                <w:color w:val="auto"/>
              </w:rPr>
            </w:pPr>
          </w:p>
        </w:tc>
        <w:tc>
          <w:tcPr>
            <w:tcW w:w="32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880" w:type="dxa"/>
            <w:vAlign w:val="bottom"/>
            <w:shd w:val="clear" w:color="auto" w:fill="E5E5E5"/>
          </w:tcPr>
          <w:p>
            <w:pPr>
              <w:spacing w:after="0"/>
              <w:rPr>
                <w:sz w:val="14"/>
                <w:szCs w:val="14"/>
                <w:color w:val="auto"/>
              </w:rPr>
            </w:pPr>
          </w:p>
        </w:tc>
        <w:tc>
          <w:tcPr>
            <w:tcW w:w="4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112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880" w:type="dxa"/>
            <w:vAlign w:val="bottom"/>
            <w:shd w:val="clear" w:color="auto" w:fill="E5E5E5"/>
          </w:tcPr>
          <w:p>
            <w:pPr>
              <w:spacing w:after="0"/>
              <w:rPr>
                <w:sz w:val="14"/>
                <w:szCs w:val="14"/>
                <w:color w:val="auto"/>
              </w:rPr>
            </w:pPr>
          </w:p>
        </w:tc>
        <w:tc>
          <w:tcPr>
            <w:tcW w:w="4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860" w:type="dxa"/>
            <w:vAlign w:val="bottom"/>
            <w:shd w:val="clear" w:color="auto" w:fill="E5E5E5"/>
          </w:tcPr>
          <w:p>
            <w:pPr>
              <w:spacing w:after="0"/>
              <w:rPr>
                <w:sz w:val="14"/>
                <w:szCs w:val="14"/>
                <w:color w:val="auto"/>
              </w:rPr>
            </w:pPr>
          </w:p>
        </w:tc>
        <w:tc>
          <w:tcPr>
            <w:tcW w:w="34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040" w:type="dxa"/>
            <w:vAlign w:val="bottom"/>
            <w:shd w:val="clear" w:color="auto" w:fill="E5E5E5"/>
          </w:tcPr>
          <w:p>
            <w:pPr>
              <w:spacing w:after="0"/>
              <w:rPr>
                <w:sz w:val="14"/>
                <w:szCs w:val="14"/>
                <w:color w:val="auto"/>
              </w:rPr>
            </w:pPr>
          </w:p>
        </w:tc>
      </w:tr>
      <w:tr>
        <w:trPr>
          <w:trHeight w:val="157"/>
        </w:trPr>
        <w:tc>
          <w:tcPr>
            <w:tcW w:w="2540" w:type="dxa"/>
            <w:vAlign w:val="bottom"/>
            <w:shd w:val="clear" w:color="auto" w:fill="E5E5E5"/>
          </w:tcPr>
          <w:p>
            <w:pPr>
              <w:ind w:left="280"/>
              <w:spacing w:after="0" w:line="157" w:lineRule="exact"/>
              <w:rPr>
                <w:sz w:val="20"/>
                <w:szCs w:val="20"/>
                <w:color w:val="auto"/>
              </w:rPr>
            </w:pPr>
            <w:r>
              <w:rPr>
                <w:rFonts w:ascii="Arial" w:cs="Arial" w:eastAsia="Arial" w:hAnsi="Arial"/>
                <w:sz w:val="14"/>
                <w:szCs w:val="14"/>
                <w:color w:val="auto"/>
              </w:rPr>
              <w:t>Pension Plan</w:t>
            </w:r>
          </w:p>
        </w:tc>
        <w:tc>
          <w:tcPr>
            <w:tcW w:w="360" w:type="dxa"/>
            <w:vAlign w:val="bottom"/>
            <w:shd w:val="clear" w:color="auto" w:fill="E5E5E5"/>
          </w:tcPr>
          <w:p>
            <w:pPr>
              <w:spacing w:after="0"/>
              <w:rPr>
                <w:sz w:val="13"/>
                <w:szCs w:val="13"/>
                <w:color w:val="auto"/>
              </w:rPr>
            </w:pPr>
          </w:p>
        </w:tc>
        <w:tc>
          <w:tcPr>
            <w:tcW w:w="86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3"/>
                <w:szCs w:val="13"/>
                <w:color w:val="auto"/>
              </w:rPr>
            </w:pPr>
          </w:p>
        </w:tc>
        <w:tc>
          <w:tcPr>
            <w:tcW w:w="280" w:type="dxa"/>
            <w:vAlign w:val="bottom"/>
            <w:shd w:val="clear" w:color="auto" w:fill="E5E5E5"/>
          </w:tcPr>
          <w:p>
            <w:pPr>
              <w:spacing w:after="0"/>
              <w:rPr>
                <w:sz w:val="13"/>
                <w:szCs w:val="13"/>
                <w:color w:val="auto"/>
              </w:rPr>
            </w:pPr>
          </w:p>
        </w:tc>
        <w:tc>
          <w:tcPr>
            <w:tcW w:w="8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1120" w:type="dxa"/>
            <w:vAlign w:val="bottom"/>
            <w:shd w:val="clear" w:color="auto" w:fill="E5E5E5"/>
          </w:tcPr>
          <w:p>
            <w:pPr>
              <w:jc w:val="right"/>
              <w:ind w:right="268"/>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3"/>
                <w:szCs w:val="13"/>
                <w:color w:val="auto"/>
              </w:rPr>
            </w:pPr>
          </w:p>
        </w:tc>
        <w:tc>
          <w:tcPr>
            <w:tcW w:w="8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86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1040" w:type="dxa"/>
            <w:vAlign w:val="bottom"/>
            <w:shd w:val="clear" w:color="auto" w:fill="E5E5E5"/>
          </w:tcPr>
          <w:p>
            <w:pPr>
              <w:jc w:val="right"/>
              <w:ind w:right="188"/>
              <w:spacing w:after="0" w:line="157" w:lineRule="exact"/>
              <w:rPr>
                <w:sz w:val="20"/>
                <w:szCs w:val="20"/>
                <w:color w:val="auto"/>
              </w:rPr>
            </w:pPr>
            <w:r>
              <w:rPr>
                <w:rFonts w:ascii="Arial" w:cs="Arial" w:eastAsia="Arial" w:hAnsi="Arial"/>
                <w:sz w:val="14"/>
                <w:szCs w:val="14"/>
                <w:color w:val="auto"/>
              </w:rPr>
              <w:t>—</w:t>
            </w:r>
          </w:p>
        </w:tc>
      </w:tr>
      <w:tr>
        <w:trPr>
          <w:trHeight w:val="167"/>
        </w:trPr>
        <w:tc>
          <w:tcPr>
            <w:tcW w:w="2540" w:type="dxa"/>
            <w:vAlign w:val="bottom"/>
            <w:shd w:val="clear" w:color="auto" w:fill="E5E5E5"/>
          </w:tcPr>
          <w:p>
            <w:pPr>
              <w:ind w:left="140"/>
              <w:spacing w:after="0"/>
              <w:rPr>
                <w:sz w:val="20"/>
                <w:szCs w:val="20"/>
                <w:color w:val="auto"/>
              </w:rPr>
            </w:pPr>
            <w:r>
              <w:rPr>
                <w:rFonts w:ascii="Arial" w:cs="Arial" w:eastAsia="Arial" w:hAnsi="Arial"/>
                <w:sz w:val="14"/>
                <w:szCs w:val="14"/>
                <w:color w:val="auto"/>
              </w:rPr>
              <w:t>Non-Qual. Defined Benefit</w:t>
            </w:r>
          </w:p>
        </w:tc>
        <w:tc>
          <w:tcPr>
            <w:tcW w:w="360" w:type="dxa"/>
            <w:vAlign w:val="bottom"/>
            <w:shd w:val="clear" w:color="auto" w:fill="E5E5E5"/>
          </w:tcPr>
          <w:p>
            <w:pPr>
              <w:spacing w:after="0"/>
              <w:rPr>
                <w:sz w:val="14"/>
                <w:szCs w:val="14"/>
                <w:color w:val="auto"/>
              </w:rPr>
            </w:pPr>
          </w:p>
        </w:tc>
        <w:tc>
          <w:tcPr>
            <w:tcW w:w="860" w:type="dxa"/>
            <w:vAlign w:val="bottom"/>
            <w:shd w:val="clear" w:color="auto" w:fill="E5E5E5"/>
          </w:tcPr>
          <w:p>
            <w:pPr>
              <w:spacing w:after="0"/>
              <w:rPr>
                <w:sz w:val="14"/>
                <w:szCs w:val="14"/>
                <w:color w:val="auto"/>
              </w:rPr>
            </w:pPr>
          </w:p>
        </w:tc>
        <w:tc>
          <w:tcPr>
            <w:tcW w:w="32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880" w:type="dxa"/>
            <w:vAlign w:val="bottom"/>
            <w:shd w:val="clear" w:color="auto" w:fill="E5E5E5"/>
          </w:tcPr>
          <w:p>
            <w:pPr>
              <w:spacing w:after="0"/>
              <w:rPr>
                <w:sz w:val="14"/>
                <w:szCs w:val="14"/>
                <w:color w:val="auto"/>
              </w:rPr>
            </w:pPr>
          </w:p>
        </w:tc>
        <w:tc>
          <w:tcPr>
            <w:tcW w:w="4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112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880" w:type="dxa"/>
            <w:vAlign w:val="bottom"/>
            <w:shd w:val="clear" w:color="auto" w:fill="E5E5E5"/>
          </w:tcPr>
          <w:p>
            <w:pPr>
              <w:spacing w:after="0"/>
              <w:rPr>
                <w:sz w:val="14"/>
                <w:szCs w:val="14"/>
                <w:color w:val="auto"/>
              </w:rPr>
            </w:pPr>
          </w:p>
        </w:tc>
        <w:tc>
          <w:tcPr>
            <w:tcW w:w="4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860" w:type="dxa"/>
            <w:vAlign w:val="bottom"/>
            <w:shd w:val="clear" w:color="auto" w:fill="E5E5E5"/>
          </w:tcPr>
          <w:p>
            <w:pPr>
              <w:spacing w:after="0"/>
              <w:rPr>
                <w:sz w:val="14"/>
                <w:szCs w:val="14"/>
                <w:color w:val="auto"/>
              </w:rPr>
            </w:pPr>
          </w:p>
        </w:tc>
        <w:tc>
          <w:tcPr>
            <w:tcW w:w="34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040" w:type="dxa"/>
            <w:vAlign w:val="bottom"/>
            <w:shd w:val="clear" w:color="auto" w:fill="E5E5E5"/>
          </w:tcPr>
          <w:p>
            <w:pPr>
              <w:spacing w:after="0"/>
              <w:rPr>
                <w:sz w:val="14"/>
                <w:szCs w:val="14"/>
                <w:color w:val="auto"/>
              </w:rPr>
            </w:pPr>
          </w:p>
        </w:tc>
      </w:tr>
      <w:tr>
        <w:trPr>
          <w:trHeight w:val="157"/>
        </w:trPr>
        <w:tc>
          <w:tcPr>
            <w:tcW w:w="2540" w:type="dxa"/>
            <w:vAlign w:val="bottom"/>
            <w:shd w:val="clear" w:color="auto" w:fill="E5E5E5"/>
          </w:tcPr>
          <w:p>
            <w:pPr>
              <w:ind w:left="280"/>
              <w:spacing w:after="0" w:line="157" w:lineRule="exact"/>
              <w:rPr>
                <w:sz w:val="20"/>
                <w:szCs w:val="20"/>
                <w:color w:val="auto"/>
              </w:rPr>
            </w:pPr>
            <w:r>
              <w:rPr>
                <w:rFonts w:ascii="Arial" w:cs="Arial" w:eastAsia="Arial" w:hAnsi="Arial"/>
                <w:sz w:val="14"/>
                <w:szCs w:val="14"/>
                <w:color w:val="auto"/>
              </w:rPr>
              <w:t>Pension Plan II</w:t>
            </w:r>
          </w:p>
        </w:tc>
        <w:tc>
          <w:tcPr>
            <w:tcW w:w="360" w:type="dxa"/>
            <w:vAlign w:val="bottom"/>
            <w:shd w:val="clear" w:color="auto" w:fill="E5E5E5"/>
          </w:tcPr>
          <w:p>
            <w:pPr>
              <w:spacing w:after="0"/>
              <w:rPr>
                <w:sz w:val="13"/>
                <w:szCs w:val="13"/>
                <w:color w:val="auto"/>
              </w:rPr>
            </w:pPr>
          </w:p>
        </w:tc>
        <w:tc>
          <w:tcPr>
            <w:tcW w:w="86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3"/>
                <w:szCs w:val="13"/>
                <w:color w:val="auto"/>
              </w:rPr>
            </w:pPr>
          </w:p>
        </w:tc>
        <w:tc>
          <w:tcPr>
            <w:tcW w:w="280" w:type="dxa"/>
            <w:vAlign w:val="bottom"/>
            <w:shd w:val="clear" w:color="auto" w:fill="E5E5E5"/>
          </w:tcPr>
          <w:p>
            <w:pPr>
              <w:spacing w:after="0"/>
              <w:rPr>
                <w:sz w:val="13"/>
                <w:szCs w:val="13"/>
                <w:color w:val="auto"/>
              </w:rPr>
            </w:pPr>
          </w:p>
        </w:tc>
        <w:tc>
          <w:tcPr>
            <w:tcW w:w="8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1120" w:type="dxa"/>
            <w:vAlign w:val="bottom"/>
            <w:shd w:val="clear" w:color="auto" w:fill="E5E5E5"/>
          </w:tcPr>
          <w:p>
            <w:pPr>
              <w:jc w:val="right"/>
              <w:ind w:right="268"/>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3"/>
                <w:szCs w:val="13"/>
                <w:color w:val="auto"/>
              </w:rPr>
            </w:pPr>
          </w:p>
        </w:tc>
        <w:tc>
          <w:tcPr>
            <w:tcW w:w="8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86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1040" w:type="dxa"/>
            <w:vAlign w:val="bottom"/>
            <w:shd w:val="clear" w:color="auto" w:fill="E5E5E5"/>
          </w:tcPr>
          <w:p>
            <w:pPr>
              <w:jc w:val="right"/>
              <w:ind w:right="188"/>
              <w:spacing w:after="0" w:line="157" w:lineRule="exact"/>
              <w:rPr>
                <w:sz w:val="20"/>
                <w:szCs w:val="20"/>
                <w:color w:val="auto"/>
              </w:rPr>
            </w:pPr>
            <w:r>
              <w:rPr>
                <w:rFonts w:ascii="Arial" w:cs="Arial" w:eastAsia="Arial" w:hAnsi="Arial"/>
                <w:sz w:val="14"/>
                <w:szCs w:val="14"/>
                <w:color w:val="auto"/>
              </w:rPr>
              <w:t>—</w:t>
            </w:r>
          </w:p>
        </w:tc>
      </w:tr>
      <w:tr>
        <w:trPr>
          <w:trHeight w:val="162"/>
        </w:trPr>
        <w:tc>
          <w:tcPr>
            <w:tcW w:w="2540" w:type="dxa"/>
            <w:vAlign w:val="bottom"/>
            <w:shd w:val="clear" w:color="auto" w:fill="E5E5E5"/>
          </w:tcPr>
          <w:p>
            <w:pPr>
              <w:ind w:left="140"/>
              <w:spacing w:after="0"/>
              <w:rPr>
                <w:sz w:val="20"/>
                <w:szCs w:val="20"/>
                <w:color w:val="auto"/>
              </w:rPr>
            </w:pPr>
            <w:r>
              <w:rPr>
                <w:rFonts w:ascii="Arial" w:cs="Arial" w:eastAsia="Arial" w:hAnsi="Arial"/>
                <w:sz w:val="14"/>
                <w:szCs w:val="14"/>
                <w:color w:val="auto"/>
              </w:rPr>
              <w:t>Survivor Benefit Plan</w:t>
            </w:r>
          </w:p>
        </w:tc>
        <w:tc>
          <w:tcPr>
            <w:tcW w:w="360" w:type="dxa"/>
            <w:vAlign w:val="bottom"/>
            <w:shd w:val="clear" w:color="auto" w:fill="E5E5E5"/>
          </w:tcPr>
          <w:p>
            <w:pPr>
              <w:spacing w:after="0"/>
              <w:rPr>
                <w:sz w:val="14"/>
                <w:szCs w:val="14"/>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112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4"/>
                <w:szCs w:val="14"/>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04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r>
      <w:tr>
        <w:trPr>
          <w:trHeight w:val="162"/>
        </w:trPr>
        <w:tc>
          <w:tcPr>
            <w:tcW w:w="2540" w:type="dxa"/>
            <w:vAlign w:val="bottom"/>
            <w:shd w:val="clear" w:color="auto" w:fill="E5E5E5"/>
          </w:tcPr>
          <w:p>
            <w:pPr>
              <w:ind w:left="140"/>
              <w:spacing w:after="0"/>
              <w:rPr>
                <w:sz w:val="20"/>
                <w:szCs w:val="20"/>
                <w:color w:val="auto"/>
              </w:rPr>
            </w:pPr>
            <w:r>
              <w:rPr>
                <w:rFonts w:ascii="Arial" w:cs="Arial" w:eastAsia="Arial" w:hAnsi="Arial"/>
                <w:sz w:val="14"/>
                <w:szCs w:val="14"/>
                <w:color w:val="auto"/>
              </w:rPr>
              <w:t>Deferred Compensation (7)</w:t>
            </w:r>
          </w:p>
        </w:tc>
        <w:tc>
          <w:tcPr>
            <w:tcW w:w="360" w:type="dxa"/>
            <w:vAlign w:val="bottom"/>
            <w:shd w:val="clear" w:color="auto" w:fill="E5E5E5"/>
          </w:tcPr>
          <w:p>
            <w:pPr>
              <w:spacing w:after="0"/>
              <w:rPr>
                <w:sz w:val="14"/>
                <w:szCs w:val="14"/>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4"/>
                <w:szCs w:val="14"/>
                <w:color w:val="auto"/>
              </w:rPr>
            </w:pPr>
          </w:p>
        </w:tc>
        <w:tc>
          <w:tcPr>
            <w:tcW w:w="2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558,223</w:t>
            </w:r>
          </w:p>
        </w:tc>
        <w:tc>
          <w:tcPr>
            <w:tcW w:w="4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112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4"/>
                <w:szCs w:val="14"/>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04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r>
      <w:tr>
        <w:trPr>
          <w:trHeight w:val="162"/>
        </w:trPr>
        <w:tc>
          <w:tcPr>
            <w:tcW w:w="2540" w:type="dxa"/>
            <w:vAlign w:val="bottom"/>
            <w:shd w:val="clear" w:color="auto" w:fill="E5E5E5"/>
          </w:tcPr>
          <w:p>
            <w:pPr>
              <w:ind w:left="140"/>
              <w:spacing w:after="0"/>
              <w:rPr>
                <w:sz w:val="20"/>
                <w:szCs w:val="20"/>
                <w:color w:val="auto"/>
              </w:rPr>
            </w:pPr>
            <w:r>
              <w:rPr>
                <w:rFonts w:ascii="Arial" w:cs="Arial" w:eastAsia="Arial" w:hAnsi="Arial"/>
                <w:sz w:val="14"/>
                <w:szCs w:val="14"/>
                <w:color w:val="auto"/>
              </w:rPr>
              <w:t>RSUs</w:t>
            </w:r>
          </w:p>
        </w:tc>
        <w:tc>
          <w:tcPr>
            <w:tcW w:w="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10,410,092</w:t>
            </w:r>
          </w:p>
        </w:tc>
        <w:tc>
          <w:tcPr>
            <w:tcW w:w="320" w:type="dxa"/>
            <w:vAlign w:val="bottom"/>
            <w:shd w:val="clear" w:color="auto" w:fill="E5E5E5"/>
          </w:tcPr>
          <w:p>
            <w:pPr>
              <w:ind w:left="20"/>
              <w:spacing w:after="0"/>
              <w:rPr>
                <w:sz w:val="20"/>
                <w:szCs w:val="20"/>
                <w:color w:val="auto"/>
              </w:rPr>
            </w:pPr>
            <w:r>
              <w:rPr>
                <w:rFonts w:ascii="Arial" w:cs="Arial" w:eastAsia="Arial" w:hAnsi="Arial"/>
                <w:sz w:val="14"/>
                <w:szCs w:val="14"/>
                <w:color w:val="auto"/>
              </w:rPr>
              <w:t>(8)</w:t>
            </w:r>
          </w:p>
        </w:tc>
        <w:tc>
          <w:tcPr>
            <w:tcW w:w="2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10,410,092</w:t>
            </w:r>
          </w:p>
        </w:tc>
        <w:tc>
          <w:tcPr>
            <w:tcW w:w="400" w:type="dxa"/>
            <w:vAlign w:val="bottom"/>
            <w:shd w:val="clear" w:color="auto" w:fill="E5E5E5"/>
          </w:tcPr>
          <w:p>
            <w:pPr>
              <w:ind w:left="20"/>
              <w:spacing w:after="0"/>
              <w:rPr>
                <w:sz w:val="20"/>
                <w:szCs w:val="20"/>
                <w:color w:val="auto"/>
              </w:rPr>
            </w:pPr>
            <w:r>
              <w:rPr>
                <w:rFonts w:ascii="Arial" w:cs="Arial" w:eastAsia="Arial" w:hAnsi="Arial"/>
                <w:sz w:val="14"/>
                <w:szCs w:val="14"/>
                <w:color w:val="auto"/>
              </w:rPr>
              <w:t>(8)</w:t>
            </w:r>
          </w:p>
        </w:tc>
        <w:tc>
          <w:tcPr>
            <w:tcW w:w="200" w:type="dxa"/>
            <w:vAlign w:val="bottom"/>
            <w:shd w:val="clear" w:color="auto" w:fill="E5E5E5"/>
          </w:tcPr>
          <w:p>
            <w:pPr>
              <w:spacing w:after="0"/>
              <w:rPr>
                <w:sz w:val="14"/>
                <w:szCs w:val="14"/>
                <w:color w:val="auto"/>
              </w:rPr>
            </w:pPr>
          </w:p>
        </w:tc>
        <w:tc>
          <w:tcPr>
            <w:tcW w:w="112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4"/>
                <w:szCs w:val="14"/>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04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r>
      <w:tr>
        <w:trPr>
          <w:trHeight w:val="162"/>
        </w:trPr>
        <w:tc>
          <w:tcPr>
            <w:tcW w:w="2540" w:type="dxa"/>
            <w:vAlign w:val="bottom"/>
            <w:shd w:val="clear" w:color="auto" w:fill="E5E5E5"/>
          </w:tcPr>
          <w:p>
            <w:pPr>
              <w:ind w:left="140"/>
              <w:spacing w:after="0"/>
              <w:rPr>
                <w:sz w:val="20"/>
                <w:szCs w:val="20"/>
                <w:color w:val="auto"/>
              </w:rPr>
            </w:pPr>
            <w:r>
              <w:rPr>
                <w:rFonts w:ascii="Arial" w:cs="Arial" w:eastAsia="Arial" w:hAnsi="Arial"/>
                <w:sz w:val="14"/>
                <w:szCs w:val="14"/>
                <w:color w:val="auto"/>
              </w:rPr>
              <w:t>Stock Options</w:t>
            </w:r>
          </w:p>
        </w:tc>
        <w:tc>
          <w:tcPr>
            <w:tcW w:w="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8,496,159</w:t>
            </w:r>
          </w:p>
        </w:tc>
        <w:tc>
          <w:tcPr>
            <w:tcW w:w="320" w:type="dxa"/>
            <w:vAlign w:val="bottom"/>
            <w:shd w:val="clear" w:color="auto" w:fill="E5E5E5"/>
          </w:tcPr>
          <w:p>
            <w:pPr>
              <w:ind w:left="20"/>
              <w:spacing w:after="0"/>
              <w:rPr>
                <w:sz w:val="20"/>
                <w:szCs w:val="20"/>
                <w:color w:val="auto"/>
              </w:rPr>
            </w:pPr>
            <w:r>
              <w:rPr>
                <w:rFonts w:ascii="Arial" w:cs="Arial" w:eastAsia="Arial" w:hAnsi="Arial"/>
                <w:sz w:val="14"/>
                <w:szCs w:val="14"/>
                <w:color w:val="auto"/>
              </w:rPr>
              <w:t>(11)</w:t>
            </w:r>
          </w:p>
        </w:tc>
        <w:tc>
          <w:tcPr>
            <w:tcW w:w="2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8,496,159</w:t>
            </w:r>
          </w:p>
        </w:tc>
        <w:tc>
          <w:tcPr>
            <w:tcW w:w="400" w:type="dxa"/>
            <w:vAlign w:val="bottom"/>
            <w:shd w:val="clear" w:color="auto" w:fill="E5E5E5"/>
          </w:tcPr>
          <w:p>
            <w:pPr>
              <w:ind w:left="20"/>
              <w:spacing w:after="0"/>
              <w:rPr>
                <w:sz w:val="20"/>
                <w:szCs w:val="20"/>
                <w:color w:val="auto"/>
              </w:rPr>
            </w:pPr>
            <w:r>
              <w:rPr>
                <w:rFonts w:ascii="Arial" w:cs="Arial" w:eastAsia="Arial" w:hAnsi="Arial"/>
                <w:sz w:val="14"/>
                <w:szCs w:val="14"/>
                <w:color w:val="auto"/>
              </w:rPr>
              <w:t>(11)</w:t>
            </w:r>
          </w:p>
        </w:tc>
        <w:tc>
          <w:tcPr>
            <w:tcW w:w="200" w:type="dxa"/>
            <w:vAlign w:val="bottom"/>
            <w:shd w:val="clear" w:color="auto" w:fill="E5E5E5"/>
          </w:tcPr>
          <w:p>
            <w:pPr>
              <w:spacing w:after="0"/>
              <w:rPr>
                <w:sz w:val="14"/>
                <w:szCs w:val="14"/>
                <w:color w:val="auto"/>
              </w:rPr>
            </w:pPr>
          </w:p>
        </w:tc>
        <w:tc>
          <w:tcPr>
            <w:tcW w:w="112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371,090</w:t>
            </w:r>
          </w:p>
        </w:tc>
        <w:tc>
          <w:tcPr>
            <w:tcW w:w="400" w:type="dxa"/>
            <w:vAlign w:val="bottom"/>
            <w:shd w:val="clear" w:color="auto" w:fill="E5E5E5"/>
          </w:tcPr>
          <w:p>
            <w:pPr>
              <w:ind w:left="20"/>
              <w:spacing w:after="0"/>
              <w:rPr>
                <w:sz w:val="20"/>
                <w:szCs w:val="20"/>
                <w:color w:val="auto"/>
              </w:rPr>
            </w:pPr>
            <w:r>
              <w:rPr>
                <w:rFonts w:ascii="Arial" w:cs="Arial" w:eastAsia="Arial" w:hAnsi="Arial"/>
                <w:sz w:val="14"/>
                <w:szCs w:val="14"/>
                <w:color w:val="auto"/>
              </w:rPr>
              <w:t>(12)</w:t>
            </w:r>
          </w:p>
        </w:tc>
        <w:tc>
          <w:tcPr>
            <w:tcW w:w="200" w:type="dxa"/>
            <w:vAlign w:val="bottom"/>
            <w:shd w:val="clear" w:color="auto" w:fill="E5E5E5"/>
          </w:tcPr>
          <w:p>
            <w:pPr>
              <w:spacing w:after="0"/>
              <w:rPr>
                <w:sz w:val="14"/>
                <w:szCs w:val="14"/>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04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r>
      <w:tr>
        <w:trPr>
          <w:trHeight w:val="162"/>
        </w:trPr>
        <w:tc>
          <w:tcPr>
            <w:tcW w:w="2540" w:type="dxa"/>
            <w:vAlign w:val="bottom"/>
            <w:shd w:val="clear" w:color="auto" w:fill="E5E5E5"/>
          </w:tcPr>
          <w:p>
            <w:pPr>
              <w:ind w:left="280"/>
              <w:spacing w:after="0"/>
              <w:rPr>
                <w:sz w:val="20"/>
                <w:szCs w:val="20"/>
                <w:color w:val="auto"/>
              </w:rPr>
            </w:pPr>
            <w:r>
              <w:rPr>
                <w:rFonts w:ascii="Arial" w:cs="Arial" w:eastAsia="Arial" w:hAnsi="Arial"/>
                <w:sz w:val="14"/>
                <w:szCs w:val="14"/>
                <w:b w:val="1"/>
                <w:bCs w:val="1"/>
                <w:color w:val="auto"/>
              </w:rPr>
              <w:t>N. Anderskouv Total</w:t>
            </w:r>
          </w:p>
        </w:tc>
        <w:tc>
          <w:tcPr>
            <w:tcW w:w="36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18,906,251</w:t>
            </w:r>
          </w:p>
        </w:tc>
        <w:tc>
          <w:tcPr>
            <w:tcW w:w="320" w:type="dxa"/>
            <w:vAlign w:val="bottom"/>
            <w:shd w:val="clear" w:color="auto" w:fill="E5E5E5"/>
          </w:tcPr>
          <w:p>
            <w:pPr>
              <w:spacing w:after="0"/>
              <w:rPr>
                <w:sz w:val="14"/>
                <w:szCs w:val="14"/>
                <w:color w:val="auto"/>
              </w:rPr>
            </w:pPr>
          </w:p>
        </w:tc>
        <w:tc>
          <w:tcPr>
            <w:tcW w:w="2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19,464,474</w:t>
            </w:r>
          </w:p>
        </w:tc>
        <w:tc>
          <w:tcPr>
            <w:tcW w:w="4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1120" w:type="dxa"/>
            <w:vAlign w:val="bottom"/>
            <w:shd w:val="clear" w:color="auto" w:fill="E5E5E5"/>
          </w:tcPr>
          <w:p>
            <w:pPr>
              <w:jc w:val="right"/>
              <w:ind w:right="268"/>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371,090</w:t>
            </w:r>
          </w:p>
        </w:tc>
        <w:tc>
          <w:tcPr>
            <w:tcW w:w="4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040" w:type="dxa"/>
            <w:vAlign w:val="bottom"/>
            <w:shd w:val="clear" w:color="auto" w:fill="E5E5E5"/>
          </w:tcPr>
          <w:p>
            <w:pPr>
              <w:jc w:val="right"/>
              <w:ind w:right="188"/>
              <w:spacing w:after="0"/>
              <w:rPr>
                <w:sz w:val="20"/>
                <w:szCs w:val="20"/>
                <w:color w:val="auto"/>
              </w:rPr>
            </w:pPr>
            <w:r>
              <w:rPr>
                <w:rFonts w:ascii="Arial" w:cs="Arial" w:eastAsia="Arial" w:hAnsi="Arial"/>
                <w:sz w:val="14"/>
                <w:szCs w:val="14"/>
                <w:b w:val="1"/>
                <w:bCs w:val="1"/>
                <w:color w:val="auto"/>
              </w:rPr>
              <w:t>—</w:t>
            </w:r>
          </w:p>
        </w:tc>
      </w:tr>
      <w:tr>
        <w:trPr>
          <w:trHeight w:val="167"/>
        </w:trPr>
        <w:tc>
          <w:tcPr>
            <w:tcW w:w="2540" w:type="dxa"/>
            <w:vAlign w:val="bottom"/>
          </w:tcPr>
          <w:p>
            <w:pPr>
              <w:spacing w:after="0"/>
              <w:rPr>
                <w:sz w:val="20"/>
                <w:szCs w:val="20"/>
                <w:color w:val="auto"/>
              </w:rPr>
            </w:pPr>
            <w:r>
              <w:rPr>
                <w:rFonts w:ascii="Arial" w:cs="Arial" w:eastAsia="Arial" w:hAnsi="Arial"/>
                <w:sz w:val="14"/>
                <w:szCs w:val="14"/>
                <w:b w:val="1"/>
                <w:bCs w:val="1"/>
                <w:color w:val="auto"/>
              </w:rPr>
              <w:t>R. G. Delagi (1)</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2540" w:type="dxa"/>
            <w:vAlign w:val="bottom"/>
          </w:tcPr>
          <w:p>
            <w:pPr>
              <w:ind w:left="140"/>
              <w:spacing w:after="0"/>
              <w:rPr>
                <w:sz w:val="20"/>
                <w:szCs w:val="20"/>
                <w:color w:val="auto"/>
              </w:rPr>
            </w:pPr>
            <w:r>
              <w:rPr>
                <w:rFonts w:ascii="Arial" w:cs="Arial" w:eastAsia="Arial" w:hAnsi="Arial"/>
                <w:sz w:val="14"/>
                <w:szCs w:val="14"/>
                <w:color w:val="auto"/>
              </w:rPr>
              <w:t>Qualified Defined Benefit</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2540" w:type="dxa"/>
            <w:vAlign w:val="bottom"/>
          </w:tcPr>
          <w:p>
            <w:pPr>
              <w:ind w:left="280"/>
              <w:spacing w:after="0"/>
              <w:rPr>
                <w:sz w:val="20"/>
                <w:szCs w:val="20"/>
                <w:color w:val="auto"/>
              </w:rPr>
            </w:pPr>
            <w:r>
              <w:rPr>
                <w:rFonts w:ascii="Arial" w:cs="Arial" w:eastAsia="Arial" w:hAnsi="Arial"/>
                <w:sz w:val="14"/>
                <w:szCs w:val="14"/>
                <w:color w:val="auto"/>
              </w:rPr>
              <w:t>Pension Plan</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2,296,410</w:t>
            </w:r>
          </w:p>
        </w:tc>
        <w:tc>
          <w:tcPr>
            <w:tcW w:w="320" w:type="dxa"/>
            <w:vAlign w:val="bottom"/>
          </w:tcPr>
          <w:p>
            <w:pPr>
              <w:ind w:left="20"/>
              <w:spacing w:after="0"/>
              <w:rPr>
                <w:sz w:val="20"/>
                <w:szCs w:val="20"/>
                <w:color w:val="auto"/>
              </w:rPr>
            </w:pPr>
            <w:r>
              <w:rPr>
                <w:rFonts w:ascii="Arial" w:cs="Arial" w:eastAsia="Arial" w:hAnsi="Arial"/>
                <w:sz w:val="14"/>
                <w:szCs w:val="14"/>
                <w:color w:val="auto"/>
              </w:rPr>
              <w:t>(2)</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939,216</w:t>
            </w:r>
          </w:p>
        </w:tc>
        <w:tc>
          <w:tcPr>
            <w:tcW w:w="400" w:type="dxa"/>
            <w:vAlign w:val="bottom"/>
          </w:tcPr>
          <w:p>
            <w:pPr>
              <w:ind w:left="20"/>
              <w:spacing w:after="0"/>
              <w:rPr>
                <w:sz w:val="20"/>
                <w:szCs w:val="20"/>
                <w:color w:val="auto"/>
              </w:rPr>
            </w:pPr>
            <w:r>
              <w:rPr>
                <w:rFonts w:ascii="Arial" w:cs="Arial" w:eastAsia="Arial" w:hAnsi="Arial"/>
                <w:sz w:val="14"/>
                <w:szCs w:val="14"/>
                <w:color w:val="auto"/>
              </w:rPr>
              <w:t>(3)</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1,779,353 (4)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1,779,353</w:t>
            </w:r>
          </w:p>
        </w:tc>
        <w:tc>
          <w:tcPr>
            <w:tcW w:w="400" w:type="dxa"/>
            <w:vAlign w:val="bottom"/>
          </w:tcPr>
          <w:p>
            <w:pPr>
              <w:ind w:left="20"/>
              <w:spacing w:after="0"/>
              <w:rPr>
                <w:sz w:val="20"/>
                <w:szCs w:val="20"/>
                <w:color w:val="auto"/>
              </w:rPr>
            </w:pPr>
            <w:r>
              <w:rPr>
                <w:rFonts w:ascii="Arial" w:cs="Arial" w:eastAsia="Arial" w:hAnsi="Arial"/>
                <w:sz w:val="14"/>
                <w:szCs w:val="14"/>
                <w:color w:val="auto"/>
              </w:rPr>
              <w:t>(4)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1,779,353</w:t>
            </w:r>
          </w:p>
        </w:tc>
        <w:tc>
          <w:tcPr>
            <w:tcW w:w="340" w:type="dxa"/>
            <w:vAlign w:val="bottom"/>
          </w:tcPr>
          <w:p>
            <w:pPr>
              <w:ind w:left="20"/>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w:t>
            </w:r>
          </w:p>
        </w:tc>
      </w:tr>
      <w:tr>
        <w:trPr>
          <w:trHeight w:val="162"/>
        </w:trPr>
        <w:tc>
          <w:tcPr>
            <w:tcW w:w="2540" w:type="dxa"/>
            <w:vAlign w:val="bottom"/>
          </w:tcPr>
          <w:p>
            <w:pPr>
              <w:ind w:left="140"/>
              <w:spacing w:after="0"/>
              <w:rPr>
                <w:sz w:val="20"/>
                <w:szCs w:val="20"/>
                <w:color w:val="auto"/>
              </w:rPr>
            </w:pPr>
            <w:r>
              <w:rPr>
                <w:rFonts w:ascii="Arial" w:cs="Arial" w:eastAsia="Arial" w:hAnsi="Arial"/>
                <w:sz w:val="14"/>
                <w:szCs w:val="14"/>
                <w:color w:val="auto"/>
              </w:rPr>
              <w:t>Non-Qual. Defined Benefit</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2540" w:type="dxa"/>
            <w:vAlign w:val="bottom"/>
          </w:tcPr>
          <w:p>
            <w:pPr>
              <w:ind w:left="280"/>
              <w:spacing w:after="0"/>
              <w:rPr>
                <w:sz w:val="20"/>
                <w:szCs w:val="20"/>
                <w:color w:val="auto"/>
              </w:rPr>
            </w:pPr>
            <w:r>
              <w:rPr>
                <w:rFonts w:ascii="Arial" w:cs="Arial" w:eastAsia="Arial" w:hAnsi="Arial"/>
                <w:sz w:val="14"/>
                <w:szCs w:val="14"/>
                <w:color w:val="auto"/>
              </w:rPr>
              <w:t>Pension Plan</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522,241</w:t>
            </w:r>
          </w:p>
        </w:tc>
        <w:tc>
          <w:tcPr>
            <w:tcW w:w="320" w:type="dxa"/>
            <w:vAlign w:val="bottom"/>
          </w:tcPr>
          <w:p>
            <w:pPr>
              <w:ind w:left="20"/>
              <w:spacing w:after="0"/>
              <w:rPr>
                <w:sz w:val="20"/>
                <w:szCs w:val="20"/>
                <w:color w:val="auto"/>
              </w:rPr>
            </w:pPr>
            <w:r>
              <w:rPr>
                <w:rFonts w:ascii="Arial" w:cs="Arial" w:eastAsia="Arial" w:hAnsi="Arial"/>
                <w:sz w:val="14"/>
                <w:szCs w:val="14"/>
                <w:color w:val="auto"/>
              </w:rPr>
              <w:t>(5)</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175,582</w:t>
            </w:r>
          </w:p>
        </w:tc>
        <w:tc>
          <w:tcPr>
            <w:tcW w:w="400" w:type="dxa"/>
            <w:vAlign w:val="bottom"/>
          </w:tcPr>
          <w:p>
            <w:pPr>
              <w:ind w:left="20"/>
              <w:spacing w:after="0"/>
              <w:rPr>
                <w:sz w:val="20"/>
                <w:szCs w:val="20"/>
                <w:color w:val="auto"/>
              </w:rPr>
            </w:pPr>
            <w:r>
              <w:rPr>
                <w:rFonts w:ascii="Arial" w:cs="Arial" w:eastAsia="Arial" w:hAnsi="Arial"/>
                <w:sz w:val="14"/>
                <w:szCs w:val="14"/>
                <w:color w:val="auto"/>
              </w:rPr>
              <w:t>(3)</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334,028 (4)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334,028</w:t>
            </w:r>
          </w:p>
        </w:tc>
        <w:tc>
          <w:tcPr>
            <w:tcW w:w="400" w:type="dxa"/>
            <w:vAlign w:val="bottom"/>
          </w:tcPr>
          <w:p>
            <w:pPr>
              <w:ind w:left="20"/>
              <w:spacing w:after="0"/>
              <w:rPr>
                <w:sz w:val="20"/>
                <w:szCs w:val="20"/>
                <w:color w:val="auto"/>
              </w:rPr>
            </w:pPr>
            <w:r>
              <w:rPr>
                <w:rFonts w:ascii="Arial" w:cs="Arial" w:eastAsia="Arial" w:hAnsi="Arial"/>
                <w:sz w:val="14"/>
                <w:szCs w:val="14"/>
                <w:color w:val="auto"/>
              </w:rPr>
              <w:t>(4)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334,028</w:t>
            </w:r>
          </w:p>
        </w:tc>
        <w:tc>
          <w:tcPr>
            <w:tcW w:w="340" w:type="dxa"/>
            <w:vAlign w:val="bottom"/>
          </w:tcPr>
          <w:p>
            <w:pPr>
              <w:ind w:left="20"/>
              <w:spacing w:after="0"/>
              <w:rPr>
                <w:sz w:val="20"/>
                <w:szCs w:val="20"/>
                <w:color w:val="auto"/>
              </w:rPr>
            </w:pPr>
            <w:r>
              <w:rPr>
                <w:rFonts w:ascii="Arial" w:cs="Arial" w:eastAsia="Arial" w:hAnsi="Arial"/>
                <w:sz w:val="14"/>
                <w:szCs w:val="14"/>
                <w:color w:val="auto"/>
              </w:rPr>
              <w:t>(4)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334,028 (4)</w:t>
            </w:r>
          </w:p>
        </w:tc>
      </w:tr>
      <w:tr>
        <w:trPr>
          <w:trHeight w:val="162"/>
        </w:trPr>
        <w:tc>
          <w:tcPr>
            <w:tcW w:w="2540" w:type="dxa"/>
            <w:vAlign w:val="bottom"/>
          </w:tcPr>
          <w:p>
            <w:pPr>
              <w:ind w:left="140"/>
              <w:spacing w:after="0"/>
              <w:rPr>
                <w:sz w:val="20"/>
                <w:szCs w:val="20"/>
                <w:color w:val="auto"/>
              </w:rPr>
            </w:pPr>
            <w:r>
              <w:rPr>
                <w:rFonts w:ascii="Arial" w:cs="Arial" w:eastAsia="Arial" w:hAnsi="Arial"/>
                <w:sz w:val="14"/>
                <w:szCs w:val="14"/>
                <w:color w:val="auto"/>
              </w:rPr>
              <w:t>Non-Qual. Defined Benefit</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2540" w:type="dxa"/>
            <w:vAlign w:val="bottom"/>
          </w:tcPr>
          <w:p>
            <w:pPr>
              <w:ind w:left="280"/>
              <w:spacing w:after="0"/>
              <w:rPr>
                <w:sz w:val="20"/>
                <w:szCs w:val="20"/>
                <w:color w:val="auto"/>
              </w:rPr>
            </w:pPr>
            <w:r>
              <w:rPr>
                <w:rFonts w:ascii="Arial" w:cs="Arial" w:eastAsia="Arial" w:hAnsi="Arial"/>
                <w:sz w:val="14"/>
                <w:szCs w:val="14"/>
                <w:color w:val="auto"/>
              </w:rPr>
              <w:t>Pension Plan II</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11,040,639</w:t>
            </w:r>
          </w:p>
        </w:tc>
        <w:tc>
          <w:tcPr>
            <w:tcW w:w="320" w:type="dxa"/>
            <w:vAlign w:val="bottom"/>
          </w:tcPr>
          <w:p>
            <w:pPr>
              <w:ind w:left="20"/>
              <w:spacing w:after="0"/>
              <w:rPr>
                <w:sz w:val="20"/>
                <w:szCs w:val="20"/>
                <w:color w:val="auto"/>
              </w:rPr>
            </w:pPr>
            <w:r>
              <w:rPr>
                <w:rFonts w:ascii="Arial" w:cs="Arial" w:eastAsia="Arial" w:hAnsi="Arial"/>
                <w:sz w:val="14"/>
                <w:szCs w:val="14"/>
                <w:color w:val="auto"/>
              </w:rPr>
              <w:t>(5)</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5,311,367</w:t>
            </w:r>
          </w:p>
        </w:tc>
        <w:tc>
          <w:tcPr>
            <w:tcW w:w="400" w:type="dxa"/>
            <w:vAlign w:val="bottom"/>
          </w:tcPr>
          <w:p>
            <w:pPr>
              <w:ind w:left="20"/>
              <w:spacing w:after="0"/>
              <w:rPr>
                <w:sz w:val="20"/>
                <w:szCs w:val="20"/>
                <w:color w:val="auto"/>
              </w:rPr>
            </w:pPr>
            <w:r>
              <w:rPr>
                <w:rFonts w:ascii="Arial" w:cs="Arial" w:eastAsia="Arial" w:hAnsi="Arial"/>
                <w:sz w:val="14"/>
                <w:szCs w:val="14"/>
                <w:color w:val="auto"/>
              </w:rPr>
              <w:t>(3)</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10,061,046 (4)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10,061,046</w:t>
            </w:r>
          </w:p>
        </w:tc>
        <w:tc>
          <w:tcPr>
            <w:tcW w:w="400" w:type="dxa"/>
            <w:vAlign w:val="bottom"/>
          </w:tcPr>
          <w:p>
            <w:pPr>
              <w:ind w:left="20"/>
              <w:spacing w:after="0"/>
              <w:rPr>
                <w:sz w:val="20"/>
                <w:szCs w:val="20"/>
                <w:color w:val="auto"/>
              </w:rPr>
            </w:pPr>
            <w:r>
              <w:rPr>
                <w:rFonts w:ascii="Arial" w:cs="Arial" w:eastAsia="Arial" w:hAnsi="Arial"/>
                <w:sz w:val="14"/>
                <w:szCs w:val="14"/>
                <w:color w:val="auto"/>
              </w:rPr>
              <w:t>(4)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10,061,046</w:t>
            </w:r>
          </w:p>
        </w:tc>
        <w:tc>
          <w:tcPr>
            <w:tcW w:w="340" w:type="dxa"/>
            <w:vAlign w:val="bottom"/>
          </w:tcPr>
          <w:p>
            <w:pPr>
              <w:ind w:left="20"/>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w:t>
            </w:r>
          </w:p>
        </w:tc>
      </w:tr>
      <w:tr>
        <w:trPr>
          <w:trHeight w:val="162"/>
        </w:trPr>
        <w:tc>
          <w:tcPr>
            <w:tcW w:w="2540" w:type="dxa"/>
            <w:vAlign w:val="bottom"/>
          </w:tcPr>
          <w:p>
            <w:pPr>
              <w:ind w:left="140"/>
              <w:spacing w:after="0"/>
              <w:rPr>
                <w:sz w:val="20"/>
                <w:szCs w:val="20"/>
                <w:color w:val="auto"/>
              </w:rPr>
            </w:pPr>
            <w:r>
              <w:rPr>
                <w:rFonts w:ascii="Arial" w:cs="Arial" w:eastAsia="Arial" w:hAnsi="Arial"/>
                <w:sz w:val="14"/>
                <w:szCs w:val="14"/>
                <w:color w:val="auto"/>
              </w:rPr>
              <w:t>Survivor Benefit Plan</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5,748,262</w:t>
            </w:r>
          </w:p>
        </w:tc>
        <w:tc>
          <w:tcPr>
            <w:tcW w:w="400" w:type="dxa"/>
            <w:vAlign w:val="bottom"/>
          </w:tcPr>
          <w:p>
            <w:pPr>
              <w:ind w:left="20"/>
              <w:spacing w:after="0"/>
              <w:rPr>
                <w:sz w:val="20"/>
                <w:szCs w:val="20"/>
                <w:color w:val="auto"/>
              </w:rPr>
            </w:pPr>
            <w:r>
              <w:rPr>
                <w:rFonts w:ascii="Arial" w:cs="Arial" w:eastAsia="Arial" w:hAnsi="Arial"/>
                <w:sz w:val="14"/>
                <w:szCs w:val="14"/>
                <w:color w:val="auto"/>
              </w:rPr>
              <w:t>(6)</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w:t>
            </w:r>
          </w:p>
        </w:tc>
      </w:tr>
      <w:tr>
        <w:trPr>
          <w:trHeight w:val="162"/>
        </w:trPr>
        <w:tc>
          <w:tcPr>
            <w:tcW w:w="2540" w:type="dxa"/>
            <w:vAlign w:val="bottom"/>
          </w:tcPr>
          <w:p>
            <w:pPr>
              <w:ind w:left="140"/>
              <w:spacing w:after="0"/>
              <w:rPr>
                <w:sz w:val="20"/>
                <w:szCs w:val="20"/>
                <w:color w:val="auto"/>
              </w:rPr>
            </w:pPr>
            <w:r>
              <w:rPr>
                <w:rFonts w:ascii="Arial" w:cs="Arial" w:eastAsia="Arial" w:hAnsi="Arial"/>
                <w:sz w:val="14"/>
                <w:szCs w:val="14"/>
                <w:color w:val="auto"/>
              </w:rPr>
              <w:t>Deferred Compensation (7)</w:t>
            </w:r>
          </w:p>
        </w:tc>
        <w:tc>
          <w:tcPr>
            <w:tcW w:w="3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w:t>
            </w:r>
          </w:p>
        </w:tc>
      </w:tr>
      <w:tr>
        <w:trPr>
          <w:trHeight w:val="162"/>
        </w:trPr>
        <w:tc>
          <w:tcPr>
            <w:tcW w:w="2540" w:type="dxa"/>
            <w:vAlign w:val="bottom"/>
          </w:tcPr>
          <w:p>
            <w:pPr>
              <w:ind w:left="140"/>
              <w:spacing w:after="0"/>
              <w:rPr>
                <w:sz w:val="20"/>
                <w:szCs w:val="20"/>
                <w:color w:val="auto"/>
              </w:rPr>
            </w:pPr>
            <w:r>
              <w:rPr>
                <w:rFonts w:ascii="Arial" w:cs="Arial" w:eastAsia="Arial" w:hAnsi="Arial"/>
                <w:sz w:val="14"/>
                <w:szCs w:val="14"/>
                <w:color w:val="auto"/>
              </w:rPr>
              <w:t>RSUs</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11,584,715</w:t>
            </w:r>
          </w:p>
        </w:tc>
        <w:tc>
          <w:tcPr>
            <w:tcW w:w="320" w:type="dxa"/>
            <w:vAlign w:val="bottom"/>
          </w:tcPr>
          <w:p>
            <w:pPr>
              <w:ind w:left="20"/>
              <w:spacing w:after="0"/>
              <w:rPr>
                <w:sz w:val="20"/>
                <w:szCs w:val="20"/>
                <w:color w:val="auto"/>
              </w:rPr>
            </w:pPr>
            <w:r>
              <w:rPr>
                <w:rFonts w:ascii="Arial" w:cs="Arial" w:eastAsia="Arial" w:hAnsi="Arial"/>
                <w:sz w:val="14"/>
                <w:szCs w:val="14"/>
                <w:color w:val="auto"/>
              </w:rPr>
              <w:t>(8)</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11,584,715</w:t>
            </w:r>
          </w:p>
        </w:tc>
        <w:tc>
          <w:tcPr>
            <w:tcW w:w="400" w:type="dxa"/>
            <w:vAlign w:val="bottom"/>
          </w:tcPr>
          <w:p>
            <w:pPr>
              <w:ind w:left="20"/>
              <w:spacing w:after="0"/>
              <w:rPr>
                <w:sz w:val="20"/>
                <w:szCs w:val="20"/>
                <w:color w:val="auto"/>
              </w:rPr>
            </w:pPr>
            <w:r>
              <w:rPr>
                <w:rFonts w:ascii="Arial" w:cs="Arial" w:eastAsia="Arial" w:hAnsi="Arial"/>
                <w:sz w:val="14"/>
                <w:szCs w:val="14"/>
                <w:color w:val="auto"/>
              </w:rPr>
              <w:t>(8)</w:t>
            </w:r>
          </w:p>
        </w:tc>
        <w:tc>
          <w:tcPr>
            <w:tcW w:w="2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11,584,715</w:t>
            </w:r>
          </w:p>
        </w:tc>
        <w:tc>
          <w:tcPr>
            <w:tcW w:w="400" w:type="dxa"/>
            <w:vAlign w:val="bottom"/>
          </w:tcPr>
          <w:p>
            <w:pPr>
              <w:ind w:left="20"/>
              <w:spacing w:after="0"/>
              <w:rPr>
                <w:sz w:val="20"/>
                <w:szCs w:val="20"/>
                <w:color w:val="auto"/>
              </w:rPr>
            </w:pPr>
            <w:r>
              <w:rPr>
                <w:rFonts w:ascii="Arial" w:cs="Arial" w:eastAsia="Arial" w:hAnsi="Arial"/>
                <w:sz w:val="14"/>
                <w:szCs w:val="14"/>
                <w:color w:val="auto"/>
              </w:rPr>
              <w:t>(10)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11,584,715</w:t>
            </w:r>
          </w:p>
        </w:tc>
        <w:tc>
          <w:tcPr>
            <w:tcW w:w="340" w:type="dxa"/>
            <w:vAlign w:val="bottom"/>
          </w:tcPr>
          <w:p>
            <w:pPr>
              <w:ind w:left="20"/>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w:t>
            </w:r>
          </w:p>
        </w:tc>
      </w:tr>
      <w:tr>
        <w:trPr>
          <w:trHeight w:val="144"/>
        </w:trPr>
        <w:tc>
          <w:tcPr>
            <w:tcW w:w="2540" w:type="dxa"/>
            <w:vAlign w:val="bottom"/>
          </w:tcPr>
          <w:p>
            <w:pPr>
              <w:ind w:left="140"/>
              <w:spacing w:after="0" w:line="144" w:lineRule="exact"/>
              <w:rPr>
                <w:sz w:val="20"/>
                <w:szCs w:val="20"/>
                <w:color w:val="auto"/>
              </w:rPr>
            </w:pPr>
            <w:r>
              <w:rPr>
                <w:rFonts w:ascii="Arial" w:cs="Arial" w:eastAsia="Arial" w:hAnsi="Arial"/>
                <w:sz w:val="14"/>
                <w:szCs w:val="14"/>
                <w:color w:val="auto"/>
              </w:rPr>
              <w:t>Stock Options</w:t>
            </w:r>
          </w:p>
        </w:tc>
        <w:tc>
          <w:tcPr>
            <w:tcW w:w="360" w:type="dxa"/>
            <w:vAlign w:val="bottom"/>
          </w:tcPr>
          <w:p>
            <w:pPr>
              <w:jc w:val="right"/>
              <w:spacing w:after="0" w:line="144"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4" w:lineRule="exact"/>
              <w:rPr>
                <w:sz w:val="20"/>
                <w:szCs w:val="20"/>
                <w:color w:val="auto"/>
              </w:rPr>
            </w:pPr>
            <w:r>
              <w:rPr>
                <w:rFonts w:ascii="Arial" w:cs="Arial" w:eastAsia="Arial" w:hAnsi="Arial"/>
                <w:sz w:val="14"/>
                <w:szCs w:val="14"/>
                <w:color w:val="auto"/>
              </w:rPr>
              <w:t>22,260,459</w:t>
            </w:r>
          </w:p>
        </w:tc>
        <w:tc>
          <w:tcPr>
            <w:tcW w:w="320" w:type="dxa"/>
            <w:vAlign w:val="bottom"/>
          </w:tcPr>
          <w:p>
            <w:pPr>
              <w:ind w:left="20"/>
              <w:spacing w:after="0" w:line="144" w:lineRule="exact"/>
              <w:rPr>
                <w:sz w:val="20"/>
                <w:szCs w:val="20"/>
                <w:color w:val="auto"/>
              </w:rPr>
            </w:pPr>
            <w:r>
              <w:rPr>
                <w:rFonts w:ascii="Arial" w:cs="Arial" w:eastAsia="Arial" w:hAnsi="Arial"/>
                <w:sz w:val="14"/>
                <w:szCs w:val="14"/>
                <w:color w:val="auto"/>
              </w:rPr>
              <w:t>(11)</w:t>
            </w:r>
          </w:p>
        </w:tc>
        <w:tc>
          <w:tcPr>
            <w:tcW w:w="280" w:type="dxa"/>
            <w:vAlign w:val="bottom"/>
          </w:tcPr>
          <w:p>
            <w:pPr>
              <w:jc w:val="right"/>
              <w:spacing w:after="0" w:line="144"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4" w:lineRule="exact"/>
              <w:rPr>
                <w:sz w:val="20"/>
                <w:szCs w:val="20"/>
                <w:color w:val="auto"/>
              </w:rPr>
            </w:pPr>
            <w:r>
              <w:rPr>
                <w:rFonts w:ascii="Arial" w:cs="Arial" w:eastAsia="Arial" w:hAnsi="Arial"/>
                <w:sz w:val="14"/>
                <w:szCs w:val="14"/>
                <w:color w:val="auto"/>
              </w:rPr>
              <w:t>22,260,459</w:t>
            </w:r>
          </w:p>
        </w:tc>
        <w:tc>
          <w:tcPr>
            <w:tcW w:w="400" w:type="dxa"/>
            <w:vAlign w:val="bottom"/>
          </w:tcPr>
          <w:p>
            <w:pPr>
              <w:ind w:left="20"/>
              <w:spacing w:after="0" w:line="144" w:lineRule="exact"/>
              <w:rPr>
                <w:sz w:val="20"/>
                <w:szCs w:val="20"/>
                <w:color w:val="auto"/>
              </w:rPr>
            </w:pPr>
            <w:r>
              <w:rPr>
                <w:rFonts w:ascii="Arial" w:cs="Arial" w:eastAsia="Arial" w:hAnsi="Arial"/>
                <w:sz w:val="14"/>
                <w:szCs w:val="14"/>
                <w:color w:val="auto"/>
              </w:rPr>
              <w:t>(11)</w:t>
            </w:r>
          </w:p>
        </w:tc>
        <w:tc>
          <w:tcPr>
            <w:tcW w:w="200" w:type="dxa"/>
            <w:vAlign w:val="bottom"/>
          </w:tcPr>
          <w:p>
            <w:pPr>
              <w:spacing w:after="0"/>
              <w:rPr>
                <w:sz w:val="12"/>
                <w:szCs w:val="12"/>
                <w:color w:val="auto"/>
              </w:rPr>
            </w:pPr>
          </w:p>
        </w:tc>
        <w:tc>
          <w:tcPr>
            <w:tcW w:w="1120" w:type="dxa"/>
            <w:vAlign w:val="bottom"/>
          </w:tcPr>
          <w:p>
            <w:pPr>
              <w:jc w:val="right"/>
              <w:ind w:right="268"/>
              <w:spacing w:after="0" w:line="144"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4"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4" w:lineRule="exact"/>
              <w:rPr>
                <w:sz w:val="20"/>
                <w:szCs w:val="20"/>
                <w:color w:val="auto"/>
              </w:rPr>
            </w:pPr>
            <w:r>
              <w:rPr>
                <w:rFonts w:ascii="Arial" w:cs="Arial" w:eastAsia="Arial" w:hAnsi="Arial"/>
                <w:sz w:val="14"/>
                <w:szCs w:val="14"/>
                <w:color w:val="auto"/>
              </w:rPr>
              <w:t>22,260,459</w:t>
            </w:r>
          </w:p>
        </w:tc>
        <w:tc>
          <w:tcPr>
            <w:tcW w:w="400" w:type="dxa"/>
            <w:vAlign w:val="bottom"/>
          </w:tcPr>
          <w:p>
            <w:pPr>
              <w:ind w:left="20"/>
              <w:spacing w:after="0" w:line="144" w:lineRule="exact"/>
              <w:rPr>
                <w:sz w:val="20"/>
                <w:szCs w:val="20"/>
                <w:color w:val="auto"/>
              </w:rPr>
            </w:pPr>
            <w:r>
              <w:rPr>
                <w:rFonts w:ascii="Arial" w:cs="Arial" w:eastAsia="Arial" w:hAnsi="Arial"/>
                <w:sz w:val="14"/>
                <w:szCs w:val="14"/>
                <w:color w:val="auto"/>
              </w:rPr>
              <w:t>(11)</w:t>
            </w:r>
          </w:p>
        </w:tc>
        <w:tc>
          <w:tcPr>
            <w:tcW w:w="200" w:type="dxa"/>
            <w:vAlign w:val="bottom"/>
          </w:tcPr>
          <w:p>
            <w:pPr>
              <w:jc w:val="right"/>
              <w:spacing w:after="0" w:line="144"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4" w:lineRule="exact"/>
              <w:rPr>
                <w:sz w:val="20"/>
                <w:szCs w:val="20"/>
                <w:color w:val="auto"/>
              </w:rPr>
            </w:pPr>
            <w:r>
              <w:rPr>
                <w:rFonts w:ascii="Arial" w:cs="Arial" w:eastAsia="Arial" w:hAnsi="Arial"/>
                <w:sz w:val="14"/>
                <w:szCs w:val="14"/>
                <w:color w:val="auto"/>
              </w:rPr>
              <w:t>22,260,459</w:t>
            </w:r>
          </w:p>
        </w:tc>
        <w:tc>
          <w:tcPr>
            <w:tcW w:w="340" w:type="dxa"/>
            <w:vAlign w:val="bottom"/>
          </w:tcPr>
          <w:p>
            <w:pPr>
              <w:ind w:left="20"/>
              <w:spacing w:after="0" w:line="144" w:lineRule="exact"/>
              <w:rPr>
                <w:sz w:val="20"/>
                <w:szCs w:val="20"/>
                <w:color w:val="auto"/>
              </w:rPr>
            </w:pPr>
            <w:r>
              <w:rPr>
                <w:rFonts w:ascii="Arial" w:cs="Arial" w:eastAsia="Arial" w:hAnsi="Arial"/>
                <w:sz w:val="14"/>
                <w:szCs w:val="14"/>
                <w:color w:val="auto"/>
              </w:rPr>
              <w:t>(11)</w:t>
            </w:r>
          </w:p>
        </w:tc>
        <w:tc>
          <w:tcPr>
            <w:tcW w:w="140" w:type="dxa"/>
            <w:vAlign w:val="bottom"/>
          </w:tcPr>
          <w:p>
            <w:pPr>
              <w:spacing w:after="0"/>
              <w:rPr>
                <w:sz w:val="12"/>
                <w:szCs w:val="12"/>
                <w:color w:val="auto"/>
              </w:rPr>
            </w:pPr>
          </w:p>
        </w:tc>
        <w:tc>
          <w:tcPr>
            <w:tcW w:w="1040" w:type="dxa"/>
            <w:vAlign w:val="bottom"/>
          </w:tcPr>
          <w:p>
            <w:pPr>
              <w:jc w:val="right"/>
              <w:ind w:right="188"/>
              <w:spacing w:after="0" w:line="144" w:lineRule="exact"/>
              <w:rPr>
                <w:sz w:val="20"/>
                <w:szCs w:val="20"/>
                <w:color w:val="auto"/>
              </w:rPr>
            </w:pPr>
            <w:r>
              <w:rPr>
                <w:rFonts w:ascii="Arial" w:cs="Arial" w:eastAsia="Arial" w:hAnsi="Arial"/>
                <w:sz w:val="14"/>
                <w:szCs w:val="14"/>
                <w:color w:val="auto"/>
              </w:rPr>
              <w:t>—</w:t>
            </w:r>
          </w:p>
        </w:tc>
      </w:tr>
      <w:tr>
        <w:trPr>
          <w:trHeight w:val="175"/>
        </w:trPr>
        <w:tc>
          <w:tcPr>
            <w:tcW w:w="2540" w:type="dxa"/>
            <w:vAlign w:val="bottom"/>
          </w:tcPr>
          <w:p>
            <w:pPr>
              <w:ind w:left="280"/>
              <w:spacing w:after="0"/>
              <w:rPr>
                <w:sz w:val="20"/>
                <w:szCs w:val="20"/>
                <w:color w:val="auto"/>
              </w:rPr>
            </w:pPr>
            <w:r>
              <w:rPr>
                <w:rFonts w:ascii="Arial" w:cs="Arial" w:eastAsia="Arial" w:hAnsi="Arial"/>
                <w:sz w:val="14"/>
                <w:szCs w:val="14"/>
                <w:b w:val="1"/>
                <w:bCs w:val="1"/>
                <w:color w:val="auto"/>
              </w:rPr>
              <w:t>R. G. Delagi Total</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47,704,464</w:t>
            </w:r>
          </w:p>
        </w:tc>
        <w:tc>
          <w:tcPr>
            <w:tcW w:w="3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46,019,601</w:t>
            </w:r>
          </w:p>
        </w:tc>
        <w:tc>
          <w:tcPr>
            <w:tcW w:w="400" w:type="dxa"/>
            <w:vAlign w:val="bottom"/>
          </w:tcPr>
          <w:p>
            <w:pPr>
              <w:spacing w:after="0"/>
              <w:rPr>
                <w:sz w:val="15"/>
                <w:szCs w:val="15"/>
                <w:color w:val="auto"/>
              </w:rPr>
            </w:pPr>
          </w:p>
        </w:tc>
        <w:tc>
          <w:tcPr>
            <w:tcW w:w="200" w:type="dxa"/>
            <w:vAlign w:val="bottom"/>
          </w:tcPr>
          <w:p>
            <w:pPr>
              <w:ind w:left="120"/>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ind w:right="268"/>
              <w:spacing w:after="0"/>
              <w:rPr>
                <w:sz w:val="20"/>
                <w:szCs w:val="20"/>
                <w:color w:val="auto"/>
              </w:rPr>
            </w:pPr>
            <w:r>
              <w:rPr>
                <w:rFonts w:ascii="Arial" w:cs="Arial" w:eastAsia="Arial" w:hAnsi="Arial"/>
                <w:sz w:val="14"/>
                <w:szCs w:val="14"/>
                <w:b w:val="1"/>
                <w:bCs w:val="1"/>
                <w:color w:val="auto"/>
              </w:rPr>
              <w:t>12,174,427</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46,019,601</w:t>
            </w:r>
          </w:p>
        </w:tc>
        <w:tc>
          <w:tcPr>
            <w:tcW w:w="40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46,019,601</w:t>
            </w:r>
          </w:p>
        </w:tc>
        <w:tc>
          <w:tcPr>
            <w:tcW w:w="3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88"/>
              <w:spacing w:after="0"/>
              <w:rPr>
                <w:sz w:val="20"/>
                <w:szCs w:val="20"/>
                <w:color w:val="auto"/>
              </w:rPr>
            </w:pPr>
            <w:r>
              <w:rPr>
                <w:rFonts w:ascii="Arial" w:cs="Arial" w:eastAsia="Arial" w:hAnsi="Arial"/>
                <w:sz w:val="14"/>
                <w:szCs w:val="14"/>
                <w:b w:val="1"/>
                <w:bCs w:val="1"/>
                <w:color w:val="auto"/>
              </w:rPr>
              <w:t>334,028</w:t>
            </w:r>
          </w:p>
        </w:tc>
      </w:tr>
      <w:tr>
        <w:trPr>
          <w:trHeight w:val="162"/>
        </w:trPr>
        <w:tc>
          <w:tcPr>
            <w:tcW w:w="2540" w:type="dxa"/>
            <w:vAlign w:val="bottom"/>
            <w:shd w:val="clear" w:color="auto" w:fill="E5E5E5"/>
          </w:tcPr>
          <w:p>
            <w:pPr>
              <w:spacing w:after="0"/>
              <w:rPr>
                <w:sz w:val="20"/>
                <w:szCs w:val="20"/>
                <w:color w:val="auto"/>
              </w:rPr>
            </w:pPr>
            <w:r>
              <w:rPr>
                <w:rFonts w:ascii="Arial" w:cs="Arial" w:eastAsia="Arial" w:hAnsi="Arial"/>
                <w:sz w:val="14"/>
                <w:szCs w:val="14"/>
                <w:b w:val="1"/>
                <w:bCs w:val="1"/>
                <w:color w:val="auto"/>
              </w:rPr>
              <w:t>H. Ilan</w:t>
            </w:r>
          </w:p>
        </w:tc>
        <w:tc>
          <w:tcPr>
            <w:tcW w:w="360" w:type="dxa"/>
            <w:vAlign w:val="bottom"/>
            <w:shd w:val="clear" w:color="auto" w:fill="E5E5E5"/>
          </w:tcPr>
          <w:p>
            <w:pPr>
              <w:spacing w:after="0"/>
              <w:rPr>
                <w:sz w:val="14"/>
                <w:szCs w:val="14"/>
                <w:color w:val="auto"/>
              </w:rPr>
            </w:pPr>
          </w:p>
        </w:tc>
        <w:tc>
          <w:tcPr>
            <w:tcW w:w="860" w:type="dxa"/>
            <w:vAlign w:val="bottom"/>
            <w:shd w:val="clear" w:color="auto" w:fill="E5E5E5"/>
          </w:tcPr>
          <w:p>
            <w:pPr>
              <w:spacing w:after="0"/>
              <w:rPr>
                <w:sz w:val="14"/>
                <w:szCs w:val="14"/>
                <w:color w:val="auto"/>
              </w:rPr>
            </w:pPr>
          </w:p>
        </w:tc>
        <w:tc>
          <w:tcPr>
            <w:tcW w:w="32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880" w:type="dxa"/>
            <w:vAlign w:val="bottom"/>
            <w:shd w:val="clear" w:color="auto" w:fill="E5E5E5"/>
          </w:tcPr>
          <w:p>
            <w:pPr>
              <w:spacing w:after="0"/>
              <w:rPr>
                <w:sz w:val="14"/>
                <w:szCs w:val="14"/>
                <w:color w:val="auto"/>
              </w:rPr>
            </w:pPr>
          </w:p>
        </w:tc>
        <w:tc>
          <w:tcPr>
            <w:tcW w:w="4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112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880" w:type="dxa"/>
            <w:vAlign w:val="bottom"/>
            <w:shd w:val="clear" w:color="auto" w:fill="E5E5E5"/>
          </w:tcPr>
          <w:p>
            <w:pPr>
              <w:spacing w:after="0"/>
              <w:rPr>
                <w:sz w:val="14"/>
                <w:szCs w:val="14"/>
                <w:color w:val="auto"/>
              </w:rPr>
            </w:pPr>
          </w:p>
        </w:tc>
        <w:tc>
          <w:tcPr>
            <w:tcW w:w="4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860" w:type="dxa"/>
            <w:vAlign w:val="bottom"/>
            <w:shd w:val="clear" w:color="auto" w:fill="E5E5E5"/>
          </w:tcPr>
          <w:p>
            <w:pPr>
              <w:spacing w:after="0"/>
              <w:rPr>
                <w:sz w:val="14"/>
                <w:szCs w:val="14"/>
                <w:color w:val="auto"/>
              </w:rPr>
            </w:pPr>
          </w:p>
        </w:tc>
        <w:tc>
          <w:tcPr>
            <w:tcW w:w="34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040" w:type="dxa"/>
            <w:vAlign w:val="bottom"/>
            <w:shd w:val="clear" w:color="auto" w:fill="E5E5E5"/>
          </w:tcPr>
          <w:p>
            <w:pPr>
              <w:spacing w:after="0"/>
              <w:rPr>
                <w:sz w:val="14"/>
                <w:szCs w:val="14"/>
                <w:color w:val="auto"/>
              </w:rPr>
            </w:pPr>
          </w:p>
        </w:tc>
      </w:tr>
      <w:tr>
        <w:trPr>
          <w:trHeight w:val="167"/>
        </w:trPr>
        <w:tc>
          <w:tcPr>
            <w:tcW w:w="2540" w:type="dxa"/>
            <w:vAlign w:val="bottom"/>
            <w:shd w:val="clear" w:color="auto" w:fill="E5E5E5"/>
          </w:tcPr>
          <w:p>
            <w:pPr>
              <w:ind w:left="140"/>
              <w:spacing w:after="0"/>
              <w:rPr>
                <w:sz w:val="20"/>
                <w:szCs w:val="20"/>
                <w:color w:val="auto"/>
              </w:rPr>
            </w:pPr>
            <w:r>
              <w:rPr>
                <w:rFonts w:ascii="Arial" w:cs="Arial" w:eastAsia="Arial" w:hAnsi="Arial"/>
                <w:sz w:val="14"/>
                <w:szCs w:val="14"/>
                <w:color w:val="auto"/>
              </w:rPr>
              <w:t>Qualified Defined Benefit</w:t>
            </w:r>
          </w:p>
        </w:tc>
        <w:tc>
          <w:tcPr>
            <w:tcW w:w="360" w:type="dxa"/>
            <w:vAlign w:val="bottom"/>
            <w:shd w:val="clear" w:color="auto" w:fill="E5E5E5"/>
          </w:tcPr>
          <w:p>
            <w:pPr>
              <w:spacing w:after="0"/>
              <w:rPr>
                <w:sz w:val="14"/>
                <w:szCs w:val="14"/>
                <w:color w:val="auto"/>
              </w:rPr>
            </w:pPr>
          </w:p>
        </w:tc>
        <w:tc>
          <w:tcPr>
            <w:tcW w:w="860" w:type="dxa"/>
            <w:vAlign w:val="bottom"/>
            <w:shd w:val="clear" w:color="auto" w:fill="E5E5E5"/>
          </w:tcPr>
          <w:p>
            <w:pPr>
              <w:spacing w:after="0"/>
              <w:rPr>
                <w:sz w:val="14"/>
                <w:szCs w:val="14"/>
                <w:color w:val="auto"/>
              </w:rPr>
            </w:pPr>
          </w:p>
        </w:tc>
        <w:tc>
          <w:tcPr>
            <w:tcW w:w="32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880" w:type="dxa"/>
            <w:vAlign w:val="bottom"/>
            <w:shd w:val="clear" w:color="auto" w:fill="E5E5E5"/>
          </w:tcPr>
          <w:p>
            <w:pPr>
              <w:spacing w:after="0"/>
              <w:rPr>
                <w:sz w:val="14"/>
                <w:szCs w:val="14"/>
                <w:color w:val="auto"/>
              </w:rPr>
            </w:pPr>
          </w:p>
        </w:tc>
        <w:tc>
          <w:tcPr>
            <w:tcW w:w="4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112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880" w:type="dxa"/>
            <w:vAlign w:val="bottom"/>
            <w:shd w:val="clear" w:color="auto" w:fill="E5E5E5"/>
          </w:tcPr>
          <w:p>
            <w:pPr>
              <w:spacing w:after="0"/>
              <w:rPr>
                <w:sz w:val="14"/>
                <w:szCs w:val="14"/>
                <w:color w:val="auto"/>
              </w:rPr>
            </w:pPr>
          </w:p>
        </w:tc>
        <w:tc>
          <w:tcPr>
            <w:tcW w:w="4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860" w:type="dxa"/>
            <w:vAlign w:val="bottom"/>
            <w:shd w:val="clear" w:color="auto" w:fill="E5E5E5"/>
          </w:tcPr>
          <w:p>
            <w:pPr>
              <w:spacing w:after="0"/>
              <w:rPr>
                <w:sz w:val="14"/>
                <w:szCs w:val="14"/>
                <w:color w:val="auto"/>
              </w:rPr>
            </w:pPr>
          </w:p>
        </w:tc>
        <w:tc>
          <w:tcPr>
            <w:tcW w:w="34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040" w:type="dxa"/>
            <w:vAlign w:val="bottom"/>
            <w:shd w:val="clear" w:color="auto" w:fill="E5E5E5"/>
          </w:tcPr>
          <w:p>
            <w:pPr>
              <w:spacing w:after="0"/>
              <w:rPr>
                <w:sz w:val="14"/>
                <w:szCs w:val="14"/>
                <w:color w:val="auto"/>
              </w:rPr>
            </w:pPr>
          </w:p>
        </w:tc>
      </w:tr>
      <w:tr>
        <w:trPr>
          <w:trHeight w:val="157"/>
        </w:trPr>
        <w:tc>
          <w:tcPr>
            <w:tcW w:w="2540" w:type="dxa"/>
            <w:vAlign w:val="bottom"/>
            <w:shd w:val="clear" w:color="auto" w:fill="E5E5E5"/>
          </w:tcPr>
          <w:p>
            <w:pPr>
              <w:ind w:left="280"/>
              <w:spacing w:after="0" w:line="157" w:lineRule="exact"/>
              <w:rPr>
                <w:sz w:val="20"/>
                <w:szCs w:val="20"/>
                <w:color w:val="auto"/>
              </w:rPr>
            </w:pPr>
            <w:r>
              <w:rPr>
                <w:rFonts w:ascii="Arial" w:cs="Arial" w:eastAsia="Arial" w:hAnsi="Arial"/>
                <w:sz w:val="14"/>
                <w:szCs w:val="14"/>
                <w:color w:val="auto"/>
              </w:rPr>
              <w:t>Pension Plan</w:t>
            </w:r>
          </w:p>
        </w:tc>
        <w:tc>
          <w:tcPr>
            <w:tcW w:w="360" w:type="dxa"/>
            <w:vAlign w:val="bottom"/>
            <w:shd w:val="clear" w:color="auto" w:fill="E5E5E5"/>
          </w:tcPr>
          <w:p>
            <w:pPr>
              <w:spacing w:after="0"/>
              <w:rPr>
                <w:sz w:val="13"/>
                <w:szCs w:val="13"/>
                <w:color w:val="auto"/>
              </w:rPr>
            </w:pPr>
          </w:p>
        </w:tc>
        <w:tc>
          <w:tcPr>
            <w:tcW w:w="86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3"/>
                <w:szCs w:val="13"/>
                <w:color w:val="auto"/>
              </w:rPr>
            </w:pPr>
          </w:p>
        </w:tc>
        <w:tc>
          <w:tcPr>
            <w:tcW w:w="280" w:type="dxa"/>
            <w:vAlign w:val="bottom"/>
            <w:shd w:val="clear" w:color="auto" w:fill="E5E5E5"/>
          </w:tcPr>
          <w:p>
            <w:pPr>
              <w:spacing w:after="0"/>
              <w:rPr>
                <w:sz w:val="13"/>
                <w:szCs w:val="13"/>
                <w:color w:val="auto"/>
              </w:rPr>
            </w:pPr>
          </w:p>
        </w:tc>
        <w:tc>
          <w:tcPr>
            <w:tcW w:w="8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1120" w:type="dxa"/>
            <w:vAlign w:val="bottom"/>
            <w:shd w:val="clear" w:color="auto" w:fill="E5E5E5"/>
          </w:tcPr>
          <w:p>
            <w:pPr>
              <w:jc w:val="right"/>
              <w:ind w:right="268"/>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3"/>
                <w:szCs w:val="13"/>
                <w:color w:val="auto"/>
              </w:rPr>
            </w:pPr>
          </w:p>
        </w:tc>
        <w:tc>
          <w:tcPr>
            <w:tcW w:w="8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86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1040" w:type="dxa"/>
            <w:vAlign w:val="bottom"/>
            <w:shd w:val="clear" w:color="auto" w:fill="E5E5E5"/>
          </w:tcPr>
          <w:p>
            <w:pPr>
              <w:jc w:val="right"/>
              <w:ind w:right="188"/>
              <w:spacing w:after="0" w:line="157" w:lineRule="exact"/>
              <w:rPr>
                <w:sz w:val="20"/>
                <w:szCs w:val="20"/>
                <w:color w:val="auto"/>
              </w:rPr>
            </w:pPr>
            <w:r>
              <w:rPr>
                <w:rFonts w:ascii="Arial" w:cs="Arial" w:eastAsia="Arial" w:hAnsi="Arial"/>
                <w:sz w:val="14"/>
                <w:szCs w:val="14"/>
                <w:color w:val="auto"/>
              </w:rPr>
              <w:t>—</w:t>
            </w:r>
          </w:p>
        </w:tc>
      </w:tr>
      <w:tr>
        <w:trPr>
          <w:trHeight w:val="167"/>
        </w:trPr>
        <w:tc>
          <w:tcPr>
            <w:tcW w:w="2540" w:type="dxa"/>
            <w:vAlign w:val="bottom"/>
            <w:shd w:val="clear" w:color="auto" w:fill="E5E5E5"/>
          </w:tcPr>
          <w:p>
            <w:pPr>
              <w:ind w:left="140"/>
              <w:spacing w:after="0"/>
              <w:rPr>
                <w:sz w:val="20"/>
                <w:szCs w:val="20"/>
                <w:color w:val="auto"/>
              </w:rPr>
            </w:pPr>
            <w:r>
              <w:rPr>
                <w:rFonts w:ascii="Arial" w:cs="Arial" w:eastAsia="Arial" w:hAnsi="Arial"/>
                <w:sz w:val="14"/>
                <w:szCs w:val="14"/>
                <w:color w:val="auto"/>
              </w:rPr>
              <w:t>Non-Qual. Defined Benefit</w:t>
            </w:r>
          </w:p>
        </w:tc>
        <w:tc>
          <w:tcPr>
            <w:tcW w:w="360" w:type="dxa"/>
            <w:vAlign w:val="bottom"/>
            <w:shd w:val="clear" w:color="auto" w:fill="E5E5E5"/>
          </w:tcPr>
          <w:p>
            <w:pPr>
              <w:spacing w:after="0"/>
              <w:rPr>
                <w:sz w:val="14"/>
                <w:szCs w:val="14"/>
                <w:color w:val="auto"/>
              </w:rPr>
            </w:pPr>
          </w:p>
        </w:tc>
        <w:tc>
          <w:tcPr>
            <w:tcW w:w="860" w:type="dxa"/>
            <w:vAlign w:val="bottom"/>
            <w:shd w:val="clear" w:color="auto" w:fill="E5E5E5"/>
          </w:tcPr>
          <w:p>
            <w:pPr>
              <w:spacing w:after="0"/>
              <w:rPr>
                <w:sz w:val="14"/>
                <w:szCs w:val="14"/>
                <w:color w:val="auto"/>
              </w:rPr>
            </w:pPr>
          </w:p>
        </w:tc>
        <w:tc>
          <w:tcPr>
            <w:tcW w:w="32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880" w:type="dxa"/>
            <w:vAlign w:val="bottom"/>
            <w:shd w:val="clear" w:color="auto" w:fill="E5E5E5"/>
          </w:tcPr>
          <w:p>
            <w:pPr>
              <w:spacing w:after="0"/>
              <w:rPr>
                <w:sz w:val="14"/>
                <w:szCs w:val="14"/>
                <w:color w:val="auto"/>
              </w:rPr>
            </w:pPr>
          </w:p>
        </w:tc>
        <w:tc>
          <w:tcPr>
            <w:tcW w:w="4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112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880" w:type="dxa"/>
            <w:vAlign w:val="bottom"/>
            <w:shd w:val="clear" w:color="auto" w:fill="E5E5E5"/>
          </w:tcPr>
          <w:p>
            <w:pPr>
              <w:spacing w:after="0"/>
              <w:rPr>
                <w:sz w:val="14"/>
                <w:szCs w:val="14"/>
                <w:color w:val="auto"/>
              </w:rPr>
            </w:pPr>
          </w:p>
        </w:tc>
        <w:tc>
          <w:tcPr>
            <w:tcW w:w="4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860" w:type="dxa"/>
            <w:vAlign w:val="bottom"/>
            <w:shd w:val="clear" w:color="auto" w:fill="E5E5E5"/>
          </w:tcPr>
          <w:p>
            <w:pPr>
              <w:spacing w:after="0"/>
              <w:rPr>
                <w:sz w:val="14"/>
                <w:szCs w:val="14"/>
                <w:color w:val="auto"/>
              </w:rPr>
            </w:pPr>
          </w:p>
        </w:tc>
        <w:tc>
          <w:tcPr>
            <w:tcW w:w="34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040" w:type="dxa"/>
            <w:vAlign w:val="bottom"/>
            <w:shd w:val="clear" w:color="auto" w:fill="E5E5E5"/>
          </w:tcPr>
          <w:p>
            <w:pPr>
              <w:spacing w:after="0"/>
              <w:rPr>
                <w:sz w:val="14"/>
                <w:szCs w:val="14"/>
                <w:color w:val="auto"/>
              </w:rPr>
            </w:pPr>
          </w:p>
        </w:tc>
      </w:tr>
      <w:tr>
        <w:trPr>
          <w:trHeight w:val="157"/>
        </w:trPr>
        <w:tc>
          <w:tcPr>
            <w:tcW w:w="2540" w:type="dxa"/>
            <w:vAlign w:val="bottom"/>
            <w:shd w:val="clear" w:color="auto" w:fill="E5E5E5"/>
          </w:tcPr>
          <w:p>
            <w:pPr>
              <w:ind w:left="280"/>
              <w:spacing w:after="0" w:line="157" w:lineRule="exact"/>
              <w:rPr>
                <w:sz w:val="20"/>
                <w:szCs w:val="20"/>
                <w:color w:val="auto"/>
              </w:rPr>
            </w:pPr>
            <w:r>
              <w:rPr>
                <w:rFonts w:ascii="Arial" w:cs="Arial" w:eastAsia="Arial" w:hAnsi="Arial"/>
                <w:sz w:val="14"/>
                <w:szCs w:val="14"/>
                <w:color w:val="auto"/>
              </w:rPr>
              <w:t>Pension Plan</w:t>
            </w:r>
          </w:p>
        </w:tc>
        <w:tc>
          <w:tcPr>
            <w:tcW w:w="360" w:type="dxa"/>
            <w:vAlign w:val="bottom"/>
            <w:shd w:val="clear" w:color="auto" w:fill="E5E5E5"/>
          </w:tcPr>
          <w:p>
            <w:pPr>
              <w:spacing w:after="0"/>
              <w:rPr>
                <w:sz w:val="13"/>
                <w:szCs w:val="13"/>
                <w:color w:val="auto"/>
              </w:rPr>
            </w:pPr>
          </w:p>
        </w:tc>
        <w:tc>
          <w:tcPr>
            <w:tcW w:w="86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3"/>
                <w:szCs w:val="13"/>
                <w:color w:val="auto"/>
              </w:rPr>
            </w:pPr>
          </w:p>
        </w:tc>
        <w:tc>
          <w:tcPr>
            <w:tcW w:w="280" w:type="dxa"/>
            <w:vAlign w:val="bottom"/>
            <w:shd w:val="clear" w:color="auto" w:fill="E5E5E5"/>
          </w:tcPr>
          <w:p>
            <w:pPr>
              <w:spacing w:after="0"/>
              <w:rPr>
                <w:sz w:val="13"/>
                <w:szCs w:val="13"/>
                <w:color w:val="auto"/>
              </w:rPr>
            </w:pPr>
          </w:p>
        </w:tc>
        <w:tc>
          <w:tcPr>
            <w:tcW w:w="8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1120" w:type="dxa"/>
            <w:vAlign w:val="bottom"/>
            <w:shd w:val="clear" w:color="auto" w:fill="E5E5E5"/>
          </w:tcPr>
          <w:p>
            <w:pPr>
              <w:jc w:val="right"/>
              <w:ind w:right="268"/>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3"/>
                <w:szCs w:val="13"/>
                <w:color w:val="auto"/>
              </w:rPr>
            </w:pPr>
          </w:p>
        </w:tc>
        <w:tc>
          <w:tcPr>
            <w:tcW w:w="8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86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1040" w:type="dxa"/>
            <w:vAlign w:val="bottom"/>
            <w:shd w:val="clear" w:color="auto" w:fill="E5E5E5"/>
          </w:tcPr>
          <w:p>
            <w:pPr>
              <w:jc w:val="right"/>
              <w:ind w:right="188"/>
              <w:spacing w:after="0" w:line="157" w:lineRule="exact"/>
              <w:rPr>
                <w:sz w:val="20"/>
                <w:szCs w:val="20"/>
                <w:color w:val="auto"/>
              </w:rPr>
            </w:pPr>
            <w:r>
              <w:rPr>
                <w:rFonts w:ascii="Arial" w:cs="Arial" w:eastAsia="Arial" w:hAnsi="Arial"/>
                <w:sz w:val="14"/>
                <w:szCs w:val="14"/>
                <w:color w:val="auto"/>
              </w:rPr>
              <w:t>—</w:t>
            </w:r>
          </w:p>
        </w:tc>
      </w:tr>
      <w:tr>
        <w:trPr>
          <w:trHeight w:val="167"/>
        </w:trPr>
        <w:tc>
          <w:tcPr>
            <w:tcW w:w="2540" w:type="dxa"/>
            <w:vAlign w:val="bottom"/>
            <w:shd w:val="clear" w:color="auto" w:fill="E5E5E5"/>
          </w:tcPr>
          <w:p>
            <w:pPr>
              <w:ind w:left="140"/>
              <w:spacing w:after="0"/>
              <w:rPr>
                <w:sz w:val="20"/>
                <w:szCs w:val="20"/>
                <w:color w:val="auto"/>
              </w:rPr>
            </w:pPr>
            <w:r>
              <w:rPr>
                <w:rFonts w:ascii="Arial" w:cs="Arial" w:eastAsia="Arial" w:hAnsi="Arial"/>
                <w:sz w:val="14"/>
                <w:szCs w:val="14"/>
                <w:color w:val="auto"/>
              </w:rPr>
              <w:t>Non-Qual. Defined Benefit</w:t>
            </w:r>
          </w:p>
        </w:tc>
        <w:tc>
          <w:tcPr>
            <w:tcW w:w="360" w:type="dxa"/>
            <w:vAlign w:val="bottom"/>
            <w:shd w:val="clear" w:color="auto" w:fill="E5E5E5"/>
          </w:tcPr>
          <w:p>
            <w:pPr>
              <w:spacing w:after="0"/>
              <w:rPr>
                <w:sz w:val="14"/>
                <w:szCs w:val="14"/>
                <w:color w:val="auto"/>
              </w:rPr>
            </w:pPr>
          </w:p>
        </w:tc>
        <w:tc>
          <w:tcPr>
            <w:tcW w:w="860" w:type="dxa"/>
            <w:vAlign w:val="bottom"/>
            <w:shd w:val="clear" w:color="auto" w:fill="E5E5E5"/>
          </w:tcPr>
          <w:p>
            <w:pPr>
              <w:spacing w:after="0"/>
              <w:rPr>
                <w:sz w:val="14"/>
                <w:szCs w:val="14"/>
                <w:color w:val="auto"/>
              </w:rPr>
            </w:pPr>
          </w:p>
        </w:tc>
        <w:tc>
          <w:tcPr>
            <w:tcW w:w="32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880" w:type="dxa"/>
            <w:vAlign w:val="bottom"/>
            <w:shd w:val="clear" w:color="auto" w:fill="E5E5E5"/>
          </w:tcPr>
          <w:p>
            <w:pPr>
              <w:spacing w:after="0"/>
              <w:rPr>
                <w:sz w:val="14"/>
                <w:szCs w:val="14"/>
                <w:color w:val="auto"/>
              </w:rPr>
            </w:pPr>
          </w:p>
        </w:tc>
        <w:tc>
          <w:tcPr>
            <w:tcW w:w="4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112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880" w:type="dxa"/>
            <w:vAlign w:val="bottom"/>
            <w:shd w:val="clear" w:color="auto" w:fill="E5E5E5"/>
          </w:tcPr>
          <w:p>
            <w:pPr>
              <w:spacing w:after="0"/>
              <w:rPr>
                <w:sz w:val="14"/>
                <w:szCs w:val="14"/>
                <w:color w:val="auto"/>
              </w:rPr>
            </w:pPr>
          </w:p>
        </w:tc>
        <w:tc>
          <w:tcPr>
            <w:tcW w:w="4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860" w:type="dxa"/>
            <w:vAlign w:val="bottom"/>
            <w:shd w:val="clear" w:color="auto" w:fill="E5E5E5"/>
          </w:tcPr>
          <w:p>
            <w:pPr>
              <w:spacing w:after="0"/>
              <w:rPr>
                <w:sz w:val="14"/>
                <w:szCs w:val="14"/>
                <w:color w:val="auto"/>
              </w:rPr>
            </w:pPr>
          </w:p>
        </w:tc>
        <w:tc>
          <w:tcPr>
            <w:tcW w:w="34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040" w:type="dxa"/>
            <w:vAlign w:val="bottom"/>
            <w:shd w:val="clear" w:color="auto" w:fill="E5E5E5"/>
          </w:tcPr>
          <w:p>
            <w:pPr>
              <w:spacing w:after="0"/>
              <w:rPr>
                <w:sz w:val="14"/>
                <w:szCs w:val="14"/>
                <w:color w:val="auto"/>
              </w:rPr>
            </w:pPr>
          </w:p>
        </w:tc>
      </w:tr>
      <w:tr>
        <w:trPr>
          <w:trHeight w:val="157"/>
        </w:trPr>
        <w:tc>
          <w:tcPr>
            <w:tcW w:w="2540" w:type="dxa"/>
            <w:vAlign w:val="bottom"/>
            <w:shd w:val="clear" w:color="auto" w:fill="E5E5E5"/>
          </w:tcPr>
          <w:p>
            <w:pPr>
              <w:ind w:left="280"/>
              <w:spacing w:after="0" w:line="157" w:lineRule="exact"/>
              <w:rPr>
                <w:sz w:val="20"/>
                <w:szCs w:val="20"/>
                <w:color w:val="auto"/>
              </w:rPr>
            </w:pPr>
            <w:r>
              <w:rPr>
                <w:rFonts w:ascii="Arial" w:cs="Arial" w:eastAsia="Arial" w:hAnsi="Arial"/>
                <w:sz w:val="14"/>
                <w:szCs w:val="14"/>
                <w:color w:val="auto"/>
              </w:rPr>
              <w:t>Pension Plan II</w:t>
            </w:r>
          </w:p>
        </w:tc>
        <w:tc>
          <w:tcPr>
            <w:tcW w:w="360" w:type="dxa"/>
            <w:vAlign w:val="bottom"/>
            <w:shd w:val="clear" w:color="auto" w:fill="E5E5E5"/>
          </w:tcPr>
          <w:p>
            <w:pPr>
              <w:spacing w:after="0"/>
              <w:rPr>
                <w:sz w:val="13"/>
                <w:szCs w:val="13"/>
                <w:color w:val="auto"/>
              </w:rPr>
            </w:pPr>
          </w:p>
        </w:tc>
        <w:tc>
          <w:tcPr>
            <w:tcW w:w="86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3"/>
                <w:szCs w:val="13"/>
                <w:color w:val="auto"/>
              </w:rPr>
            </w:pPr>
          </w:p>
        </w:tc>
        <w:tc>
          <w:tcPr>
            <w:tcW w:w="280" w:type="dxa"/>
            <w:vAlign w:val="bottom"/>
            <w:shd w:val="clear" w:color="auto" w:fill="E5E5E5"/>
          </w:tcPr>
          <w:p>
            <w:pPr>
              <w:spacing w:after="0"/>
              <w:rPr>
                <w:sz w:val="13"/>
                <w:szCs w:val="13"/>
                <w:color w:val="auto"/>
              </w:rPr>
            </w:pPr>
          </w:p>
        </w:tc>
        <w:tc>
          <w:tcPr>
            <w:tcW w:w="8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1120" w:type="dxa"/>
            <w:vAlign w:val="bottom"/>
            <w:shd w:val="clear" w:color="auto" w:fill="E5E5E5"/>
          </w:tcPr>
          <w:p>
            <w:pPr>
              <w:jc w:val="right"/>
              <w:ind w:right="268"/>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3"/>
                <w:szCs w:val="13"/>
                <w:color w:val="auto"/>
              </w:rPr>
            </w:pPr>
          </w:p>
        </w:tc>
        <w:tc>
          <w:tcPr>
            <w:tcW w:w="88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3"/>
                <w:szCs w:val="13"/>
                <w:color w:val="auto"/>
              </w:rPr>
            </w:pPr>
          </w:p>
        </w:tc>
        <w:tc>
          <w:tcPr>
            <w:tcW w:w="200" w:type="dxa"/>
            <w:vAlign w:val="bottom"/>
            <w:shd w:val="clear" w:color="auto" w:fill="E5E5E5"/>
          </w:tcPr>
          <w:p>
            <w:pPr>
              <w:spacing w:after="0"/>
              <w:rPr>
                <w:sz w:val="13"/>
                <w:szCs w:val="13"/>
                <w:color w:val="auto"/>
              </w:rPr>
            </w:pPr>
          </w:p>
        </w:tc>
        <w:tc>
          <w:tcPr>
            <w:tcW w:w="860" w:type="dxa"/>
            <w:vAlign w:val="bottom"/>
            <w:shd w:val="clear" w:color="auto" w:fill="E5E5E5"/>
          </w:tcPr>
          <w:p>
            <w:pPr>
              <w:jc w:val="right"/>
              <w:spacing w:after="0" w:line="157"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1040" w:type="dxa"/>
            <w:vAlign w:val="bottom"/>
            <w:shd w:val="clear" w:color="auto" w:fill="E5E5E5"/>
          </w:tcPr>
          <w:p>
            <w:pPr>
              <w:jc w:val="right"/>
              <w:ind w:right="188"/>
              <w:spacing w:after="0" w:line="157" w:lineRule="exact"/>
              <w:rPr>
                <w:sz w:val="20"/>
                <w:szCs w:val="20"/>
                <w:color w:val="auto"/>
              </w:rPr>
            </w:pPr>
            <w:r>
              <w:rPr>
                <w:rFonts w:ascii="Arial" w:cs="Arial" w:eastAsia="Arial" w:hAnsi="Arial"/>
                <w:sz w:val="14"/>
                <w:szCs w:val="14"/>
                <w:color w:val="auto"/>
              </w:rPr>
              <w:t>—</w:t>
            </w:r>
          </w:p>
        </w:tc>
      </w:tr>
      <w:tr>
        <w:trPr>
          <w:trHeight w:val="162"/>
        </w:trPr>
        <w:tc>
          <w:tcPr>
            <w:tcW w:w="2540" w:type="dxa"/>
            <w:vAlign w:val="bottom"/>
            <w:shd w:val="clear" w:color="auto" w:fill="E5E5E5"/>
          </w:tcPr>
          <w:p>
            <w:pPr>
              <w:ind w:left="140"/>
              <w:spacing w:after="0"/>
              <w:rPr>
                <w:sz w:val="20"/>
                <w:szCs w:val="20"/>
                <w:color w:val="auto"/>
              </w:rPr>
            </w:pPr>
            <w:r>
              <w:rPr>
                <w:rFonts w:ascii="Arial" w:cs="Arial" w:eastAsia="Arial" w:hAnsi="Arial"/>
                <w:sz w:val="14"/>
                <w:szCs w:val="14"/>
                <w:color w:val="auto"/>
              </w:rPr>
              <w:t>Survivor Benefit Plan</w:t>
            </w:r>
          </w:p>
        </w:tc>
        <w:tc>
          <w:tcPr>
            <w:tcW w:w="360" w:type="dxa"/>
            <w:vAlign w:val="bottom"/>
            <w:shd w:val="clear" w:color="auto" w:fill="E5E5E5"/>
          </w:tcPr>
          <w:p>
            <w:pPr>
              <w:spacing w:after="0"/>
              <w:rPr>
                <w:sz w:val="14"/>
                <w:szCs w:val="14"/>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112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4"/>
                <w:szCs w:val="14"/>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04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r>
      <w:tr>
        <w:trPr>
          <w:trHeight w:val="162"/>
        </w:trPr>
        <w:tc>
          <w:tcPr>
            <w:tcW w:w="2540" w:type="dxa"/>
            <w:vAlign w:val="bottom"/>
            <w:shd w:val="clear" w:color="auto" w:fill="E5E5E5"/>
          </w:tcPr>
          <w:p>
            <w:pPr>
              <w:ind w:left="140"/>
              <w:spacing w:after="0"/>
              <w:rPr>
                <w:sz w:val="20"/>
                <w:szCs w:val="20"/>
                <w:color w:val="auto"/>
              </w:rPr>
            </w:pPr>
            <w:r>
              <w:rPr>
                <w:rFonts w:ascii="Arial" w:cs="Arial" w:eastAsia="Arial" w:hAnsi="Arial"/>
                <w:sz w:val="14"/>
                <w:szCs w:val="14"/>
                <w:color w:val="auto"/>
              </w:rPr>
              <w:t>Deferred Compensation (7)</w:t>
            </w:r>
          </w:p>
        </w:tc>
        <w:tc>
          <w:tcPr>
            <w:tcW w:w="360" w:type="dxa"/>
            <w:vAlign w:val="bottom"/>
            <w:shd w:val="clear" w:color="auto" w:fill="E5E5E5"/>
          </w:tcPr>
          <w:p>
            <w:pPr>
              <w:spacing w:after="0"/>
              <w:rPr>
                <w:sz w:val="14"/>
                <w:szCs w:val="14"/>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4"/>
                <w:szCs w:val="14"/>
                <w:color w:val="auto"/>
              </w:rPr>
            </w:pPr>
          </w:p>
        </w:tc>
        <w:tc>
          <w:tcPr>
            <w:tcW w:w="2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1,038,204</w:t>
            </w:r>
          </w:p>
        </w:tc>
        <w:tc>
          <w:tcPr>
            <w:tcW w:w="4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112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4"/>
                <w:szCs w:val="14"/>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04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r>
      <w:tr>
        <w:trPr>
          <w:trHeight w:val="162"/>
        </w:trPr>
        <w:tc>
          <w:tcPr>
            <w:tcW w:w="2540" w:type="dxa"/>
            <w:vAlign w:val="bottom"/>
            <w:shd w:val="clear" w:color="auto" w:fill="E5E5E5"/>
          </w:tcPr>
          <w:p>
            <w:pPr>
              <w:ind w:left="140"/>
              <w:spacing w:after="0"/>
              <w:rPr>
                <w:sz w:val="20"/>
                <w:szCs w:val="20"/>
                <w:color w:val="auto"/>
              </w:rPr>
            </w:pPr>
            <w:r>
              <w:rPr>
                <w:rFonts w:ascii="Arial" w:cs="Arial" w:eastAsia="Arial" w:hAnsi="Arial"/>
                <w:sz w:val="14"/>
                <w:szCs w:val="14"/>
                <w:color w:val="auto"/>
              </w:rPr>
              <w:t>RSUs</w:t>
            </w:r>
          </w:p>
        </w:tc>
        <w:tc>
          <w:tcPr>
            <w:tcW w:w="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10,410,092</w:t>
            </w:r>
          </w:p>
        </w:tc>
        <w:tc>
          <w:tcPr>
            <w:tcW w:w="320" w:type="dxa"/>
            <w:vAlign w:val="bottom"/>
            <w:shd w:val="clear" w:color="auto" w:fill="E5E5E5"/>
          </w:tcPr>
          <w:p>
            <w:pPr>
              <w:ind w:left="20"/>
              <w:spacing w:after="0"/>
              <w:rPr>
                <w:sz w:val="20"/>
                <w:szCs w:val="20"/>
                <w:color w:val="auto"/>
              </w:rPr>
            </w:pPr>
            <w:r>
              <w:rPr>
                <w:rFonts w:ascii="Arial" w:cs="Arial" w:eastAsia="Arial" w:hAnsi="Arial"/>
                <w:sz w:val="14"/>
                <w:szCs w:val="14"/>
                <w:color w:val="auto"/>
              </w:rPr>
              <w:t>(8)</w:t>
            </w:r>
          </w:p>
        </w:tc>
        <w:tc>
          <w:tcPr>
            <w:tcW w:w="2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10,410,092</w:t>
            </w:r>
          </w:p>
        </w:tc>
        <w:tc>
          <w:tcPr>
            <w:tcW w:w="400" w:type="dxa"/>
            <w:vAlign w:val="bottom"/>
            <w:shd w:val="clear" w:color="auto" w:fill="E5E5E5"/>
          </w:tcPr>
          <w:p>
            <w:pPr>
              <w:ind w:left="20"/>
              <w:spacing w:after="0"/>
              <w:rPr>
                <w:sz w:val="20"/>
                <w:szCs w:val="20"/>
                <w:color w:val="auto"/>
              </w:rPr>
            </w:pPr>
            <w:r>
              <w:rPr>
                <w:rFonts w:ascii="Arial" w:cs="Arial" w:eastAsia="Arial" w:hAnsi="Arial"/>
                <w:sz w:val="14"/>
                <w:szCs w:val="14"/>
                <w:color w:val="auto"/>
              </w:rPr>
              <w:t>(8)</w:t>
            </w:r>
          </w:p>
        </w:tc>
        <w:tc>
          <w:tcPr>
            <w:tcW w:w="200" w:type="dxa"/>
            <w:vAlign w:val="bottom"/>
            <w:shd w:val="clear" w:color="auto" w:fill="E5E5E5"/>
          </w:tcPr>
          <w:p>
            <w:pPr>
              <w:spacing w:after="0"/>
              <w:rPr>
                <w:sz w:val="14"/>
                <w:szCs w:val="14"/>
                <w:color w:val="auto"/>
              </w:rPr>
            </w:pPr>
          </w:p>
        </w:tc>
        <w:tc>
          <w:tcPr>
            <w:tcW w:w="112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spacing w:after="0"/>
              <w:rPr>
                <w:sz w:val="14"/>
                <w:szCs w:val="14"/>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04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r>
      <w:tr>
        <w:trPr>
          <w:trHeight w:val="162"/>
        </w:trPr>
        <w:tc>
          <w:tcPr>
            <w:tcW w:w="2540" w:type="dxa"/>
            <w:vAlign w:val="bottom"/>
            <w:shd w:val="clear" w:color="auto" w:fill="E5E5E5"/>
          </w:tcPr>
          <w:p>
            <w:pPr>
              <w:ind w:left="140"/>
              <w:spacing w:after="0"/>
              <w:rPr>
                <w:sz w:val="20"/>
                <w:szCs w:val="20"/>
                <w:color w:val="auto"/>
              </w:rPr>
            </w:pPr>
            <w:r>
              <w:rPr>
                <w:rFonts w:ascii="Arial" w:cs="Arial" w:eastAsia="Arial" w:hAnsi="Arial"/>
                <w:sz w:val="14"/>
                <w:szCs w:val="14"/>
                <w:color w:val="auto"/>
              </w:rPr>
              <w:t>Stock Options</w:t>
            </w:r>
          </w:p>
        </w:tc>
        <w:tc>
          <w:tcPr>
            <w:tcW w:w="3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11,098,427</w:t>
            </w:r>
          </w:p>
        </w:tc>
        <w:tc>
          <w:tcPr>
            <w:tcW w:w="320" w:type="dxa"/>
            <w:vAlign w:val="bottom"/>
            <w:shd w:val="clear" w:color="auto" w:fill="E5E5E5"/>
          </w:tcPr>
          <w:p>
            <w:pPr>
              <w:ind w:left="20"/>
              <w:spacing w:after="0"/>
              <w:rPr>
                <w:sz w:val="20"/>
                <w:szCs w:val="20"/>
                <w:color w:val="auto"/>
              </w:rPr>
            </w:pPr>
            <w:r>
              <w:rPr>
                <w:rFonts w:ascii="Arial" w:cs="Arial" w:eastAsia="Arial" w:hAnsi="Arial"/>
                <w:sz w:val="14"/>
                <w:szCs w:val="14"/>
                <w:color w:val="auto"/>
              </w:rPr>
              <w:t>(11)</w:t>
            </w:r>
          </w:p>
        </w:tc>
        <w:tc>
          <w:tcPr>
            <w:tcW w:w="2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11,098,427</w:t>
            </w:r>
          </w:p>
        </w:tc>
        <w:tc>
          <w:tcPr>
            <w:tcW w:w="400" w:type="dxa"/>
            <w:vAlign w:val="bottom"/>
            <w:shd w:val="clear" w:color="auto" w:fill="E5E5E5"/>
          </w:tcPr>
          <w:p>
            <w:pPr>
              <w:ind w:left="20"/>
              <w:spacing w:after="0"/>
              <w:rPr>
                <w:sz w:val="20"/>
                <w:szCs w:val="20"/>
                <w:color w:val="auto"/>
              </w:rPr>
            </w:pPr>
            <w:r>
              <w:rPr>
                <w:rFonts w:ascii="Arial" w:cs="Arial" w:eastAsia="Arial" w:hAnsi="Arial"/>
                <w:sz w:val="14"/>
                <w:szCs w:val="14"/>
                <w:color w:val="auto"/>
              </w:rPr>
              <w:t>(11)</w:t>
            </w:r>
          </w:p>
        </w:tc>
        <w:tc>
          <w:tcPr>
            <w:tcW w:w="200" w:type="dxa"/>
            <w:vAlign w:val="bottom"/>
            <w:shd w:val="clear" w:color="auto" w:fill="E5E5E5"/>
          </w:tcPr>
          <w:p>
            <w:pPr>
              <w:spacing w:after="0"/>
              <w:rPr>
                <w:sz w:val="14"/>
                <w:szCs w:val="14"/>
                <w:color w:val="auto"/>
              </w:rPr>
            </w:pPr>
          </w:p>
        </w:tc>
        <w:tc>
          <w:tcPr>
            <w:tcW w:w="112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2,973,357</w:t>
            </w:r>
          </w:p>
        </w:tc>
        <w:tc>
          <w:tcPr>
            <w:tcW w:w="400" w:type="dxa"/>
            <w:vAlign w:val="bottom"/>
            <w:shd w:val="clear" w:color="auto" w:fill="E5E5E5"/>
          </w:tcPr>
          <w:p>
            <w:pPr>
              <w:ind w:left="20"/>
              <w:spacing w:after="0"/>
              <w:rPr>
                <w:sz w:val="20"/>
                <w:szCs w:val="20"/>
                <w:color w:val="auto"/>
              </w:rPr>
            </w:pPr>
            <w:r>
              <w:rPr>
                <w:rFonts w:ascii="Arial" w:cs="Arial" w:eastAsia="Arial" w:hAnsi="Arial"/>
                <w:sz w:val="14"/>
                <w:szCs w:val="14"/>
                <w:color w:val="auto"/>
              </w:rPr>
              <w:t>(12)</w:t>
            </w:r>
          </w:p>
        </w:tc>
        <w:tc>
          <w:tcPr>
            <w:tcW w:w="200" w:type="dxa"/>
            <w:vAlign w:val="bottom"/>
            <w:shd w:val="clear" w:color="auto" w:fill="E5E5E5"/>
          </w:tcPr>
          <w:p>
            <w:pPr>
              <w:spacing w:after="0"/>
              <w:rPr>
                <w:sz w:val="14"/>
                <w:szCs w:val="14"/>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040" w:type="dxa"/>
            <w:vAlign w:val="bottom"/>
            <w:shd w:val="clear" w:color="auto" w:fill="E5E5E5"/>
          </w:tcPr>
          <w:p>
            <w:pPr>
              <w:jc w:val="right"/>
              <w:ind w:right="188"/>
              <w:spacing w:after="0"/>
              <w:rPr>
                <w:sz w:val="20"/>
                <w:szCs w:val="20"/>
                <w:color w:val="auto"/>
              </w:rPr>
            </w:pPr>
            <w:r>
              <w:rPr>
                <w:rFonts w:ascii="Arial" w:cs="Arial" w:eastAsia="Arial" w:hAnsi="Arial"/>
                <w:sz w:val="14"/>
                <w:szCs w:val="14"/>
                <w:color w:val="auto"/>
              </w:rPr>
              <w:t>—</w:t>
            </w:r>
          </w:p>
        </w:tc>
      </w:tr>
      <w:tr>
        <w:trPr>
          <w:trHeight w:val="162"/>
        </w:trPr>
        <w:tc>
          <w:tcPr>
            <w:tcW w:w="2540" w:type="dxa"/>
            <w:vAlign w:val="bottom"/>
            <w:shd w:val="clear" w:color="auto" w:fill="E5E5E5"/>
          </w:tcPr>
          <w:p>
            <w:pPr>
              <w:ind w:left="280"/>
              <w:spacing w:after="0"/>
              <w:rPr>
                <w:sz w:val="20"/>
                <w:szCs w:val="20"/>
                <w:color w:val="auto"/>
              </w:rPr>
            </w:pPr>
            <w:r>
              <w:rPr>
                <w:rFonts w:ascii="Arial" w:cs="Arial" w:eastAsia="Arial" w:hAnsi="Arial"/>
                <w:sz w:val="14"/>
                <w:szCs w:val="14"/>
                <w:b w:val="1"/>
                <w:bCs w:val="1"/>
                <w:color w:val="auto"/>
              </w:rPr>
              <w:t>H. Ilan Total</w:t>
            </w:r>
          </w:p>
        </w:tc>
        <w:tc>
          <w:tcPr>
            <w:tcW w:w="36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21,508,519</w:t>
            </w:r>
          </w:p>
        </w:tc>
        <w:tc>
          <w:tcPr>
            <w:tcW w:w="320" w:type="dxa"/>
            <w:vAlign w:val="bottom"/>
            <w:shd w:val="clear" w:color="auto" w:fill="E5E5E5"/>
          </w:tcPr>
          <w:p>
            <w:pPr>
              <w:spacing w:after="0"/>
              <w:rPr>
                <w:sz w:val="14"/>
                <w:szCs w:val="14"/>
                <w:color w:val="auto"/>
              </w:rPr>
            </w:pPr>
          </w:p>
        </w:tc>
        <w:tc>
          <w:tcPr>
            <w:tcW w:w="2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22,546,723</w:t>
            </w:r>
          </w:p>
        </w:tc>
        <w:tc>
          <w:tcPr>
            <w:tcW w:w="4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1120" w:type="dxa"/>
            <w:vAlign w:val="bottom"/>
            <w:shd w:val="clear" w:color="auto" w:fill="E5E5E5"/>
          </w:tcPr>
          <w:p>
            <w:pPr>
              <w:jc w:val="right"/>
              <w:ind w:right="268"/>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2,973,357</w:t>
            </w:r>
          </w:p>
        </w:tc>
        <w:tc>
          <w:tcPr>
            <w:tcW w:w="400" w:type="dxa"/>
            <w:vAlign w:val="bottom"/>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040" w:type="dxa"/>
            <w:vAlign w:val="bottom"/>
            <w:shd w:val="clear" w:color="auto" w:fill="E5E5E5"/>
          </w:tcPr>
          <w:p>
            <w:pPr>
              <w:jc w:val="right"/>
              <w:ind w:right="188"/>
              <w:spacing w:after="0"/>
              <w:rPr>
                <w:sz w:val="20"/>
                <w:szCs w:val="20"/>
                <w:color w:val="auto"/>
              </w:rPr>
            </w:pPr>
            <w:r>
              <w:rPr>
                <w:rFonts w:ascii="Arial" w:cs="Arial" w:eastAsia="Arial" w:hAnsi="Arial"/>
                <w:sz w:val="14"/>
                <w:szCs w:val="14"/>
                <w:b w:val="1"/>
                <w:bCs w:val="1"/>
                <w:color w:val="auto"/>
              </w:rPr>
              <w:t>—</w:t>
            </w:r>
          </w:p>
        </w:tc>
      </w:tr>
    </w:tbl>
    <w:p>
      <w:pPr>
        <w:spacing w:after="0" w:line="121" w:lineRule="exact"/>
        <w:rPr>
          <w:sz w:val="20"/>
          <w:szCs w:val="20"/>
          <w:color w:val="auto"/>
        </w:rPr>
      </w:pPr>
    </w:p>
    <w:p>
      <w:pPr>
        <w:ind w:left="540" w:right="20" w:hanging="424"/>
        <w:spacing w:after="0" w:line="246" w:lineRule="auto"/>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Messrs. Templeton and Delagi were retirement eligible for purposes of TI’s defined benefit pension plans and under the terms of their equity compensation awards as of December 31, 2019. Mr. Delagi retired from the company effective February 5, 2020.</w:t>
      </w:r>
    </w:p>
    <w:p>
      <w:pPr>
        <w:spacing w:after="0" w:line="124" w:lineRule="exact"/>
        <w:rPr>
          <w:sz w:val="20"/>
          <w:szCs w:val="20"/>
          <w:color w:val="auto"/>
        </w:rPr>
      </w:pPr>
    </w:p>
    <w:p>
      <w:pPr>
        <w:ind w:left="120"/>
        <w:spacing w:after="0"/>
        <w:tabs>
          <w:tab w:leader="none" w:pos="4020" w:val="left"/>
          <w:tab w:leader="none" w:pos="5500" w:val="left"/>
          <w:tab w:leader="none" w:pos="5700" w:val="left"/>
        </w:tabs>
        <w:rPr>
          <w:sz w:val="20"/>
          <w:szCs w:val="20"/>
          <w:color w:val="auto"/>
        </w:rPr>
      </w:pPr>
      <w:r>
        <w:rPr>
          <w:rFonts w:ascii="Arial" w:cs="Arial" w:eastAsia="Arial" w:hAnsi="Arial"/>
          <w:sz w:val="13"/>
          <w:szCs w:val="13"/>
          <w:color w:val="666666"/>
        </w:rPr>
        <w:t>42</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2020 PROXY STATEMENT</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40" w:hanging="424"/>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amount shown is the lump-sum benefit payable at age 65 to the named executive officer in the event of termination as</w:t>
      </w:r>
    </w:p>
    <w:p>
      <w:pPr>
        <w:ind w:left="540" w:right="20"/>
        <w:spacing w:after="0" w:line="238" w:lineRule="auto"/>
        <w:rPr>
          <w:rFonts w:ascii="Arial" w:cs="Arial" w:eastAsia="Arial" w:hAnsi="Arial"/>
          <w:sz w:val="18"/>
          <w:szCs w:val="18"/>
          <w:color w:val="auto"/>
        </w:rPr>
      </w:pPr>
      <w:r>
        <w:rPr>
          <w:rFonts w:ascii="Arial" w:cs="Arial" w:eastAsia="Arial" w:hAnsi="Arial"/>
          <w:sz w:val="18"/>
          <w:szCs w:val="18"/>
          <w:color w:val="auto"/>
        </w:rPr>
        <w:t>of December 31, 2019, due to disability, assuming the named executive officer does not request payment of his disability benefit until age 65. The assumptions used in calculating these amounts are the same as the age-65 lump-sum assumptions used for financial reporting purposes for the company’s audited financial statements for 2019 and are described in Note 6 to the 2019 pension benefits table.</w:t>
      </w:r>
    </w:p>
    <w:p>
      <w:pPr>
        <w:spacing w:after="0" w:line="110" w:lineRule="exact"/>
        <w:rPr>
          <w:rFonts w:ascii="Arial" w:cs="Arial" w:eastAsia="Arial" w:hAnsi="Arial"/>
          <w:sz w:val="18"/>
          <w:szCs w:val="18"/>
          <w:color w:val="auto"/>
        </w:rPr>
      </w:pPr>
    </w:p>
    <w:p>
      <w:pPr>
        <w:ind w:left="540" w:right="60" w:hanging="424"/>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Value of the benefit payable in a lump sum to the executive officer’s beneficiary calculated as required by the terms of the plan assuming the earliest possible payment date. The plan provides that in the event of death, the beneficiary receives 50 percent of the participant’s accrued benefit, reduced by the age-applicable joint and 50 percent survivor factor.</w:t>
      </w:r>
    </w:p>
    <w:p>
      <w:pPr>
        <w:spacing w:after="0" w:line="108" w:lineRule="exact"/>
        <w:rPr>
          <w:rFonts w:ascii="Arial" w:cs="Arial" w:eastAsia="Arial" w:hAnsi="Arial"/>
          <w:sz w:val="18"/>
          <w:szCs w:val="18"/>
          <w:color w:val="auto"/>
        </w:rPr>
      </w:pPr>
    </w:p>
    <w:p>
      <w:pPr>
        <w:ind w:left="540" w:right="400" w:hanging="424"/>
        <w:spacing w:after="0" w:line="246"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Lump-sum value of the accrued benefit as of December 31, 2019, calculated as required by the terms of the plans assuming the earliest possible payment date.</w:t>
      </w:r>
    </w:p>
    <w:p>
      <w:pPr>
        <w:spacing w:after="0" w:line="102" w:lineRule="exact"/>
        <w:rPr>
          <w:rFonts w:ascii="Arial" w:cs="Arial" w:eastAsia="Arial" w:hAnsi="Arial"/>
          <w:sz w:val="18"/>
          <w:szCs w:val="18"/>
          <w:color w:val="auto"/>
        </w:rPr>
      </w:pPr>
    </w:p>
    <w:p>
      <w:pPr>
        <w:ind w:left="540" w:right="380" w:hanging="424"/>
        <w:spacing w:after="0" w:line="246"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amount shown is the lump-sum benefit payable at age 65, in the case of the Non-Qualified Defined Benefit Pension Plan, or separation from service in the case of Plan II. The assumptions used are the same as those described in Note 2.</w:t>
      </w:r>
    </w:p>
    <w:p>
      <w:pPr>
        <w:spacing w:after="0" w:line="102" w:lineRule="exact"/>
        <w:rPr>
          <w:rFonts w:ascii="Arial" w:cs="Arial" w:eastAsia="Arial" w:hAnsi="Arial"/>
          <w:sz w:val="18"/>
          <w:szCs w:val="18"/>
          <w:color w:val="auto"/>
        </w:rPr>
      </w:pPr>
    </w:p>
    <w:p>
      <w:pPr>
        <w:ind w:left="540" w:hanging="424"/>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Calculated as required by the terms of the plan assuming the earliest possible payment date.</w:t>
      </w:r>
    </w:p>
    <w:p>
      <w:pPr>
        <w:spacing w:after="0" w:line="117" w:lineRule="exact"/>
        <w:rPr>
          <w:rFonts w:ascii="Arial" w:cs="Arial" w:eastAsia="Arial" w:hAnsi="Arial"/>
          <w:sz w:val="18"/>
          <w:szCs w:val="18"/>
          <w:color w:val="auto"/>
        </w:rPr>
      </w:pPr>
    </w:p>
    <w:p>
      <w:pPr>
        <w:ind w:left="540" w:right="60" w:hanging="424"/>
        <w:spacing w:after="0" w:line="238"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the event of death, a participant’s deferred compensation balance becomes payable immediately. The amount shown in the column titled “Death” is the balance as of December 31, 2019, under the non-qualified deferred compensation plan. For all separation events other than death, balances are distributed in accordance with the participant’s distribution election as discussed in the narrative following the 2019 non-qualified deferred compensation table.</w:t>
      </w:r>
    </w:p>
    <w:p>
      <w:pPr>
        <w:spacing w:after="0" w:line="105" w:lineRule="exact"/>
        <w:rPr>
          <w:rFonts w:ascii="Arial" w:cs="Arial" w:eastAsia="Arial" w:hAnsi="Arial"/>
          <w:sz w:val="18"/>
          <w:szCs w:val="18"/>
          <w:color w:val="auto"/>
        </w:rPr>
      </w:pPr>
    </w:p>
    <w:p>
      <w:pPr>
        <w:ind w:left="540" w:hanging="424"/>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Calculated by multiplying the number of outstanding RSUs by the closing price of TI common stock as of December 31, 2019</w:t>
      </w:r>
    </w:p>
    <w:p>
      <w:pPr>
        <w:jc w:val="both"/>
        <w:ind w:left="540" w:right="140"/>
        <w:spacing w:after="0"/>
        <w:rPr>
          <w:rFonts w:ascii="Arial" w:cs="Arial" w:eastAsia="Arial" w:hAnsi="Arial"/>
          <w:sz w:val="18"/>
          <w:szCs w:val="18"/>
          <w:color w:val="auto"/>
        </w:rPr>
      </w:pPr>
      <w:r>
        <w:rPr>
          <w:rFonts w:ascii="Arial" w:cs="Arial" w:eastAsia="Arial" w:hAnsi="Arial"/>
          <w:sz w:val="18"/>
          <w:szCs w:val="18"/>
          <w:color w:val="auto"/>
        </w:rPr>
        <w:t>($128.29). In the event of termination due to disability or death, all outstanding awards will continue to vest according to their terms. See the first table under “Outstanding equity awards at fiscal year-end 2019” for the number of unvested RSUs as of December 31, 2019, and the related discussion following that table of an additional outstanding RSU award held by Mr. Templeton.</w:t>
      </w:r>
    </w:p>
    <w:p>
      <w:pPr>
        <w:spacing w:after="0" w:line="108" w:lineRule="exact"/>
        <w:rPr>
          <w:rFonts w:ascii="Arial" w:cs="Arial" w:eastAsia="Arial" w:hAnsi="Arial"/>
          <w:sz w:val="18"/>
          <w:szCs w:val="18"/>
          <w:color w:val="auto"/>
        </w:rPr>
      </w:pPr>
    </w:p>
    <w:p>
      <w:pPr>
        <w:ind w:left="540" w:right="1120" w:hanging="424"/>
        <w:spacing w:after="0" w:line="246"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Calculated by multiplying the previously discussed 120,000 vested RSUs by the closing price of TI common stock as of December 31, 2019 ($128.29).</w:t>
      </w:r>
    </w:p>
    <w:p>
      <w:pPr>
        <w:spacing w:after="0" w:line="102" w:lineRule="exact"/>
        <w:rPr>
          <w:rFonts w:ascii="Arial" w:cs="Arial" w:eastAsia="Arial" w:hAnsi="Arial"/>
          <w:sz w:val="18"/>
          <w:szCs w:val="18"/>
          <w:color w:val="auto"/>
        </w:rPr>
      </w:pPr>
    </w:p>
    <w:p>
      <w:pPr>
        <w:ind w:left="540" w:hanging="424"/>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Due to retirement eligibility, calculated by multiplying the number of outstanding RSUs held at such termination by the closing price of TI common stock as of December 31, 2019 ($128.29). RSU awards stay in effect and pay out shares according to the vesting schedule.</w:t>
      </w:r>
    </w:p>
    <w:p>
      <w:pPr>
        <w:spacing w:after="0" w:line="108" w:lineRule="exact"/>
        <w:rPr>
          <w:rFonts w:ascii="Arial" w:cs="Arial" w:eastAsia="Arial" w:hAnsi="Arial"/>
          <w:sz w:val="18"/>
          <w:szCs w:val="18"/>
          <w:color w:val="auto"/>
        </w:rPr>
      </w:pPr>
    </w:p>
    <w:p>
      <w:pPr>
        <w:ind w:left="540" w:right="420" w:hanging="424"/>
        <w:spacing w:after="0" w:line="246"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Calculated as the difference between the grant price of all outstanding in-the-money options and the closing price of TI common stock as of December 31, 2019 ($128.29), multiplied by the number of shares under such options as of December 31, 2019.</w:t>
      </w:r>
    </w:p>
    <w:p>
      <w:pPr>
        <w:spacing w:after="0" w:line="102" w:lineRule="exact"/>
        <w:rPr>
          <w:rFonts w:ascii="Arial" w:cs="Arial" w:eastAsia="Arial" w:hAnsi="Arial"/>
          <w:sz w:val="18"/>
          <w:szCs w:val="18"/>
          <w:color w:val="auto"/>
        </w:rPr>
      </w:pPr>
    </w:p>
    <w:p>
      <w:pPr>
        <w:ind w:left="540" w:right="440" w:hanging="424"/>
        <w:spacing w:after="0" w:line="246"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Calculated as the difference between the grant price of all exercisable in-the-money options and the closing price of TI common stock as of December 31, 2019 ($128.29), multiplied by the number of shares under such options as of December 31, 2019.</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Pay ratio</w:t>
      </w:r>
    </w:p>
    <w:p>
      <w:pPr>
        <w:spacing w:after="0" w:line="229"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For 2019, the median of annual total compensation of all employees of our company (other than our CEO), was $82,034. The annual total compensation of our CEO was $18,655,972. Based on this information, the ratio of the annual total compensation of our CEO to the median of the annual total compensation of all employees was approximately 227 to 1.</w:t>
      </w:r>
    </w:p>
    <w:p>
      <w:pPr>
        <w:spacing w:after="0" w:line="203"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There has been no change in the company’s employee population or employee compensation arrangements that would result in a significant change in the pay ratio disclosure. Further, there has been no change in the circumstances of the employee identified as the median employee in 2017. Accordingly, the pay ratio calculation has been made using the 2019 compensation for the median employee identified in 2017.</w:t>
      </w:r>
    </w:p>
    <w:p>
      <w:pPr>
        <w:spacing w:after="0" w:line="205"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To identify the median of the annual total compensation of all our employees, as well as to determine the annual total compensation of the “median employee,” we used the following methodology and material assumptions, adjustments and estimates to identify the median employee in 2017:</w:t>
      </w:r>
    </w:p>
    <w:p>
      <w:pPr>
        <w:spacing w:after="0" w:line="225" w:lineRule="exact"/>
        <w:rPr>
          <w:sz w:val="20"/>
          <w:szCs w:val="20"/>
          <w:color w:val="auto"/>
        </w:rPr>
      </w:pPr>
    </w:p>
    <w:p>
      <w:pPr>
        <w:ind w:left="760" w:hanging="320"/>
        <w:spacing w:after="0"/>
        <w:tabs>
          <w:tab w:leader="none" w:pos="7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selected October 5, 2017, as the date upon which we would identify the “median employee.”</w:t>
      </w:r>
    </w:p>
    <w:p>
      <w:pPr>
        <w:ind w:left="760" w:right="120" w:hanging="320"/>
        <w:spacing w:after="0" w:line="246" w:lineRule="auto"/>
        <w:tabs>
          <w:tab w:leader="none" w:pos="7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As of this date, our employee population consisted of approximately 29,973 individuals working at the company and consolidated subsidiaries, excluding employees on leaves of absence who are not expected to return to work.</w:t>
      </w:r>
    </w:p>
    <w:p>
      <w:pPr>
        <w:spacing w:after="0" w:line="124" w:lineRule="exact"/>
        <w:rPr>
          <w:sz w:val="20"/>
          <w:szCs w:val="20"/>
          <w:color w:val="auto"/>
        </w:rPr>
      </w:pPr>
    </w:p>
    <w:tbl>
      <w:tblPr>
        <w:tblLayout w:type="fixed"/>
        <w:tblInd w:w="4040" w:type="dxa"/>
        <w:tblCellMar>
          <w:top w:w="0" w:type="dxa"/>
          <w:left w:w="0" w:type="dxa"/>
          <w:bottom w:w="0" w:type="dxa"/>
          <w:right w:w="0" w:type="dxa"/>
        </w:tblCellMar>
      </w:tblPr>
      <w:tr>
        <w:trPr>
          <w:trHeight w:val="152"/>
        </w:trPr>
        <w:tc>
          <w:tcPr>
            <w:tcW w:w="5080" w:type="dxa"/>
            <w:vAlign w:val="bottom"/>
          </w:tcPr>
          <w:p>
            <w:pPr>
              <w:spacing w:after="0"/>
              <w:rPr>
                <w:sz w:val="20"/>
                <w:szCs w:val="20"/>
                <w:color w:val="auto"/>
              </w:rPr>
            </w:pPr>
            <w:r>
              <w:rPr>
                <w:rFonts w:ascii="Arial" w:cs="Arial" w:eastAsia="Arial" w:hAnsi="Arial"/>
                <w:sz w:val="13"/>
                <w:szCs w:val="13"/>
                <w:color w:val="666666"/>
              </w:rPr>
              <w:t>TEXAS INSTRUMENTS  •  2020 PROXY STATEMENT</w:t>
            </w:r>
          </w:p>
        </w:tc>
        <w:tc>
          <w:tcPr>
            <w:tcW w:w="2000" w:type="dxa"/>
            <w:vAlign w:val="bottom"/>
          </w:tcPr>
          <w:p>
            <w:pPr>
              <w:jc w:val="right"/>
              <w:spacing w:after="0"/>
              <w:rPr>
                <w:sz w:val="20"/>
                <w:szCs w:val="20"/>
                <w:color w:val="auto"/>
              </w:rPr>
            </w:pPr>
            <w:r>
              <w:rPr>
                <w:rFonts w:ascii="Arial" w:cs="Arial" w:eastAsia="Arial" w:hAnsi="Arial"/>
                <w:sz w:val="13"/>
                <w:szCs w:val="13"/>
                <w:color w:val="666666"/>
              </w:rPr>
              <w:t>43</w:t>
            </w:r>
          </w:p>
        </w:tc>
      </w:tr>
    </w:tbl>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60" w:right="280" w:hanging="320"/>
        <w:spacing w:after="0" w:line="234" w:lineRule="auto"/>
        <w:tabs>
          <w:tab w:leader="none" w:pos="7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identify the “median employee,” we used base salary and profit sharing information, each of which is paid to all employees. Salaries were annualized for all permanent employees who were employees for less than the full fiscal year or who were on an unpaid leave of absence during a portion of the year.</w:t>
      </w:r>
    </w:p>
    <w:p>
      <w:pPr>
        <w:spacing w:after="0" w:line="2" w:lineRule="exact"/>
        <w:rPr>
          <w:rFonts w:ascii="Arial" w:cs="Arial" w:eastAsia="Arial" w:hAnsi="Arial"/>
          <w:sz w:val="18"/>
          <w:szCs w:val="18"/>
          <w:color w:val="auto"/>
        </w:rPr>
      </w:pPr>
    </w:p>
    <w:p>
      <w:pPr>
        <w:ind w:left="760" w:right="120" w:hanging="320"/>
        <w:spacing w:after="0" w:line="234" w:lineRule="auto"/>
        <w:tabs>
          <w:tab w:leader="none" w:pos="7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identified and calculated the elements of the median employee’s compensation for 2017 in accordance with the requirements of Item 402(c)(2)(x) of Regulation S-K, including the value of the employee’s health and welfare benefits (estimated for the employee and the employee’s eligible dependents) and retirement-related benefits.</w:t>
      </w:r>
    </w:p>
    <w:p>
      <w:pPr>
        <w:spacing w:after="0" w:line="2" w:lineRule="exact"/>
        <w:rPr>
          <w:rFonts w:ascii="Arial" w:cs="Arial" w:eastAsia="Arial" w:hAnsi="Arial"/>
          <w:sz w:val="18"/>
          <w:szCs w:val="18"/>
          <w:color w:val="auto"/>
        </w:rPr>
      </w:pPr>
    </w:p>
    <w:p>
      <w:pPr>
        <w:ind w:left="760" w:right="60" w:hanging="320"/>
        <w:spacing w:after="0" w:line="246" w:lineRule="auto"/>
        <w:tabs>
          <w:tab w:leader="none" w:pos="7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applied the exchange rate that we utilize in our payroll system, as of the identification date, to convert foreign currency to U.S. dollars.</w:t>
      </w:r>
    </w:p>
    <w:p>
      <w:pPr>
        <w:spacing w:after="0" w:line="197"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The annual total compensation of our CEO is the amount reported in the “Total” column of our 2019 summary compensation table, adding in the value of health and welfare benefits (estimated for our CEO and his eligible dependents) and retirement-related benefits. This resulted in annual total compensation for purposes of determining the ratio in the amount of $18,655,972.</w:t>
      </w:r>
    </w:p>
    <w:p>
      <w:pPr>
        <w:spacing w:after="0" w:line="38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Audit Committee report</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Audit Committee of the board of directors has furnished the following report:</w:t>
      </w:r>
    </w:p>
    <w:p>
      <w:pPr>
        <w:spacing w:after="0" w:line="212"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As noted in the committee’s charter, TI management is responsible for preparing the company’s financial statements. The company’s independent registered public accounting firm is responsible for auditing the financial statements. The activities of the committee are in no way designed to supersede or alter those traditional responsibilities. The committee’s role does not provide any special assurances with regard to TI’s financial statements, nor does it involve a professional evaluation of the quality of the audits performed by the independent registered public accounting firm.</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committee has reviewed and discussed with management and the independent accounting firm, as appropriate, (1) the audited financial statements and (2) management’s report on internal control over financial reporting and the independent accounting firm’s related opinions.</w:t>
      </w:r>
    </w:p>
    <w:p>
      <w:pPr>
        <w:spacing w:after="0" w:line="203" w:lineRule="exact"/>
        <w:rPr>
          <w:sz w:val="20"/>
          <w:szCs w:val="20"/>
          <w:color w:val="auto"/>
        </w:rPr>
      </w:pPr>
    </w:p>
    <w:p>
      <w:pPr>
        <w:ind w:left="120" w:right="620"/>
        <w:spacing w:after="0" w:line="246" w:lineRule="auto"/>
        <w:rPr>
          <w:sz w:val="20"/>
          <w:szCs w:val="20"/>
          <w:color w:val="auto"/>
        </w:rPr>
      </w:pPr>
      <w:r>
        <w:rPr>
          <w:rFonts w:ascii="Arial" w:cs="Arial" w:eastAsia="Arial" w:hAnsi="Arial"/>
          <w:sz w:val="18"/>
          <w:szCs w:val="18"/>
          <w:color w:val="auto"/>
        </w:rPr>
        <w:t>The committee has discussed with the independent registered public accounting firm, Ernst &amp; Young, the required communications specified by auditing standards together with guidelines established by the SEC and the Sarbanes-Oxley Act.</w:t>
      </w:r>
    </w:p>
    <w:p>
      <w:pPr>
        <w:spacing w:after="0" w:line="197"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The committee has received the written disclosures and the letter from the independent registered public accounting firm required by the applicable requirements of the Public Company Accounting Oversight Board, regarding the independent registered public accounting firm’s communications with the Audit Committee concerning independence, and has discussed with Ernst &amp; Young the firm’s independence.</w:t>
      </w:r>
    </w:p>
    <w:p>
      <w:pPr>
        <w:spacing w:after="0" w:line="205" w:lineRule="exact"/>
        <w:rPr>
          <w:sz w:val="20"/>
          <w:szCs w:val="20"/>
          <w:color w:val="auto"/>
        </w:rPr>
      </w:pPr>
    </w:p>
    <w:p>
      <w:pPr>
        <w:ind w:left="120" w:right="240"/>
        <w:spacing w:after="0" w:line="246" w:lineRule="auto"/>
        <w:rPr>
          <w:sz w:val="20"/>
          <w:szCs w:val="20"/>
          <w:color w:val="auto"/>
        </w:rPr>
      </w:pPr>
      <w:r>
        <w:rPr>
          <w:rFonts w:ascii="Arial" w:cs="Arial" w:eastAsia="Arial" w:hAnsi="Arial"/>
          <w:sz w:val="18"/>
          <w:szCs w:val="18"/>
          <w:color w:val="auto"/>
        </w:rPr>
        <w:t>Based on the review and discussions referred to above, the committee recommended to the board of directors that the audited financial statements be included in the company’s annual report on Form 10-K for 2019 for filing with the SEC.</w:t>
      </w:r>
    </w:p>
    <w:p>
      <w:pPr>
        <w:spacing w:after="0" w:line="224" w:lineRule="exact"/>
        <w:rPr>
          <w:sz w:val="20"/>
          <w:szCs w:val="20"/>
          <w:color w:val="auto"/>
        </w:rPr>
      </w:pPr>
    </w:p>
    <w:p>
      <w:pPr>
        <w:ind w:left="1180"/>
        <w:spacing w:after="0"/>
        <w:tabs>
          <w:tab w:leader="none" w:pos="5020" w:val="left"/>
          <w:tab w:leader="none" w:pos="8740" w:val="left"/>
        </w:tabs>
        <w:rPr>
          <w:sz w:val="20"/>
          <w:szCs w:val="20"/>
          <w:color w:val="auto"/>
        </w:rPr>
      </w:pPr>
      <w:r>
        <w:rPr>
          <w:rFonts w:ascii="Arial" w:cs="Arial" w:eastAsia="Arial" w:hAnsi="Arial"/>
          <w:sz w:val="18"/>
          <w:szCs w:val="18"/>
          <w:color w:val="auto"/>
        </w:rPr>
        <w:t>Mark A. Blinn, Chair</w:t>
      </w:r>
      <w:r>
        <w:rPr>
          <w:sz w:val="20"/>
          <w:szCs w:val="20"/>
          <w:color w:val="auto"/>
        </w:rPr>
        <w:tab/>
      </w:r>
      <w:r>
        <w:rPr>
          <w:rFonts w:ascii="Arial" w:cs="Arial" w:eastAsia="Arial" w:hAnsi="Arial"/>
          <w:sz w:val="18"/>
          <w:szCs w:val="18"/>
          <w:color w:val="auto"/>
        </w:rPr>
        <w:t>Todd M. Bluedorn</w:t>
      </w:r>
      <w:r>
        <w:rPr>
          <w:sz w:val="20"/>
          <w:szCs w:val="20"/>
          <w:color w:val="auto"/>
        </w:rPr>
        <w:tab/>
      </w:r>
      <w:r>
        <w:rPr>
          <w:rFonts w:ascii="Arial" w:cs="Arial" w:eastAsia="Arial" w:hAnsi="Arial"/>
          <w:sz w:val="18"/>
          <w:szCs w:val="18"/>
          <w:color w:val="auto"/>
        </w:rPr>
        <w:t>Jean M. Hobby</w:t>
      </w:r>
    </w:p>
    <w:p>
      <w:pPr>
        <w:spacing w:after="0" w:line="39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Proposal to ratify appointment of independent registered public accounting firm</w:t>
      </w:r>
    </w:p>
    <w:p>
      <w:pPr>
        <w:spacing w:after="0" w:line="238"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The Audit Committee of the board has the authority and responsibility for the appointment, compensation, retention and oversight of the work of TI’s independent registered public accounting firm. The Audit Committee has appointed Ernst &amp; Young LLP to be TI’s independent registered public accounting firm for 2020.</w:t>
      </w:r>
    </w:p>
    <w:p>
      <w:pPr>
        <w:spacing w:after="0" w:line="203"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TI has engaged Ernst &amp; Young or a predecessor firm to serve as the company’s independent registered public accounting firm for over 60 years. In order to assure continuing auditor independence, the Audit Committee periodically considers whether the annual audit of TI’s financial statements should be conducted by another firm.</w:t>
      </w:r>
    </w:p>
    <w:p>
      <w:pPr>
        <w:spacing w:after="0" w:line="203" w:lineRule="exact"/>
        <w:rPr>
          <w:sz w:val="20"/>
          <w:szCs w:val="20"/>
          <w:color w:val="auto"/>
        </w:rPr>
      </w:pPr>
    </w:p>
    <w:p>
      <w:pPr>
        <w:ind w:left="120" w:right="180"/>
        <w:spacing w:after="0" w:line="246" w:lineRule="auto"/>
        <w:rPr>
          <w:sz w:val="20"/>
          <w:szCs w:val="20"/>
          <w:color w:val="auto"/>
        </w:rPr>
      </w:pPr>
      <w:r>
        <w:rPr>
          <w:rFonts w:ascii="Arial" w:cs="Arial" w:eastAsia="Arial" w:hAnsi="Arial"/>
          <w:sz w:val="18"/>
          <w:szCs w:val="18"/>
          <w:color w:val="auto"/>
        </w:rPr>
        <w:t>The lead audit partner on the TI engagement serves no more than five consecutive years in that role, in accordance with SEC rules. The Audit Committee Chair and management have direct input into the selection of the lead audit partner.</w:t>
      </w:r>
    </w:p>
    <w:p>
      <w:pPr>
        <w:spacing w:after="0" w:line="197" w:lineRule="exact"/>
        <w:rPr>
          <w:sz w:val="20"/>
          <w:szCs w:val="20"/>
          <w:color w:val="auto"/>
        </w:rPr>
      </w:pPr>
    </w:p>
    <w:p>
      <w:pPr>
        <w:ind w:left="120" w:right="280"/>
        <w:spacing w:after="0" w:line="238" w:lineRule="auto"/>
        <w:rPr>
          <w:sz w:val="20"/>
          <w:szCs w:val="20"/>
          <w:color w:val="auto"/>
        </w:rPr>
      </w:pPr>
      <w:r>
        <w:rPr>
          <w:rFonts w:ascii="Arial" w:cs="Arial" w:eastAsia="Arial" w:hAnsi="Arial"/>
          <w:sz w:val="18"/>
          <w:szCs w:val="18"/>
          <w:color w:val="auto"/>
        </w:rPr>
        <w:t>The members of the Audit Committee and the board believe that the continued retention of Ernst &amp; Young to serve as the company’s independent registered public accounting firm is in the best interest of the company and its investors. Consequently, the board asks the stockholders to ratify the appointment of Ernst &amp; Young. If the stockholders do not ratify the appointment, the Audit Committee will consider whether it should appoint another independent registered public accounting firm.</w:t>
      </w:r>
    </w:p>
    <w:p>
      <w:pPr>
        <w:sectPr>
          <w:pgSz w:w="11900" w:h="16838" w:orient="portrait"/>
          <w:cols w:equalWidth="0" w:num="1">
            <w:col w:w="11120"/>
          </w:cols>
          <w:pgMar w:left="320" w:top="459" w:right="459" w:bottom="1440" w:gutter="0" w:footer="0" w:header="0"/>
        </w:sectPr>
      </w:pPr>
    </w:p>
    <w:p>
      <w:pPr>
        <w:spacing w:after="0" w:line="132" w:lineRule="exact"/>
        <w:rPr>
          <w:sz w:val="20"/>
          <w:szCs w:val="20"/>
          <w:color w:val="auto"/>
        </w:rPr>
      </w:pPr>
    </w:p>
    <w:p>
      <w:pPr>
        <w:ind w:left="120"/>
        <w:spacing w:after="0"/>
        <w:tabs>
          <w:tab w:leader="none" w:pos="4020" w:val="left"/>
          <w:tab w:leader="none" w:pos="5500" w:val="left"/>
          <w:tab w:leader="none" w:pos="5700" w:val="left"/>
        </w:tabs>
        <w:rPr>
          <w:sz w:val="20"/>
          <w:szCs w:val="20"/>
          <w:color w:val="auto"/>
        </w:rPr>
      </w:pPr>
      <w:r>
        <w:rPr>
          <w:rFonts w:ascii="Arial" w:cs="Arial" w:eastAsia="Arial" w:hAnsi="Arial"/>
          <w:sz w:val="13"/>
          <w:szCs w:val="13"/>
          <w:color w:val="666666"/>
        </w:rPr>
        <w:t>44</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2020 PROXY STATEMENT</w:t>
      </w:r>
    </w:p>
    <w:p>
      <w:pPr>
        <w:sectPr>
          <w:pgSz w:w="11900" w:h="16838" w:orient="portrait"/>
          <w:cols w:equalWidth="0" w:num="1">
            <w:col w:w="11120"/>
          </w:cols>
          <w:pgMar w:left="320" w:top="459" w:right="45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Representatives of Ernst &amp; Young are expected to be present and available to respond to appropriate questions at the annual meeting.</w:t>
      </w:r>
    </w:p>
    <w:p>
      <w:pPr>
        <w:ind w:left="120"/>
        <w:spacing w:after="0"/>
        <w:rPr>
          <w:sz w:val="20"/>
          <w:szCs w:val="20"/>
          <w:color w:val="auto"/>
        </w:rPr>
      </w:pPr>
      <w:r>
        <w:rPr>
          <w:rFonts w:ascii="Arial" w:cs="Arial" w:eastAsia="Arial" w:hAnsi="Arial"/>
          <w:sz w:val="18"/>
          <w:szCs w:val="18"/>
          <w:color w:val="auto"/>
        </w:rPr>
        <w:t>They have the opportunity to make a statement if they desire to do so; they have indicated that, as of this date, they do not.</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fees for services provided by Ernst &amp; Young to the company are described below:</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580" w:type="dxa"/>
            <w:vAlign w:val="bottom"/>
            <w:tcBorders>
              <w:bottom w:val="single" w:sz="8" w:color="auto"/>
            </w:tcBorders>
          </w:tcPr>
          <w:p>
            <w:pPr>
              <w:spacing w:after="0"/>
              <w:rPr>
                <w:sz w:val="15"/>
                <w:szCs w:val="15"/>
                <w:color w:val="auto"/>
              </w:rPr>
            </w:pPr>
          </w:p>
        </w:tc>
        <w:tc>
          <w:tcPr>
            <w:tcW w:w="36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r>
      <w:tr>
        <w:trPr>
          <w:trHeight w:val="196"/>
        </w:trPr>
        <w:tc>
          <w:tcPr>
            <w:tcW w:w="458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Audit</w:t>
            </w:r>
          </w:p>
        </w:tc>
        <w:tc>
          <w:tcPr>
            <w:tcW w:w="362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E5E5E5"/>
          </w:tcPr>
          <w:p>
            <w:pPr>
              <w:jc w:val="right"/>
              <w:ind w:right="354"/>
              <w:spacing w:after="0" w:line="196" w:lineRule="exact"/>
              <w:rPr>
                <w:sz w:val="20"/>
                <w:szCs w:val="20"/>
                <w:color w:val="auto"/>
              </w:rPr>
            </w:pPr>
            <w:r>
              <w:rPr>
                <w:rFonts w:ascii="Arial" w:cs="Arial" w:eastAsia="Arial" w:hAnsi="Arial"/>
                <w:sz w:val="18"/>
                <w:szCs w:val="18"/>
                <w:color w:val="auto"/>
                <w:w w:val="99"/>
              </w:rPr>
              <w:t>9,925,000</w:t>
            </w:r>
          </w:p>
        </w:tc>
        <w:tc>
          <w:tcPr>
            <w:tcW w:w="56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spacing w:after="0" w:line="196" w:lineRule="exact"/>
              <w:rPr>
                <w:sz w:val="20"/>
                <w:szCs w:val="20"/>
                <w:color w:val="auto"/>
              </w:rPr>
            </w:pPr>
            <w:r>
              <w:rPr>
                <w:rFonts w:ascii="Arial" w:cs="Arial" w:eastAsia="Arial" w:hAnsi="Arial"/>
                <w:sz w:val="18"/>
                <w:szCs w:val="18"/>
                <w:color w:val="auto"/>
              </w:rPr>
              <w:t>10,166,000</w:t>
            </w: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Audit-Related</w:t>
            </w:r>
          </w:p>
        </w:tc>
        <w:tc>
          <w:tcPr>
            <w:tcW w:w="3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354"/>
              <w:spacing w:after="0" w:line="202" w:lineRule="exact"/>
              <w:rPr>
                <w:sz w:val="20"/>
                <w:szCs w:val="20"/>
                <w:color w:val="auto"/>
              </w:rPr>
            </w:pPr>
            <w:r>
              <w:rPr>
                <w:rFonts w:ascii="Arial" w:cs="Arial" w:eastAsia="Arial" w:hAnsi="Arial"/>
                <w:sz w:val="18"/>
                <w:szCs w:val="18"/>
                <w:color w:val="auto"/>
              </w:rPr>
              <w:t>763,000</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811,000</w:t>
            </w:r>
          </w:p>
        </w:tc>
      </w:tr>
      <w:tr>
        <w:trPr>
          <w:trHeight w:val="203"/>
        </w:trPr>
        <w:tc>
          <w:tcPr>
            <w:tcW w:w="45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Tax</w:t>
            </w:r>
          </w:p>
        </w:tc>
        <w:tc>
          <w:tcPr>
            <w:tcW w:w="36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E5E5E5"/>
          </w:tcPr>
          <w:p>
            <w:pPr>
              <w:jc w:val="right"/>
              <w:ind w:right="354"/>
              <w:spacing w:after="0" w:line="202" w:lineRule="exact"/>
              <w:rPr>
                <w:sz w:val="20"/>
                <w:szCs w:val="20"/>
                <w:color w:val="auto"/>
              </w:rPr>
            </w:pPr>
            <w:r>
              <w:rPr>
                <w:rFonts w:ascii="Arial" w:cs="Arial" w:eastAsia="Arial" w:hAnsi="Arial"/>
                <w:sz w:val="18"/>
                <w:szCs w:val="18"/>
                <w:color w:val="auto"/>
                <w:w w:val="99"/>
              </w:rPr>
              <w:t>1,515,000</w:t>
            </w:r>
          </w:p>
        </w:tc>
        <w:tc>
          <w:tcPr>
            <w:tcW w:w="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3,313,000</w:t>
            </w:r>
          </w:p>
        </w:tc>
      </w:tr>
      <w:tr>
        <w:trPr>
          <w:trHeight w:val="217"/>
        </w:trPr>
        <w:tc>
          <w:tcPr>
            <w:tcW w:w="4580" w:type="dxa"/>
            <w:vAlign w:val="bottom"/>
          </w:tcPr>
          <w:p>
            <w:pPr>
              <w:spacing w:after="0"/>
              <w:rPr>
                <w:sz w:val="20"/>
                <w:szCs w:val="20"/>
                <w:color w:val="auto"/>
              </w:rPr>
            </w:pPr>
            <w:r>
              <w:rPr>
                <w:rFonts w:ascii="Arial" w:cs="Arial" w:eastAsia="Arial" w:hAnsi="Arial"/>
                <w:sz w:val="18"/>
                <w:szCs w:val="18"/>
                <w:color w:val="auto"/>
              </w:rPr>
              <w:t>All Other</w:t>
            </w:r>
          </w:p>
        </w:tc>
        <w:tc>
          <w:tcPr>
            <w:tcW w:w="36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54"/>
              <w:spacing w:after="0"/>
              <w:rPr>
                <w:sz w:val="20"/>
                <w:szCs w:val="20"/>
                <w:color w:val="auto"/>
              </w:rPr>
            </w:pPr>
            <w:r>
              <w:rPr>
                <w:rFonts w:ascii="Arial" w:cs="Arial" w:eastAsia="Arial" w:hAnsi="Arial"/>
                <w:sz w:val="18"/>
                <w:szCs w:val="18"/>
                <w:color w:val="auto"/>
              </w:rPr>
              <w:t>25,000</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24,000</w:t>
            </w:r>
          </w:p>
        </w:tc>
      </w:tr>
    </w:tbl>
    <w:p>
      <w:pPr>
        <w:spacing w:after="0" w:line="2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services provided were as follows:</w:t>
      </w:r>
    </w:p>
    <w:p>
      <w:pPr>
        <w:spacing w:after="0" w:line="212" w:lineRule="exact"/>
        <w:rPr>
          <w:sz w:val="20"/>
          <w:szCs w:val="20"/>
          <w:color w:val="auto"/>
        </w:rPr>
      </w:pPr>
    </w:p>
    <w:p>
      <w:pPr>
        <w:ind w:left="120" w:right="300"/>
        <w:spacing w:after="0" w:line="246" w:lineRule="auto"/>
        <w:rPr>
          <w:sz w:val="20"/>
          <w:szCs w:val="20"/>
          <w:color w:val="auto"/>
        </w:rPr>
      </w:pPr>
      <w:r>
        <w:rPr>
          <w:rFonts w:ascii="Arial" w:cs="Arial" w:eastAsia="Arial" w:hAnsi="Arial"/>
          <w:sz w:val="18"/>
          <w:szCs w:val="18"/>
          <w:color w:val="auto"/>
        </w:rPr>
        <w:t>Audit: our annual audit, including the audit of internal control over financial reporting, reports on Form 10-Q, assistance with public debt offerings, statutory audits required internationally and accounting consultations.</w:t>
      </w:r>
    </w:p>
    <w:p>
      <w:pPr>
        <w:spacing w:after="0" w:line="197" w:lineRule="exact"/>
        <w:rPr>
          <w:sz w:val="20"/>
          <w:szCs w:val="20"/>
          <w:color w:val="auto"/>
        </w:rPr>
      </w:pPr>
    </w:p>
    <w:p>
      <w:pPr>
        <w:ind w:left="120" w:right="320"/>
        <w:spacing w:after="0" w:line="246" w:lineRule="auto"/>
        <w:rPr>
          <w:sz w:val="20"/>
          <w:szCs w:val="20"/>
          <w:color w:val="auto"/>
        </w:rPr>
      </w:pPr>
      <w:r>
        <w:rPr>
          <w:rFonts w:ascii="Arial" w:cs="Arial" w:eastAsia="Arial" w:hAnsi="Arial"/>
          <w:sz w:val="18"/>
          <w:szCs w:val="18"/>
          <w:color w:val="auto"/>
        </w:rPr>
        <w:t>Audit-related: including employee benefit plan audits and certification procedures relating to compliance with local-government or other regulatory standards for various non-U.S. subsidiaries.</w:t>
      </w:r>
    </w:p>
    <w:p>
      <w:pPr>
        <w:spacing w:after="0" w:line="197" w:lineRule="exact"/>
        <w:rPr>
          <w:sz w:val="20"/>
          <w:szCs w:val="20"/>
          <w:color w:val="auto"/>
        </w:rPr>
      </w:pPr>
    </w:p>
    <w:p>
      <w:pPr>
        <w:ind w:left="120" w:right="40"/>
        <w:spacing w:after="0" w:line="246" w:lineRule="auto"/>
        <w:rPr>
          <w:sz w:val="20"/>
          <w:szCs w:val="20"/>
          <w:color w:val="auto"/>
        </w:rPr>
      </w:pPr>
      <w:r>
        <w:rPr>
          <w:rFonts w:ascii="Arial" w:cs="Arial" w:eastAsia="Arial" w:hAnsi="Arial"/>
          <w:sz w:val="18"/>
          <w:szCs w:val="18"/>
          <w:color w:val="auto"/>
        </w:rPr>
        <w:t>Tax: professional services for tax compliance (preparation and review of income tax returns and other tax-related filings) and tax advice on U.S. and foreign tax matters.</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Other: TI Foundation audit and training.</w:t>
      </w:r>
    </w:p>
    <w:p>
      <w:pPr>
        <w:spacing w:after="0" w:line="212" w:lineRule="exact"/>
        <w:rPr>
          <w:sz w:val="20"/>
          <w:szCs w:val="20"/>
          <w:color w:val="auto"/>
        </w:rPr>
      </w:pPr>
    </w:p>
    <w:p>
      <w:pPr>
        <w:ind w:left="120" w:right="80"/>
        <w:spacing w:after="0" w:line="246" w:lineRule="auto"/>
        <w:rPr>
          <w:sz w:val="20"/>
          <w:szCs w:val="20"/>
          <w:color w:val="auto"/>
        </w:rPr>
      </w:pPr>
      <w:r>
        <w:rPr>
          <w:rFonts w:ascii="Arial" w:cs="Arial" w:eastAsia="Arial" w:hAnsi="Arial"/>
          <w:sz w:val="18"/>
          <w:szCs w:val="18"/>
          <w:u w:val="single" w:color="auto"/>
          <w:color w:val="auto"/>
        </w:rPr>
        <w:t>Pre-approval policy</w:t>
      </w:r>
      <w:r>
        <w:rPr>
          <w:rFonts w:ascii="Arial" w:cs="Arial" w:eastAsia="Arial" w:hAnsi="Arial"/>
          <w:sz w:val="18"/>
          <w:szCs w:val="18"/>
          <w:color w:val="auto"/>
        </w:rPr>
        <w:t>. The Audit Committee is required to pre-approve the audit and non-audit services to be performed by the independent registered public accounting firm to assure that the provision of such services does not impair the firm’s independence.</w:t>
      </w:r>
    </w:p>
    <w:p>
      <w:pPr>
        <w:spacing w:after="0" w:line="197"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Annually the independent registered public accounting firm and the director of internal audits present to the Audit Committee services expected to be performed by the firm over the next 12 months. The Audit Committee reviews and, as it deems appropriate, pre-approves those services. The services and estimated fees are presented to the Audit Committee for consideration in the following categories: Audit, Audit-related, Tax and All Other (each as defined in Schedule 14A of the Securities Exchange Act). For each service listed in those categories, the committee receives detailed documentation indicating the specific services to be provided. The term of any pre-approval is 12 months from the date of pre-approval, unless the Audit Committee specifically provides for a different period. The Audit Committee reviews on at least a quarterly basis the services provided to date by the firm and the fees incurred for those services. The Audit Committee may revise the list of pre-approved services and related fees from time to time, based on subsequent determinations.</w:t>
      </w:r>
    </w:p>
    <w:p>
      <w:pPr>
        <w:spacing w:after="0" w:line="208"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In order to respond to time-sensitive requests for services that may arise between regularly scheduled meetings of the Audit Committee, the committee has delegated pre-approval authority to its Chair (the Audit Committee does not delegate to management its responsibilities to pre-approve services). The Chair reports pre-approval decisions to the Audit Committee and seeks ratification of such decisions at the Audit Committee’s next scheduled meeting.</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Audit Committee or its Chair pre-approved all services provided by Ernst &amp; Young during 2019.</w:t>
      </w:r>
    </w:p>
    <w:p>
      <w:pPr>
        <w:spacing w:after="0" w:line="190" w:lineRule="exact"/>
        <w:rPr>
          <w:sz w:val="20"/>
          <w:szCs w:val="20"/>
          <w:color w:val="auto"/>
        </w:rPr>
      </w:pPr>
    </w:p>
    <w:p>
      <w:pPr>
        <w:ind w:left="120" w:right="860"/>
        <w:spacing w:after="0" w:line="271" w:lineRule="auto"/>
        <w:rPr>
          <w:sz w:val="20"/>
          <w:szCs w:val="20"/>
          <w:color w:val="auto"/>
        </w:rPr>
      </w:pPr>
      <w:r>
        <w:rPr>
          <w:rFonts w:ascii="Arial" w:cs="Arial" w:eastAsia="Arial" w:hAnsi="Arial"/>
          <w:sz w:val="18"/>
          <w:szCs w:val="18"/>
          <w:b w:val="1"/>
          <w:bCs w:val="1"/>
          <w:color w:val="auto"/>
        </w:rPr>
        <w:t>The board of directors recommends a vote FOR ratification of the appointment of Ernst &amp; Young LLP as the company’s independent registered public accounting firm for 2020.</w:t>
      </w:r>
    </w:p>
    <w:p>
      <w:pPr>
        <w:spacing w:after="0" w:line="36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Additional information</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Voting securities</w:t>
      </w:r>
    </w:p>
    <w:p>
      <w:pPr>
        <w:spacing w:after="0" w:line="229" w:lineRule="exact"/>
        <w:rPr>
          <w:sz w:val="20"/>
          <w:szCs w:val="20"/>
          <w:color w:val="auto"/>
        </w:rPr>
      </w:pPr>
    </w:p>
    <w:p>
      <w:pPr>
        <w:ind w:left="120" w:right="80"/>
        <w:spacing w:after="0" w:line="261" w:lineRule="auto"/>
        <w:rPr>
          <w:sz w:val="20"/>
          <w:szCs w:val="20"/>
          <w:color w:val="auto"/>
        </w:rPr>
      </w:pPr>
      <w:r>
        <w:rPr>
          <w:rFonts w:ascii="Arial" w:cs="Arial" w:eastAsia="Arial" w:hAnsi="Arial"/>
          <w:sz w:val="17"/>
          <w:szCs w:val="17"/>
          <w:color w:val="auto"/>
        </w:rPr>
        <w:t>As stated in the notice of annual meeting, holders of record of the common stock at the close of business on February 24, 2020, may vote at the meeting or any adjournment of the meeting. As of February 24, 2020, 933,685,482 shares of TI common stock were outstanding. This is the only class of capital stock entitled to vote at the meeting. Each holder of common stock has one vote for each share held.</w:t>
      </w:r>
    </w:p>
    <w:p>
      <w:pPr>
        <w:spacing w:after="0" w:line="113" w:lineRule="exact"/>
        <w:rPr>
          <w:sz w:val="20"/>
          <w:szCs w:val="20"/>
          <w:color w:val="auto"/>
        </w:rPr>
      </w:pPr>
    </w:p>
    <w:tbl>
      <w:tblPr>
        <w:tblLayout w:type="fixed"/>
        <w:tblInd w:w="4040" w:type="dxa"/>
        <w:tblCellMar>
          <w:top w:w="0" w:type="dxa"/>
          <w:left w:w="0" w:type="dxa"/>
          <w:bottom w:w="0" w:type="dxa"/>
          <w:right w:w="0" w:type="dxa"/>
        </w:tblCellMar>
      </w:tblPr>
      <w:tr>
        <w:trPr>
          <w:trHeight w:val="152"/>
        </w:trPr>
        <w:tc>
          <w:tcPr>
            <w:tcW w:w="5080" w:type="dxa"/>
            <w:vAlign w:val="bottom"/>
          </w:tcPr>
          <w:p>
            <w:pPr>
              <w:spacing w:after="0"/>
              <w:rPr>
                <w:sz w:val="20"/>
                <w:szCs w:val="20"/>
                <w:color w:val="auto"/>
              </w:rPr>
            </w:pPr>
            <w:r>
              <w:rPr>
                <w:rFonts w:ascii="Arial" w:cs="Arial" w:eastAsia="Arial" w:hAnsi="Arial"/>
                <w:sz w:val="13"/>
                <w:szCs w:val="13"/>
                <w:color w:val="666666"/>
              </w:rPr>
              <w:t>TEXAS INSTRUMENTS  •  2020 PROXY STATEMENT</w:t>
            </w:r>
          </w:p>
        </w:tc>
        <w:tc>
          <w:tcPr>
            <w:tcW w:w="2000" w:type="dxa"/>
            <w:vAlign w:val="bottom"/>
          </w:tcPr>
          <w:p>
            <w:pPr>
              <w:jc w:val="right"/>
              <w:spacing w:after="0"/>
              <w:rPr>
                <w:sz w:val="20"/>
                <w:szCs w:val="20"/>
                <w:color w:val="auto"/>
              </w:rPr>
            </w:pPr>
            <w:r>
              <w:rPr>
                <w:rFonts w:ascii="Arial" w:cs="Arial" w:eastAsia="Arial" w:hAnsi="Arial"/>
                <w:sz w:val="13"/>
                <w:szCs w:val="13"/>
                <w:color w:val="666666"/>
              </w:rPr>
              <w:t>45</w:t>
            </w:r>
          </w:p>
        </w:tc>
      </w:tr>
    </w:tbl>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Security ownership of certain beneficial owners</w:t>
      </w:r>
    </w:p>
    <w:p>
      <w:pPr>
        <w:spacing w:after="0" w:line="229" w:lineRule="exact"/>
        <w:rPr>
          <w:sz w:val="20"/>
          <w:szCs w:val="20"/>
          <w:color w:val="auto"/>
        </w:rPr>
      </w:pPr>
    </w:p>
    <w:p>
      <w:pPr>
        <w:jc w:val="both"/>
        <w:ind w:left="120" w:right="220"/>
        <w:spacing w:after="0"/>
        <w:rPr>
          <w:sz w:val="20"/>
          <w:szCs w:val="20"/>
          <w:color w:val="auto"/>
        </w:rPr>
      </w:pPr>
      <w:r>
        <w:rPr>
          <w:rFonts w:ascii="Arial" w:cs="Arial" w:eastAsia="Arial" w:hAnsi="Arial"/>
          <w:sz w:val="18"/>
          <w:szCs w:val="18"/>
          <w:color w:val="auto"/>
        </w:rPr>
        <w:t>The following table shows the only persons who have reported beneficial ownership of more than 5 percent of the common stock of the company by virtue of filing a schedule 13G with the SEC. Persons generally “beneficially own” shares if they have the right to either vote those shares or dispose of them. More than one person may be considered to beneficially own the same shares.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780" w:type="dxa"/>
            <w:vAlign w:val="bottom"/>
          </w:tcPr>
          <w:p>
            <w:pPr>
              <w:spacing w:after="0"/>
              <w:rPr>
                <w:sz w:val="14"/>
                <w:szCs w:val="14"/>
                <w:color w:val="auto"/>
              </w:rPr>
            </w:pPr>
          </w:p>
        </w:tc>
        <w:tc>
          <w:tcPr>
            <w:tcW w:w="2280" w:type="dxa"/>
            <w:vAlign w:val="bottom"/>
          </w:tcPr>
          <w:p>
            <w:pPr>
              <w:jc w:val="right"/>
              <w:ind w:right="379"/>
              <w:spacing w:after="0"/>
              <w:rPr>
                <w:sz w:val="20"/>
                <w:szCs w:val="20"/>
                <w:color w:val="auto"/>
              </w:rPr>
            </w:pPr>
            <w:r>
              <w:rPr>
                <w:rFonts w:ascii="Arial" w:cs="Arial" w:eastAsia="Arial" w:hAnsi="Arial"/>
                <w:sz w:val="14"/>
                <w:szCs w:val="14"/>
                <w:b w:val="1"/>
                <w:bCs w:val="1"/>
                <w:color w:val="auto"/>
              </w:rPr>
              <w:t>Shares Owned at</w:t>
            </w:r>
          </w:p>
        </w:tc>
        <w:tc>
          <w:tcPr>
            <w:tcW w:w="960" w:type="dxa"/>
            <w:vAlign w:val="bottom"/>
          </w:tcPr>
          <w:p>
            <w:pPr>
              <w:jc w:val="right"/>
              <w:ind w:right="159"/>
              <w:spacing w:after="0"/>
              <w:rPr>
                <w:sz w:val="20"/>
                <w:szCs w:val="20"/>
                <w:color w:val="auto"/>
              </w:rPr>
            </w:pPr>
            <w:r>
              <w:rPr>
                <w:rFonts w:ascii="Arial" w:cs="Arial" w:eastAsia="Arial" w:hAnsi="Arial"/>
                <w:sz w:val="14"/>
                <w:szCs w:val="14"/>
                <w:b w:val="1"/>
                <w:bCs w:val="1"/>
                <w:color w:val="auto"/>
              </w:rPr>
              <w:t>Percent</w:t>
            </w:r>
          </w:p>
        </w:tc>
      </w:tr>
      <w:tr>
        <w:trPr>
          <w:trHeight w:val="189"/>
        </w:trPr>
        <w:tc>
          <w:tcPr>
            <w:tcW w:w="7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Address</w:t>
            </w:r>
          </w:p>
        </w:tc>
        <w:tc>
          <w:tcPr>
            <w:tcW w:w="22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December 31, 2019</w:t>
            </w: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of Class</w:t>
            </w:r>
          </w:p>
        </w:tc>
      </w:tr>
      <w:tr>
        <w:trPr>
          <w:trHeight w:val="195"/>
        </w:trPr>
        <w:tc>
          <w:tcPr>
            <w:tcW w:w="7780" w:type="dxa"/>
            <w:vAlign w:val="bottom"/>
            <w:shd w:val="clear" w:color="auto" w:fill="E5E5E5"/>
          </w:tcPr>
          <w:p>
            <w:pPr>
              <w:spacing w:after="0" w:line="195" w:lineRule="exact"/>
              <w:rPr>
                <w:sz w:val="20"/>
                <w:szCs w:val="20"/>
                <w:color w:val="auto"/>
              </w:rPr>
            </w:pPr>
            <w:r>
              <w:rPr>
                <w:rFonts w:ascii="Arial" w:cs="Arial" w:eastAsia="Arial" w:hAnsi="Arial"/>
                <w:sz w:val="18"/>
                <w:szCs w:val="18"/>
                <w:color w:val="auto"/>
              </w:rPr>
              <w:t>The Vanguard Group</w:t>
            </w:r>
          </w:p>
        </w:tc>
        <w:tc>
          <w:tcPr>
            <w:tcW w:w="2280" w:type="dxa"/>
            <w:vAlign w:val="bottom"/>
            <w:shd w:val="clear" w:color="auto" w:fill="E5E5E5"/>
          </w:tcPr>
          <w:p>
            <w:pPr>
              <w:spacing w:after="0"/>
              <w:rPr>
                <w:sz w:val="16"/>
                <w:szCs w:val="16"/>
                <w:color w:val="auto"/>
              </w:rPr>
            </w:pPr>
          </w:p>
        </w:tc>
        <w:tc>
          <w:tcPr>
            <w:tcW w:w="960" w:type="dxa"/>
            <w:vAlign w:val="bottom"/>
            <w:shd w:val="clear" w:color="auto" w:fill="E5E5E5"/>
          </w:tcPr>
          <w:p>
            <w:pPr>
              <w:spacing w:after="0"/>
              <w:rPr>
                <w:sz w:val="16"/>
                <w:szCs w:val="16"/>
                <w:color w:val="auto"/>
              </w:rPr>
            </w:pPr>
          </w:p>
        </w:tc>
      </w:tr>
      <w:tr>
        <w:trPr>
          <w:trHeight w:val="203"/>
        </w:trPr>
        <w:tc>
          <w:tcPr>
            <w:tcW w:w="7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100 Vanguard Blvd.</w:t>
            </w:r>
          </w:p>
        </w:tc>
        <w:tc>
          <w:tcPr>
            <w:tcW w:w="2280" w:type="dxa"/>
            <w:vAlign w:val="bottom"/>
            <w:shd w:val="clear" w:color="auto" w:fill="E5E5E5"/>
          </w:tcPr>
          <w:p>
            <w:pPr>
              <w:spacing w:after="0"/>
              <w:rPr>
                <w:sz w:val="17"/>
                <w:szCs w:val="17"/>
                <w:color w:val="auto"/>
              </w:rPr>
            </w:pPr>
          </w:p>
        </w:tc>
        <w:tc>
          <w:tcPr>
            <w:tcW w:w="960" w:type="dxa"/>
            <w:vAlign w:val="bottom"/>
            <w:shd w:val="clear" w:color="auto" w:fill="E5E5E5"/>
          </w:tcPr>
          <w:p>
            <w:pPr>
              <w:spacing w:after="0"/>
              <w:rPr>
                <w:sz w:val="17"/>
                <w:szCs w:val="17"/>
                <w:color w:val="auto"/>
              </w:rPr>
            </w:pPr>
          </w:p>
        </w:tc>
      </w:tr>
      <w:tr>
        <w:trPr>
          <w:trHeight w:val="203"/>
        </w:trPr>
        <w:tc>
          <w:tcPr>
            <w:tcW w:w="7780" w:type="dxa"/>
            <w:vAlign w:val="bottom"/>
            <w:shd w:val="clear" w:color="auto" w:fill="E5E5E5"/>
          </w:tcPr>
          <w:p>
            <w:pPr>
              <w:spacing w:after="0" w:line="203" w:lineRule="exact"/>
              <w:rPr>
                <w:sz w:val="20"/>
                <w:szCs w:val="20"/>
                <w:color w:val="auto"/>
              </w:rPr>
            </w:pPr>
            <w:r>
              <w:rPr>
                <w:rFonts w:ascii="Arial" w:cs="Arial" w:eastAsia="Arial" w:hAnsi="Arial"/>
                <w:sz w:val="18"/>
                <w:szCs w:val="18"/>
                <w:color w:val="auto"/>
              </w:rPr>
              <w:t>Malvern, PA 19355</w:t>
            </w:r>
          </w:p>
        </w:tc>
        <w:tc>
          <w:tcPr>
            <w:tcW w:w="2280" w:type="dxa"/>
            <w:vAlign w:val="bottom"/>
            <w:shd w:val="clear" w:color="auto" w:fill="E5E5E5"/>
          </w:tcPr>
          <w:p>
            <w:pPr>
              <w:jc w:val="right"/>
              <w:ind w:right="99"/>
              <w:spacing w:after="0" w:line="203" w:lineRule="exact"/>
              <w:rPr>
                <w:sz w:val="20"/>
                <w:szCs w:val="20"/>
                <w:color w:val="auto"/>
              </w:rPr>
            </w:pPr>
            <w:r>
              <w:rPr>
                <w:rFonts w:ascii="Arial" w:cs="Arial" w:eastAsia="Arial" w:hAnsi="Arial"/>
                <w:sz w:val="18"/>
                <w:szCs w:val="18"/>
                <w:color w:val="auto"/>
              </w:rPr>
              <w:t>88,492,620 (1)</w:t>
            </w:r>
          </w:p>
        </w:tc>
        <w:tc>
          <w:tcPr>
            <w:tcW w:w="96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9.49%</w:t>
            </w:r>
          </w:p>
        </w:tc>
      </w:tr>
      <w:tr>
        <w:trPr>
          <w:trHeight w:val="307"/>
        </w:trPr>
        <w:tc>
          <w:tcPr>
            <w:tcW w:w="7780" w:type="dxa"/>
            <w:vAlign w:val="bottom"/>
          </w:tcPr>
          <w:p>
            <w:pPr>
              <w:spacing w:after="0"/>
              <w:rPr>
                <w:sz w:val="20"/>
                <w:szCs w:val="20"/>
                <w:color w:val="auto"/>
              </w:rPr>
            </w:pPr>
            <w:r>
              <w:rPr>
                <w:rFonts w:ascii="Arial" w:cs="Arial" w:eastAsia="Arial" w:hAnsi="Arial"/>
                <w:sz w:val="18"/>
                <w:szCs w:val="18"/>
                <w:color w:val="auto"/>
              </w:rPr>
              <w:t>BlackRock, Inc.</w:t>
            </w:r>
          </w:p>
        </w:tc>
        <w:tc>
          <w:tcPr>
            <w:tcW w:w="2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5"/>
        </w:trPr>
        <w:tc>
          <w:tcPr>
            <w:tcW w:w="7780" w:type="dxa"/>
            <w:vAlign w:val="bottom"/>
          </w:tcPr>
          <w:p>
            <w:pPr>
              <w:spacing w:after="0" w:line="205" w:lineRule="exact"/>
              <w:rPr>
                <w:sz w:val="20"/>
                <w:szCs w:val="20"/>
                <w:color w:val="auto"/>
              </w:rPr>
            </w:pPr>
            <w:r>
              <w:rPr>
                <w:rFonts w:ascii="Arial" w:cs="Arial" w:eastAsia="Arial" w:hAnsi="Arial"/>
                <w:sz w:val="18"/>
                <w:szCs w:val="18"/>
                <w:color w:val="auto"/>
              </w:rPr>
              <w:t>55 East 52</w:t>
            </w:r>
            <w:r>
              <w:rPr>
                <w:rFonts w:ascii="Arial" w:cs="Arial" w:eastAsia="Arial" w:hAnsi="Arial"/>
                <w:sz w:val="15"/>
                <w:szCs w:val="15"/>
                <w:color w:val="auto"/>
              </w:rPr>
              <w:t>nd</w:t>
            </w:r>
            <w:r>
              <w:rPr>
                <w:rFonts w:ascii="Arial" w:cs="Arial" w:eastAsia="Arial" w:hAnsi="Arial"/>
                <w:sz w:val="18"/>
                <w:szCs w:val="18"/>
                <w:color w:val="auto"/>
              </w:rPr>
              <w:t xml:space="preserve"> Street</w:t>
            </w:r>
          </w:p>
        </w:tc>
        <w:tc>
          <w:tcPr>
            <w:tcW w:w="2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7"/>
        </w:trPr>
        <w:tc>
          <w:tcPr>
            <w:tcW w:w="7780" w:type="dxa"/>
            <w:vAlign w:val="bottom"/>
          </w:tcPr>
          <w:p>
            <w:pPr>
              <w:spacing w:after="0"/>
              <w:rPr>
                <w:sz w:val="20"/>
                <w:szCs w:val="20"/>
                <w:color w:val="auto"/>
              </w:rPr>
            </w:pPr>
            <w:r>
              <w:rPr>
                <w:rFonts w:ascii="Arial" w:cs="Arial" w:eastAsia="Arial" w:hAnsi="Arial"/>
                <w:sz w:val="18"/>
                <w:szCs w:val="18"/>
                <w:color w:val="auto"/>
              </w:rPr>
              <w:t>New York, NY 10055</w:t>
            </w:r>
          </w:p>
        </w:tc>
        <w:tc>
          <w:tcPr>
            <w:tcW w:w="2280" w:type="dxa"/>
            <w:vAlign w:val="bottom"/>
          </w:tcPr>
          <w:p>
            <w:pPr>
              <w:jc w:val="right"/>
              <w:ind w:right="99"/>
              <w:spacing w:after="0"/>
              <w:rPr>
                <w:sz w:val="20"/>
                <w:szCs w:val="20"/>
                <w:color w:val="auto"/>
              </w:rPr>
            </w:pPr>
            <w:r>
              <w:rPr>
                <w:rFonts w:ascii="Arial" w:cs="Arial" w:eastAsia="Arial" w:hAnsi="Arial"/>
                <w:sz w:val="18"/>
                <w:szCs w:val="18"/>
                <w:color w:val="auto"/>
              </w:rPr>
              <w:t>69,284,496 (2)</w:t>
            </w:r>
          </w:p>
        </w:tc>
        <w:tc>
          <w:tcPr>
            <w:tcW w:w="960" w:type="dxa"/>
            <w:vAlign w:val="bottom"/>
          </w:tcPr>
          <w:p>
            <w:pPr>
              <w:jc w:val="right"/>
              <w:spacing w:after="0"/>
              <w:rPr>
                <w:sz w:val="20"/>
                <w:szCs w:val="20"/>
                <w:color w:val="auto"/>
              </w:rPr>
            </w:pPr>
            <w:r>
              <w:rPr>
                <w:rFonts w:ascii="Arial" w:cs="Arial" w:eastAsia="Arial" w:hAnsi="Arial"/>
                <w:sz w:val="18"/>
                <w:szCs w:val="18"/>
                <w:color w:val="auto"/>
              </w:rPr>
              <w:t>7.43%</w:t>
            </w:r>
          </w:p>
        </w:tc>
      </w:tr>
    </w:tbl>
    <w:p>
      <w:pPr>
        <w:spacing w:after="0" w:line="107" w:lineRule="exact"/>
        <w:rPr>
          <w:sz w:val="20"/>
          <w:szCs w:val="20"/>
          <w:color w:val="auto"/>
        </w:rPr>
      </w:pPr>
    </w:p>
    <w:p>
      <w:pPr>
        <w:ind w:left="540" w:right="300" w:hanging="424"/>
        <w:spacing w:after="0" w:line="246"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According to its Form 13G filing, The Vanguard Group has sole voting power for 1,447,839, shared voting power for 261,417, sole dispositive power for 86,867,181 and shared dispositive power for 1,625,439 of these shares.</w:t>
      </w:r>
    </w:p>
    <w:p>
      <w:pPr>
        <w:spacing w:after="0" w:line="102" w:lineRule="exact"/>
        <w:rPr>
          <w:rFonts w:ascii="Arial" w:cs="Arial" w:eastAsia="Arial" w:hAnsi="Arial"/>
          <w:sz w:val="18"/>
          <w:szCs w:val="18"/>
          <w:color w:val="auto"/>
        </w:rPr>
      </w:pPr>
    </w:p>
    <w:p>
      <w:pPr>
        <w:ind w:left="540" w:right="680" w:hanging="424"/>
        <w:spacing w:after="0" w:line="246"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According to its Form 13G filing, BlackRock, Inc. has sole voting power for 59,220,983 shares, and sole dispositive power for 69,284,496 shares.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Security ownership of directors and management</w:t>
      </w:r>
    </w:p>
    <w:p>
      <w:pPr>
        <w:spacing w:after="0" w:line="229"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The following table shows the beneficial ownership of TI common stock by directors, the named executive officers and all executive officers and directors as a group. Each director and named executive officer has sole voting power (except for shares obtainable within 60 days, shares subject to RSUs and shares credited to deferred compensation accounts as detailed in the footnotes to the table) and sole investment power with respect to the shares owned. The table excludes shares held by a family member if a director or executive officer has disclaimed beneficial ownership. No director or executive officer has pledged shares of TI common stock.</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3940" w:type="dxa"/>
            <w:vAlign w:val="bottom"/>
          </w:tcPr>
          <w:p>
            <w:pPr>
              <w:jc w:val="right"/>
              <w:ind w:right="432"/>
              <w:spacing w:after="0"/>
              <w:rPr>
                <w:sz w:val="20"/>
                <w:szCs w:val="20"/>
                <w:color w:val="auto"/>
              </w:rPr>
            </w:pPr>
            <w:r>
              <w:rPr>
                <w:rFonts w:ascii="Arial" w:cs="Arial" w:eastAsia="Arial" w:hAnsi="Arial"/>
                <w:sz w:val="14"/>
                <w:szCs w:val="14"/>
                <w:b w:val="1"/>
                <w:bCs w:val="1"/>
                <w:color w:val="auto"/>
              </w:rPr>
              <w:t>Shares Owned at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Percent</w:t>
            </w:r>
          </w:p>
        </w:tc>
      </w:tr>
      <w:tr>
        <w:trPr>
          <w:trHeight w:val="189"/>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Name</w:t>
            </w:r>
          </w:p>
        </w:tc>
        <w:tc>
          <w:tcPr>
            <w:tcW w:w="568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December 31, 2019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of Class</w:t>
            </w:r>
          </w:p>
        </w:tc>
      </w:tr>
      <w:tr>
        <w:trPr>
          <w:trHeight w:val="196"/>
        </w:trPr>
        <w:tc>
          <w:tcPr>
            <w:tcW w:w="6080" w:type="dxa"/>
            <w:vAlign w:val="bottom"/>
            <w:gridSpan w:val="2"/>
            <w:shd w:val="clear" w:color="auto" w:fill="E5E5E5"/>
          </w:tcPr>
          <w:p>
            <w:pPr>
              <w:spacing w:after="0" w:line="196" w:lineRule="exact"/>
              <w:rPr>
                <w:sz w:val="20"/>
                <w:szCs w:val="20"/>
                <w:color w:val="auto"/>
              </w:rPr>
            </w:pPr>
            <w:r>
              <w:rPr>
                <w:rFonts w:ascii="Arial" w:cs="Arial" w:eastAsia="Arial" w:hAnsi="Arial"/>
                <w:sz w:val="18"/>
                <w:szCs w:val="18"/>
                <w:b w:val="1"/>
                <w:bCs w:val="1"/>
                <w:color w:val="auto"/>
              </w:rPr>
              <w:t>Directors (1)</w:t>
            </w:r>
          </w:p>
        </w:tc>
        <w:tc>
          <w:tcPr>
            <w:tcW w:w="3940" w:type="dxa"/>
            <w:vAlign w:val="bottom"/>
            <w:shd w:val="clear" w:color="auto" w:fill="E5E5E5"/>
          </w:tcPr>
          <w:p>
            <w:pPr>
              <w:spacing w:after="0"/>
              <w:rPr>
                <w:sz w:val="17"/>
                <w:szCs w:val="17"/>
                <w:color w:val="auto"/>
              </w:rPr>
            </w:pPr>
          </w:p>
        </w:tc>
        <w:tc>
          <w:tcPr>
            <w:tcW w:w="1000" w:type="dxa"/>
            <w:vAlign w:val="bottom"/>
            <w:shd w:val="clear" w:color="auto" w:fill="E5E5E5"/>
          </w:tcPr>
          <w:p>
            <w:pPr>
              <w:spacing w:after="0"/>
              <w:rPr>
                <w:sz w:val="17"/>
                <w:szCs w:val="17"/>
                <w:color w:val="auto"/>
              </w:rPr>
            </w:pPr>
          </w:p>
        </w:tc>
      </w:tr>
      <w:tr>
        <w:trPr>
          <w:trHeight w:val="203"/>
        </w:trPr>
        <w:tc>
          <w:tcPr>
            <w:tcW w:w="6080" w:type="dxa"/>
            <w:vAlign w:val="bottom"/>
            <w:gridSpan w:val="2"/>
          </w:tcPr>
          <w:p>
            <w:pPr>
              <w:spacing w:after="0" w:line="202" w:lineRule="exact"/>
              <w:rPr>
                <w:sz w:val="20"/>
                <w:szCs w:val="20"/>
                <w:color w:val="auto"/>
              </w:rPr>
            </w:pPr>
            <w:r>
              <w:rPr>
                <w:rFonts w:ascii="Arial" w:cs="Arial" w:eastAsia="Arial" w:hAnsi="Arial"/>
                <w:sz w:val="18"/>
                <w:szCs w:val="18"/>
                <w:color w:val="auto"/>
              </w:rPr>
              <w:t>M. A. Blinn</w:t>
            </w:r>
          </w:p>
        </w:tc>
        <w:tc>
          <w:tcPr>
            <w:tcW w:w="3940" w:type="dxa"/>
            <w:vAlign w:val="bottom"/>
          </w:tcPr>
          <w:p>
            <w:pPr>
              <w:jc w:val="right"/>
              <w:ind w:right="572"/>
              <w:spacing w:after="0" w:line="202" w:lineRule="exact"/>
              <w:rPr>
                <w:sz w:val="20"/>
                <w:szCs w:val="20"/>
                <w:color w:val="auto"/>
              </w:rPr>
            </w:pPr>
            <w:r>
              <w:rPr>
                <w:rFonts w:ascii="Arial" w:cs="Arial" w:eastAsia="Arial" w:hAnsi="Arial"/>
                <w:sz w:val="18"/>
                <w:szCs w:val="18"/>
                <w:color w:val="auto"/>
              </w:rPr>
              <w:t>27,044</w:t>
            </w:r>
          </w:p>
        </w:tc>
        <w:tc>
          <w:tcPr>
            <w:tcW w:w="10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608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T. M. Bluedorn</w:t>
            </w:r>
          </w:p>
        </w:tc>
        <w:tc>
          <w:tcPr>
            <w:tcW w:w="3940" w:type="dxa"/>
            <w:vAlign w:val="bottom"/>
            <w:shd w:val="clear" w:color="auto" w:fill="E5E5E5"/>
          </w:tcPr>
          <w:p>
            <w:pPr>
              <w:jc w:val="right"/>
              <w:ind w:right="572"/>
              <w:spacing w:after="0" w:line="202" w:lineRule="exact"/>
              <w:rPr>
                <w:sz w:val="20"/>
                <w:szCs w:val="20"/>
                <w:color w:val="auto"/>
              </w:rPr>
            </w:pPr>
            <w:r>
              <w:rPr>
                <w:rFonts w:ascii="Arial" w:cs="Arial" w:eastAsia="Arial" w:hAnsi="Arial"/>
                <w:sz w:val="18"/>
                <w:szCs w:val="18"/>
                <w:color w:val="auto"/>
              </w:rPr>
              <w:t>7,150</w:t>
            </w:r>
          </w:p>
        </w:tc>
        <w:tc>
          <w:tcPr>
            <w:tcW w:w="1000" w:type="dxa"/>
            <w:vAlign w:val="bottom"/>
            <w:shd w:val="clear" w:color="auto" w:fill="E5E5E5"/>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6080" w:type="dxa"/>
            <w:vAlign w:val="bottom"/>
            <w:gridSpan w:val="2"/>
          </w:tcPr>
          <w:p>
            <w:pPr>
              <w:spacing w:after="0" w:line="202" w:lineRule="exact"/>
              <w:rPr>
                <w:sz w:val="20"/>
                <w:szCs w:val="20"/>
                <w:color w:val="auto"/>
              </w:rPr>
            </w:pPr>
            <w:r>
              <w:rPr>
                <w:rFonts w:ascii="Arial" w:cs="Arial" w:eastAsia="Arial" w:hAnsi="Arial"/>
                <w:sz w:val="18"/>
                <w:szCs w:val="18"/>
                <w:color w:val="auto"/>
              </w:rPr>
              <w:t>J. F. Clark</w:t>
            </w:r>
          </w:p>
        </w:tc>
        <w:tc>
          <w:tcPr>
            <w:tcW w:w="3940" w:type="dxa"/>
            <w:vAlign w:val="bottom"/>
          </w:tcPr>
          <w:p>
            <w:pPr>
              <w:jc w:val="right"/>
              <w:ind w:right="572"/>
              <w:spacing w:after="0" w:line="202" w:lineRule="exact"/>
              <w:rPr>
                <w:sz w:val="20"/>
                <w:szCs w:val="20"/>
                <w:color w:val="auto"/>
              </w:rPr>
            </w:pPr>
            <w:r>
              <w:rPr>
                <w:rFonts w:ascii="Arial" w:cs="Arial" w:eastAsia="Arial" w:hAnsi="Arial"/>
                <w:sz w:val="18"/>
                <w:szCs w:val="18"/>
                <w:color w:val="auto"/>
              </w:rPr>
              <w:t>29,863</w:t>
            </w:r>
          </w:p>
        </w:tc>
        <w:tc>
          <w:tcPr>
            <w:tcW w:w="10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608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C. S. Cox</w:t>
            </w:r>
          </w:p>
        </w:tc>
        <w:tc>
          <w:tcPr>
            <w:tcW w:w="3940" w:type="dxa"/>
            <w:vAlign w:val="bottom"/>
            <w:shd w:val="clear" w:color="auto" w:fill="E5E5E5"/>
          </w:tcPr>
          <w:p>
            <w:pPr>
              <w:jc w:val="right"/>
              <w:ind w:right="572"/>
              <w:spacing w:after="0" w:line="202" w:lineRule="exact"/>
              <w:rPr>
                <w:sz w:val="20"/>
                <w:szCs w:val="20"/>
                <w:color w:val="auto"/>
              </w:rPr>
            </w:pPr>
            <w:r>
              <w:rPr>
                <w:rFonts w:ascii="Arial" w:cs="Arial" w:eastAsia="Arial" w:hAnsi="Arial"/>
                <w:sz w:val="18"/>
                <w:szCs w:val="18"/>
                <w:color w:val="auto"/>
              </w:rPr>
              <w:t>103,403</w:t>
            </w:r>
          </w:p>
        </w:tc>
        <w:tc>
          <w:tcPr>
            <w:tcW w:w="1000" w:type="dxa"/>
            <w:vAlign w:val="bottom"/>
            <w:shd w:val="clear" w:color="auto" w:fill="E5E5E5"/>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2"/>
        </w:trPr>
        <w:tc>
          <w:tcPr>
            <w:tcW w:w="6080" w:type="dxa"/>
            <w:vAlign w:val="bottom"/>
            <w:gridSpan w:val="2"/>
          </w:tcPr>
          <w:p>
            <w:pPr>
              <w:spacing w:after="0" w:line="202" w:lineRule="exact"/>
              <w:rPr>
                <w:sz w:val="20"/>
                <w:szCs w:val="20"/>
                <w:color w:val="auto"/>
              </w:rPr>
            </w:pPr>
            <w:r>
              <w:rPr>
                <w:rFonts w:ascii="Arial" w:cs="Arial" w:eastAsia="Arial" w:hAnsi="Arial"/>
                <w:sz w:val="18"/>
                <w:szCs w:val="18"/>
                <w:color w:val="auto"/>
              </w:rPr>
              <w:t>M. S. Craighead</w:t>
            </w:r>
          </w:p>
        </w:tc>
        <w:tc>
          <w:tcPr>
            <w:tcW w:w="3940" w:type="dxa"/>
            <w:vAlign w:val="bottom"/>
          </w:tcPr>
          <w:p>
            <w:pPr>
              <w:jc w:val="right"/>
              <w:ind w:right="572"/>
              <w:spacing w:after="0" w:line="202" w:lineRule="exact"/>
              <w:rPr>
                <w:sz w:val="20"/>
                <w:szCs w:val="20"/>
                <w:color w:val="auto"/>
              </w:rPr>
            </w:pPr>
            <w:r>
              <w:rPr>
                <w:rFonts w:ascii="Arial" w:cs="Arial" w:eastAsia="Arial" w:hAnsi="Arial"/>
                <w:sz w:val="18"/>
                <w:szCs w:val="18"/>
                <w:color w:val="auto"/>
              </w:rPr>
              <w:t>15,190</w:t>
            </w:r>
          </w:p>
        </w:tc>
        <w:tc>
          <w:tcPr>
            <w:tcW w:w="10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608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J. M. Hobby</w:t>
            </w:r>
          </w:p>
        </w:tc>
        <w:tc>
          <w:tcPr>
            <w:tcW w:w="3940" w:type="dxa"/>
            <w:vAlign w:val="bottom"/>
            <w:shd w:val="clear" w:color="auto" w:fill="E5E5E5"/>
          </w:tcPr>
          <w:p>
            <w:pPr>
              <w:jc w:val="right"/>
              <w:ind w:right="572"/>
              <w:spacing w:after="0" w:line="202" w:lineRule="exact"/>
              <w:rPr>
                <w:sz w:val="20"/>
                <w:szCs w:val="20"/>
                <w:color w:val="auto"/>
              </w:rPr>
            </w:pPr>
            <w:r>
              <w:rPr>
                <w:rFonts w:ascii="Arial" w:cs="Arial" w:eastAsia="Arial" w:hAnsi="Arial"/>
                <w:sz w:val="18"/>
                <w:szCs w:val="18"/>
                <w:color w:val="auto"/>
              </w:rPr>
              <w:t>12,959</w:t>
            </w:r>
          </w:p>
        </w:tc>
        <w:tc>
          <w:tcPr>
            <w:tcW w:w="1000" w:type="dxa"/>
            <w:vAlign w:val="bottom"/>
            <w:shd w:val="clear" w:color="auto" w:fill="E5E5E5"/>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6080" w:type="dxa"/>
            <w:vAlign w:val="bottom"/>
            <w:gridSpan w:val="2"/>
          </w:tcPr>
          <w:p>
            <w:pPr>
              <w:spacing w:after="0" w:line="202" w:lineRule="exact"/>
              <w:rPr>
                <w:sz w:val="20"/>
                <w:szCs w:val="20"/>
                <w:color w:val="auto"/>
              </w:rPr>
            </w:pPr>
            <w:r>
              <w:rPr>
                <w:rFonts w:ascii="Arial" w:cs="Arial" w:eastAsia="Arial" w:hAnsi="Arial"/>
                <w:sz w:val="18"/>
                <w:szCs w:val="18"/>
                <w:color w:val="auto"/>
              </w:rPr>
              <w:t>M. D. Hsu</w:t>
            </w:r>
          </w:p>
        </w:tc>
        <w:tc>
          <w:tcPr>
            <w:tcW w:w="3940" w:type="dxa"/>
            <w:vAlign w:val="bottom"/>
          </w:tcPr>
          <w:p>
            <w:pPr>
              <w:jc w:val="right"/>
              <w:ind w:right="572"/>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608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R. Kirk</w:t>
            </w:r>
          </w:p>
        </w:tc>
        <w:tc>
          <w:tcPr>
            <w:tcW w:w="3940" w:type="dxa"/>
            <w:vAlign w:val="bottom"/>
            <w:shd w:val="clear" w:color="auto" w:fill="E5E5E5"/>
          </w:tcPr>
          <w:p>
            <w:pPr>
              <w:jc w:val="right"/>
              <w:ind w:right="572"/>
              <w:spacing w:after="0" w:line="202" w:lineRule="exact"/>
              <w:rPr>
                <w:sz w:val="20"/>
                <w:szCs w:val="20"/>
                <w:color w:val="auto"/>
              </w:rPr>
            </w:pPr>
            <w:r>
              <w:rPr>
                <w:rFonts w:ascii="Arial" w:cs="Arial" w:eastAsia="Arial" w:hAnsi="Arial"/>
                <w:sz w:val="18"/>
                <w:szCs w:val="18"/>
                <w:color w:val="auto"/>
              </w:rPr>
              <w:t>54,689</w:t>
            </w:r>
          </w:p>
        </w:tc>
        <w:tc>
          <w:tcPr>
            <w:tcW w:w="1000" w:type="dxa"/>
            <w:vAlign w:val="bottom"/>
            <w:shd w:val="clear" w:color="auto" w:fill="E5E5E5"/>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6080" w:type="dxa"/>
            <w:vAlign w:val="bottom"/>
            <w:gridSpan w:val="2"/>
          </w:tcPr>
          <w:p>
            <w:pPr>
              <w:spacing w:after="0" w:line="202" w:lineRule="exact"/>
              <w:rPr>
                <w:sz w:val="20"/>
                <w:szCs w:val="20"/>
                <w:color w:val="auto"/>
              </w:rPr>
            </w:pPr>
            <w:r>
              <w:rPr>
                <w:rFonts w:ascii="Arial" w:cs="Arial" w:eastAsia="Arial" w:hAnsi="Arial"/>
                <w:sz w:val="18"/>
                <w:szCs w:val="18"/>
                <w:color w:val="auto"/>
              </w:rPr>
              <w:t>P. H. Patsley</w:t>
            </w:r>
          </w:p>
        </w:tc>
        <w:tc>
          <w:tcPr>
            <w:tcW w:w="3940" w:type="dxa"/>
            <w:vAlign w:val="bottom"/>
          </w:tcPr>
          <w:p>
            <w:pPr>
              <w:jc w:val="right"/>
              <w:ind w:right="572"/>
              <w:spacing w:after="0" w:line="202" w:lineRule="exact"/>
              <w:rPr>
                <w:sz w:val="20"/>
                <w:szCs w:val="20"/>
                <w:color w:val="auto"/>
              </w:rPr>
            </w:pPr>
            <w:r>
              <w:rPr>
                <w:rFonts w:ascii="Arial" w:cs="Arial" w:eastAsia="Arial" w:hAnsi="Arial"/>
                <w:sz w:val="18"/>
                <w:szCs w:val="18"/>
                <w:color w:val="auto"/>
              </w:rPr>
              <w:t>157,451</w:t>
            </w:r>
          </w:p>
        </w:tc>
        <w:tc>
          <w:tcPr>
            <w:tcW w:w="10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608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R. E. Sanchez</w:t>
            </w:r>
          </w:p>
        </w:tc>
        <w:tc>
          <w:tcPr>
            <w:tcW w:w="3940" w:type="dxa"/>
            <w:vAlign w:val="bottom"/>
            <w:shd w:val="clear" w:color="auto" w:fill="E5E5E5"/>
          </w:tcPr>
          <w:p>
            <w:pPr>
              <w:jc w:val="right"/>
              <w:ind w:right="572"/>
              <w:spacing w:after="0" w:line="202" w:lineRule="exact"/>
              <w:rPr>
                <w:sz w:val="20"/>
                <w:szCs w:val="20"/>
                <w:color w:val="auto"/>
              </w:rPr>
            </w:pPr>
            <w:r>
              <w:rPr>
                <w:rFonts w:ascii="Arial" w:cs="Arial" w:eastAsia="Arial" w:hAnsi="Arial"/>
                <w:sz w:val="18"/>
                <w:szCs w:val="18"/>
                <w:color w:val="auto"/>
              </w:rPr>
              <w:t>67,437</w:t>
            </w:r>
          </w:p>
        </w:tc>
        <w:tc>
          <w:tcPr>
            <w:tcW w:w="1000" w:type="dxa"/>
            <w:vAlign w:val="bottom"/>
            <w:shd w:val="clear" w:color="auto" w:fill="E5E5E5"/>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17"/>
        </w:trPr>
        <w:tc>
          <w:tcPr>
            <w:tcW w:w="6080" w:type="dxa"/>
            <w:vAlign w:val="bottom"/>
            <w:gridSpan w:val="2"/>
          </w:tcPr>
          <w:p>
            <w:pPr>
              <w:spacing w:after="0"/>
              <w:rPr>
                <w:sz w:val="20"/>
                <w:szCs w:val="20"/>
                <w:color w:val="auto"/>
              </w:rPr>
            </w:pPr>
            <w:r>
              <w:rPr>
                <w:rFonts w:ascii="Arial" w:cs="Arial" w:eastAsia="Arial" w:hAnsi="Arial"/>
                <w:sz w:val="18"/>
                <w:szCs w:val="18"/>
                <w:color w:val="auto"/>
              </w:rPr>
              <w:t>R. K. Templeton</w:t>
            </w:r>
          </w:p>
        </w:tc>
        <w:tc>
          <w:tcPr>
            <w:tcW w:w="3940" w:type="dxa"/>
            <w:vAlign w:val="bottom"/>
          </w:tcPr>
          <w:p>
            <w:pPr>
              <w:jc w:val="right"/>
              <w:ind w:right="352"/>
              <w:spacing w:after="0"/>
              <w:rPr>
                <w:sz w:val="20"/>
                <w:szCs w:val="20"/>
                <w:color w:val="auto"/>
              </w:rPr>
            </w:pPr>
            <w:r>
              <w:rPr>
                <w:rFonts w:ascii="Arial" w:cs="Arial" w:eastAsia="Arial" w:hAnsi="Arial"/>
                <w:sz w:val="18"/>
                <w:szCs w:val="18"/>
                <w:color w:val="auto"/>
              </w:rPr>
              <w:t>4,001,474 (2)</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94"/>
        </w:trPr>
        <w:tc>
          <w:tcPr>
            <w:tcW w:w="6080" w:type="dxa"/>
            <w:vAlign w:val="bottom"/>
            <w:gridSpan w:val="2"/>
          </w:tcPr>
          <w:p>
            <w:pPr>
              <w:spacing w:after="0"/>
              <w:rPr>
                <w:sz w:val="8"/>
                <w:szCs w:val="8"/>
                <w:color w:val="auto"/>
              </w:rPr>
            </w:pPr>
          </w:p>
        </w:tc>
        <w:tc>
          <w:tcPr>
            <w:tcW w:w="394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203"/>
        </w:trPr>
        <w:tc>
          <w:tcPr>
            <w:tcW w:w="608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Management (3)</w:t>
            </w:r>
          </w:p>
        </w:tc>
        <w:tc>
          <w:tcPr>
            <w:tcW w:w="3940" w:type="dxa"/>
            <w:vAlign w:val="bottom"/>
            <w:shd w:val="clear" w:color="auto" w:fill="E5E5E5"/>
          </w:tcPr>
          <w:p>
            <w:pPr>
              <w:spacing w:after="0"/>
              <w:rPr>
                <w:sz w:val="17"/>
                <w:szCs w:val="17"/>
                <w:color w:val="auto"/>
              </w:rPr>
            </w:pPr>
          </w:p>
        </w:tc>
        <w:tc>
          <w:tcPr>
            <w:tcW w:w="1000" w:type="dxa"/>
            <w:vAlign w:val="bottom"/>
            <w:shd w:val="clear" w:color="auto" w:fill="E5E5E5"/>
          </w:tcPr>
          <w:p>
            <w:pPr>
              <w:spacing w:after="0"/>
              <w:rPr>
                <w:sz w:val="17"/>
                <w:szCs w:val="17"/>
                <w:color w:val="auto"/>
              </w:rPr>
            </w:pPr>
          </w:p>
        </w:tc>
      </w:tr>
      <w:tr>
        <w:trPr>
          <w:trHeight w:val="203"/>
        </w:trPr>
        <w:tc>
          <w:tcPr>
            <w:tcW w:w="6080" w:type="dxa"/>
            <w:vAlign w:val="bottom"/>
            <w:gridSpan w:val="2"/>
          </w:tcPr>
          <w:p>
            <w:pPr>
              <w:spacing w:after="0" w:line="202" w:lineRule="exact"/>
              <w:rPr>
                <w:sz w:val="20"/>
                <w:szCs w:val="20"/>
                <w:color w:val="auto"/>
              </w:rPr>
            </w:pPr>
            <w:r>
              <w:rPr>
                <w:rFonts w:ascii="Arial" w:cs="Arial" w:eastAsia="Arial" w:hAnsi="Arial"/>
                <w:sz w:val="18"/>
                <w:szCs w:val="18"/>
                <w:color w:val="auto"/>
              </w:rPr>
              <w:t>R. R. Lizardi</w:t>
            </w:r>
          </w:p>
        </w:tc>
        <w:tc>
          <w:tcPr>
            <w:tcW w:w="3940" w:type="dxa"/>
            <w:vAlign w:val="bottom"/>
          </w:tcPr>
          <w:p>
            <w:pPr>
              <w:jc w:val="right"/>
              <w:ind w:right="572"/>
              <w:spacing w:after="0" w:line="202" w:lineRule="exact"/>
              <w:rPr>
                <w:sz w:val="20"/>
                <w:szCs w:val="20"/>
                <w:color w:val="auto"/>
              </w:rPr>
            </w:pPr>
            <w:r>
              <w:rPr>
                <w:rFonts w:ascii="Arial" w:cs="Arial" w:eastAsia="Arial" w:hAnsi="Arial"/>
                <w:sz w:val="18"/>
                <w:szCs w:val="18"/>
                <w:color w:val="auto"/>
              </w:rPr>
              <w:t>136,527</w:t>
            </w:r>
          </w:p>
        </w:tc>
        <w:tc>
          <w:tcPr>
            <w:tcW w:w="10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608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N. Anderskouv</w:t>
            </w:r>
          </w:p>
        </w:tc>
        <w:tc>
          <w:tcPr>
            <w:tcW w:w="3940" w:type="dxa"/>
            <w:vAlign w:val="bottom"/>
            <w:shd w:val="clear" w:color="auto" w:fill="E5E5E5"/>
          </w:tcPr>
          <w:p>
            <w:pPr>
              <w:jc w:val="right"/>
              <w:ind w:right="572"/>
              <w:spacing w:after="0" w:line="202" w:lineRule="exact"/>
              <w:rPr>
                <w:sz w:val="20"/>
                <w:szCs w:val="20"/>
                <w:color w:val="auto"/>
              </w:rPr>
            </w:pPr>
            <w:r>
              <w:rPr>
                <w:rFonts w:ascii="Arial" w:cs="Arial" w:eastAsia="Arial" w:hAnsi="Arial"/>
                <w:sz w:val="18"/>
                <w:szCs w:val="18"/>
                <w:color w:val="auto"/>
              </w:rPr>
              <w:t>205,598</w:t>
            </w:r>
          </w:p>
        </w:tc>
        <w:tc>
          <w:tcPr>
            <w:tcW w:w="1000" w:type="dxa"/>
            <w:vAlign w:val="bottom"/>
            <w:shd w:val="clear" w:color="auto" w:fill="E5E5E5"/>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6080" w:type="dxa"/>
            <w:vAlign w:val="bottom"/>
            <w:gridSpan w:val="2"/>
          </w:tcPr>
          <w:p>
            <w:pPr>
              <w:spacing w:after="0" w:line="202" w:lineRule="exact"/>
              <w:rPr>
                <w:sz w:val="20"/>
                <w:szCs w:val="20"/>
                <w:color w:val="auto"/>
              </w:rPr>
            </w:pPr>
            <w:r>
              <w:rPr>
                <w:rFonts w:ascii="Arial" w:cs="Arial" w:eastAsia="Arial" w:hAnsi="Arial"/>
                <w:sz w:val="18"/>
                <w:szCs w:val="18"/>
                <w:color w:val="auto"/>
              </w:rPr>
              <w:t>R. G. Delagi</w:t>
            </w:r>
          </w:p>
        </w:tc>
        <w:tc>
          <w:tcPr>
            <w:tcW w:w="3940" w:type="dxa"/>
            <w:vAlign w:val="bottom"/>
          </w:tcPr>
          <w:p>
            <w:pPr>
              <w:jc w:val="right"/>
              <w:ind w:right="572"/>
              <w:spacing w:after="0" w:line="202" w:lineRule="exact"/>
              <w:rPr>
                <w:sz w:val="20"/>
                <w:szCs w:val="20"/>
                <w:color w:val="auto"/>
              </w:rPr>
            </w:pPr>
            <w:r>
              <w:rPr>
                <w:rFonts w:ascii="Arial" w:cs="Arial" w:eastAsia="Arial" w:hAnsi="Arial"/>
                <w:sz w:val="18"/>
                <w:szCs w:val="18"/>
                <w:color w:val="auto"/>
              </w:rPr>
              <w:t>426,942</w:t>
            </w:r>
          </w:p>
        </w:tc>
        <w:tc>
          <w:tcPr>
            <w:tcW w:w="10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03"/>
        </w:trPr>
        <w:tc>
          <w:tcPr>
            <w:tcW w:w="608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H. Ilan</w:t>
            </w:r>
          </w:p>
        </w:tc>
        <w:tc>
          <w:tcPr>
            <w:tcW w:w="3940" w:type="dxa"/>
            <w:vAlign w:val="bottom"/>
            <w:shd w:val="clear" w:color="auto" w:fill="E5E5E5"/>
          </w:tcPr>
          <w:p>
            <w:pPr>
              <w:jc w:val="right"/>
              <w:ind w:right="572"/>
              <w:spacing w:after="0" w:line="202" w:lineRule="exact"/>
              <w:rPr>
                <w:sz w:val="20"/>
                <w:szCs w:val="20"/>
                <w:color w:val="auto"/>
              </w:rPr>
            </w:pPr>
            <w:r>
              <w:rPr>
                <w:rFonts w:ascii="Arial" w:cs="Arial" w:eastAsia="Arial" w:hAnsi="Arial"/>
                <w:sz w:val="18"/>
                <w:szCs w:val="18"/>
                <w:color w:val="auto"/>
              </w:rPr>
              <w:t>254,424</w:t>
            </w:r>
          </w:p>
        </w:tc>
        <w:tc>
          <w:tcPr>
            <w:tcW w:w="1000" w:type="dxa"/>
            <w:vAlign w:val="bottom"/>
            <w:shd w:val="clear" w:color="auto" w:fill="E5E5E5"/>
          </w:tcPr>
          <w:p>
            <w:pPr>
              <w:jc w:val="right"/>
              <w:ind w:right="132"/>
              <w:spacing w:after="0" w:line="202" w:lineRule="exact"/>
              <w:rPr>
                <w:sz w:val="20"/>
                <w:szCs w:val="20"/>
                <w:color w:val="auto"/>
              </w:rPr>
            </w:pPr>
            <w:r>
              <w:rPr>
                <w:rFonts w:ascii="Arial" w:cs="Arial" w:eastAsia="Arial" w:hAnsi="Arial"/>
                <w:sz w:val="18"/>
                <w:szCs w:val="18"/>
                <w:color w:val="auto"/>
              </w:rPr>
              <w:t>*</w:t>
            </w:r>
          </w:p>
        </w:tc>
      </w:tr>
      <w:tr>
        <w:trPr>
          <w:trHeight w:val="217"/>
        </w:trPr>
        <w:tc>
          <w:tcPr>
            <w:tcW w:w="608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 (4)</w:t>
            </w:r>
          </w:p>
        </w:tc>
        <w:tc>
          <w:tcPr>
            <w:tcW w:w="3940" w:type="dxa"/>
            <w:vAlign w:val="bottom"/>
          </w:tcPr>
          <w:p>
            <w:pPr>
              <w:jc w:val="right"/>
              <w:ind w:right="572"/>
              <w:spacing w:after="0"/>
              <w:rPr>
                <w:sz w:val="20"/>
                <w:szCs w:val="20"/>
                <w:color w:val="auto"/>
              </w:rPr>
            </w:pPr>
            <w:r>
              <w:rPr>
                <w:rFonts w:ascii="Arial" w:cs="Arial" w:eastAsia="Arial" w:hAnsi="Arial"/>
                <w:sz w:val="18"/>
                <w:szCs w:val="18"/>
                <w:color w:val="auto"/>
              </w:rPr>
              <w:t>6,860,565</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323"/>
        </w:trPr>
        <w:tc>
          <w:tcPr>
            <w:tcW w:w="400" w:type="dxa"/>
            <w:vAlign w:val="bottom"/>
          </w:tcPr>
          <w:p>
            <w:pPr>
              <w:spacing w:after="0"/>
              <w:rPr>
                <w:sz w:val="20"/>
                <w:szCs w:val="20"/>
                <w:color w:val="auto"/>
              </w:rPr>
            </w:pPr>
            <w:r>
              <w:rPr>
                <w:rFonts w:ascii="Arial" w:cs="Arial" w:eastAsia="Arial" w:hAnsi="Arial"/>
                <w:sz w:val="18"/>
                <w:szCs w:val="18"/>
                <w:color w:val="auto"/>
              </w:rPr>
              <w:t>*</w:t>
            </w:r>
          </w:p>
        </w:tc>
        <w:tc>
          <w:tcPr>
            <w:tcW w:w="5680" w:type="dxa"/>
            <w:vAlign w:val="bottom"/>
          </w:tcPr>
          <w:p>
            <w:pPr>
              <w:ind w:left="20"/>
              <w:spacing w:after="0"/>
              <w:rPr>
                <w:sz w:val="20"/>
                <w:szCs w:val="20"/>
                <w:color w:val="auto"/>
              </w:rPr>
            </w:pPr>
            <w:r>
              <w:rPr>
                <w:rFonts w:ascii="Arial" w:cs="Arial" w:eastAsia="Arial" w:hAnsi="Arial"/>
                <w:sz w:val="18"/>
                <w:szCs w:val="18"/>
                <w:color w:val="auto"/>
              </w:rPr>
              <w:t>less than 1 percent.</w:t>
            </w:r>
          </w:p>
        </w:tc>
        <w:tc>
          <w:tcPr>
            <w:tcW w:w="39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107" w:lineRule="exact"/>
        <w:rPr>
          <w:sz w:val="20"/>
          <w:szCs w:val="20"/>
          <w:color w:val="auto"/>
        </w:rPr>
      </w:pPr>
    </w:p>
    <w:p>
      <w:pPr>
        <w:ind w:left="540" w:right="100" w:hanging="424"/>
        <w:spacing w:after="0" w:line="238"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Starting in 2020, the board approved a change in a new director’s one-time initial grant. New directors will now receive a one-time initial grant of restricted stock units with a grant date value of $200,000. Accordingly, on April 1, 2020, the date of his election to the board, Mr. Hsu will receive a restricted stock unit grant with a value of $200,000. The number of shares will be determined on April 1 (the date of the grant).</w:t>
      </w:r>
    </w:p>
    <w:p>
      <w:pPr>
        <w:spacing w:after="0" w:line="132" w:lineRule="exact"/>
        <w:rPr>
          <w:sz w:val="20"/>
          <w:szCs w:val="20"/>
          <w:color w:val="auto"/>
        </w:rPr>
      </w:pPr>
    </w:p>
    <w:p>
      <w:pPr>
        <w:ind w:left="120"/>
        <w:spacing w:after="0"/>
        <w:tabs>
          <w:tab w:leader="none" w:pos="4020" w:val="left"/>
          <w:tab w:leader="none" w:pos="5500" w:val="left"/>
          <w:tab w:leader="none" w:pos="5700" w:val="left"/>
        </w:tabs>
        <w:rPr>
          <w:sz w:val="20"/>
          <w:szCs w:val="20"/>
          <w:color w:val="auto"/>
        </w:rPr>
      </w:pPr>
      <w:r>
        <w:rPr>
          <w:rFonts w:ascii="Arial" w:cs="Arial" w:eastAsia="Arial" w:hAnsi="Arial"/>
          <w:sz w:val="13"/>
          <w:szCs w:val="13"/>
          <w:color w:val="666666"/>
        </w:rPr>
        <w:t>46</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2020 PROXY STATEMENT</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hanging="424"/>
        <w:spacing w:after="0"/>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Included in the shares owned shown above are:</w:t>
      </w:r>
    </w:p>
    <w:p>
      <w:pPr>
        <w:spacing w:after="0" w:line="226"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00" w:type="dxa"/>
            <w:vAlign w:val="bottom"/>
          </w:tcPr>
          <w:p>
            <w:pPr>
              <w:jc w:val="center"/>
              <w:ind w:left="156"/>
              <w:spacing w:after="0"/>
              <w:rPr>
                <w:sz w:val="20"/>
                <w:szCs w:val="20"/>
                <w:color w:val="auto"/>
              </w:rPr>
            </w:pPr>
            <w:r>
              <w:rPr>
                <w:rFonts w:ascii="Arial" w:cs="Arial" w:eastAsia="Arial" w:hAnsi="Arial"/>
                <w:sz w:val="14"/>
                <w:szCs w:val="14"/>
                <w:b w:val="1"/>
                <w:bCs w:val="1"/>
                <w:color w:val="auto"/>
              </w:rPr>
              <w:t>Shares</w:t>
            </w:r>
          </w:p>
        </w:tc>
      </w:tr>
      <w:tr>
        <w:trPr>
          <w:trHeight w:val="162"/>
        </w:trPr>
        <w:tc>
          <w:tcPr>
            <w:tcW w:w="32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00" w:type="dxa"/>
            <w:vAlign w:val="bottom"/>
          </w:tcPr>
          <w:p>
            <w:pPr>
              <w:jc w:val="center"/>
              <w:ind w:left="136"/>
              <w:spacing w:after="0"/>
              <w:rPr>
                <w:sz w:val="20"/>
                <w:szCs w:val="20"/>
                <w:color w:val="auto"/>
              </w:rPr>
            </w:pPr>
            <w:r>
              <w:rPr>
                <w:rFonts w:ascii="Arial" w:cs="Arial" w:eastAsia="Arial" w:hAnsi="Arial"/>
                <w:sz w:val="14"/>
                <w:szCs w:val="14"/>
                <w:b w:val="1"/>
                <w:bCs w:val="1"/>
                <w:color w:val="auto"/>
              </w:rPr>
              <w:t>Credited</w:t>
            </w:r>
          </w:p>
        </w:tc>
      </w:tr>
      <w:tr>
        <w:trPr>
          <w:trHeight w:val="162"/>
        </w:trPr>
        <w:tc>
          <w:tcPr>
            <w:tcW w:w="3220" w:type="dxa"/>
            <w:vAlign w:val="bottom"/>
          </w:tcPr>
          <w:p>
            <w:pPr>
              <w:spacing w:after="0"/>
              <w:rPr>
                <w:sz w:val="14"/>
                <w:szCs w:val="14"/>
                <w:color w:val="auto"/>
              </w:rPr>
            </w:pPr>
          </w:p>
        </w:tc>
        <w:tc>
          <w:tcPr>
            <w:tcW w:w="3420" w:type="dxa"/>
            <w:vAlign w:val="bottom"/>
          </w:tcPr>
          <w:p>
            <w:pPr>
              <w:jc w:val="center"/>
              <w:ind w:left="1374"/>
              <w:spacing w:after="0"/>
              <w:rPr>
                <w:sz w:val="20"/>
                <w:szCs w:val="20"/>
                <w:color w:val="auto"/>
              </w:rPr>
            </w:pPr>
            <w:r>
              <w:rPr>
                <w:rFonts w:ascii="Arial" w:cs="Arial" w:eastAsia="Arial" w:hAnsi="Arial"/>
                <w:sz w:val="14"/>
                <w:szCs w:val="14"/>
                <w:b w:val="1"/>
                <w:bCs w:val="1"/>
                <w:color w:val="auto"/>
              </w:rPr>
              <w:t>Shares</w:t>
            </w:r>
          </w:p>
        </w:tc>
        <w:tc>
          <w:tcPr>
            <w:tcW w:w="1880" w:type="dxa"/>
            <w:vAlign w:val="bottom"/>
          </w:tcPr>
          <w:p>
            <w:pPr>
              <w:spacing w:after="0"/>
              <w:rPr>
                <w:sz w:val="14"/>
                <w:szCs w:val="14"/>
                <w:color w:val="auto"/>
              </w:rPr>
            </w:pPr>
          </w:p>
        </w:tc>
        <w:tc>
          <w:tcPr>
            <w:tcW w:w="1600" w:type="dxa"/>
            <w:vAlign w:val="bottom"/>
          </w:tcPr>
          <w:p>
            <w:pPr>
              <w:jc w:val="center"/>
              <w:ind w:left="136"/>
              <w:spacing w:after="0"/>
              <w:rPr>
                <w:sz w:val="20"/>
                <w:szCs w:val="20"/>
                <w:color w:val="auto"/>
              </w:rPr>
            </w:pPr>
            <w:r>
              <w:rPr>
                <w:rFonts w:ascii="Arial" w:cs="Arial" w:eastAsia="Arial" w:hAnsi="Arial"/>
                <w:sz w:val="14"/>
                <w:szCs w:val="14"/>
                <w:b w:val="1"/>
                <w:bCs w:val="1"/>
                <w:color w:val="auto"/>
              </w:rPr>
              <w:t>to Deferred</w:t>
            </w:r>
          </w:p>
        </w:tc>
      </w:tr>
      <w:tr>
        <w:trPr>
          <w:trHeight w:val="162"/>
        </w:trPr>
        <w:tc>
          <w:tcPr>
            <w:tcW w:w="3220" w:type="dxa"/>
            <w:vAlign w:val="bottom"/>
          </w:tcPr>
          <w:p>
            <w:pPr>
              <w:spacing w:after="0"/>
              <w:rPr>
                <w:sz w:val="14"/>
                <w:szCs w:val="14"/>
                <w:color w:val="auto"/>
              </w:rPr>
            </w:pPr>
          </w:p>
        </w:tc>
        <w:tc>
          <w:tcPr>
            <w:tcW w:w="3420" w:type="dxa"/>
            <w:vAlign w:val="bottom"/>
          </w:tcPr>
          <w:p>
            <w:pPr>
              <w:jc w:val="center"/>
              <w:ind w:left="1354"/>
              <w:spacing w:after="0"/>
              <w:rPr>
                <w:sz w:val="20"/>
                <w:szCs w:val="20"/>
                <w:color w:val="auto"/>
              </w:rPr>
            </w:pPr>
            <w:r>
              <w:rPr>
                <w:rFonts w:ascii="Arial" w:cs="Arial" w:eastAsia="Arial" w:hAnsi="Arial"/>
                <w:sz w:val="14"/>
                <w:szCs w:val="14"/>
                <w:b w:val="1"/>
                <w:bCs w:val="1"/>
                <w:color w:val="auto"/>
              </w:rPr>
              <w:t>Obtainable</w:t>
            </w:r>
          </w:p>
        </w:tc>
        <w:tc>
          <w:tcPr>
            <w:tcW w:w="1880" w:type="dxa"/>
            <w:vAlign w:val="bottom"/>
          </w:tcPr>
          <w:p>
            <w:pPr>
              <w:jc w:val="right"/>
              <w:ind w:right="633"/>
              <w:spacing w:after="0"/>
              <w:rPr>
                <w:sz w:val="20"/>
                <w:szCs w:val="20"/>
                <w:color w:val="auto"/>
              </w:rPr>
            </w:pPr>
            <w:r>
              <w:rPr>
                <w:rFonts w:ascii="Arial" w:cs="Arial" w:eastAsia="Arial" w:hAnsi="Arial"/>
                <w:sz w:val="14"/>
                <w:szCs w:val="14"/>
                <w:b w:val="1"/>
                <w:bCs w:val="1"/>
                <w:color w:val="auto"/>
              </w:rPr>
              <w:t>RSUs</w:t>
            </w:r>
          </w:p>
        </w:tc>
        <w:tc>
          <w:tcPr>
            <w:tcW w:w="1600" w:type="dxa"/>
            <w:vAlign w:val="bottom"/>
          </w:tcPr>
          <w:p>
            <w:pPr>
              <w:jc w:val="center"/>
              <w:ind w:left="156"/>
              <w:spacing w:after="0"/>
              <w:rPr>
                <w:sz w:val="20"/>
                <w:szCs w:val="20"/>
                <w:color w:val="auto"/>
              </w:rPr>
            </w:pPr>
            <w:r>
              <w:rPr>
                <w:rFonts w:ascii="Arial" w:cs="Arial" w:eastAsia="Arial" w:hAnsi="Arial"/>
                <w:sz w:val="14"/>
                <w:szCs w:val="14"/>
                <w:b w:val="1"/>
                <w:bCs w:val="1"/>
                <w:color w:val="auto"/>
              </w:rPr>
              <w:t>Compensation</w:t>
            </w:r>
          </w:p>
        </w:tc>
      </w:tr>
      <w:tr>
        <w:trPr>
          <w:trHeight w:val="189"/>
        </w:trPr>
        <w:tc>
          <w:tcPr>
            <w:tcW w:w="3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Directors</w:t>
            </w:r>
          </w:p>
        </w:tc>
        <w:tc>
          <w:tcPr>
            <w:tcW w:w="3420" w:type="dxa"/>
            <w:vAlign w:val="bottom"/>
            <w:tcBorders>
              <w:bottom w:val="single" w:sz="8" w:color="auto"/>
            </w:tcBorders>
          </w:tcPr>
          <w:p>
            <w:pPr>
              <w:jc w:val="center"/>
              <w:ind w:left="1374"/>
              <w:spacing w:after="0"/>
              <w:rPr>
                <w:sz w:val="20"/>
                <w:szCs w:val="20"/>
                <w:color w:val="auto"/>
              </w:rPr>
            </w:pPr>
            <w:r>
              <w:rPr>
                <w:rFonts w:ascii="Arial" w:cs="Arial" w:eastAsia="Arial" w:hAnsi="Arial"/>
                <w:sz w:val="14"/>
                <w:szCs w:val="14"/>
                <w:b w:val="1"/>
                <w:bCs w:val="1"/>
                <w:color w:val="auto"/>
              </w:rPr>
              <w:t>within 60 Days</w:t>
            </w:r>
          </w:p>
        </w:tc>
        <w:tc>
          <w:tcPr>
            <w:tcW w:w="1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(in Shares) (a)</w:t>
            </w:r>
          </w:p>
        </w:tc>
        <w:tc>
          <w:tcPr>
            <w:tcW w:w="1600" w:type="dxa"/>
            <w:vAlign w:val="bottom"/>
            <w:tcBorders>
              <w:bottom w:val="single" w:sz="8" w:color="auto"/>
            </w:tcBorders>
          </w:tcPr>
          <w:p>
            <w:pPr>
              <w:jc w:val="center"/>
              <w:ind w:left="156"/>
              <w:spacing w:after="0"/>
              <w:rPr>
                <w:sz w:val="20"/>
                <w:szCs w:val="20"/>
                <w:color w:val="auto"/>
              </w:rPr>
            </w:pPr>
            <w:r>
              <w:rPr>
                <w:rFonts w:ascii="Arial" w:cs="Arial" w:eastAsia="Arial" w:hAnsi="Arial"/>
                <w:sz w:val="14"/>
                <w:szCs w:val="14"/>
                <w:b w:val="1"/>
                <w:bCs w:val="1"/>
                <w:color w:val="auto"/>
              </w:rPr>
              <w:t>Accounts (b)</w:t>
            </w:r>
          </w:p>
        </w:tc>
      </w:tr>
      <w:tr>
        <w:trPr>
          <w:trHeight w:val="196"/>
        </w:trPr>
        <w:tc>
          <w:tcPr>
            <w:tcW w:w="322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M. A. Blinn</w:t>
            </w:r>
          </w:p>
        </w:tc>
        <w:tc>
          <w:tcPr>
            <w:tcW w:w="3420" w:type="dxa"/>
            <w:vAlign w:val="bottom"/>
            <w:shd w:val="clear" w:color="auto" w:fill="E5E5E5"/>
          </w:tcPr>
          <w:p>
            <w:pPr>
              <w:jc w:val="right"/>
              <w:ind w:right="454"/>
              <w:spacing w:after="0" w:line="196" w:lineRule="exact"/>
              <w:rPr>
                <w:sz w:val="20"/>
                <w:szCs w:val="20"/>
                <w:color w:val="auto"/>
              </w:rPr>
            </w:pPr>
            <w:r>
              <w:rPr>
                <w:rFonts w:ascii="Arial" w:cs="Arial" w:eastAsia="Arial" w:hAnsi="Arial"/>
                <w:sz w:val="18"/>
                <w:szCs w:val="18"/>
                <w:color w:val="auto"/>
              </w:rPr>
              <w:t>7,300</w:t>
            </w:r>
          </w:p>
        </w:tc>
        <w:tc>
          <w:tcPr>
            <w:tcW w:w="1880" w:type="dxa"/>
            <w:vAlign w:val="bottom"/>
            <w:shd w:val="clear" w:color="auto" w:fill="E5E5E5"/>
          </w:tcPr>
          <w:p>
            <w:pPr>
              <w:jc w:val="right"/>
              <w:ind w:right="473"/>
              <w:spacing w:after="0" w:line="196" w:lineRule="exact"/>
              <w:rPr>
                <w:sz w:val="20"/>
                <w:szCs w:val="20"/>
                <w:color w:val="auto"/>
              </w:rPr>
            </w:pPr>
            <w:r>
              <w:rPr>
                <w:rFonts w:ascii="Arial" w:cs="Arial" w:eastAsia="Arial" w:hAnsi="Arial"/>
                <w:sz w:val="18"/>
                <w:szCs w:val="18"/>
                <w:color w:val="auto"/>
              </w:rPr>
              <w:t>11,135</w:t>
            </w:r>
          </w:p>
        </w:tc>
        <w:tc>
          <w:tcPr>
            <w:tcW w:w="1600" w:type="dxa"/>
            <w:vAlign w:val="bottom"/>
            <w:shd w:val="clear" w:color="auto" w:fill="E5E5E5"/>
          </w:tcPr>
          <w:p>
            <w:pPr>
              <w:jc w:val="right"/>
              <w:ind w:right="296"/>
              <w:spacing w:after="0" w:line="196" w:lineRule="exact"/>
              <w:rPr>
                <w:sz w:val="20"/>
                <w:szCs w:val="20"/>
                <w:color w:val="auto"/>
              </w:rPr>
            </w:pPr>
            <w:r>
              <w:rPr>
                <w:rFonts w:ascii="Arial" w:cs="Arial" w:eastAsia="Arial" w:hAnsi="Arial"/>
                <w:sz w:val="18"/>
                <w:szCs w:val="18"/>
                <w:color w:val="auto"/>
              </w:rPr>
              <w:t>8,609</w:t>
            </w: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T. M. Bluedorn</w:t>
            </w:r>
          </w:p>
        </w:tc>
        <w:tc>
          <w:tcPr>
            <w:tcW w:w="3420" w:type="dxa"/>
            <w:vAlign w:val="bottom"/>
          </w:tcPr>
          <w:p>
            <w:pPr>
              <w:jc w:val="right"/>
              <w:ind w:right="454"/>
              <w:spacing w:after="0" w:line="202" w:lineRule="exact"/>
              <w:rPr>
                <w:sz w:val="20"/>
                <w:szCs w:val="20"/>
                <w:color w:val="auto"/>
              </w:rPr>
            </w:pPr>
            <w:r>
              <w:rPr>
                <w:rFonts w:ascii="Arial" w:cs="Arial" w:eastAsia="Arial" w:hAnsi="Arial"/>
                <w:sz w:val="18"/>
                <w:szCs w:val="18"/>
                <w:color w:val="auto"/>
              </w:rPr>
              <w:t>3,286</w:t>
            </w:r>
          </w:p>
        </w:tc>
        <w:tc>
          <w:tcPr>
            <w:tcW w:w="1880" w:type="dxa"/>
            <w:vAlign w:val="bottom"/>
          </w:tcPr>
          <w:p>
            <w:pPr>
              <w:jc w:val="right"/>
              <w:ind w:right="473"/>
              <w:spacing w:after="0" w:line="202" w:lineRule="exact"/>
              <w:rPr>
                <w:sz w:val="20"/>
                <w:szCs w:val="20"/>
                <w:color w:val="auto"/>
              </w:rPr>
            </w:pPr>
            <w:r>
              <w:rPr>
                <w:rFonts w:ascii="Arial" w:cs="Arial" w:eastAsia="Arial" w:hAnsi="Arial"/>
                <w:sz w:val="18"/>
                <w:szCs w:val="18"/>
                <w:color w:val="auto"/>
              </w:rPr>
              <w:t>3,864</w:t>
            </w:r>
          </w:p>
        </w:tc>
        <w:tc>
          <w:tcPr>
            <w:tcW w:w="1600" w:type="dxa"/>
            <w:vAlign w:val="bottom"/>
          </w:tcPr>
          <w:p>
            <w:pPr>
              <w:jc w:val="right"/>
              <w:ind w:right="296"/>
              <w:spacing w:after="0" w:line="202" w:lineRule="exact"/>
              <w:rPr>
                <w:sz w:val="20"/>
                <w:szCs w:val="20"/>
                <w:color w:val="auto"/>
              </w:rPr>
            </w:pPr>
            <w:r>
              <w:rPr>
                <w:rFonts w:ascii="Arial" w:cs="Arial" w:eastAsia="Arial" w:hAnsi="Arial"/>
                <w:sz w:val="18"/>
                <w:szCs w:val="18"/>
                <w:color w:val="auto"/>
              </w:rPr>
              <w:t>—</w:t>
            </w:r>
          </w:p>
        </w:tc>
      </w:tr>
      <w:tr>
        <w:trPr>
          <w:trHeight w:val="203"/>
        </w:trPr>
        <w:tc>
          <w:tcPr>
            <w:tcW w:w="32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J. F. Clark</w:t>
            </w:r>
          </w:p>
        </w:tc>
        <w:tc>
          <w:tcPr>
            <w:tcW w:w="3420" w:type="dxa"/>
            <w:vAlign w:val="bottom"/>
            <w:shd w:val="clear" w:color="auto" w:fill="E5E5E5"/>
          </w:tcPr>
          <w:p>
            <w:pPr>
              <w:jc w:val="right"/>
              <w:ind w:right="454"/>
              <w:spacing w:after="0" w:line="202" w:lineRule="exact"/>
              <w:rPr>
                <w:sz w:val="20"/>
                <w:szCs w:val="20"/>
                <w:color w:val="auto"/>
              </w:rPr>
            </w:pPr>
            <w:r>
              <w:rPr>
                <w:rFonts w:ascii="Arial" w:cs="Arial" w:eastAsia="Arial" w:hAnsi="Arial"/>
                <w:sz w:val="18"/>
                <w:szCs w:val="18"/>
                <w:color w:val="auto"/>
              </w:rPr>
              <w:t>17,824</w:t>
            </w:r>
          </w:p>
        </w:tc>
        <w:tc>
          <w:tcPr>
            <w:tcW w:w="1880" w:type="dxa"/>
            <w:vAlign w:val="bottom"/>
            <w:shd w:val="clear" w:color="auto" w:fill="E5E5E5"/>
          </w:tcPr>
          <w:p>
            <w:pPr>
              <w:jc w:val="right"/>
              <w:ind w:right="473"/>
              <w:spacing w:after="0" w:line="202" w:lineRule="exact"/>
              <w:rPr>
                <w:sz w:val="20"/>
                <w:szCs w:val="20"/>
                <w:color w:val="auto"/>
              </w:rPr>
            </w:pPr>
            <w:r>
              <w:rPr>
                <w:rFonts w:ascii="Arial" w:cs="Arial" w:eastAsia="Arial" w:hAnsi="Arial"/>
                <w:sz w:val="18"/>
                <w:szCs w:val="18"/>
                <w:color w:val="auto"/>
              </w:rPr>
              <w:t>7,014</w:t>
            </w:r>
          </w:p>
        </w:tc>
        <w:tc>
          <w:tcPr>
            <w:tcW w:w="1600" w:type="dxa"/>
            <w:vAlign w:val="bottom"/>
            <w:shd w:val="clear" w:color="auto" w:fill="E5E5E5"/>
          </w:tcPr>
          <w:p>
            <w:pPr>
              <w:jc w:val="right"/>
              <w:ind w:right="296"/>
              <w:spacing w:after="0" w:line="202" w:lineRule="exact"/>
              <w:rPr>
                <w:sz w:val="20"/>
                <w:szCs w:val="20"/>
                <w:color w:val="auto"/>
              </w:rPr>
            </w:pPr>
            <w:r>
              <w:rPr>
                <w:rFonts w:ascii="Arial" w:cs="Arial" w:eastAsia="Arial" w:hAnsi="Arial"/>
                <w:sz w:val="18"/>
                <w:szCs w:val="18"/>
                <w:color w:val="auto"/>
              </w:rPr>
              <w:t>5,025</w:t>
            </w: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C. S. Cox</w:t>
            </w:r>
          </w:p>
        </w:tc>
        <w:tc>
          <w:tcPr>
            <w:tcW w:w="3420" w:type="dxa"/>
            <w:vAlign w:val="bottom"/>
          </w:tcPr>
          <w:p>
            <w:pPr>
              <w:jc w:val="right"/>
              <w:ind w:right="454"/>
              <w:spacing w:after="0" w:line="202" w:lineRule="exact"/>
              <w:rPr>
                <w:sz w:val="20"/>
                <w:szCs w:val="20"/>
                <w:color w:val="auto"/>
              </w:rPr>
            </w:pPr>
            <w:r>
              <w:rPr>
                <w:rFonts w:ascii="Arial" w:cs="Arial" w:eastAsia="Arial" w:hAnsi="Arial"/>
                <w:sz w:val="18"/>
                <w:szCs w:val="18"/>
                <w:color w:val="auto"/>
              </w:rPr>
              <w:t>67,567</w:t>
            </w:r>
          </w:p>
        </w:tc>
        <w:tc>
          <w:tcPr>
            <w:tcW w:w="1880" w:type="dxa"/>
            <w:vAlign w:val="bottom"/>
          </w:tcPr>
          <w:p>
            <w:pPr>
              <w:jc w:val="right"/>
              <w:ind w:right="473"/>
              <w:spacing w:after="0" w:line="202" w:lineRule="exact"/>
              <w:rPr>
                <w:sz w:val="20"/>
                <w:szCs w:val="20"/>
                <w:color w:val="auto"/>
              </w:rPr>
            </w:pPr>
            <w:r>
              <w:rPr>
                <w:rFonts w:ascii="Arial" w:cs="Arial" w:eastAsia="Arial" w:hAnsi="Arial"/>
                <w:sz w:val="18"/>
                <w:szCs w:val="18"/>
                <w:color w:val="auto"/>
              </w:rPr>
              <w:t>30,160</w:t>
            </w:r>
          </w:p>
        </w:tc>
        <w:tc>
          <w:tcPr>
            <w:tcW w:w="1600" w:type="dxa"/>
            <w:vAlign w:val="bottom"/>
          </w:tcPr>
          <w:p>
            <w:pPr>
              <w:jc w:val="right"/>
              <w:ind w:right="296"/>
              <w:spacing w:after="0" w:line="202" w:lineRule="exact"/>
              <w:rPr>
                <w:sz w:val="20"/>
                <w:szCs w:val="20"/>
                <w:color w:val="auto"/>
              </w:rPr>
            </w:pPr>
            <w:r>
              <w:rPr>
                <w:rFonts w:ascii="Arial" w:cs="Arial" w:eastAsia="Arial" w:hAnsi="Arial"/>
                <w:sz w:val="18"/>
                <w:szCs w:val="18"/>
                <w:color w:val="auto"/>
              </w:rPr>
              <w:t>2,537</w:t>
            </w:r>
          </w:p>
        </w:tc>
      </w:tr>
      <w:tr>
        <w:trPr>
          <w:trHeight w:val="203"/>
        </w:trPr>
        <w:tc>
          <w:tcPr>
            <w:tcW w:w="32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 S. Craighead</w:t>
            </w:r>
          </w:p>
        </w:tc>
        <w:tc>
          <w:tcPr>
            <w:tcW w:w="3420" w:type="dxa"/>
            <w:vAlign w:val="bottom"/>
            <w:shd w:val="clear" w:color="auto" w:fill="E5E5E5"/>
          </w:tcPr>
          <w:p>
            <w:pPr>
              <w:jc w:val="right"/>
              <w:ind w:right="454"/>
              <w:spacing w:after="0" w:line="202" w:lineRule="exact"/>
              <w:rPr>
                <w:sz w:val="20"/>
                <w:szCs w:val="20"/>
                <w:color w:val="auto"/>
              </w:rPr>
            </w:pPr>
            <w:r>
              <w:rPr>
                <w:rFonts w:ascii="Arial" w:cs="Arial" w:eastAsia="Arial" w:hAnsi="Arial"/>
                <w:sz w:val="18"/>
                <w:szCs w:val="18"/>
                <w:color w:val="auto"/>
              </w:rPr>
              <w:t>1,133</w:t>
            </w:r>
          </w:p>
        </w:tc>
        <w:tc>
          <w:tcPr>
            <w:tcW w:w="1880" w:type="dxa"/>
            <w:vAlign w:val="bottom"/>
            <w:shd w:val="clear" w:color="auto" w:fill="E5E5E5"/>
          </w:tcPr>
          <w:p>
            <w:pPr>
              <w:jc w:val="right"/>
              <w:ind w:right="473"/>
              <w:spacing w:after="0" w:line="202" w:lineRule="exact"/>
              <w:rPr>
                <w:sz w:val="20"/>
                <w:szCs w:val="20"/>
                <w:color w:val="auto"/>
              </w:rPr>
            </w:pPr>
            <w:r>
              <w:rPr>
                <w:rFonts w:ascii="Arial" w:cs="Arial" w:eastAsia="Arial" w:hAnsi="Arial"/>
                <w:sz w:val="18"/>
                <w:szCs w:val="18"/>
                <w:color w:val="auto"/>
              </w:rPr>
              <w:t>2,957</w:t>
            </w:r>
          </w:p>
        </w:tc>
        <w:tc>
          <w:tcPr>
            <w:tcW w:w="1600" w:type="dxa"/>
            <w:vAlign w:val="bottom"/>
            <w:shd w:val="clear" w:color="auto" w:fill="E5E5E5"/>
          </w:tcPr>
          <w:p>
            <w:pPr>
              <w:jc w:val="right"/>
              <w:ind w:right="296"/>
              <w:spacing w:after="0" w:line="202" w:lineRule="exact"/>
              <w:rPr>
                <w:sz w:val="20"/>
                <w:szCs w:val="20"/>
                <w:color w:val="auto"/>
              </w:rPr>
            </w:pPr>
            <w:r>
              <w:rPr>
                <w:rFonts w:ascii="Arial" w:cs="Arial" w:eastAsia="Arial" w:hAnsi="Arial"/>
                <w:sz w:val="18"/>
                <w:szCs w:val="18"/>
                <w:color w:val="auto"/>
              </w:rPr>
              <w:t>—</w:t>
            </w: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J. M. Hobby</w:t>
            </w:r>
          </w:p>
        </w:tc>
        <w:tc>
          <w:tcPr>
            <w:tcW w:w="3420" w:type="dxa"/>
            <w:vAlign w:val="bottom"/>
          </w:tcPr>
          <w:p>
            <w:pPr>
              <w:jc w:val="right"/>
              <w:ind w:right="454"/>
              <w:spacing w:after="0" w:line="202" w:lineRule="exact"/>
              <w:rPr>
                <w:sz w:val="20"/>
                <w:szCs w:val="20"/>
                <w:color w:val="auto"/>
              </w:rPr>
            </w:pPr>
            <w:r>
              <w:rPr>
                <w:rFonts w:ascii="Arial" w:cs="Arial" w:eastAsia="Arial" w:hAnsi="Arial"/>
                <w:sz w:val="18"/>
                <w:szCs w:val="18"/>
                <w:color w:val="auto"/>
              </w:rPr>
              <w:t>7,834</w:t>
            </w:r>
          </w:p>
        </w:tc>
        <w:tc>
          <w:tcPr>
            <w:tcW w:w="1880" w:type="dxa"/>
            <w:vAlign w:val="bottom"/>
          </w:tcPr>
          <w:p>
            <w:pPr>
              <w:jc w:val="right"/>
              <w:ind w:right="473"/>
              <w:spacing w:after="0" w:line="202" w:lineRule="exact"/>
              <w:rPr>
                <w:sz w:val="20"/>
                <w:szCs w:val="20"/>
                <w:color w:val="auto"/>
              </w:rPr>
            </w:pPr>
            <w:r>
              <w:rPr>
                <w:rFonts w:ascii="Arial" w:cs="Arial" w:eastAsia="Arial" w:hAnsi="Arial"/>
                <w:sz w:val="18"/>
                <w:szCs w:val="18"/>
                <w:color w:val="auto"/>
              </w:rPr>
              <w:t>5,125</w:t>
            </w:r>
          </w:p>
        </w:tc>
        <w:tc>
          <w:tcPr>
            <w:tcW w:w="1600" w:type="dxa"/>
            <w:vAlign w:val="bottom"/>
          </w:tcPr>
          <w:p>
            <w:pPr>
              <w:jc w:val="right"/>
              <w:ind w:right="296"/>
              <w:spacing w:after="0" w:line="202" w:lineRule="exact"/>
              <w:rPr>
                <w:sz w:val="20"/>
                <w:szCs w:val="20"/>
                <w:color w:val="auto"/>
              </w:rPr>
            </w:pPr>
            <w:r>
              <w:rPr>
                <w:rFonts w:ascii="Arial" w:cs="Arial" w:eastAsia="Arial" w:hAnsi="Arial"/>
                <w:sz w:val="18"/>
                <w:szCs w:val="18"/>
                <w:color w:val="auto"/>
              </w:rPr>
              <w:t>—</w:t>
            </w:r>
          </w:p>
        </w:tc>
      </w:tr>
      <w:tr>
        <w:trPr>
          <w:trHeight w:val="203"/>
        </w:trPr>
        <w:tc>
          <w:tcPr>
            <w:tcW w:w="32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 D. Hsu</w:t>
            </w:r>
          </w:p>
        </w:tc>
        <w:tc>
          <w:tcPr>
            <w:tcW w:w="3420" w:type="dxa"/>
            <w:vAlign w:val="bottom"/>
            <w:shd w:val="clear" w:color="auto" w:fill="E5E5E5"/>
          </w:tcPr>
          <w:p>
            <w:pPr>
              <w:jc w:val="right"/>
              <w:ind w:right="454"/>
              <w:spacing w:after="0" w:line="202" w:lineRule="exact"/>
              <w:rPr>
                <w:sz w:val="20"/>
                <w:szCs w:val="20"/>
                <w:color w:val="auto"/>
              </w:rPr>
            </w:pPr>
            <w:r>
              <w:rPr>
                <w:rFonts w:ascii="Arial" w:cs="Arial" w:eastAsia="Arial" w:hAnsi="Arial"/>
                <w:sz w:val="18"/>
                <w:szCs w:val="18"/>
                <w:color w:val="auto"/>
              </w:rPr>
              <w:t>—</w:t>
            </w:r>
          </w:p>
        </w:tc>
        <w:tc>
          <w:tcPr>
            <w:tcW w:w="1880" w:type="dxa"/>
            <w:vAlign w:val="bottom"/>
            <w:shd w:val="clear" w:color="auto" w:fill="E5E5E5"/>
          </w:tcPr>
          <w:p>
            <w:pPr>
              <w:jc w:val="right"/>
              <w:ind w:right="473"/>
              <w:spacing w:after="0" w:line="202" w:lineRule="exact"/>
              <w:rPr>
                <w:sz w:val="20"/>
                <w:szCs w:val="20"/>
                <w:color w:val="auto"/>
              </w:rPr>
            </w:pPr>
            <w:r>
              <w:rPr>
                <w:rFonts w:ascii="Arial" w:cs="Arial" w:eastAsia="Arial" w:hAnsi="Arial"/>
                <w:sz w:val="18"/>
                <w:szCs w:val="18"/>
                <w:color w:val="auto"/>
              </w:rPr>
              <w:t>(c)</w:t>
            </w:r>
          </w:p>
        </w:tc>
        <w:tc>
          <w:tcPr>
            <w:tcW w:w="1600" w:type="dxa"/>
            <w:vAlign w:val="bottom"/>
            <w:shd w:val="clear" w:color="auto" w:fill="E5E5E5"/>
          </w:tcPr>
          <w:p>
            <w:pPr>
              <w:jc w:val="right"/>
              <w:ind w:right="296"/>
              <w:spacing w:after="0" w:line="202" w:lineRule="exact"/>
              <w:rPr>
                <w:sz w:val="20"/>
                <w:szCs w:val="20"/>
                <w:color w:val="auto"/>
              </w:rPr>
            </w:pPr>
            <w:r>
              <w:rPr>
                <w:rFonts w:ascii="Arial" w:cs="Arial" w:eastAsia="Arial" w:hAnsi="Arial"/>
                <w:sz w:val="18"/>
                <w:szCs w:val="18"/>
                <w:color w:val="auto"/>
              </w:rPr>
              <w:t>—</w:t>
            </w: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R. Kirk</w:t>
            </w:r>
          </w:p>
        </w:tc>
        <w:tc>
          <w:tcPr>
            <w:tcW w:w="3420" w:type="dxa"/>
            <w:vAlign w:val="bottom"/>
          </w:tcPr>
          <w:p>
            <w:pPr>
              <w:jc w:val="right"/>
              <w:ind w:right="454"/>
              <w:spacing w:after="0" w:line="202" w:lineRule="exact"/>
              <w:rPr>
                <w:sz w:val="20"/>
                <w:szCs w:val="20"/>
                <w:color w:val="auto"/>
              </w:rPr>
            </w:pPr>
            <w:r>
              <w:rPr>
                <w:rFonts w:ascii="Arial" w:cs="Arial" w:eastAsia="Arial" w:hAnsi="Arial"/>
                <w:sz w:val="18"/>
                <w:szCs w:val="18"/>
                <w:color w:val="auto"/>
              </w:rPr>
              <w:t>40,662</w:t>
            </w:r>
          </w:p>
        </w:tc>
        <w:tc>
          <w:tcPr>
            <w:tcW w:w="1880" w:type="dxa"/>
            <w:vAlign w:val="bottom"/>
          </w:tcPr>
          <w:p>
            <w:pPr>
              <w:jc w:val="right"/>
              <w:ind w:right="473"/>
              <w:spacing w:after="0" w:line="202" w:lineRule="exact"/>
              <w:rPr>
                <w:sz w:val="20"/>
                <w:szCs w:val="20"/>
                <w:color w:val="auto"/>
              </w:rPr>
            </w:pPr>
            <w:r>
              <w:rPr>
                <w:rFonts w:ascii="Arial" w:cs="Arial" w:eastAsia="Arial" w:hAnsi="Arial"/>
                <w:sz w:val="18"/>
                <w:szCs w:val="18"/>
                <w:color w:val="auto"/>
              </w:rPr>
              <w:t>5,014</w:t>
            </w:r>
          </w:p>
        </w:tc>
        <w:tc>
          <w:tcPr>
            <w:tcW w:w="1600" w:type="dxa"/>
            <w:vAlign w:val="bottom"/>
          </w:tcPr>
          <w:p>
            <w:pPr>
              <w:jc w:val="right"/>
              <w:ind w:right="296"/>
              <w:spacing w:after="0" w:line="202" w:lineRule="exact"/>
              <w:rPr>
                <w:sz w:val="20"/>
                <w:szCs w:val="20"/>
                <w:color w:val="auto"/>
              </w:rPr>
            </w:pPr>
            <w:r>
              <w:rPr>
                <w:rFonts w:ascii="Arial" w:cs="Arial" w:eastAsia="Arial" w:hAnsi="Arial"/>
                <w:sz w:val="18"/>
                <w:szCs w:val="18"/>
                <w:color w:val="auto"/>
              </w:rPr>
              <w:t>2,892</w:t>
            </w:r>
          </w:p>
        </w:tc>
      </w:tr>
      <w:tr>
        <w:trPr>
          <w:trHeight w:val="203"/>
        </w:trPr>
        <w:tc>
          <w:tcPr>
            <w:tcW w:w="32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 H. Patsley</w:t>
            </w:r>
          </w:p>
        </w:tc>
        <w:tc>
          <w:tcPr>
            <w:tcW w:w="3420" w:type="dxa"/>
            <w:vAlign w:val="bottom"/>
            <w:shd w:val="clear" w:color="auto" w:fill="E5E5E5"/>
          </w:tcPr>
          <w:p>
            <w:pPr>
              <w:jc w:val="right"/>
              <w:ind w:right="454"/>
              <w:spacing w:after="0" w:line="202" w:lineRule="exact"/>
              <w:rPr>
                <w:sz w:val="20"/>
                <w:szCs w:val="20"/>
                <w:color w:val="auto"/>
              </w:rPr>
            </w:pPr>
            <w:r>
              <w:rPr>
                <w:rFonts w:ascii="Arial" w:cs="Arial" w:eastAsia="Arial" w:hAnsi="Arial"/>
                <w:sz w:val="18"/>
                <w:szCs w:val="18"/>
                <w:color w:val="auto"/>
              </w:rPr>
              <w:t>77,569</w:t>
            </w:r>
          </w:p>
        </w:tc>
        <w:tc>
          <w:tcPr>
            <w:tcW w:w="1880" w:type="dxa"/>
            <w:vAlign w:val="bottom"/>
            <w:shd w:val="clear" w:color="auto" w:fill="E5E5E5"/>
          </w:tcPr>
          <w:p>
            <w:pPr>
              <w:jc w:val="right"/>
              <w:ind w:right="473"/>
              <w:spacing w:after="0" w:line="202" w:lineRule="exact"/>
              <w:rPr>
                <w:sz w:val="20"/>
                <w:szCs w:val="20"/>
                <w:color w:val="auto"/>
              </w:rPr>
            </w:pPr>
            <w:r>
              <w:rPr>
                <w:rFonts w:ascii="Arial" w:cs="Arial" w:eastAsia="Arial" w:hAnsi="Arial"/>
                <w:sz w:val="18"/>
                <w:szCs w:val="18"/>
                <w:color w:val="auto"/>
              </w:rPr>
              <w:t>7,014</w:t>
            </w:r>
          </w:p>
        </w:tc>
        <w:tc>
          <w:tcPr>
            <w:tcW w:w="1600" w:type="dxa"/>
            <w:vAlign w:val="bottom"/>
            <w:shd w:val="clear" w:color="auto" w:fill="E5E5E5"/>
          </w:tcPr>
          <w:p>
            <w:pPr>
              <w:jc w:val="right"/>
              <w:ind w:right="296"/>
              <w:spacing w:after="0" w:line="202" w:lineRule="exact"/>
              <w:rPr>
                <w:sz w:val="20"/>
                <w:szCs w:val="20"/>
                <w:color w:val="auto"/>
              </w:rPr>
            </w:pPr>
            <w:r>
              <w:rPr>
                <w:rFonts w:ascii="Arial" w:cs="Arial" w:eastAsia="Arial" w:hAnsi="Arial"/>
                <w:sz w:val="18"/>
                <w:szCs w:val="18"/>
                <w:color w:val="auto"/>
              </w:rPr>
              <w:t>49,772</w:t>
            </w: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R. E. Sanchez</w:t>
            </w:r>
          </w:p>
        </w:tc>
        <w:tc>
          <w:tcPr>
            <w:tcW w:w="3420" w:type="dxa"/>
            <w:vAlign w:val="bottom"/>
          </w:tcPr>
          <w:p>
            <w:pPr>
              <w:jc w:val="right"/>
              <w:ind w:right="454"/>
              <w:spacing w:after="0" w:line="202" w:lineRule="exact"/>
              <w:rPr>
                <w:sz w:val="20"/>
                <w:szCs w:val="20"/>
                <w:color w:val="auto"/>
              </w:rPr>
            </w:pPr>
            <w:r>
              <w:rPr>
                <w:rFonts w:ascii="Arial" w:cs="Arial" w:eastAsia="Arial" w:hAnsi="Arial"/>
                <w:sz w:val="18"/>
                <w:szCs w:val="18"/>
                <w:color w:val="auto"/>
              </w:rPr>
              <w:t>40,662</w:t>
            </w:r>
          </w:p>
        </w:tc>
        <w:tc>
          <w:tcPr>
            <w:tcW w:w="1880" w:type="dxa"/>
            <w:vAlign w:val="bottom"/>
          </w:tcPr>
          <w:p>
            <w:pPr>
              <w:jc w:val="right"/>
              <w:ind w:right="473"/>
              <w:spacing w:after="0" w:line="202" w:lineRule="exact"/>
              <w:rPr>
                <w:sz w:val="20"/>
                <w:szCs w:val="20"/>
                <w:color w:val="auto"/>
              </w:rPr>
            </w:pPr>
            <w:r>
              <w:rPr>
                <w:rFonts w:ascii="Arial" w:cs="Arial" w:eastAsia="Arial" w:hAnsi="Arial"/>
                <w:sz w:val="18"/>
                <w:szCs w:val="18"/>
                <w:color w:val="auto"/>
              </w:rPr>
              <w:t>6,867</w:t>
            </w:r>
          </w:p>
        </w:tc>
        <w:tc>
          <w:tcPr>
            <w:tcW w:w="1600" w:type="dxa"/>
            <w:vAlign w:val="bottom"/>
          </w:tcPr>
          <w:p>
            <w:pPr>
              <w:jc w:val="right"/>
              <w:ind w:right="296"/>
              <w:spacing w:after="0" w:line="202" w:lineRule="exact"/>
              <w:rPr>
                <w:sz w:val="20"/>
                <w:szCs w:val="20"/>
                <w:color w:val="auto"/>
              </w:rPr>
            </w:pPr>
            <w:r>
              <w:rPr>
                <w:rFonts w:ascii="Arial" w:cs="Arial" w:eastAsia="Arial" w:hAnsi="Arial"/>
                <w:sz w:val="18"/>
                <w:szCs w:val="18"/>
                <w:color w:val="auto"/>
              </w:rPr>
              <w:t>9,502</w:t>
            </w:r>
          </w:p>
        </w:tc>
      </w:tr>
      <w:tr>
        <w:trPr>
          <w:trHeight w:val="203"/>
        </w:trPr>
        <w:tc>
          <w:tcPr>
            <w:tcW w:w="32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 K. Templeton</w:t>
            </w:r>
          </w:p>
        </w:tc>
        <w:tc>
          <w:tcPr>
            <w:tcW w:w="3420" w:type="dxa"/>
            <w:vAlign w:val="bottom"/>
            <w:shd w:val="clear" w:color="auto" w:fill="E5E5E5"/>
          </w:tcPr>
          <w:p>
            <w:pPr>
              <w:jc w:val="right"/>
              <w:ind w:right="454"/>
              <w:spacing w:after="0" w:line="202" w:lineRule="exact"/>
              <w:rPr>
                <w:sz w:val="20"/>
                <w:szCs w:val="20"/>
                <w:color w:val="auto"/>
              </w:rPr>
            </w:pPr>
            <w:r>
              <w:rPr>
                <w:rFonts w:ascii="Arial" w:cs="Arial" w:eastAsia="Arial" w:hAnsi="Arial"/>
                <w:sz w:val="18"/>
                <w:szCs w:val="18"/>
                <w:color w:val="auto"/>
              </w:rPr>
              <w:t>2,586,757</w:t>
            </w:r>
          </w:p>
        </w:tc>
        <w:tc>
          <w:tcPr>
            <w:tcW w:w="1880" w:type="dxa"/>
            <w:vAlign w:val="bottom"/>
            <w:shd w:val="clear" w:color="auto" w:fill="E5E5E5"/>
          </w:tcPr>
          <w:p>
            <w:pPr>
              <w:jc w:val="right"/>
              <w:ind w:right="473"/>
              <w:spacing w:after="0" w:line="202" w:lineRule="exact"/>
              <w:rPr>
                <w:sz w:val="20"/>
                <w:szCs w:val="20"/>
                <w:color w:val="auto"/>
              </w:rPr>
            </w:pPr>
            <w:r>
              <w:rPr>
                <w:rFonts w:ascii="Arial" w:cs="Arial" w:eastAsia="Arial" w:hAnsi="Arial"/>
                <w:sz w:val="18"/>
                <w:szCs w:val="18"/>
                <w:color w:val="auto"/>
              </w:rPr>
              <w:t>398,695</w:t>
            </w:r>
          </w:p>
        </w:tc>
        <w:tc>
          <w:tcPr>
            <w:tcW w:w="1600" w:type="dxa"/>
            <w:vAlign w:val="bottom"/>
            <w:shd w:val="clear" w:color="auto" w:fill="E5E5E5"/>
          </w:tcPr>
          <w:p>
            <w:pPr>
              <w:jc w:val="right"/>
              <w:ind w:right="296"/>
              <w:spacing w:after="0" w:line="202" w:lineRule="exact"/>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ind w:left="1080" w:right="320" w:hanging="532"/>
        <w:spacing w:after="0"/>
        <w:tabs>
          <w:tab w:leader="none" w:pos="10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non-employee directors’ RSUs granted before 2007 are settled in TI common stock generally upon the director’s termination of service provided he or she has served at least eight years or has reached the company’s retirement age for directors. RSUs granted after 2006 are settled in TI common stock generally upon the fourth anniversary of the grant date.</w:t>
      </w:r>
    </w:p>
    <w:p>
      <w:pPr>
        <w:spacing w:after="0" w:line="108" w:lineRule="exact"/>
        <w:rPr>
          <w:rFonts w:ascii="Arial" w:cs="Arial" w:eastAsia="Arial" w:hAnsi="Arial"/>
          <w:sz w:val="18"/>
          <w:szCs w:val="18"/>
          <w:color w:val="auto"/>
        </w:rPr>
      </w:pPr>
    </w:p>
    <w:p>
      <w:pPr>
        <w:ind w:left="1080" w:hanging="532"/>
        <w:spacing w:after="0"/>
        <w:tabs>
          <w:tab w:leader="none" w:pos="10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shares in deferred compensation accounts are issued following the director’s termination of service.</w:t>
      </w:r>
    </w:p>
    <w:p>
      <w:pPr>
        <w:spacing w:after="0" w:line="117" w:lineRule="exact"/>
        <w:rPr>
          <w:rFonts w:ascii="Arial" w:cs="Arial" w:eastAsia="Arial" w:hAnsi="Arial"/>
          <w:sz w:val="18"/>
          <w:szCs w:val="18"/>
          <w:color w:val="auto"/>
        </w:rPr>
      </w:pPr>
    </w:p>
    <w:p>
      <w:pPr>
        <w:ind w:left="1080" w:right="760" w:hanging="532"/>
        <w:spacing w:after="0" w:line="246" w:lineRule="auto"/>
        <w:tabs>
          <w:tab w:leader="none" w:pos="10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On April 1, 2020, the date of his election to the board, Mr. Hsu will receive a restricted stock unit grant with a value of $200,000. The number of shares will be determined on April 1 (the date of the grant).</w:t>
      </w:r>
    </w:p>
    <w:p>
      <w:pPr>
        <w:spacing w:after="0" w:line="102" w:lineRule="exact"/>
        <w:rPr>
          <w:rFonts w:ascii="Arial" w:cs="Arial" w:eastAsia="Arial" w:hAnsi="Arial"/>
          <w:sz w:val="18"/>
          <w:szCs w:val="18"/>
          <w:color w:val="auto"/>
        </w:rPr>
      </w:pPr>
    </w:p>
    <w:p>
      <w:pPr>
        <w:ind w:left="540" w:right="360" w:hanging="424"/>
        <w:spacing w:after="0" w:line="246" w:lineRule="auto"/>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Includes 13,079 shares credited to Mr. Templeton’s 401(k) account and 722,701 shares held by the Richard and Mary Templeton Foundation, a charitable foundation. Mr. Templeton has no pecuniary interest in the Foundation’s shares.</w:t>
      </w:r>
    </w:p>
    <w:p>
      <w:pPr>
        <w:spacing w:after="0" w:line="102" w:lineRule="exact"/>
        <w:rPr>
          <w:rFonts w:ascii="Arial" w:cs="Arial" w:eastAsia="Arial" w:hAnsi="Arial"/>
          <w:sz w:val="18"/>
          <w:szCs w:val="18"/>
          <w:color w:val="auto"/>
        </w:rPr>
      </w:pPr>
    </w:p>
    <w:p>
      <w:pPr>
        <w:ind w:left="540" w:hanging="424"/>
        <w:spacing w:after="0"/>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Included in the shares owned shown above are:</w:t>
      </w:r>
    </w:p>
    <w:p>
      <w:pPr>
        <w:spacing w:after="0" w:line="226"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420" w:type="dxa"/>
            <w:vAlign w:val="bottom"/>
          </w:tcPr>
          <w:p>
            <w:pPr>
              <w:spacing w:after="0"/>
              <w:rPr>
                <w:sz w:val="14"/>
                <w:szCs w:val="14"/>
                <w:color w:val="auto"/>
              </w:rPr>
            </w:pPr>
          </w:p>
        </w:tc>
      </w:tr>
      <w:tr>
        <w:trPr>
          <w:trHeight w:val="162"/>
        </w:trPr>
        <w:tc>
          <w:tcPr>
            <w:tcW w:w="3340" w:type="dxa"/>
            <w:vAlign w:val="bottom"/>
          </w:tcPr>
          <w:p>
            <w:pPr>
              <w:spacing w:after="0"/>
              <w:rPr>
                <w:sz w:val="14"/>
                <w:szCs w:val="14"/>
                <w:color w:val="auto"/>
              </w:rPr>
            </w:pPr>
          </w:p>
        </w:tc>
        <w:tc>
          <w:tcPr>
            <w:tcW w:w="3660" w:type="dxa"/>
            <w:vAlign w:val="bottom"/>
          </w:tcPr>
          <w:p>
            <w:pPr>
              <w:jc w:val="center"/>
              <w:ind w:left="1618"/>
              <w:spacing w:after="0"/>
              <w:rPr>
                <w:sz w:val="20"/>
                <w:szCs w:val="20"/>
                <w:color w:val="auto"/>
              </w:rPr>
            </w:pPr>
            <w:r>
              <w:rPr>
                <w:rFonts w:ascii="Arial" w:cs="Arial" w:eastAsia="Arial" w:hAnsi="Arial"/>
                <w:sz w:val="14"/>
                <w:szCs w:val="14"/>
                <w:b w:val="1"/>
                <w:bCs w:val="1"/>
                <w:color w:val="auto"/>
              </w:rPr>
              <w:t>Shares</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Credited to</w:t>
            </w:r>
          </w:p>
        </w:tc>
        <w:tc>
          <w:tcPr>
            <w:tcW w:w="1420" w:type="dxa"/>
            <w:vAlign w:val="bottom"/>
          </w:tcPr>
          <w:p>
            <w:pPr>
              <w:spacing w:after="0"/>
              <w:rPr>
                <w:sz w:val="14"/>
                <w:szCs w:val="14"/>
                <w:color w:val="auto"/>
              </w:rPr>
            </w:pPr>
          </w:p>
        </w:tc>
      </w:tr>
      <w:tr>
        <w:trPr>
          <w:trHeight w:val="162"/>
        </w:trPr>
        <w:tc>
          <w:tcPr>
            <w:tcW w:w="3340" w:type="dxa"/>
            <w:vAlign w:val="bottom"/>
          </w:tcPr>
          <w:p>
            <w:pPr>
              <w:spacing w:after="0"/>
              <w:rPr>
                <w:sz w:val="14"/>
                <w:szCs w:val="14"/>
                <w:color w:val="auto"/>
              </w:rPr>
            </w:pPr>
          </w:p>
        </w:tc>
        <w:tc>
          <w:tcPr>
            <w:tcW w:w="3660" w:type="dxa"/>
            <w:vAlign w:val="bottom"/>
          </w:tcPr>
          <w:p>
            <w:pPr>
              <w:jc w:val="center"/>
              <w:ind w:left="1598"/>
              <w:spacing w:after="0"/>
              <w:rPr>
                <w:sz w:val="20"/>
                <w:szCs w:val="20"/>
                <w:color w:val="auto"/>
              </w:rPr>
            </w:pPr>
            <w:r>
              <w:rPr>
                <w:rFonts w:ascii="Arial" w:cs="Arial" w:eastAsia="Arial" w:hAnsi="Arial"/>
                <w:sz w:val="14"/>
                <w:szCs w:val="14"/>
                <w:b w:val="1"/>
                <w:bCs w:val="1"/>
                <w:color w:val="auto"/>
              </w:rPr>
              <w:t>Obtainable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401(k)</w:t>
            </w:r>
          </w:p>
        </w:tc>
        <w:tc>
          <w:tcPr>
            <w:tcW w:w="1420" w:type="dxa"/>
            <w:vAlign w:val="bottom"/>
          </w:tcPr>
          <w:p>
            <w:pPr>
              <w:jc w:val="right"/>
              <w:ind w:right="316"/>
              <w:spacing w:after="0"/>
              <w:rPr>
                <w:sz w:val="20"/>
                <w:szCs w:val="20"/>
                <w:color w:val="auto"/>
              </w:rPr>
            </w:pPr>
            <w:r>
              <w:rPr>
                <w:rFonts w:ascii="Arial" w:cs="Arial" w:eastAsia="Arial" w:hAnsi="Arial"/>
                <w:sz w:val="14"/>
                <w:szCs w:val="14"/>
                <w:b w:val="1"/>
                <w:bCs w:val="1"/>
                <w:color w:val="auto"/>
              </w:rPr>
              <w:t>RSUs</w:t>
            </w:r>
          </w:p>
        </w:tc>
      </w:tr>
      <w:tr>
        <w:trPr>
          <w:trHeight w:val="189"/>
        </w:trPr>
        <w:tc>
          <w:tcPr>
            <w:tcW w:w="3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Executive Officer</w:t>
            </w:r>
          </w:p>
        </w:tc>
        <w:tc>
          <w:tcPr>
            <w:tcW w:w="3660" w:type="dxa"/>
            <w:vAlign w:val="bottom"/>
            <w:tcBorders>
              <w:bottom w:val="single" w:sz="8" w:color="auto"/>
            </w:tcBorders>
          </w:tcPr>
          <w:p>
            <w:pPr>
              <w:jc w:val="center"/>
              <w:ind w:left="1618"/>
              <w:spacing w:after="0"/>
              <w:rPr>
                <w:sz w:val="20"/>
                <w:szCs w:val="20"/>
                <w:color w:val="auto"/>
              </w:rPr>
            </w:pPr>
            <w:r>
              <w:rPr>
                <w:rFonts w:ascii="Arial" w:cs="Arial" w:eastAsia="Arial" w:hAnsi="Arial"/>
                <w:sz w:val="14"/>
                <w:szCs w:val="14"/>
                <w:b w:val="1"/>
                <w:bCs w:val="1"/>
                <w:color w:val="auto"/>
              </w:rPr>
              <w:t>within 60 Days</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Account</w:t>
            </w:r>
          </w:p>
        </w:tc>
        <w:tc>
          <w:tcPr>
            <w:tcW w:w="14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(in Shares)</w:t>
            </w:r>
          </w:p>
        </w:tc>
      </w:tr>
      <w:tr>
        <w:trPr>
          <w:trHeight w:val="196"/>
        </w:trPr>
        <w:tc>
          <w:tcPr>
            <w:tcW w:w="3340" w:type="dxa"/>
            <w:vAlign w:val="bottom"/>
            <w:shd w:val="clear" w:color="auto" w:fill="E5E5E5"/>
          </w:tcPr>
          <w:p>
            <w:pPr>
              <w:spacing w:after="0" w:line="196" w:lineRule="exact"/>
              <w:rPr>
                <w:sz w:val="20"/>
                <w:szCs w:val="20"/>
                <w:color w:val="auto"/>
              </w:rPr>
            </w:pPr>
            <w:r>
              <w:rPr>
                <w:rFonts w:ascii="Arial" w:cs="Arial" w:eastAsia="Arial" w:hAnsi="Arial"/>
                <w:sz w:val="18"/>
                <w:szCs w:val="18"/>
                <w:color w:val="auto"/>
              </w:rPr>
              <w:t>R. R. Lizardi</w:t>
            </w:r>
          </w:p>
        </w:tc>
        <w:tc>
          <w:tcPr>
            <w:tcW w:w="3660" w:type="dxa"/>
            <w:vAlign w:val="bottom"/>
            <w:shd w:val="clear" w:color="auto" w:fill="E5E5E5"/>
          </w:tcPr>
          <w:p>
            <w:pPr>
              <w:jc w:val="right"/>
              <w:ind w:right="538"/>
              <w:spacing w:after="0" w:line="196" w:lineRule="exact"/>
              <w:rPr>
                <w:sz w:val="20"/>
                <w:szCs w:val="20"/>
                <w:color w:val="auto"/>
              </w:rPr>
            </w:pPr>
            <w:r>
              <w:rPr>
                <w:rFonts w:ascii="Arial" w:cs="Arial" w:eastAsia="Arial" w:hAnsi="Arial"/>
                <w:sz w:val="18"/>
                <w:szCs w:val="18"/>
                <w:color w:val="auto"/>
              </w:rPr>
              <w:t>65,546</w:t>
            </w:r>
          </w:p>
        </w:tc>
        <w:tc>
          <w:tcPr>
            <w:tcW w:w="1700" w:type="dxa"/>
            <w:vAlign w:val="bottom"/>
            <w:shd w:val="clear" w:color="auto" w:fill="E5E5E5"/>
          </w:tcPr>
          <w:p>
            <w:pPr>
              <w:jc w:val="right"/>
              <w:ind w:right="459"/>
              <w:spacing w:after="0" w:line="196" w:lineRule="exact"/>
              <w:rPr>
                <w:sz w:val="20"/>
                <w:szCs w:val="20"/>
                <w:color w:val="auto"/>
              </w:rPr>
            </w:pPr>
            <w:r>
              <w:rPr>
                <w:rFonts w:ascii="Arial" w:cs="Arial" w:eastAsia="Arial" w:hAnsi="Arial"/>
                <w:sz w:val="18"/>
                <w:szCs w:val="18"/>
                <w:color w:val="auto"/>
              </w:rPr>
              <w:t>—</w:t>
            </w:r>
          </w:p>
        </w:tc>
        <w:tc>
          <w:tcPr>
            <w:tcW w:w="1420" w:type="dxa"/>
            <w:vAlign w:val="bottom"/>
            <w:shd w:val="clear" w:color="auto" w:fill="E5E5E5"/>
          </w:tcPr>
          <w:p>
            <w:pPr>
              <w:jc w:val="right"/>
              <w:ind w:right="216"/>
              <w:spacing w:after="0" w:line="196" w:lineRule="exact"/>
              <w:rPr>
                <w:sz w:val="20"/>
                <w:szCs w:val="20"/>
                <w:color w:val="auto"/>
              </w:rPr>
            </w:pPr>
            <w:r>
              <w:rPr>
                <w:rFonts w:ascii="Arial" w:cs="Arial" w:eastAsia="Arial" w:hAnsi="Arial"/>
                <w:sz w:val="18"/>
                <w:szCs w:val="18"/>
                <w:color w:val="auto"/>
              </w:rPr>
              <w:t>56,164</w:t>
            </w:r>
          </w:p>
        </w:tc>
      </w:tr>
      <w:tr>
        <w:trPr>
          <w:trHeight w:val="203"/>
        </w:trPr>
        <w:tc>
          <w:tcPr>
            <w:tcW w:w="3340" w:type="dxa"/>
            <w:vAlign w:val="bottom"/>
          </w:tcPr>
          <w:p>
            <w:pPr>
              <w:spacing w:after="0" w:line="202" w:lineRule="exact"/>
              <w:rPr>
                <w:sz w:val="20"/>
                <w:szCs w:val="20"/>
                <w:color w:val="auto"/>
              </w:rPr>
            </w:pPr>
            <w:r>
              <w:rPr>
                <w:rFonts w:ascii="Arial" w:cs="Arial" w:eastAsia="Arial" w:hAnsi="Arial"/>
                <w:sz w:val="18"/>
                <w:szCs w:val="18"/>
                <w:color w:val="auto"/>
              </w:rPr>
              <w:t>N. Anderskouv</w:t>
            </w:r>
          </w:p>
        </w:tc>
        <w:tc>
          <w:tcPr>
            <w:tcW w:w="3660" w:type="dxa"/>
            <w:vAlign w:val="bottom"/>
          </w:tcPr>
          <w:p>
            <w:pPr>
              <w:jc w:val="right"/>
              <w:ind w:right="538"/>
              <w:spacing w:after="0" w:line="202" w:lineRule="exact"/>
              <w:rPr>
                <w:sz w:val="20"/>
                <w:szCs w:val="20"/>
                <w:color w:val="auto"/>
              </w:rPr>
            </w:pPr>
            <w:r>
              <w:rPr>
                <w:rFonts w:ascii="Arial" w:cs="Arial" w:eastAsia="Arial" w:hAnsi="Arial"/>
                <w:sz w:val="18"/>
                <w:szCs w:val="18"/>
                <w:color w:val="auto"/>
              </w:rPr>
              <w:t>120,225</w:t>
            </w:r>
          </w:p>
        </w:tc>
        <w:tc>
          <w:tcPr>
            <w:tcW w:w="1700" w:type="dxa"/>
            <w:vAlign w:val="bottom"/>
          </w:tcPr>
          <w:p>
            <w:pPr>
              <w:jc w:val="right"/>
              <w:ind w:right="459"/>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81,145</w:t>
            </w:r>
          </w:p>
        </w:tc>
      </w:tr>
      <w:tr>
        <w:trPr>
          <w:trHeight w:val="203"/>
        </w:trPr>
        <w:tc>
          <w:tcPr>
            <w:tcW w:w="33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 G. Delagi</w:t>
            </w:r>
          </w:p>
        </w:tc>
        <w:tc>
          <w:tcPr>
            <w:tcW w:w="3660" w:type="dxa"/>
            <w:vAlign w:val="bottom"/>
            <w:shd w:val="clear" w:color="auto" w:fill="E5E5E5"/>
          </w:tcPr>
          <w:p>
            <w:pPr>
              <w:jc w:val="right"/>
              <w:ind w:right="538"/>
              <w:spacing w:after="0" w:line="202" w:lineRule="exact"/>
              <w:rPr>
                <w:sz w:val="20"/>
                <w:szCs w:val="20"/>
                <w:color w:val="auto"/>
              </w:rPr>
            </w:pPr>
            <w:r>
              <w:rPr>
                <w:rFonts w:ascii="Arial" w:cs="Arial" w:eastAsia="Arial" w:hAnsi="Arial"/>
                <w:sz w:val="18"/>
                <w:szCs w:val="18"/>
                <w:color w:val="auto"/>
              </w:rPr>
              <w:t>320,934</w:t>
            </w:r>
          </w:p>
        </w:tc>
        <w:tc>
          <w:tcPr>
            <w:tcW w:w="1700" w:type="dxa"/>
            <w:vAlign w:val="bottom"/>
            <w:shd w:val="clear" w:color="auto" w:fill="E5E5E5"/>
          </w:tcPr>
          <w:p>
            <w:pPr>
              <w:jc w:val="right"/>
              <w:ind w:right="459"/>
              <w:spacing w:after="0" w:line="202" w:lineRule="exact"/>
              <w:rPr>
                <w:sz w:val="20"/>
                <w:szCs w:val="20"/>
                <w:color w:val="auto"/>
              </w:rPr>
            </w:pPr>
            <w:r>
              <w:rPr>
                <w:rFonts w:ascii="Arial" w:cs="Arial" w:eastAsia="Arial" w:hAnsi="Arial"/>
                <w:sz w:val="18"/>
                <w:szCs w:val="18"/>
                <w:color w:val="auto"/>
              </w:rPr>
              <w:t>12,205</w:t>
            </w:r>
          </w:p>
        </w:tc>
        <w:tc>
          <w:tcPr>
            <w:tcW w:w="1420" w:type="dxa"/>
            <w:vAlign w:val="bottom"/>
            <w:shd w:val="clear" w:color="auto" w:fill="E5E5E5"/>
          </w:tcPr>
          <w:p>
            <w:pPr>
              <w:jc w:val="right"/>
              <w:ind w:right="216"/>
              <w:spacing w:after="0" w:line="202" w:lineRule="exact"/>
              <w:rPr>
                <w:sz w:val="20"/>
                <w:szCs w:val="20"/>
                <w:color w:val="auto"/>
              </w:rPr>
            </w:pPr>
            <w:r>
              <w:rPr>
                <w:rFonts w:ascii="Arial" w:cs="Arial" w:eastAsia="Arial" w:hAnsi="Arial"/>
                <w:sz w:val="18"/>
                <w:szCs w:val="18"/>
                <w:color w:val="auto"/>
              </w:rPr>
              <w:t>90,301</w:t>
            </w:r>
          </w:p>
        </w:tc>
      </w:tr>
      <w:tr>
        <w:trPr>
          <w:trHeight w:val="217"/>
        </w:trPr>
        <w:tc>
          <w:tcPr>
            <w:tcW w:w="3340" w:type="dxa"/>
            <w:vAlign w:val="bottom"/>
          </w:tcPr>
          <w:p>
            <w:pPr>
              <w:spacing w:after="0"/>
              <w:rPr>
                <w:sz w:val="20"/>
                <w:szCs w:val="20"/>
                <w:color w:val="auto"/>
              </w:rPr>
            </w:pPr>
            <w:r>
              <w:rPr>
                <w:rFonts w:ascii="Arial" w:cs="Arial" w:eastAsia="Arial" w:hAnsi="Arial"/>
                <w:sz w:val="18"/>
                <w:szCs w:val="18"/>
                <w:color w:val="auto"/>
              </w:rPr>
              <w:t>H. Ilan</w:t>
            </w:r>
          </w:p>
        </w:tc>
        <w:tc>
          <w:tcPr>
            <w:tcW w:w="3660" w:type="dxa"/>
            <w:vAlign w:val="bottom"/>
          </w:tcPr>
          <w:p>
            <w:pPr>
              <w:jc w:val="right"/>
              <w:ind w:right="538"/>
              <w:spacing w:after="0"/>
              <w:rPr>
                <w:sz w:val="20"/>
                <w:szCs w:val="20"/>
                <w:color w:val="auto"/>
              </w:rPr>
            </w:pPr>
            <w:r>
              <w:rPr>
                <w:rFonts w:ascii="Arial" w:cs="Arial" w:eastAsia="Arial" w:hAnsi="Arial"/>
                <w:sz w:val="18"/>
                <w:szCs w:val="18"/>
                <w:color w:val="auto"/>
              </w:rPr>
              <w:t>173,279</w:t>
            </w:r>
          </w:p>
        </w:tc>
        <w:tc>
          <w:tcPr>
            <w:tcW w:w="1700" w:type="dxa"/>
            <w:vAlign w:val="bottom"/>
          </w:tcPr>
          <w:p>
            <w:pPr>
              <w:jc w:val="right"/>
              <w:ind w:right="459"/>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16"/>
              <w:spacing w:after="0"/>
              <w:rPr>
                <w:sz w:val="20"/>
                <w:szCs w:val="20"/>
                <w:color w:val="auto"/>
              </w:rPr>
            </w:pPr>
            <w:r>
              <w:rPr>
                <w:rFonts w:ascii="Arial" w:cs="Arial" w:eastAsia="Arial" w:hAnsi="Arial"/>
                <w:sz w:val="18"/>
                <w:szCs w:val="18"/>
                <w:color w:val="auto"/>
              </w:rPr>
              <w:t>81,145</w:t>
            </w:r>
          </w:p>
        </w:tc>
      </w:tr>
    </w:tbl>
    <w:p>
      <w:pPr>
        <w:spacing w:after="0" w:line="106" w:lineRule="exact"/>
        <w:rPr>
          <w:sz w:val="20"/>
          <w:szCs w:val="20"/>
          <w:color w:val="auto"/>
        </w:rPr>
      </w:pPr>
    </w:p>
    <w:p>
      <w:pPr>
        <w:ind w:left="540" w:hanging="424"/>
        <w:spacing w:after="0"/>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Includes: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4,545,264 shares obtainable within 60 days;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25,909 shares credited to 401(k) accounts;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1,084,894 shares subject to RSU awards; for the terms of these RSUs, see pages 17 and 35-36; and</w:t>
      </w:r>
    </w:p>
    <w:p>
      <w:pPr>
        <w:spacing w:after="0" w:line="117" w:lineRule="exact"/>
        <w:rPr>
          <w:rFonts w:ascii="Arial" w:cs="Arial" w:eastAsia="Arial" w:hAnsi="Arial"/>
          <w:sz w:val="18"/>
          <w:szCs w:val="18"/>
          <w:color w:val="auto"/>
        </w:rPr>
      </w:pPr>
    </w:p>
    <w:p>
      <w:pPr>
        <w:ind w:left="1080" w:right="60" w:hanging="532"/>
        <w:spacing w:after="0" w:line="246" w:lineRule="auto"/>
        <w:tabs>
          <w:tab w:leader="none" w:pos="10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78,288 shares credited to certain non-employee directors’ deferred compensation accounts; shares in deferred compensation accounts are issued following a director’s termination of service.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Related person transactions</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Because we believe that company transactions with directors and executive officers of TI or with persons related to TI directors</w:t>
      </w:r>
    </w:p>
    <w:p>
      <w:pPr>
        <w:ind w:left="120" w:right="20"/>
        <w:spacing w:after="0" w:line="261" w:lineRule="auto"/>
        <w:rPr>
          <w:sz w:val="20"/>
          <w:szCs w:val="20"/>
          <w:color w:val="auto"/>
        </w:rPr>
      </w:pPr>
      <w:r>
        <w:rPr>
          <w:rFonts w:ascii="Arial" w:cs="Arial" w:eastAsia="Arial" w:hAnsi="Arial"/>
          <w:sz w:val="17"/>
          <w:szCs w:val="17"/>
          <w:color w:val="auto"/>
        </w:rPr>
        <w:t>and executive officers present a heightened risk of creating or appearing to create a conflict of interest, we have a written related person transaction policy that has been approved by the board of directors. The policy states that TI directors and executive officers should obtain the approvals or ratifications specified below in connection with any related person transaction. The policy applies to transactions in which:</w:t>
      </w:r>
    </w:p>
    <w:p>
      <w:pPr>
        <w:spacing w:after="0" w:line="91" w:lineRule="exact"/>
        <w:rPr>
          <w:sz w:val="20"/>
          <w:szCs w:val="20"/>
          <w:color w:val="auto"/>
        </w:rPr>
      </w:pPr>
    </w:p>
    <w:p>
      <w:pPr>
        <w:ind w:left="540" w:hanging="424"/>
        <w:spacing w:after="0"/>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TI or any TI subsidiary is or will be a participant;</w:t>
      </w:r>
    </w:p>
    <w:p>
      <w:pPr>
        <w:spacing w:after="0" w:line="117" w:lineRule="exact"/>
        <w:rPr>
          <w:rFonts w:ascii="Arial" w:cs="Arial" w:eastAsia="Arial" w:hAnsi="Arial"/>
          <w:sz w:val="18"/>
          <w:szCs w:val="18"/>
          <w:color w:val="auto"/>
        </w:rPr>
      </w:pPr>
    </w:p>
    <w:p>
      <w:pPr>
        <w:ind w:left="540" w:hanging="424"/>
        <w:spacing w:after="0"/>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amount involved exceeds or is expected to exceed $120,000 in a fiscal year; and</w:t>
      </w:r>
    </w:p>
    <w:p>
      <w:pPr>
        <w:spacing w:after="0" w:line="139" w:lineRule="exact"/>
        <w:rPr>
          <w:sz w:val="20"/>
          <w:szCs w:val="20"/>
          <w:color w:val="auto"/>
        </w:rPr>
      </w:pPr>
    </w:p>
    <w:tbl>
      <w:tblPr>
        <w:tblLayout w:type="fixed"/>
        <w:tblInd w:w="4040" w:type="dxa"/>
        <w:tblCellMar>
          <w:top w:w="0" w:type="dxa"/>
          <w:left w:w="0" w:type="dxa"/>
          <w:bottom w:w="0" w:type="dxa"/>
          <w:right w:w="0" w:type="dxa"/>
        </w:tblCellMar>
      </w:tblPr>
      <w:tr>
        <w:trPr>
          <w:trHeight w:val="152"/>
        </w:trPr>
        <w:tc>
          <w:tcPr>
            <w:tcW w:w="5080" w:type="dxa"/>
            <w:vAlign w:val="bottom"/>
          </w:tcPr>
          <w:p>
            <w:pPr>
              <w:spacing w:after="0"/>
              <w:rPr>
                <w:sz w:val="20"/>
                <w:szCs w:val="20"/>
                <w:color w:val="auto"/>
              </w:rPr>
            </w:pPr>
            <w:r>
              <w:rPr>
                <w:rFonts w:ascii="Arial" w:cs="Arial" w:eastAsia="Arial" w:hAnsi="Arial"/>
                <w:sz w:val="13"/>
                <w:szCs w:val="13"/>
                <w:color w:val="666666"/>
              </w:rPr>
              <w:t>TEXAS INSTRUMENTS  •  2020 PROXY STATEMENT</w:t>
            </w:r>
          </w:p>
        </w:tc>
        <w:tc>
          <w:tcPr>
            <w:tcW w:w="2000" w:type="dxa"/>
            <w:vAlign w:val="bottom"/>
          </w:tcPr>
          <w:p>
            <w:pPr>
              <w:jc w:val="right"/>
              <w:spacing w:after="0"/>
              <w:rPr>
                <w:sz w:val="20"/>
                <w:szCs w:val="20"/>
                <w:color w:val="auto"/>
              </w:rPr>
            </w:pPr>
            <w:r>
              <w:rPr>
                <w:rFonts w:ascii="Arial" w:cs="Arial" w:eastAsia="Arial" w:hAnsi="Arial"/>
                <w:sz w:val="13"/>
                <w:szCs w:val="13"/>
                <w:color w:val="666666"/>
              </w:rPr>
              <w:t>47</w:t>
            </w:r>
          </w:p>
        </w:tc>
      </w:tr>
    </w:tbl>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hanging="424"/>
        <w:spacing w:after="0"/>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of the following (a “related person”) has or will have a direct or indirect interest:</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 TI director or executive officer, or an Immediate Family Member of a director or executive officer;</w:t>
      </w:r>
    </w:p>
    <w:p>
      <w:pPr>
        <w:spacing w:after="0" w:line="117" w:lineRule="exact"/>
        <w:rPr>
          <w:rFonts w:ascii="Arial" w:cs="Arial" w:eastAsia="Arial" w:hAnsi="Arial"/>
          <w:sz w:val="18"/>
          <w:szCs w:val="18"/>
          <w:color w:val="auto"/>
        </w:rPr>
      </w:pPr>
    </w:p>
    <w:p>
      <w:pPr>
        <w:ind w:left="1080" w:right="20" w:hanging="532"/>
        <w:spacing w:after="0" w:line="238" w:lineRule="auto"/>
        <w:tabs>
          <w:tab w:leader="none" w:pos="10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 stockholder owning more than 5 percent of the common stock of TI or an Immediate Family Member of such stockholder, or, if the 5 percent stockholder is not a natural person, any person or entity designated in the Form 13G or 13D filed under the SEC rules and regulations by the 5 percent stockholder as having an ownership interest in TI stock (individually or collectively, a “5 percent holder”); or</w:t>
      </w:r>
    </w:p>
    <w:p>
      <w:pPr>
        <w:spacing w:after="0" w:line="110" w:lineRule="exact"/>
        <w:rPr>
          <w:rFonts w:ascii="Arial" w:cs="Arial" w:eastAsia="Arial" w:hAnsi="Arial"/>
          <w:sz w:val="18"/>
          <w:szCs w:val="18"/>
          <w:color w:val="auto"/>
        </w:rPr>
      </w:pPr>
    </w:p>
    <w:p>
      <w:pPr>
        <w:ind w:left="1080" w:right="40" w:hanging="532"/>
        <w:spacing w:after="0" w:line="246" w:lineRule="auto"/>
        <w:tabs>
          <w:tab w:leader="none" w:pos="10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 entity in which someone listed in (a) above has a 5 percent or greater ownership interest, by which someone listed in (a) is employed, or of which someone listed in (a) is a director, principal or partner.</w:t>
      </w:r>
    </w:p>
    <w:p>
      <w:pPr>
        <w:spacing w:after="0" w:line="197" w:lineRule="exact"/>
        <w:rPr>
          <w:sz w:val="20"/>
          <w:szCs w:val="20"/>
          <w:color w:val="auto"/>
        </w:rPr>
      </w:pPr>
    </w:p>
    <w:p>
      <w:pPr>
        <w:ind w:left="120" w:right="520"/>
        <w:spacing w:after="0"/>
        <w:rPr>
          <w:sz w:val="20"/>
          <w:szCs w:val="20"/>
          <w:color w:val="auto"/>
        </w:rPr>
      </w:pPr>
      <w:r>
        <w:rPr>
          <w:rFonts w:ascii="Arial" w:cs="Arial" w:eastAsia="Arial" w:hAnsi="Arial"/>
          <w:sz w:val="18"/>
          <w:szCs w:val="18"/>
          <w:color w:val="auto"/>
        </w:rPr>
        <w:t>For purposes of the policy, an “Immediate Family Member” is any child, stepchild, parent, stepparent, spouse, sibling, mother-in-law, father-in-law, son-in-law, daughter-in-law, brother-in-law, sister-in-law or any person (other than a tenant or employee) sharing the household of a TI director, executive officer or 5 percent holder.</w:t>
      </w:r>
    </w:p>
    <w:p>
      <w:pPr>
        <w:spacing w:after="0" w:line="203" w:lineRule="exact"/>
        <w:rPr>
          <w:sz w:val="20"/>
          <w:szCs w:val="20"/>
          <w:color w:val="auto"/>
        </w:rPr>
      </w:pPr>
    </w:p>
    <w:p>
      <w:pPr>
        <w:ind w:left="120" w:right="160"/>
        <w:spacing w:after="0" w:line="246" w:lineRule="auto"/>
        <w:rPr>
          <w:sz w:val="20"/>
          <w:szCs w:val="20"/>
          <w:color w:val="auto"/>
        </w:rPr>
      </w:pPr>
      <w:r>
        <w:rPr>
          <w:rFonts w:ascii="Arial" w:cs="Arial" w:eastAsia="Arial" w:hAnsi="Arial"/>
          <w:sz w:val="18"/>
          <w:szCs w:val="18"/>
          <w:color w:val="auto"/>
        </w:rPr>
        <w:t>The policy specifies that a related person transaction includes, but is not limited to, any financial transaction, arrangement or relationship (including any indebtedness or guarantee of indebtedness) or any series of similar transactions or arrangements.</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required approvals are as follows:</w:t>
      </w:r>
    </w:p>
    <w:p>
      <w:pPr>
        <w:spacing w:after="0" w:line="226" w:lineRule="exact"/>
        <w:rPr>
          <w:sz w:val="20"/>
          <w:szCs w:val="20"/>
          <w:color w:val="auto"/>
        </w:rPr>
      </w:pPr>
    </w:p>
    <w:tbl>
      <w:tblPr>
        <w:tblLayout w:type="fixed"/>
        <w:tblInd w:w="1120" w:type="dxa"/>
        <w:tblCellMar>
          <w:top w:w="0" w:type="dxa"/>
          <w:left w:w="0" w:type="dxa"/>
          <w:bottom w:w="0" w:type="dxa"/>
          <w:right w:w="0" w:type="dxa"/>
        </w:tblCellMar>
      </w:tblPr>
      <w:tr>
        <w:trPr>
          <w:trHeight w:val="190"/>
        </w:trPr>
        <w:tc>
          <w:tcPr>
            <w:tcW w:w="6140" w:type="dxa"/>
            <w:vAlign w:val="bottom"/>
          </w:tcPr>
          <w:p>
            <w:pPr>
              <w:ind w:left="80"/>
              <w:spacing w:after="0"/>
              <w:rPr>
                <w:sz w:val="20"/>
                <w:szCs w:val="20"/>
                <w:color w:val="auto"/>
              </w:rPr>
            </w:pPr>
            <w:r>
              <w:rPr>
                <w:rFonts w:ascii="Arial" w:cs="Arial" w:eastAsia="Arial" w:hAnsi="Arial"/>
                <w:sz w:val="14"/>
                <w:szCs w:val="14"/>
                <w:b w:val="1"/>
                <w:bCs w:val="1"/>
                <w:color w:val="auto"/>
              </w:rPr>
              <w:t>Arrangement Involving:</w:t>
            </w:r>
          </w:p>
        </w:tc>
        <w:tc>
          <w:tcPr>
            <w:tcW w:w="2880" w:type="dxa"/>
            <w:vAlign w:val="bottom"/>
          </w:tcPr>
          <w:p>
            <w:pPr>
              <w:ind w:left="540"/>
              <w:spacing w:after="0"/>
              <w:rPr>
                <w:sz w:val="20"/>
                <w:szCs w:val="20"/>
                <w:color w:val="auto"/>
              </w:rPr>
            </w:pPr>
            <w:r>
              <w:rPr>
                <w:rFonts w:ascii="Arial" w:cs="Arial" w:eastAsia="Arial" w:hAnsi="Arial"/>
                <w:sz w:val="14"/>
                <w:szCs w:val="14"/>
                <w:b w:val="1"/>
                <w:bCs w:val="1"/>
                <w:color w:val="auto"/>
              </w:rPr>
              <w:t>Approval Required by:</w:t>
            </w:r>
          </w:p>
        </w:tc>
      </w:tr>
      <w:tr>
        <w:trPr>
          <w:trHeight w:val="39"/>
        </w:trPr>
        <w:tc>
          <w:tcPr>
            <w:tcW w:w="6140" w:type="dxa"/>
            <w:vAlign w:val="bottom"/>
            <w:tcBorders>
              <w:bottom w:val="single" w:sz="8" w:color="auto"/>
            </w:tcBorders>
          </w:tcPr>
          <w:p>
            <w:pPr>
              <w:spacing w:after="0"/>
              <w:rPr>
                <w:sz w:val="3"/>
                <w:szCs w:val="3"/>
                <w:color w:val="auto"/>
              </w:rPr>
            </w:pPr>
          </w:p>
        </w:tc>
        <w:tc>
          <w:tcPr>
            <w:tcW w:w="2880" w:type="dxa"/>
            <w:vAlign w:val="bottom"/>
            <w:tcBorders>
              <w:bottom w:val="single" w:sz="8" w:color="auto"/>
            </w:tcBorders>
          </w:tcPr>
          <w:p>
            <w:pPr>
              <w:spacing w:after="0"/>
              <w:rPr>
                <w:sz w:val="3"/>
                <w:szCs w:val="3"/>
                <w:color w:val="auto"/>
              </w:rPr>
            </w:pPr>
          </w:p>
        </w:tc>
      </w:tr>
      <w:tr>
        <w:trPr>
          <w:trHeight w:val="209"/>
        </w:trPr>
        <w:tc>
          <w:tcPr>
            <w:tcW w:w="6140" w:type="dxa"/>
            <w:vAlign w:val="bottom"/>
          </w:tcPr>
          <w:p>
            <w:pPr>
              <w:ind w:left="80"/>
              <w:spacing w:after="0"/>
              <w:rPr>
                <w:sz w:val="20"/>
                <w:szCs w:val="20"/>
                <w:color w:val="auto"/>
              </w:rPr>
            </w:pPr>
            <w:r>
              <w:rPr>
                <w:rFonts w:ascii="Arial" w:cs="Arial" w:eastAsia="Arial" w:hAnsi="Arial"/>
                <w:sz w:val="18"/>
                <w:szCs w:val="18"/>
                <w:color w:val="auto"/>
              </w:rPr>
              <w:t>Executive officer who is also a member of the TI board, an Immediate</w:t>
            </w:r>
          </w:p>
        </w:tc>
        <w:tc>
          <w:tcPr>
            <w:tcW w:w="2880" w:type="dxa"/>
            <w:vAlign w:val="bottom"/>
          </w:tcPr>
          <w:p>
            <w:pPr>
              <w:ind w:left="540"/>
              <w:spacing w:after="0"/>
              <w:rPr>
                <w:sz w:val="20"/>
                <w:szCs w:val="20"/>
                <w:color w:val="auto"/>
              </w:rPr>
            </w:pPr>
            <w:r>
              <w:rPr>
                <w:rFonts w:ascii="Arial" w:cs="Arial" w:eastAsia="Arial" w:hAnsi="Arial"/>
                <w:sz w:val="18"/>
                <w:szCs w:val="18"/>
                <w:color w:val="auto"/>
              </w:rPr>
              <w:t>GSR Committee</w:t>
            </w:r>
          </w:p>
        </w:tc>
      </w:tr>
      <w:tr>
        <w:trPr>
          <w:trHeight w:val="203"/>
        </w:trPr>
        <w:tc>
          <w:tcPr>
            <w:tcW w:w="6140" w:type="dxa"/>
            <w:vAlign w:val="bottom"/>
          </w:tcPr>
          <w:p>
            <w:pPr>
              <w:ind w:left="80"/>
              <w:spacing w:after="0" w:line="202" w:lineRule="exact"/>
              <w:rPr>
                <w:sz w:val="20"/>
                <w:szCs w:val="20"/>
                <w:color w:val="auto"/>
              </w:rPr>
            </w:pPr>
            <w:r>
              <w:rPr>
                <w:rFonts w:ascii="Arial" w:cs="Arial" w:eastAsia="Arial" w:hAnsi="Arial"/>
                <w:sz w:val="18"/>
                <w:szCs w:val="18"/>
                <w:color w:val="auto"/>
              </w:rPr>
              <w:t>Family Member of such person, or an entity in which any of the</w:t>
            </w:r>
          </w:p>
        </w:tc>
        <w:tc>
          <w:tcPr>
            <w:tcW w:w="2880" w:type="dxa"/>
            <w:vAlign w:val="bottom"/>
          </w:tcPr>
          <w:p>
            <w:pPr>
              <w:spacing w:after="0"/>
              <w:rPr>
                <w:sz w:val="17"/>
                <w:szCs w:val="17"/>
                <w:color w:val="auto"/>
              </w:rPr>
            </w:pPr>
          </w:p>
        </w:tc>
      </w:tr>
      <w:tr>
        <w:trPr>
          <w:trHeight w:val="217"/>
        </w:trPr>
        <w:tc>
          <w:tcPr>
            <w:tcW w:w="6140" w:type="dxa"/>
            <w:vAlign w:val="bottom"/>
          </w:tcPr>
          <w:p>
            <w:pPr>
              <w:ind w:left="80"/>
              <w:spacing w:after="0"/>
              <w:rPr>
                <w:sz w:val="20"/>
                <w:szCs w:val="20"/>
                <w:color w:val="auto"/>
              </w:rPr>
            </w:pPr>
            <w:r>
              <w:rPr>
                <w:rFonts w:ascii="Arial" w:cs="Arial" w:eastAsia="Arial" w:hAnsi="Arial"/>
                <w:sz w:val="18"/>
                <w:szCs w:val="18"/>
                <w:color w:val="auto"/>
              </w:rPr>
              <w:t>foregoing has a 5 percent or greater ownership interest</w:t>
            </w:r>
          </w:p>
        </w:tc>
        <w:tc>
          <w:tcPr>
            <w:tcW w:w="28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59690</wp:posOffset>
            </wp:positionV>
            <wp:extent cx="5734685" cy="4718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34685" cy="47180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121" w:lineRule="exact"/>
        <w:rPr>
          <w:sz w:val="20"/>
          <w:szCs w:val="20"/>
          <w:color w:val="auto"/>
        </w:rPr>
      </w:pPr>
    </w:p>
    <w:p>
      <w:pPr>
        <w:jc w:val="both"/>
        <w:ind w:left="1200" w:right="240"/>
        <w:spacing w:after="0"/>
        <w:rPr>
          <w:sz w:val="20"/>
          <w:szCs w:val="20"/>
          <w:color w:val="auto"/>
        </w:rPr>
      </w:pPr>
      <w:r>
        <w:rPr>
          <w:rFonts w:ascii="Arial" w:cs="Arial" w:eastAsia="Arial" w:hAnsi="Arial"/>
          <w:sz w:val="18"/>
          <w:szCs w:val="18"/>
          <w:color w:val="auto"/>
        </w:rPr>
        <w:t>Chair of the GSR Committee, chief compliance officer, any of his or her Immediate Family Members, or an entity in which any of the foregoing has a 5 percent or greater ownership interest</w:t>
      </w:r>
    </w:p>
    <w:p>
      <w:pPr>
        <w:spacing w:after="0" w:line="122" w:lineRule="exact"/>
        <w:rPr>
          <w:sz w:val="20"/>
          <w:szCs w:val="20"/>
          <w:color w:val="auto"/>
        </w:rPr>
      </w:pPr>
    </w:p>
    <w:p>
      <w:pPr>
        <w:jc w:val="both"/>
        <w:ind w:left="1200" w:right="240"/>
        <w:spacing w:after="0"/>
        <w:rPr>
          <w:sz w:val="20"/>
          <w:szCs w:val="20"/>
          <w:color w:val="auto"/>
        </w:rPr>
      </w:pPr>
      <w:r>
        <w:rPr>
          <w:rFonts w:ascii="Arial" w:cs="Arial" w:eastAsia="Arial" w:hAnsi="Arial"/>
          <w:sz w:val="18"/>
          <w:szCs w:val="18"/>
          <w:color w:val="auto"/>
        </w:rPr>
        <w:t>Any other director or executive officer, an Immediate Family Member of such person, or an entity in which any of the foregoing has a 5 percent or greater ownership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69215</wp:posOffset>
            </wp:positionV>
            <wp:extent cx="3669030" cy="2146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669030" cy="214630"/>
                    </a:xfrm>
                    <a:prstGeom prst="rect">
                      <a:avLst/>
                    </a:prstGeom>
                    <a:noFill/>
                  </pic:spPr>
                </pic:pic>
              </a:graphicData>
            </a:graphic>
          </wp:anchor>
        </w:drawing>
      </w:r>
    </w:p>
    <w:p>
      <w:pPr>
        <w:spacing w:after="0" w:line="11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 5 percent holder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GSR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-130175</wp:posOffset>
            </wp:positionV>
            <wp:extent cx="2065655" cy="4540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065655" cy="45402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right="1020"/>
        <w:spacing w:after="0"/>
        <w:rPr>
          <w:sz w:val="20"/>
          <w:szCs w:val="20"/>
          <w:color w:val="auto"/>
        </w:rPr>
      </w:pPr>
      <w:r>
        <w:rPr>
          <w:rFonts w:ascii="Arial" w:cs="Arial" w:eastAsia="Arial" w:hAnsi="Arial"/>
          <w:sz w:val="18"/>
          <w:szCs w:val="18"/>
          <w:color w:val="auto"/>
        </w:rPr>
        <w:t>Chief Compliance Officer in consultation with the Chair of the GSR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69215</wp:posOffset>
            </wp:positionV>
            <wp:extent cx="206565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065655" cy="1714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GSR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-130175</wp:posOffset>
            </wp:positionV>
            <wp:extent cx="2065655" cy="1968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065655"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80" w:space="720"/>
            <w:col w:w="3320"/>
          </w:cols>
          <w:pgMar w:left="320" w:top="459" w:right="459" w:bottom="1440" w:gutter="0" w:footer="0" w:header="0"/>
          <w:type w:val="continuous"/>
        </w:sectPr>
      </w:pPr>
    </w:p>
    <w:p>
      <w:pPr>
        <w:spacing w:after="0" w:line="120"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No member of the GSR Committee will participate in the consideration of a related person arrangement in which such member or any of his or her Immediate Family Members is the related person.</w:t>
      </w:r>
    </w:p>
    <w:p>
      <w:pPr>
        <w:spacing w:after="0" w:line="197"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The approving body or persons will consider all of the relevant facts and circumstances available to them, including (if applicable) but not limited to: the benefits to the company of the arrangement; the impact on a director’s independence; the availability of other sources for comparable products or services; the terms of the arrangement; and the terms available to unrelated third parties or to employees generally. The primary consideration is whether the transaction between TI and the related person (a) was the result of undue influence from the related person or (b) could adversely influence or appear to adversely influence the judgment, decisions or actions of the director or executive officer in meeting TI responsibilities or create obligations to other organizations that may come in conflict with responsibilities to TI.</w:t>
      </w:r>
    </w:p>
    <w:p>
      <w:pPr>
        <w:spacing w:after="0" w:line="203"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No related person arrangement will be approved unless it is determined to be in, or not inconsistent with, the best interests of the company and its stockholders, as the approving body or persons shall determine in good faith.</w:t>
      </w:r>
    </w:p>
    <w:p>
      <w:pPr>
        <w:spacing w:after="0" w:line="197"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The chief compliance officer will provide periodic reports to the committee on related person transactions. Any related person transaction brought to the attention of the chief compliance officer or of which the chief compliance officer becomes aware that is not approved pursuant to the process set forth above shall be terminated as soon as practicable.</w:t>
      </w:r>
    </w:p>
    <w:p>
      <w:pPr>
        <w:spacing w:after="0" w:line="203" w:lineRule="exact"/>
        <w:rPr>
          <w:sz w:val="20"/>
          <w:szCs w:val="20"/>
          <w:color w:val="auto"/>
        </w:rPr>
      </w:pPr>
    </w:p>
    <w:p>
      <w:pPr>
        <w:ind w:left="120" w:right="240"/>
        <w:spacing w:after="0" w:line="246" w:lineRule="auto"/>
        <w:rPr>
          <w:sz w:val="20"/>
          <w:szCs w:val="20"/>
          <w:color w:val="auto"/>
        </w:rPr>
      </w:pPr>
      <w:r>
        <w:rPr>
          <w:rFonts w:ascii="Arial" w:cs="Arial" w:eastAsia="Arial" w:hAnsi="Arial"/>
          <w:sz w:val="18"/>
          <w:szCs w:val="18"/>
          <w:color w:val="auto"/>
        </w:rPr>
        <w:t>The board has determined that the following types of transactions pose little risk of a conflict of interest and therefore has deemed them approved:</w:t>
      </w:r>
    </w:p>
    <w:p>
      <w:pPr>
        <w:spacing w:after="0" w:line="224" w:lineRule="exact"/>
        <w:rPr>
          <w:sz w:val="20"/>
          <w:szCs w:val="20"/>
          <w:color w:val="auto"/>
        </w:rPr>
      </w:pPr>
    </w:p>
    <w:p>
      <w:pPr>
        <w:ind w:left="760" w:right="740" w:hanging="320"/>
        <w:spacing w:after="0" w:line="246" w:lineRule="auto"/>
        <w:tabs>
          <w:tab w:leader="none" w:pos="7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Compensation paid to a TI director or executive officer for services as such, or where the sole interest in a related person transaction of a TI director, executive officer or 5 percent holder is their position as such;</w:t>
      </w:r>
    </w:p>
    <w:p>
      <w:pPr>
        <w:spacing w:after="0" w:line="124" w:lineRule="exact"/>
        <w:rPr>
          <w:sz w:val="20"/>
          <w:szCs w:val="20"/>
          <w:color w:val="auto"/>
        </w:rPr>
      </w:pPr>
    </w:p>
    <w:p>
      <w:pPr>
        <w:ind w:left="120"/>
        <w:spacing w:after="0"/>
        <w:tabs>
          <w:tab w:leader="none" w:pos="4020" w:val="left"/>
          <w:tab w:leader="none" w:pos="5500" w:val="left"/>
          <w:tab w:leader="none" w:pos="5700" w:val="left"/>
        </w:tabs>
        <w:rPr>
          <w:sz w:val="20"/>
          <w:szCs w:val="20"/>
          <w:color w:val="auto"/>
        </w:rPr>
      </w:pPr>
      <w:r>
        <w:rPr>
          <w:rFonts w:ascii="Arial" w:cs="Arial" w:eastAsia="Arial" w:hAnsi="Arial"/>
          <w:sz w:val="13"/>
          <w:szCs w:val="13"/>
          <w:color w:val="666666"/>
        </w:rPr>
        <w:t>48</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2020 PROXY STATEMENT</w:t>
      </w:r>
    </w:p>
    <w:p>
      <w:pPr>
        <w:sectPr>
          <w:pgSz w:w="11900" w:h="16838" w:orient="portrait"/>
          <w:cols w:equalWidth="0" w:num="1">
            <w:col w:w="11120"/>
          </w:cols>
          <w:pgMar w:left="320" w:top="459" w:right="45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60" w:right="540" w:hanging="320"/>
        <w:spacing w:after="0" w:line="234" w:lineRule="auto"/>
        <w:tabs>
          <w:tab w:leader="none" w:pos="7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Transactions where the rates or charges involved are determined by competitive bids, involve the rendering of services as a common or contract carrier, or public utility, at rates or charges fixed in conformity with law or governmental authority;</w:t>
      </w:r>
    </w:p>
    <w:p>
      <w:pPr>
        <w:spacing w:after="0" w:line="1" w:lineRule="exact"/>
        <w:rPr>
          <w:rFonts w:ascii="Arial" w:cs="Arial" w:eastAsia="Arial" w:hAnsi="Arial"/>
          <w:sz w:val="18"/>
          <w:szCs w:val="18"/>
          <w:color w:val="auto"/>
        </w:rPr>
      </w:pPr>
    </w:p>
    <w:p>
      <w:pPr>
        <w:ind w:left="760" w:right="240" w:hanging="320"/>
        <w:spacing w:after="0" w:line="234" w:lineRule="auto"/>
        <w:tabs>
          <w:tab w:leader="none" w:pos="7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Transactions involving services as a bank depository of funds, transfer agent, registrar, trustee under a trust indenture or similar services;</w:t>
      </w:r>
    </w:p>
    <w:p>
      <w:pPr>
        <w:spacing w:after="0" w:line="1" w:lineRule="exact"/>
        <w:rPr>
          <w:rFonts w:ascii="Arial" w:cs="Arial" w:eastAsia="Arial" w:hAnsi="Arial"/>
          <w:sz w:val="18"/>
          <w:szCs w:val="18"/>
          <w:color w:val="auto"/>
        </w:rPr>
      </w:pPr>
    </w:p>
    <w:p>
      <w:pPr>
        <w:ind w:left="760" w:hanging="320"/>
        <w:spacing w:after="0" w:line="234" w:lineRule="auto"/>
        <w:tabs>
          <w:tab w:leader="none" w:pos="7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Interests of a related person arising only from:</w:t>
      </w:r>
    </w:p>
    <w:p>
      <w:pPr>
        <w:ind w:left="1080" w:right="200" w:hanging="316"/>
        <w:spacing w:after="0" w:line="234" w:lineRule="auto"/>
        <w:tabs>
          <w:tab w:leader="none" w:pos="1080" w:val="left"/>
        </w:tabs>
        <w:numPr>
          <w:ilvl w:val="1"/>
          <w:numId w:val="81"/>
        </w:numPr>
        <w:rPr>
          <w:rFonts w:ascii="Arial" w:cs="Arial" w:eastAsia="Arial" w:hAnsi="Arial"/>
          <w:sz w:val="15"/>
          <w:szCs w:val="15"/>
          <w:color w:val="auto"/>
        </w:rPr>
      </w:pPr>
      <w:r>
        <w:rPr>
          <w:rFonts w:ascii="Arial" w:cs="Arial" w:eastAsia="Arial" w:hAnsi="Arial"/>
          <w:sz w:val="18"/>
          <w:szCs w:val="18"/>
          <w:color w:val="auto"/>
        </w:rPr>
        <w:t>the direct or indirect ownership in another party to the transaction and that ownership, when combined with the ownership of all the other individuals specified in 3(a)-(c) above, is less than 5 percent of the outstanding equity of such party;</w:t>
      </w:r>
    </w:p>
    <w:p>
      <w:pPr>
        <w:spacing w:after="0" w:line="1" w:lineRule="exact"/>
        <w:rPr>
          <w:rFonts w:ascii="Arial" w:cs="Arial" w:eastAsia="Arial" w:hAnsi="Arial"/>
          <w:sz w:val="15"/>
          <w:szCs w:val="15"/>
          <w:color w:val="auto"/>
        </w:rPr>
      </w:pPr>
    </w:p>
    <w:p>
      <w:pPr>
        <w:ind w:left="1080" w:right="120" w:hanging="316"/>
        <w:spacing w:after="0" w:line="234" w:lineRule="auto"/>
        <w:tabs>
          <w:tab w:leader="none" w:pos="1080" w:val="left"/>
        </w:tabs>
        <w:numPr>
          <w:ilvl w:val="1"/>
          <w:numId w:val="81"/>
        </w:numPr>
        <w:rPr>
          <w:rFonts w:ascii="Arial" w:cs="Arial" w:eastAsia="Arial" w:hAnsi="Arial"/>
          <w:sz w:val="15"/>
          <w:szCs w:val="15"/>
          <w:color w:val="auto"/>
        </w:rPr>
      </w:pPr>
      <w:r>
        <w:rPr>
          <w:rFonts w:ascii="Arial" w:cs="Arial" w:eastAsia="Arial" w:hAnsi="Arial"/>
          <w:sz w:val="18"/>
          <w:szCs w:val="18"/>
          <w:color w:val="auto"/>
        </w:rPr>
        <w:t>an interest as a limited partner in a partnership, and that ownership interest, when combined with all the other ownership interests of the other individuals specified in 3(a)-(c) above, is less than 5 percent of the total ownership interest of the limited partnership;</w:t>
      </w:r>
    </w:p>
    <w:p>
      <w:pPr>
        <w:spacing w:after="0" w:line="2" w:lineRule="exact"/>
        <w:rPr>
          <w:rFonts w:ascii="Arial" w:cs="Arial" w:eastAsia="Arial" w:hAnsi="Arial"/>
          <w:sz w:val="15"/>
          <w:szCs w:val="15"/>
          <w:color w:val="auto"/>
        </w:rPr>
      </w:pPr>
    </w:p>
    <w:p>
      <w:pPr>
        <w:ind w:left="1080" w:hanging="316"/>
        <w:spacing w:after="0" w:line="234" w:lineRule="auto"/>
        <w:tabs>
          <w:tab w:leader="none" w:pos="1080" w:val="left"/>
        </w:tabs>
        <w:numPr>
          <w:ilvl w:val="1"/>
          <w:numId w:val="81"/>
        </w:numPr>
        <w:rPr>
          <w:rFonts w:ascii="Arial" w:cs="Arial" w:eastAsia="Arial" w:hAnsi="Arial"/>
          <w:sz w:val="15"/>
          <w:szCs w:val="15"/>
          <w:color w:val="auto"/>
        </w:rPr>
      </w:pPr>
      <w:r>
        <w:rPr>
          <w:rFonts w:ascii="Arial" w:cs="Arial" w:eastAsia="Arial" w:hAnsi="Arial"/>
          <w:sz w:val="18"/>
          <w:szCs w:val="18"/>
          <w:color w:val="auto"/>
        </w:rPr>
        <w:t>their position as a director of another corporation or organization;</w:t>
      </w:r>
    </w:p>
    <w:p>
      <w:pPr>
        <w:ind w:left="1080" w:hanging="316"/>
        <w:spacing w:after="0" w:line="234" w:lineRule="auto"/>
        <w:tabs>
          <w:tab w:leader="none" w:pos="1080" w:val="left"/>
        </w:tabs>
        <w:numPr>
          <w:ilvl w:val="1"/>
          <w:numId w:val="81"/>
        </w:numPr>
        <w:rPr>
          <w:rFonts w:ascii="Arial" w:cs="Arial" w:eastAsia="Arial" w:hAnsi="Arial"/>
          <w:sz w:val="15"/>
          <w:szCs w:val="15"/>
          <w:color w:val="auto"/>
        </w:rPr>
      </w:pPr>
      <w:r>
        <w:rPr>
          <w:rFonts w:ascii="Arial" w:cs="Arial" w:eastAsia="Arial" w:hAnsi="Arial"/>
          <w:sz w:val="18"/>
          <w:szCs w:val="18"/>
          <w:color w:val="auto"/>
        </w:rPr>
        <w:t>the ownership of TI stock and all holders of that class of stock receive the same benefit on a pro-rata basis;</w:t>
      </w:r>
    </w:p>
    <w:p>
      <w:pPr>
        <w:ind w:left="760" w:right="20" w:hanging="320"/>
        <w:spacing w:after="0" w:line="234" w:lineRule="auto"/>
        <w:tabs>
          <w:tab w:leader="none" w:pos="7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Transactions in the ordinary course of business where the only relationship of a TI director or executive officer, or their Immediate Family Member, is as an employee (other than an executive officer) and/or less than a 10 percent beneficial owner of the other entity if (i) the TI director or executive officer is not involved in negotiating the terms of the transaction and (ii) amounts involved for the fiscal year do not exceed the greater of $200,000 or 2 percent of the entity’s consolidated gross revenues for that year;</w:t>
      </w:r>
    </w:p>
    <w:p>
      <w:pPr>
        <w:spacing w:after="0" w:line="2" w:lineRule="exact"/>
        <w:rPr>
          <w:rFonts w:ascii="Arial" w:cs="Arial" w:eastAsia="Arial" w:hAnsi="Arial"/>
          <w:sz w:val="18"/>
          <w:szCs w:val="18"/>
          <w:color w:val="auto"/>
        </w:rPr>
      </w:pPr>
    </w:p>
    <w:p>
      <w:pPr>
        <w:ind w:left="760" w:hanging="320"/>
        <w:spacing w:after="0" w:line="234" w:lineRule="auto"/>
        <w:tabs>
          <w:tab w:leader="none" w:pos="7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Charitable contributions, grants or endowments by TI or the TI Foundation to an entity where the only relationship of the TI director or executive officer, or their Immediate Family Member, is as a trustee or employee (other than as an executive officer) if the aggregate payments for the fiscal year do not exceed the greater of $200,000 or 2 percent of the recipient’s consolidated gross revenues for that year. “Payments” exclude payments arising solely from investments in TI stock, payments under the TI Director Award Program and payments under non-discretionary charitable contribution matching programs; and</w:t>
      </w:r>
    </w:p>
    <w:p>
      <w:pPr>
        <w:spacing w:after="0" w:line="3" w:lineRule="exact"/>
        <w:rPr>
          <w:rFonts w:ascii="Arial" w:cs="Arial" w:eastAsia="Arial" w:hAnsi="Arial"/>
          <w:sz w:val="18"/>
          <w:szCs w:val="18"/>
          <w:color w:val="auto"/>
        </w:rPr>
      </w:pPr>
    </w:p>
    <w:p>
      <w:pPr>
        <w:ind w:left="760" w:right="60" w:hanging="320"/>
        <w:spacing w:after="0" w:line="238" w:lineRule="auto"/>
        <w:tabs>
          <w:tab w:leader="none" w:pos="7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Transactions involving the employment of an Immediate Family Member of a TI director or executive officer if such director or executive officer does not participate in the decisions regarding the hiring, performance evaluation or compensation of the Immediate Family Member and such hiring, performance evaluation or compensation is determined on a basis consistent with TI’s human resources policies.</w:t>
      </w:r>
    </w:p>
    <w:p>
      <w:pPr>
        <w:spacing w:after="0" w:line="205" w:lineRule="exact"/>
        <w:rPr>
          <w:sz w:val="20"/>
          <w:szCs w:val="20"/>
          <w:color w:val="auto"/>
        </w:rPr>
      </w:pPr>
    </w:p>
    <w:p>
      <w:pPr>
        <w:jc w:val="both"/>
        <w:ind w:left="120" w:right="380"/>
        <w:spacing w:after="0"/>
        <w:rPr>
          <w:sz w:val="20"/>
          <w:szCs w:val="20"/>
          <w:color w:val="auto"/>
        </w:rPr>
      </w:pPr>
      <w:r>
        <w:rPr>
          <w:rFonts w:ascii="Arial" w:cs="Arial" w:eastAsia="Arial" w:hAnsi="Arial"/>
          <w:sz w:val="18"/>
          <w:szCs w:val="18"/>
          <w:color w:val="auto"/>
        </w:rPr>
        <w:t>During 2019, two sons of R. Gregory Delagi (Senior Vice President) were employed in our facilities and manufacturing organizations. Mr. Delagi was not involved in any decisions regarding his sons’ employment at TI, and their compensation was consistent with that of similarly situated employees and was determined on a basis consistent with the company’s human resources policies.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Compensation committee interlocks and insider participation</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During 2019, Messrs. Carp and Craighead and Mses. Cox and Patsley served on the Compensation Committee. No committee member</w:t>
      </w:r>
    </w:p>
    <w:p>
      <w:pPr>
        <w:ind w:left="120" w:right="20" w:hanging="4"/>
        <w:spacing w:after="0" w:line="238" w:lineRule="auto"/>
        <w:tabs>
          <w:tab w:leader="none" w:pos="33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was an officer or employee of TI, (ii) was formerly an officer of TI or (iii) had any relationship requiring disclosure under the SEC’s rules governing disclosure of related person transactions (Item 404 of Regulation S-K). No executive officer of TI served as a director or member of the compensation committee of another entity, one of whose directors or executive officers served as a member of our board of directors or a member of the Compensation Committee.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Cost of solicitation</w:t>
      </w:r>
    </w:p>
    <w:p>
      <w:pPr>
        <w:spacing w:after="0" w:line="229"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The solicitation is made on behalf of our board of directors. TI will pay the cost of soliciting these proxies. We will reimburse brokerage houses and other custodians, nominees and fiduciaries for reasonable expenses they incur in sending these proxy materials to you if you are a beneficial holder of our shares.</w:t>
      </w:r>
    </w:p>
    <w:p>
      <w:pPr>
        <w:spacing w:after="0" w:line="203" w:lineRule="exact"/>
        <w:rPr>
          <w:sz w:val="20"/>
          <w:szCs w:val="20"/>
          <w:color w:val="auto"/>
        </w:rPr>
      </w:pPr>
    </w:p>
    <w:p>
      <w:pPr>
        <w:jc w:val="both"/>
        <w:ind w:left="120" w:right="440"/>
        <w:spacing w:after="0"/>
        <w:rPr>
          <w:sz w:val="20"/>
          <w:szCs w:val="20"/>
          <w:color w:val="auto"/>
        </w:rPr>
      </w:pPr>
      <w:r>
        <w:rPr>
          <w:rFonts w:ascii="Arial" w:cs="Arial" w:eastAsia="Arial" w:hAnsi="Arial"/>
          <w:sz w:val="18"/>
          <w:szCs w:val="18"/>
          <w:color w:val="auto"/>
        </w:rPr>
        <w:t>Without receiving additional compensation, directors, officers and employees of TI may solicit proxies personally, by telephone, fax or email, from some stockholders if proxies are not promptly received. We have also hired Georgeson Inc. to assist in the solicitation of proxies at a cost of $12,500 plus out-of-pocket expenses.</w:t>
      </w:r>
    </w:p>
    <w:p>
      <w:pPr>
        <w:spacing w:after="0" w:line="130" w:lineRule="exact"/>
        <w:rPr>
          <w:sz w:val="20"/>
          <w:szCs w:val="20"/>
          <w:color w:val="auto"/>
        </w:rPr>
      </w:pPr>
    </w:p>
    <w:tbl>
      <w:tblPr>
        <w:tblLayout w:type="fixed"/>
        <w:tblInd w:w="4040" w:type="dxa"/>
        <w:tblCellMar>
          <w:top w:w="0" w:type="dxa"/>
          <w:left w:w="0" w:type="dxa"/>
          <w:bottom w:w="0" w:type="dxa"/>
          <w:right w:w="0" w:type="dxa"/>
        </w:tblCellMar>
      </w:tblPr>
      <w:tr>
        <w:trPr>
          <w:trHeight w:val="152"/>
        </w:trPr>
        <w:tc>
          <w:tcPr>
            <w:tcW w:w="5080" w:type="dxa"/>
            <w:vAlign w:val="bottom"/>
          </w:tcPr>
          <w:p>
            <w:pPr>
              <w:spacing w:after="0"/>
              <w:rPr>
                <w:sz w:val="20"/>
                <w:szCs w:val="20"/>
                <w:color w:val="auto"/>
              </w:rPr>
            </w:pPr>
            <w:r>
              <w:rPr>
                <w:rFonts w:ascii="Arial" w:cs="Arial" w:eastAsia="Arial" w:hAnsi="Arial"/>
                <w:sz w:val="13"/>
                <w:szCs w:val="13"/>
                <w:color w:val="666666"/>
              </w:rPr>
              <w:t>TEXAS INSTRUMENTS  •  2020 PROXY STATEMENT</w:t>
            </w:r>
          </w:p>
        </w:tc>
        <w:tc>
          <w:tcPr>
            <w:tcW w:w="2000" w:type="dxa"/>
            <w:vAlign w:val="bottom"/>
          </w:tcPr>
          <w:p>
            <w:pPr>
              <w:jc w:val="right"/>
              <w:spacing w:after="0"/>
              <w:rPr>
                <w:sz w:val="20"/>
                <w:szCs w:val="20"/>
                <w:color w:val="auto"/>
              </w:rPr>
            </w:pPr>
            <w:r>
              <w:rPr>
                <w:rFonts w:ascii="Arial" w:cs="Arial" w:eastAsia="Arial" w:hAnsi="Arial"/>
                <w:sz w:val="13"/>
                <w:szCs w:val="13"/>
                <w:color w:val="666666"/>
              </w:rPr>
              <w:t>49</w:t>
            </w:r>
          </w:p>
        </w:tc>
      </w:tr>
    </w:tbl>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Stockholder proposals and nominations for 2021</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shows the deadlines for stockholders to submit proposals or director nominations for next year’s annual meeting.</w:t>
      </w:r>
    </w:p>
    <w:p>
      <w:pPr>
        <w:spacing w:after="0" w:line="226" w:lineRule="exact"/>
        <w:rPr>
          <w:sz w:val="20"/>
          <w:szCs w:val="20"/>
          <w:color w:val="auto"/>
        </w:rPr>
      </w:pPr>
    </w:p>
    <w:tbl>
      <w:tblPr>
        <w:tblLayout w:type="fixed"/>
        <w:tblInd w:w="316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640" w:type="dxa"/>
            <w:vAlign w:val="bottom"/>
          </w:tcPr>
          <w:p>
            <w:pPr>
              <w:jc w:val="center"/>
              <w:ind w:left="248"/>
              <w:spacing w:after="0"/>
              <w:rPr>
                <w:sz w:val="20"/>
                <w:szCs w:val="20"/>
                <w:color w:val="auto"/>
              </w:rPr>
            </w:pPr>
            <w:r>
              <w:rPr>
                <w:rFonts w:ascii="Arial" w:cs="Arial" w:eastAsia="Arial" w:hAnsi="Arial"/>
                <w:sz w:val="14"/>
                <w:szCs w:val="14"/>
                <w:b w:val="1"/>
                <w:bCs w:val="1"/>
                <w:color w:val="auto"/>
              </w:rPr>
              <w:t>Other Proposals/Nominees to be</w:t>
            </w:r>
          </w:p>
        </w:tc>
      </w:tr>
      <w:tr>
        <w:trPr>
          <w:trHeight w:val="162"/>
        </w:trPr>
        <w:tc>
          <w:tcPr>
            <w:tcW w:w="2200" w:type="dxa"/>
            <w:vAlign w:val="bottom"/>
          </w:tcPr>
          <w:p>
            <w:pPr>
              <w:spacing w:after="0"/>
              <w:rPr>
                <w:sz w:val="14"/>
                <w:szCs w:val="14"/>
                <w:color w:val="auto"/>
              </w:rPr>
            </w:pPr>
          </w:p>
        </w:tc>
        <w:tc>
          <w:tcPr>
            <w:tcW w:w="2920" w:type="dxa"/>
            <w:vAlign w:val="bottom"/>
          </w:tcPr>
          <w:p>
            <w:pPr>
              <w:jc w:val="center"/>
              <w:ind w:left="68"/>
              <w:spacing w:after="0"/>
              <w:rPr>
                <w:sz w:val="20"/>
                <w:szCs w:val="20"/>
                <w:color w:val="auto"/>
              </w:rPr>
            </w:pPr>
            <w:r>
              <w:rPr>
                <w:rFonts w:ascii="Arial" w:cs="Arial" w:eastAsia="Arial" w:hAnsi="Arial"/>
                <w:sz w:val="14"/>
                <w:szCs w:val="14"/>
                <w:b w:val="1"/>
                <w:bCs w:val="1"/>
                <w:color w:val="auto"/>
              </w:rPr>
              <w:t>Director Nominees for Inclusion</w:t>
            </w:r>
          </w:p>
        </w:tc>
        <w:tc>
          <w:tcPr>
            <w:tcW w:w="2640" w:type="dxa"/>
            <w:vAlign w:val="bottom"/>
          </w:tcPr>
          <w:p>
            <w:pPr>
              <w:jc w:val="center"/>
              <w:ind w:left="248"/>
              <w:spacing w:after="0"/>
              <w:rPr>
                <w:sz w:val="20"/>
                <w:szCs w:val="20"/>
                <w:color w:val="auto"/>
              </w:rPr>
            </w:pPr>
            <w:r>
              <w:rPr>
                <w:rFonts w:ascii="Arial" w:cs="Arial" w:eastAsia="Arial" w:hAnsi="Arial"/>
                <w:sz w:val="14"/>
                <w:szCs w:val="14"/>
                <w:b w:val="1"/>
                <w:bCs w:val="1"/>
                <w:color w:val="auto"/>
              </w:rPr>
              <w:t>Presented at 2021 Annual Meeting</w:t>
            </w:r>
          </w:p>
        </w:tc>
      </w:tr>
      <w:tr>
        <w:trPr>
          <w:trHeight w:val="162"/>
        </w:trPr>
        <w:tc>
          <w:tcPr>
            <w:tcW w:w="2200" w:type="dxa"/>
            <w:vAlign w:val="bottom"/>
          </w:tcPr>
          <w:p>
            <w:pPr>
              <w:jc w:val="center"/>
              <w:ind w:right="368"/>
              <w:spacing w:after="0"/>
              <w:rPr>
                <w:sz w:val="20"/>
                <w:szCs w:val="20"/>
                <w:color w:val="auto"/>
              </w:rPr>
            </w:pPr>
            <w:r>
              <w:rPr>
                <w:rFonts w:ascii="Arial" w:cs="Arial" w:eastAsia="Arial" w:hAnsi="Arial"/>
                <w:sz w:val="14"/>
                <w:szCs w:val="14"/>
                <w:b w:val="1"/>
                <w:bCs w:val="1"/>
                <w:color w:val="auto"/>
              </w:rPr>
              <w:t>Proposals for Inclusion in</w:t>
            </w:r>
          </w:p>
        </w:tc>
        <w:tc>
          <w:tcPr>
            <w:tcW w:w="2920" w:type="dxa"/>
            <w:vAlign w:val="bottom"/>
          </w:tcPr>
          <w:p>
            <w:pPr>
              <w:jc w:val="center"/>
              <w:ind w:left="68"/>
              <w:spacing w:after="0"/>
              <w:rPr>
                <w:sz w:val="20"/>
                <w:szCs w:val="20"/>
                <w:color w:val="auto"/>
              </w:rPr>
            </w:pPr>
            <w:r>
              <w:rPr>
                <w:rFonts w:ascii="Arial" w:cs="Arial" w:eastAsia="Arial" w:hAnsi="Arial"/>
                <w:sz w:val="14"/>
                <w:szCs w:val="14"/>
                <w:b w:val="1"/>
                <w:bCs w:val="1"/>
                <w:color w:val="auto"/>
              </w:rPr>
              <w:t>in 2021 Proxy Materials</w:t>
            </w:r>
          </w:p>
        </w:tc>
        <w:tc>
          <w:tcPr>
            <w:tcW w:w="2640" w:type="dxa"/>
            <w:vAlign w:val="bottom"/>
          </w:tcPr>
          <w:p>
            <w:pPr>
              <w:jc w:val="center"/>
              <w:ind w:left="228"/>
              <w:spacing w:after="0"/>
              <w:rPr>
                <w:sz w:val="20"/>
                <w:szCs w:val="20"/>
                <w:color w:val="auto"/>
              </w:rPr>
            </w:pPr>
            <w:r>
              <w:rPr>
                <w:rFonts w:ascii="Arial" w:cs="Arial" w:eastAsia="Arial" w:hAnsi="Arial"/>
                <w:sz w:val="14"/>
                <w:szCs w:val="14"/>
                <w:b w:val="1"/>
                <w:bCs w:val="1"/>
                <w:color w:val="auto"/>
              </w:rPr>
              <w:t>(and Not for Inclusion in</w:t>
            </w:r>
          </w:p>
        </w:tc>
      </w:tr>
      <w:tr>
        <w:trPr>
          <w:trHeight w:val="190"/>
        </w:trPr>
        <w:tc>
          <w:tcPr>
            <w:tcW w:w="2200" w:type="dxa"/>
            <w:vAlign w:val="bottom"/>
          </w:tcPr>
          <w:p>
            <w:pPr>
              <w:jc w:val="center"/>
              <w:ind w:right="388"/>
              <w:spacing w:after="0"/>
              <w:rPr>
                <w:sz w:val="20"/>
                <w:szCs w:val="20"/>
                <w:color w:val="auto"/>
              </w:rPr>
            </w:pPr>
            <w:r>
              <w:rPr>
                <w:rFonts w:ascii="Arial" w:cs="Arial" w:eastAsia="Arial" w:hAnsi="Arial"/>
                <w:sz w:val="14"/>
                <w:szCs w:val="14"/>
                <w:b w:val="1"/>
                <w:bCs w:val="1"/>
                <w:color w:val="auto"/>
              </w:rPr>
              <w:t>2021 Proxy Materials</w:t>
            </w:r>
          </w:p>
        </w:tc>
        <w:tc>
          <w:tcPr>
            <w:tcW w:w="2920" w:type="dxa"/>
            <w:vAlign w:val="bottom"/>
          </w:tcPr>
          <w:p>
            <w:pPr>
              <w:jc w:val="center"/>
              <w:ind w:left="88"/>
              <w:spacing w:after="0"/>
              <w:rPr>
                <w:sz w:val="20"/>
                <w:szCs w:val="20"/>
                <w:color w:val="auto"/>
              </w:rPr>
            </w:pPr>
            <w:r>
              <w:rPr>
                <w:rFonts w:ascii="Arial" w:cs="Arial" w:eastAsia="Arial" w:hAnsi="Arial"/>
                <w:sz w:val="14"/>
                <w:szCs w:val="14"/>
                <w:b w:val="1"/>
                <w:bCs w:val="1"/>
                <w:color w:val="auto"/>
              </w:rPr>
              <w:t>(Proxy Access)</w:t>
            </w:r>
          </w:p>
        </w:tc>
        <w:tc>
          <w:tcPr>
            <w:tcW w:w="2640" w:type="dxa"/>
            <w:vAlign w:val="bottom"/>
          </w:tcPr>
          <w:p>
            <w:pPr>
              <w:jc w:val="center"/>
              <w:ind w:left="248"/>
              <w:spacing w:after="0"/>
              <w:rPr>
                <w:sz w:val="20"/>
                <w:szCs w:val="20"/>
                <w:color w:val="auto"/>
              </w:rPr>
            </w:pPr>
            <w:r>
              <w:rPr>
                <w:rFonts w:ascii="Arial" w:cs="Arial" w:eastAsia="Arial" w:hAnsi="Arial"/>
                <w:sz w:val="14"/>
                <w:szCs w:val="14"/>
                <w:b w:val="1"/>
                <w:bCs w:val="1"/>
                <w:color w:val="auto"/>
              </w:rPr>
              <w:t>Proxy Materials)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80"/>
          </w:cols>
          <w:pgMar w:left="320" w:top="459" w:right="499" w:bottom="1440" w:gutter="0" w:footer="0" w:header="0"/>
        </w:sectPr>
      </w:pPr>
    </w:p>
    <w:p>
      <w:pPr>
        <w:spacing w:after="0" w:line="7" w:lineRule="exact"/>
        <w:rPr>
          <w:sz w:val="20"/>
          <w:szCs w:val="20"/>
          <w:color w:val="auto"/>
        </w:rPr>
      </w:pPr>
    </w:p>
    <w:p>
      <w:pPr>
        <w:ind w:left="120"/>
        <w:spacing w:after="0"/>
        <w:tabs>
          <w:tab w:leader="none" w:pos="3120" w:val="left"/>
          <w:tab w:leader="none" w:pos="5620" w:val="left"/>
        </w:tabs>
        <w:rPr>
          <w:sz w:val="20"/>
          <w:szCs w:val="20"/>
          <w:color w:val="auto"/>
        </w:rPr>
      </w:pPr>
      <w:r>
        <w:rPr>
          <w:rFonts w:ascii="Arial" w:cs="Arial" w:eastAsia="Arial" w:hAnsi="Arial"/>
          <w:sz w:val="18"/>
          <w:szCs w:val="18"/>
          <w:color w:val="auto"/>
        </w:rPr>
        <w:t>When proposal must be</w:t>
      </w:r>
      <w:r>
        <w:rPr>
          <w:sz w:val="20"/>
          <w:szCs w:val="20"/>
          <w:color w:val="auto"/>
        </w:rPr>
        <w:tab/>
      </w:r>
      <w:r>
        <w:rPr>
          <w:rFonts w:ascii="Arial" w:cs="Arial" w:eastAsia="Arial" w:hAnsi="Arial"/>
          <w:sz w:val="18"/>
          <w:szCs w:val="18"/>
          <w:color w:val="auto"/>
        </w:rPr>
        <w:t>On or before</w:t>
      </w:r>
      <w:r>
        <w:rPr>
          <w:sz w:val="20"/>
          <w:szCs w:val="20"/>
          <w:color w:val="auto"/>
        </w:rPr>
        <w:tab/>
      </w:r>
      <w:r>
        <w:rPr>
          <w:rFonts w:ascii="Arial" w:cs="Arial" w:eastAsia="Arial" w:hAnsi="Arial"/>
          <w:sz w:val="18"/>
          <w:szCs w:val="18"/>
          <w:color w:val="auto"/>
        </w:rPr>
        <w:t>No earlier than October 11,</w:t>
      </w:r>
    </w:p>
    <w:p>
      <w:pPr>
        <w:ind w:left="120"/>
        <w:spacing w:after="0" w:line="234" w:lineRule="auto"/>
        <w:tabs>
          <w:tab w:leader="none" w:pos="3120" w:val="left"/>
          <w:tab w:leader="none" w:pos="5620" w:val="left"/>
        </w:tabs>
        <w:rPr>
          <w:sz w:val="20"/>
          <w:szCs w:val="20"/>
          <w:color w:val="auto"/>
        </w:rPr>
      </w:pPr>
      <w:r>
        <w:rPr>
          <w:rFonts w:ascii="Arial" w:cs="Arial" w:eastAsia="Arial" w:hAnsi="Arial"/>
          <w:sz w:val="18"/>
          <w:szCs w:val="18"/>
          <w:color w:val="auto"/>
        </w:rPr>
        <w:t>received by Texas Instruments</w:t>
      </w:r>
      <w:r>
        <w:rPr>
          <w:sz w:val="20"/>
          <w:szCs w:val="20"/>
          <w:color w:val="auto"/>
        </w:rPr>
        <w:tab/>
      </w:r>
      <w:r>
        <w:rPr>
          <w:rFonts w:ascii="Arial" w:cs="Arial" w:eastAsia="Arial" w:hAnsi="Arial"/>
          <w:sz w:val="18"/>
          <w:szCs w:val="18"/>
          <w:color w:val="auto"/>
        </w:rPr>
        <w:t>November 10, 2020</w:t>
      </w:r>
      <w:r>
        <w:rPr>
          <w:sz w:val="20"/>
          <w:szCs w:val="20"/>
          <w:color w:val="auto"/>
        </w:rPr>
        <w:tab/>
      </w:r>
      <w:r>
        <w:rPr>
          <w:rFonts w:ascii="Arial" w:cs="Arial" w:eastAsia="Arial" w:hAnsi="Arial"/>
          <w:sz w:val="18"/>
          <w:szCs w:val="18"/>
          <w:color w:val="auto"/>
        </w:rPr>
        <w:t>2020, and no later than</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November 10, 2020</w:t>
      </w:r>
    </w:p>
    <w:p>
      <w:pPr>
        <w:spacing w:after="0" w:line="20" w:lineRule="exact"/>
        <w:rPr>
          <w:sz w:val="20"/>
          <w:szCs w:val="20"/>
          <w:color w:val="auto"/>
        </w:rPr>
      </w:pPr>
      <w:r>
        <w:rPr>
          <w:sz w:val="20"/>
          <w:szCs w:val="20"/>
          <w:color w:val="auto"/>
        </w:rPr>
        <w:br w:type="column"/>
      </w:r>
    </w:p>
    <w:p>
      <w:pPr>
        <w:ind w:right="340"/>
        <w:spacing w:after="0"/>
        <w:rPr>
          <w:sz w:val="20"/>
          <w:szCs w:val="20"/>
          <w:color w:val="auto"/>
        </w:rPr>
      </w:pPr>
      <w:r>
        <w:rPr>
          <w:rFonts w:ascii="Arial" w:cs="Arial" w:eastAsia="Arial" w:hAnsi="Arial"/>
          <w:sz w:val="18"/>
          <w:szCs w:val="18"/>
          <w:color w:val="auto"/>
        </w:rPr>
        <w:t>No earlier than December 24, 2020, and no later than January 23, 2021</w:t>
      </w:r>
    </w:p>
    <w:p>
      <w:pPr>
        <w:spacing w:after="0" w:line="200" w:lineRule="exact"/>
        <w:rPr>
          <w:sz w:val="20"/>
          <w:szCs w:val="20"/>
          <w:color w:val="auto"/>
        </w:rPr>
      </w:pPr>
    </w:p>
    <w:p>
      <w:pPr>
        <w:sectPr>
          <w:pgSz w:w="11900" w:h="16838" w:orient="portrait"/>
          <w:cols w:equalWidth="0" w:num="2">
            <w:col w:w="7820" w:space="560"/>
            <w:col w:w="2700"/>
          </w:cols>
          <w:pgMar w:left="320" w:top="459" w:right="499" w:bottom="1440" w:gutter="0" w:footer="0" w:header="0"/>
          <w:type w:val="continuous"/>
        </w:sectPr>
      </w:pP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Proposals are to be sent to: Texas Instruments Incorporated, 12500 TI Boulevard, MS 8658, Dallas, TX 75243, Attn: Secretary.</w:t>
      </w:r>
    </w:p>
    <w:p>
      <w:pPr>
        <w:spacing w:after="0" w:line="212" w:lineRule="exact"/>
        <w:rPr>
          <w:sz w:val="20"/>
          <w:szCs w:val="20"/>
          <w:color w:val="auto"/>
        </w:rPr>
      </w:pPr>
    </w:p>
    <w:p>
      <w:pPr>
        <w:ind w:left="120" w:right="140"/>
        <w:spacing w:after="0" w:line="246" w:lineRule="auto"/>
        <w:rPr>
          <w:sz w:val="20"/>
          <w:szCs w:val="20"/>
          <w:color w:val="auto"/>
        </w:rPr>
      </w:pPr>
      <w:r>
        <w:rPr>
          <w:rFonts w:ascii="Arial" w:cs="Arial" w:eastAsia="Arial" w:hAnsi="Arial"/>
          <w:sz w:val="18"/>
          <w:szCs w:val="18"/>
          <w:color w:val="auto"/>
        </w:rPr>
        <w:t>We reserve the right to reject, rule out of order, or take any other appropriate action with respect to any proposal or nomination that does not comply with these and other applicable requirements.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Benefit plan voting</w:t>
      </w:r>
    </w:p>
    <w:p>
      <w:pPr>
        <w:spacing w:after="0" w:line="229"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If you are a participant in the TI Contribution and 401(k) Savings Plan, or the TI 401(k) Savings Plan, you are a “named fiduciary” under the plans and are entitled to direct the voting of shares allocable to your accounts under these plans. The trustee administering your plan will vote your shares in accordance with your instructions. If you wish to instruct the trustee on the voting of shares held for your accounts, you should do so by April 20, 2020, in the manner described in the notice of annual meeting.</w:t>
      </w:r>
    </w:p>
    <w:p>
      <w:pPr>
        <w:spacing w:after="0" w:line="205"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Additionally, participants under the plans are designated as “named fiduciaries” for the purpose of voting TI stock held under the plans for which no voting direction is received. TI shares held by the TI 401(k) savings plans for which no voting instructions are received by April 20, 2020, will be voted in the same proportions as the shares in the plans for which voting instructions have been received by that date unless otherwise required by law.</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Telephone and internet voting</w:t>
      </w:r>
    </w:p>
    <w:p>
      <w:pPr>
        <w:spacing w:after="0" w:line="229" w:lineRule="exact"/>
        <w:rPr>
          <w:sz w:val="20"/>
          <w:szCs w:val="20"/>
          <w:color w:val="auto"/>
        </w:rPr>
      </w:pPr>
    </w:p>
    <w:p>
      <w:pPr>
        <w:ind w:left="120" w:right="40"/>
        <w:spacing w:after="0"/>
        <w:rPr>
          <w:sz w:val="20"/>
          <w:szCs w:val="20"/>
          <w:color w:val="auto"/>
        </w:rPr>
      </w:pPr>
      <w:r>
        <w:rPr>
          <w:rFonts w:ascii="Arial" w:cs="Arial" w:eastAsia="Arial" w:hAnsi="Arial"/>
          <w:sz w:val="18"/>
          <w:szCs w:val="18"/>
          <w:u w:val="single" w:color="auto"/>
          <w:color w:val="auto"/>
        </w:rPr>
        <w:t>Registered stockholders and benefit plan participants</w:t>
      </w:r>
      <w:r>
        <w:rPr>
          <w:rFonts w:ascii="Arial" w:cs="Arial" w:eastAsia="Arial" w:hAnsi="Arial"/>
          <w:sz w:val="18"/>
          <w:szCs w:val="18"/>
          <w:color w:val="auto"/>
        </w:rPr>
        <w:t>. Stockholders with shares registered directly with Computershare (TI’s transfer agent) and participants who beneficially own shares in a TI benefit plan may vote telephonically by calling (800) 690-6903 (within the U.S. and Canada only, toll-free) or via the internet at www.proxyvote.com.</w:t>
      </w:r>
    </w:p>
    <w:p>
      <w:pPr>
        <w:spacing w:after="0" w:line="203" w:lineRule="exact"/>
        <w:rPr>
          <w:sz w:val="20"/>
          <w:szCs w:val="20"/>
          <w:color w:val="auto"/>
        </w:rPr>
      </w:pPr>
    </w:p>
    <w:p>
      <w:pPr>
        <w:ind w:left="120" w:right="400"/>
        <w:spacing w:after="0" w:line="246" w:lineRule="auto"/>
        <w:rPr>
          <w:sz w:val="20"/>
          <w:szCs w:val="20"/>
          <w:color w:val="auto"/>
        </w:rPr>
      </w:pPr>
      <w:r>
        <w:rPr>
          <w:rFonts w:ascii="Arial" w:cs="Arial" w:eastAsia="Arial" w:hAnsi="Arial"/>
          <w:sz w:val="18"/>
          <w:szCs w:val="18"/>
          <w:color w:val="auto"/>
        </w:rPr>
        <w:t>The telephone and internet voting procedures are designed to authenticate stockholders’ identities, to allow stockholders to give their voting instructions and to confirm that stockholders’ instructions have been recorded properly.</w:t>
      </w:r>
    </w:p>
    <w:p>
      <w:pPr>
        <w:spacing w:after="0" w:line="197" w:lineRule="exact"/>
        <w:rPr>
          <w:sz w:val="20"/>
          <w:szCs w:val="20"/>
          <w:color w:val="auto"/>
        </w:rPr>
      </w:pPr>
    </w:p>
    <w:p>
      <w:pPr>
        <w:ind w:left="120" w:right="60"/>
        <w:spacing w:after="0"/>
        <w:rPr>
          <w:sz w:val="20"/>
          <w:szCs w:val="20"/>
          <w:color w:val="auto"/>
        </w:rPr>
      </w:pPr>
      <w:r>
        <w:rPr>
          <w:rFonts w:ascii="Arial" w:cs="Arial" w:eastAsia="Arial" w:hAnsi="Arial"/>
          <w:sz w:val="18"/>
          <w:szCs w:val="18"/>
          <w:u w:val="single" w:color="auto"/>
          <w:color w:val="auto"/>
        </w:rPr>
        <w:t>Stockholders with shares registered in the name of a brokerage firm or bank</w:t>
      </w:r>
      <w:r>
        <w:rPr>
          <w:rFonts w:ascii="Arial" w:cs="Arial" w:eastAsia="Arial" w:hAnsi="Arial"/>
          <w:sz w:val="18"/>
          <w:szCs w:val="18"/>
          <w:color w:val="auto"/>
        </w:rPr>
        <w:t>. A number of brokerage firms and banks offer telephone and internet voting options. These programs may differ from the program provided to registered stockholders and benefit plan participants. Check the information forwarded by your bank, broker or other holder of record to see which options are available to you.</w:t>
      </w:r>
    </w:p>
    <w:p>
      <w:pPr>
        <w:spacing w:after="0" w:line="203"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Stockholders voting via the internet should understand that there may be costs associated with electronic access, such as usage charges from telephone companies and internet access providers, that must be borne by the stockholder.</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Stockholders sharing the same address</w:t>
      </w:r>
    </w:p>
    <w:p>
      <w:pPr>
        <w:spacing w:after="0" w:line="22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To reduce the expenses of delivering duplicate materials, we take advantage of the SEC’s “householding” rules that permit us to deliver only one set of proxy materials (or one Notice of Internet Availability of Proxy Materials) to stockholders who share an address unless otherwise requested. If you share an address with another stockholder and have received only one set of these materials, you may request a separate copy at no cost to you by calling Investor Relations at (214) 479-3773 or by writing to Texas Instruments Incorporated, P.O. Box 660199, MS 8657, Dallas, TX 75266-0199, Attn: Investor Relations. For future annual meetings, you may request separate materials, or request that we send only one set of materials to you if you are receiving multiple copies, by calling (866) 540-7095 or writing to Investor Relations at the address given above.</w:t>
      </w:r>
    </w:p>
    <w:p>
      <w:pPr>
        <w:spacing w:after="0" w:line="130" w:lineRule="exact"/>
        <w:rPr>
          <w:sz w:val="20"/>
          <w:szCs w:val="20"/>
          <w:color w:val="auto"/>
        </w:rPr>
      </w:pPr>
    </w:p>
    <w:p>
      <w:pPr>
        <w:ind w:left="120"/>
        <w:spacing w:after="0"/>
        <w:tabs>
          <w:tab w:leader="none" w:pos="4020" w:val="left"/>
          <w:tab w:leader="none" w:pos="5500" w:val="left"/>
          <w:tab w:leader="none" w:pos="5700" w:val="left"/>
        </w:tabs>
        <w:rPr>
          <w:sz w:val="20"/>
          <w:szCs w:val="20"/>
          <w:color w:val="auto"/>
        </w:rPr>
      </w:pPr>
      <w:r>
        <w:rPr>
          <w:rFonts w:ascii="Arial" w:cs="Arial" w:eastAsia="Arial" w:hAnsi="Arial"/>
          <w:sz w:val="13"/>
          <w:szCs w:val="13"/>
          <w:color w:val="666666"/>
        </w:rPr>
        <w:t>50</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2020 PROXY STATEMENT</w:t>
      </w:r>
    </w:p>
    <w:p>
      <w:pPr>
        <w:sectPr>
          <w:pgSz w:w="11900" w:h="16838" w:orient="portrait"/>
          <w:cols w:equalWidth="0" w:num="1">
            <w:col w:w="11080"/>
          </w:cols>
          <w:pgMar w:left="320" w:top="459" w:right="49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Electronic delivery of proxy materials and copies of our Form 10-K</w:t>
      </w:r>
    </w:p>
    <w:p>
      <w:pPr>
        <w:spacing w:after="0" w:line="22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As an alternative to receiving printed copies of these materials in future years, we are pleased to offer stockholders the opportunity to receive proxy mailings electronically. To request electronic delivery, vote via the internet at www.proxyvote.com and, when prompted, enroll to receive or access proxy materials electronically in future years. After the meeting date, stockholders holding shares through a broker or bank may request electronic delivery by visiting www.icsdelivery.com/ti and entering information for each account held by a bank or broker. If you are a registered stockholder and would like to request electronic delivery, visit www-us.computershare.com/investor or call TI Investor Relations at (214) 479-3773 for more information. If you are a participant in a TI benefit plan and would like to request electronic delivery, call TI Investor Relations for more information.</w:t>
      </w:r>
    </w:p>
    <w:p>
      <w:pPr>
        <w:spacing w:after="0" w:line="181"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April 23, 2020. This 2020 proxy statement and the company’s 2019 annual report are accessible at: www.proxyvote.com.</w:t>
      </w:r>
    </w:p>
    <w:p>
      <w:pPr>
        <w:spacing w:after="0" w:line="176"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 xml:space="preserve">The company’s annual report on Form 10-K for the year ended December 31, 2019, which contains consolidated financial statements, accompanies this proxy statement. </w:t>
      </w:r>
      <w:r>
        <w:rPr>
          <w:rFonts w:ascii="Arial" w:cs="Arial" w:eastAsia="Arial" w:hAnsi="Arial"/>
          <w:sz w:val="18"/>
          <w:szCs w:val="18"/>
          <w:b w:val="1"/>
          <w:bCs w:val="1"/>
          <w:color w:val="auto"/>
        </w:rPr>
        <w:t>You may also obtain a copy of the company’s 2019 Form 10-K, that was filed with the SEC</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without charge by writing to Investor Relations, P.O. Box 660199, MS 8657, Dallas, TX 75266-0199. </w:t>
      </w:r>
      <w:r>
        <w:rPr>
          <w:rFonts w:ascii="Arial" w:cs="Arial" w:eastAsia="Arial" w:hAnsi="Arial"/>
          <w:sz w:val="18"/>
          <w:szCs w:val="18"/>
          <w:color w:val="auto"/>
        </w:rPr>
        <w:t>Our Form 10-K is also available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“Investor Relations” section of our website at www.ti.com.</w:t>
      </w:r>
    </w:p>
    <w:p>
      <w:pPr>
        <w:spacing w:after="0" w:line="20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151765</wp:posOffset>
            </wp:positionV>
            <wp:extent cx="2065655" cy="6000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06565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Cynthia Hoff Trochu</w:t>
      </w:r>
    </w:p>
    <w:p>
      <w:pPr>
        <w:ind w:left="7320"/>
        <w:spacing w:after="0" w:line="234" w:lineRule="auto"/>
        <w:rPr>
          <w:sz w:val="20"/>
          <w:szCs w:val="20"/>
          <w:color w:val="auto"/>
        </w:rPr>
      </w:pPr>
      <w:r>
        <w:rPr>
          <w:rFonts w:ascii="Arial" w:cs="Arial" w:eastAsia="Arial" w:hAnsi="Arial"/>
          <w:sz w:val="18"/>
          <w:szCs w:val="18"/>
          <w:color w:val="auto"/>
        </w:rPr>
        <w:t>Senior Vice President,</w:t>
      </w:r>
    </w:p>
    <w:p>
      <w:pPr>
        <w:spacing w:after="0" w:line="1"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Secretary and General Counsel</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10, 2020</w:t>
      </w:r>
    </w:p>
    <w:p>
      <w:pPr>
        <w:ind w:left="120"/>
        <w:spacing w:after="0"/>
        <w:rPr>
          <w:sz w:val="20"/>
          <w:szCs w:val="20"/>
          <w:color w:val="auto"/>
        </w:rPr>
      </w:pPr>
      <w:r>
        <w:rPr>
          <w:rFonts w:ascii="Arial" w:cs="Arial" w:eastAsia="Arial" w:hAnsi="Arial"/>
          <w:sz w:val="18"/>
          <w:szCs w:val="18"/>
          <w:color w:val="auto"/>
        </w:rPr>
        <w:t>Dallas, Texas</w:t>
      </w:r>
    </w:p>
    <w:p>
      <w:pPr>
        <w:spacing w:after="0" w:line="39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regarding forward-looking statements</w:t>
      </w:r>
    </w:p>
    <w:p>
      <w:pPr>
        <w:spacing w:after="0" w:line="238"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This proxy statement includes forward-looking statements intended to qualify for the safe harbor from liability established by the Private Securities Litigation Reform Act of 1995. Statements herein that describe TI’s business strategy, plans, goals, future capital spending levels and potential for growth, improved profit margins and cash generation are forward-looking statements. All such forward-looking statements are subject to certain risks and uncertainties that could cause actual results and amounts to differ materially from those in forward-looking statements. For a detailed discussion of the risks and uncertainties, see the Risk factors discussion in Item 1A of our annual report on Form 10-K for the year ended December 31, 2019. The forward-looking statements included in this proxy statement are made only as of the date of this proxy statement, and we undertake no obligation to update the forward-looking statements to reflect subsequent events or circumstances.</w:t>
      </w:r>
    </w:p>
    <w:p>
      <w:pPr>
        <w:spacing w:after="0" w:line="135" w:lineRule="exact"/>
        <w:rPr>
          <w:sz w:val="20"/>
          <w:szCs w:val="20"/>
          <w:color w:val="auto"/>
        </w:rPr>
      </w:pPr>
    </w:p>
    <w:tbl>
      <w:tblPr>
        <w:tblLayout w:type="fixed"/>
        <w:tblInd w:w="4040" w:type="dxa"/>
        <w:tblCellMar>
          <w:top w:w="0" w:type="dxa"/>
          <w:left w:w="0" w:type="dxa"/>
          <w:bottom w:w="0" w:type="dxa"/>
          <w:right w:w="0" w:type="dxa"/>
        </w:tblCellMar>
      </w:tblPr>
      <w:tr>
        <w:trPr>
          <w:trHeight w:val="152"/>
        </w:trPr>
        <w:tc>
          <w:tcPr>
            <w:tcW w:w="5080" w:type="dxa"/>
            <w:vAlign w:val="bottom"/>
          </w:tcPr>
          <w:p>
            <w:pPr>
              <w:spacing w:after="0"/>
              <w:rPr>
                <w:sz w:val="20"/>
                <w:szCs w:val="20"/>
                <w:color w:val="auto"/>
              </w:rPr>
            </w:pPr>
            <w:r>
              <w:rPr>
                <w:rFonts w:ascii="Arial" w:cs="Arial" w:eastAsia="Arial" w:hAnsi="Arial"/>
                <w:sz w:val="13"/>
                <w:szCs w:val="13"/>
                <w:color w:val="666666"/>
              </w:rPr>
              <w:t>TEXAS INSTRUMENTS  •  2020 PROXY STATEMENT</w:t>
            </w:r>
          </w:p>
        </w:tc>
        <w:tc>
          <w:tcPr>
            <w:tcW w:w="2000" w:type="dxa"/>
            <w:vAlign w:val="bottom"/>
          </w:tcPr>
          <w:p>
            <w:pPr>
              <w:jc w:val="right"/>
              <w:spacing w:after="0"/>
              <w:rPr>
                <w:sz w:val="20"/>
                <w:szCs w:val="20"/>
                <w:color w:val="auto"/>
              </w:rPr>
            </w:pPr>
            <w:r>
              <w:rPr>
                <w:rFonts w:ascii="Arial" w:cs="Arial" w:eastAsia="Arial" w:hAnsi="Arial"/>
                <w:sz w:val="13"/>
                <w:szCs w:val="13"/>
                <w:color w:val="666666"/>
              </w:rPr>
              <w:t>51</w:t>
            </w:r>
          </w:p>
        </w:tc>
      </w:tr>
    </w:tbl>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Directions and other annual meeting information</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Directions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 xml:space="preserve">From DFW airport: </w:t>
      </w:r>
      <w:r>
        <w:rPr>
          <w:rFonts w:ascii="Arial" w:cs="Arial" w:eastAsia="Arial" w:hAnsi="Arial"/>
          <w:sz w:val="18"/>
          <w:szCs w:val="18"/>
          <w:color w:val="auto"/>
        </w:rPr>
        <w:t>Take the North Airport exit to IH-635E. Take IH-635E to the Greenville Avenue exit. Turn right (South) on Greenville.</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Turn right (West) on Forest Lane. Texas Instruments will be on your right at the second traffic light.</w:t>
      </w:r>
    </w:p>
    <w:p>
      <w:pPr>
        <w:spacing w:after="0" w:line="194" w:lineRule="exact"/>
        <w:rPr>
          <w:sz w:val="20"/>
          <w:szCs w:val="20"/>
          <w:color w:val="auto"/>
        </w:rPr>
      </w:pPr>
    </w:p>
    <w:p>
      <w:pPr>
        <w:ind w:left="120"/>
        <w:spacing w:after="0" w:line="267" w:lineRule="auto"/>
        <w:rPr>
          <w:sz w:val="20"/>
          <w:szCs w:val="20"/>
          <w:color w:val="auto"/>
        </w:rPr>
      </w:pPr>
      <w:r>
        <w:rPr>
          <w:rFonts w:ascii="Arial" w:cs="Arial" w:eastAsia="Arial" w:hAnsi="Arial"/>
          <w:sz w:val="18"/>
          <w:szCs w:val="18"/>
          <w:i w:val="1"/>
          <w:iCs w:val="1"/>
          <w:color w:val="auto"/>
        </w:rPr>
        <w:t xml:space="preserve">From Love Field airport: </w:t>
      </w:r>
      <w:r>
        <w:rPr>
          <w:rFonts w:ascii="Arial" w:cs="Arial" w:eastAsia="Arial" w:hAnsi="Arial"/>
          <w:sz w:val="18"/>
          <w:szCs w:val="18"/>
          <w:color w:val="auto"/>
        </w:rPr>
        <w:t>Take Mockingbird Lane East to US-75N (Central Expressway). Travel North on 75N to the Forest Lane exit. Turn</w:t>
      </w:r>
      <w:r>
        <w:rPr>
          <w:rFonts w:ascii="Arial" w:cs="Arial" w:eastAsia="Arial" w:hAnsi="Arial"/>
          <w:sz w:val="18"/>
          <w:szCs w:val="18"/>
          <w:i w:val="1"/>
          <w:iCs w:val="1"/>
          <w:color w:val="auto"/>
        </w:rPr>
        <w:t xml:space="preserve"> </w:t>
      </w:r>
      <w:r>
        <w:rPr>
          <w:rFonts w:ascii="Arial" w:cs="Arial" w:eastAsia="Arial" w:hAnsi="Arial"/>
          <w:sz w:val="18"/>
          <w:szCs w:val="18"/>
          <w:color w:val="auto"/>
        </w:rPr>
        <w:t>right (East) on Forest Lane. You will pass two traffic lights. At the third light, the entrance to Texas Instruments will be on your left.</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Parking</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visitors should park at the South Lobby, where reserved parking will be available.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Security</w:t>
      </w:r>
    </w:p>
    <w:p>
      <w:pPr>
        <w:spacing w:after="0" w:line="229" w:lineRule="exact"/>
        <w:rPr>
          <w:sz w:val="20"/>
          <w:szCs w:val="20"/>
          <w:color w:val="auto"/>
        </w:rPr>
      </w:pPr>
    </w:p>
    <w:p>
      <w:pPr>
        <w:ind w:left="120" w:right="440"/>
        <w:spacing w:after="0" w:line="246" w:lineRule="auto"/>
        <w:rPr>
          <w:sz w:val="20"/>
          <w:szCs w:val="20"/>
          <w:color w:val="auto"/>
        </w:rPr>
      </w:pPr>
      <w:r>
        <w:rPr>
          <w:rFonts w:ascii="Arial" w:cs="Arial" w:eastAsia="Arial" w:hAnsi="Arial"/>
          <w:sz w:val="18"/>
          <w:szCs w:val="18"/>
          <w:color w:val="auto"/>
        </w:rPr>
        <w:t>Be advised that TI’s security policy forbids weapons, cameras and audio/video recording devices inside TI buildings. All bags will be subject to search upon entry into the building.</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Attendance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additional information about attending the annual meeting see the discussion under “Attendance requirements” on page 4.</w:t>
      </w:r>
    </w:p>
    <w:p>
      <w:pPr>
        <w:spacing w:after="0" w:line="139" w:lineRule="exact"/>
        <w:rPr>
          <w:sz w:val="20"/>
          <w:szCs w:val="20"/>
          <w:color w:val="auto"/>
        </w:rPr>
      </w:pPr>
    </w:p>
    <w:p>
      <w:pPr>
        <w:ind w:left="120"/>
        <w:spacing w:after="0"/>
        <w:tabs>
          <w:tab w:leader="none" w:pos="4020" w:val="left"/>
          <w:tab w:leader="none" w:pos="5500" w:val="left"/>
          <w:tab w:leader="none" w:pos="5700" w:val="left"/>
        </w:tabs>
        <w:rPr>
          <w:sz w:val="20"/>
          <w:szCs w:val="20"/>
          <w:color w:val="auto"/>
        </w:rPr>
      </w:pPr>
      <w:r>
        <w:rPr>
          <w:rFonts w:ascii="Arial" w:cs="Arial" w:eastAsia="Arial" w:hAnsi="Arial"/>
          <w:sz w:val="13"/>
          <w:szCs w:val="13"/>
          <w:color w:val="666666"/>
        </w:rPr>
        <w:t>52</w:t>
      </w:r>
      <w:r>
        <w:rPr>
          <w:sz w:val="20"/>
          <w:szCs w:val="20"/>
          <w:color w:val="auto"/>
        </w:rPr>
        <w:tab/>
      </w:r>
      <w:r>
        <w:rPr>
          <w:rFonts w:ascii="Arial" w:cs="Arial" w:eastAsia="Arial" w:hAnsi="Arial"/>
          <w:sz w:val="13"/>
          <w:szCs w:val="13"/>
          <w:color w:val="666666"/>
        </w:rPr>
        <w:t>TEXAS INSTRUMENTS</w:t>
        <w:tab/>
        <w:t>•</w:t>
      </w:r>
      <w:r>
        <w:rPr>
          <w:sz w:val="20"/>
          <w:szCs w:val="20"/>
          <w:color w:val="auto"/>
        </w:rPr>
        <w:tab/>
      </w:r>
      <w:r>
        <w:rPr>
          <w:rFonts w:ascii="Arial" w:cs="Arial" w:eastAsia="Arial" w:hAnsi="Arial"/>
          <w:sz w:val="12"/>
          <w:szCs w:val="12"/>
          <w:color w:val="666666"/>
        </w:rPr>
        <w:t>2020 PROXY STATEMENT</w:t>
      </w:r>
    </w:p>
    <w:p>
      <w:pPr>
        <w:sectPr>
          <w:pgSz w:w="11900" w:h="16838" w:orient="portrait"/>
          <w:cols w:equalWidth="0" w:num="1">
            <w:col w:w="11020"/>
          </w:cols>
          <w:pgMar w:left="320" w:top="459" w:right="5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Appendix A</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Non-GAAP reconciliations</w:t>
      </w:r>
    </w:p>
    <w:p>
      <w:pPr>
        <w:spacing w:after="0" w:line="229"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This proxy statement refers to ratios based on free cash flow. These are financial measures that were not prepared in accordance with generally accepted accounting principles in the U.S. (GAAP). Free cash flow is a non-GAAP measure calculated by subtracting capital expenditures from the most directly comparable GAAP measure, cash flows from operating activities (also referred to as cash flow from operations). We believe free cash flow and these ratios based on it provide insight into our liquidity, our cash-generating capability and the amount of cash potentially available to return to shareholders, as well as insight into our financial performance. These non-GAAP measures are supplemental to the comparable GAAP measures and are reconciled in the table below to the most directly comparable GAAP measures.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380" w:type="dxa"/>
            <w:vAlign w:val="bottom"/>
            <w:vMerge w:val="restart"/>
          </w:tcPr>
          <w:p>
            <w:pPr>
              <w:spacing w:after="0"/>
              <w:rPr>
                <w:sz w:val="20"/>
                <w:szCs w:val="20"/>
                <w:color w:val="auto"/>
              </w:rPr>
            </w:pPr>
            <w:r>
              <w:rPr>
                <w:rFonts w:ascii="Arial" w:cs="Arial" w:eastAsia="Arial" w:hAnsi="Arial"/>
                <w:sz w:val="14"/>
                <w:szCs w:val="14"/>
                <w:b w:val="1"/>
                <w:bCs w:val="1"/>
                <w:color w:val="auto"/>
              </w:rPr>
              <w:t>Free Cash Flow as a Percentage of Revenue</w:t>
            </w:r>
          </w:p>
        </w:tc>
        <w:tc>
          <w:tcPr>
            <w:tcW w:w="100" w:type="dxa"/>
            <w:vAlign w:val="bottom"/>
          </w:tcPr>
          <w:p>
            <w:pPr>
              <w:spacing w:after="0"/>
              <w:rPr>
                <w:sz w:val="15"/>
                <w:szCs w:val="15"/>
                <w:color w:val="auto"/>
              </w:rPr>
            </w:pPr>
          </w:p>
        </w:tc>
        <w:tc>
          <w:tcPr>
            <w:tcW w:w="3320" w:type="dxa"/>
            <w:vAlign w:val="bottom"/>
            <w:gridSpan w:val="10"/>
          </w:tcPr>
          <w:p>
            <w:pPr>
              <w:jc w:val="right"/>
              <w:ind w:right="840"/>
              <w:spacing w:after="0"/>
              <w:rPr>
                <w:sz w:val="20"/>
                <w:szCs w:val="20"/>
                <w:color w:val="auto"/>
              </w:rPr>
            </w:pPr>
            <w:r>
              <w:rPr>
                <w:rFonts w:ascii="Arial" w:cs="Arial" w:eastAsia="Arial" w:hAnsi="Arial"/>
                <w:sz w:val="14"/>
                <w:szCs w:val="14"/>
                <w:b w:val="1"/>
                <w:bCs w:val="1"/>
                <w:color w:val="auto"/>
              </w:rPr>
              <w:t>For Years Ended December 31,</w:t>
            </w:r>
          </w:p>
        </w:tc>
        <w:tc>
          <w:tcPr>
            <w:tcW w:w="340" w:type="dxa"/>
            <w:vAlign w:val="bottom"/>
          </w:tcPr>
          <w:p>
            <w:pPr>
              <w:spacing w:after="0"/>
              <w:rPr>
                <w:sz w:val="15"/>
                <w:szCs w:val="15"/>
                <w:color w:val="auto"/>
              </w:rPr>
            </w:pPr>
          </w:p>
        </w:tc>
        <w:tc>
          <w:tcPr>
            <w:tcW w:w="8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6380" w:type="dxa"/>
            <w:vAlign w:val="bottom"/>
            <w:tcBorders>
              <w:bottom w:val="single" w:sz="8" w:color="auto"/>
            </w:tcBorders>
            <w:vMerge w:val="continue"/>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380" w:type="dxa"/>
            <w:vAlign w:val="bottom"/>
          </w:tcPr>
          <w:p>
            <w:pPr>
              <w:spacing w:after="0" w:line="155" w:lineRule="exact"/>
              <w:rPr>
                <w:sz w:val="20"/>
                <w:szCs w:val="20"/>
                <w:color w:val="auto"/>
              </w:rPr>
            </w:pPr>
            <w:r>
              <w:rPr>
                <w:rFonts w:ascii="Arial" w:cs="Arial" w:eastAsia="Arial" w:hAnsi="Arial"/>
                <w:sz w:val="14"/>
                <w:szCs w:val="14"/>
                <w:b w:val="1"/>
                <w:bCs w:val="1"/>
                <w:color w:val="auto"/>
              </w:rPr>
              <w:t>(Millions of dollars)</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Cash flow from operations (GAAP)</w:t>
            </w:r>
          </w:p>
        </w:tc>
        <w:tc>
          <w:tcPr>
            <w:tcW w:w="1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6,649</w:t>
            </w:r>
          </w:p>
        </w:tc>
        <w:tc>
          <w:tcPr>
            <w:tcW w:w="300" w:type="dxa"/>
            <w:vAlign w:val="bottom"/>
            <w:shd w:val="clear" w:color="auto" w:fill="E5E5E5"/>
          </w:tcPr>
          <w:p>
            <w:pPr>
              <w:spacing w:after="0"/>
              <w:rPr>
                <w:sz w:val="17"/>
                <w:szCs w:val="17"/>
                <w:color w:val="auto"/>
              </w:rPr>
            </w:pPr>
          </w:p>
        </w:tc>
        <w:tc>
          <w:tcPr>
            <w:tcW w:w="34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7,189</w:t>
            </w:r>
          </w:p>
        </w:tc>
        <w:tc>
          <w:tcPr>
            <w:tcW w:w="34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color w:val="auto"/>
              </w:rPr>
              <w:t>5,363</w:t>
            </w:r>
          </w:p>
        </w:tc>
        <w:tc>
          <w:tcPr>
            <w:tcW w:w="1220" w:type="dxa"/>
            <w:vAlign w:val="bottom"/>
            <w:gridSpan w:val="3"/>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$19,201</w:t>
            </w:r>
          </w:p>
        </w:tc>
        <w:tc>
          <w:tcPr>
            <w:tcW w:w="0" w:type="dxa"/>
            <w:vAlign w:val="bottom"/>
          </w:tcPr>
          <w:p>
            <w:pPr>
              <w:spacing w:after="0"/>
              <w:rPr>
                <w:sz w:val="1"/>
                <w:szCs w:val="1"/>
                <w:color w:val="auto"/>
              </w:rPr>
            </w:pP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(847)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(1,131)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(695)</w:t>
            </w:r>
          </w:p>
        </w:tc>
        <w:tc>
          <w:tcPr>
            <w:tcW w:w="1220" w:type="dxa"/>
            <w:vAlign w:val="bottom"/>
            <w:gridSpan w:val="3"/>
          </w:tcPr>
          <w:p>
            <w:pPr>
              <w:jc w:val="right"/>
              <w:ind w:right="160"/>
              <w:spacing w:after="0" w:line="202" w:lineRule="exact"/>
              <w:rPr>
                <w:sz w:val="20"/>
                <w:szCs w:val="20"/>
                <w:color w:val="auto"/>
              </w:rPr>
            </w:pPr>
            <w:r>
              <w:rPr>
                <w:rFonts w:ascii="Arial" w:cs="Arial" w:eastAsia="Arial" w:hAnsi="Arial"/>
                <w:sz w:val="18"/>
                <w:szCs w:val="18"/>
                <w:b w:val="1"/>
                <w:bCs w:val="1"/>
                <w:color w:val="auto"/>
              </w:rPr>
              <w:t>(2,673)</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3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Free cash flow (non-GAAP)</w:t>
            </w:r>
          </w:p>
        </w:tc>
        <w:tc>
          <w:tcPr>
            <w:tcW w:w="1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5,802</w:t>
            </w:r>
          </w:p>
        </w:tc>
        <w:tc>
          <w:tcPr>
            <w:tcW w:w="3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6,058</w:t>
            </w:r>
          </w:p>
        </w:tc>
        <w:tc>
          <w:tcPr>
            <w:tcW w:w="280" w:type="dxa"/>
            <w:vAlign w:val="bottom"/>
            <w:shd w:val="clear" w:color="auto" w:fill="E5E5E5"/>
          </w:tcPr>
          <w:p>
            <w:pPr>
              <w:spacing w:after="0"/>
              <w:rPr>
                <w:sz w:val="17"/>
                <w:szCs w:val="17"/>
                <w:color w:val="auto"/>
              </w:rPr>
            </w:pPr>
          </w:p>
        </w:tc>
        <w:tc>
          <w:tcPr>
            <w:tcW w:w="34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color w:val="auto"/>
              </w:rPr>
              <w:t>4,668</w:t>
            </w:r>
          </w:p>
        </w:tc>
        <w:tc>
          <w:tcPr>
            <w:tcW w:w="1220" w:type="dxa"/>
            <w:vAlign w:val="bottom"/>
            <w:gridSpan w:val="3"/>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16,528</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380" w:type="dxa"/>
            <w:vAlign w:val="bottom"/>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14,383</w:t>
            </w:r>
          </w:p>
        </w:tc>
        <w:tc>
          <w:tcPr>
            <w:tcW w:w="3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15,784</w:t>
            </w: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14,961</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45,128</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520" w:type="dxa"/>
            <w:vAlign w:val="bottom"/>
            <w:shd w:val="clear" w:color="auto" w:fill="E5E5E5"/>
          </w:tcPr>
          <w:p>
            <w:pPr>
              <w:spacing w:after="0"/>
              <w:rPr>
                <w:sz w:val="20"/>
                <w:szCs w:val="20"/>
                <w:color w:val="auto"/>
              </w:rPr>
            </w:pPr>
            <w:r>
              <w:rPr>
                <w:rFonts w:ascii="Arial" w:cs="Arial" w:eastAsia="Arial" w:hAnsi="Arial"/>
                <w:sz w:val="18"/>
                <w:szCs w:val="18"/>
                <w:color w:val="auto"/>
              </w:rPr>
              <w:t>Cash flow from operations as a percentage of revenue (GAAP)</w:t>
            </w:r>
          </w:p>
        </w:tc>
        <w:tc>
          <w:tcPr>
            <w:tcW w:w="2020" w:type="dxa"/>
            <w:vAlign w:val="bottom"/>
            <w:shd w:val="clear" w:color="auto" w:fill="E5E5E5"/>
          </w:tcPr>
          <w:p>
            <w:pPr>
              <w:jc w:val="right"/>
              <w:ind w:right="259"/>
              <w:spacing w:after="0"/>
              <w:rPr>
                <w:sz w:val="20"/>
                <w:szCs w:val="20"/>
                <w:color w:val="auto"/>
              </w:rPr>
            </w:pPr>
            <w:r>
              <w:rPr>
                <w:rFonts w:ascii="Arial" w:cs="Arial" w:eastAsia="Arial" w:hAnsi="Arial"/>
                <w:sz w:val="18"/>
                <w:szCs w:val="18"/>
                <w:b w:val="1"/>
                <w:bCs w:val="1"/>
                <w:color w:val="auto"/>
              </w:rPr>
              <w:t>46.2%</w:t>
            </w:r>
          </w:p>
        </w:tc>
        <w:tc>
          <w:tcPr>
            <w:tcW w:w="1180" w:type="dxa"/>
            <w:vAlign w:val="bottom"/>
            <w:shd w:val="clear" w:color="auto" w:fill="E5E5E5"/>
          </w:tcPr>
          <w:p>
            <w:pPr>
              <w:jc w:val="right"/>
              <w:ind w:right="230"/>
              <w:spacing w:after="0"/>
              <w:rPr>
                <w:sz w:val="20"/>
                <w:szCs w:val="20"/>
                <w:color w:val="auto"/>
              </w:rPr>
            </w:pPr>
            <w:r>
              <w:rPr>
                <w:rFonts w:ascii="Arial" w:cs="Arial" w:eastAsia="Arial" w:hAnsi="Arial"/>
                <w:sz w:val="18"/>
                <w:szCs w:val="18"/>
                <w:color w:val="auto"/>
              </w:rPr>
              <w:t>45.5%</w:t>
            </w:r>
          </w:p>
        </w:tc>
        <w:tc>
          <w:tcPr>
            <w:tcW w:w="1300" w:type="dxa"/>
            <w:vAlign w:val="bottom"/>
            <w:shd w:val="clear" w:color="auto" w:fill="E5E5E5"/>
          </w:tcPr>
          <w:p>
            <w:pPr>
              <w:jc w:val="right"/>
              <w:ind w:right="350"/>
              <w:spacing w:after="0"/>
              <w:rPr>
                <w:sz w:val="20"/>
                <w:szCs w:val="20"/>
                <w:color w:val="auto"/>
              </w:rPr>
            </w:pPr>
            <w:r>
              <w:rPr>
                <w:rFonts w:ascii="Arial" w:cs="Arial" w:eastAsia="Arial" w:hAnsi="Arial"/>
                <w:sz w:val="18"/>
                <w:szCs w:val="18"/>
                <w:color w:val="auto"/>
              </w:rPr>
              <w:t>35.8%</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42.5%</w:t>
            </w:r>
          </w:p>
        </w:tc>
      </w:tr>
      <w:tr>
        <w:trPr>
          <w:trHeight w:val="239"/>
        </w:trPr>
        <w:tc>
          <w:tcPr>
            <w:tcW w:w="5520" w:type="dxa"/>
            <w:vAlign w:val="bottom"/>
          </w:tcPr>
          <w:p>
            <w:pPr>
              <w:spacing w:after="0"/>
              <w:rPr>
                <w:sz w:val="20"/>
                <w:szCs w:val="20"/>
                <w:color w:val="auto"/>
              </w:rPr>
            </w:pPr>
            <w:r>
              <w:rPr>
                <w:rFonts w:ascii="Arial" w:cs="Arial" w:eastAsia="Arial" w:hAnsi="Arial"/>
                <w:sz w:val="18"/>
                <w:szCs w:val="18"/>
                <w:color w:val="auto"/>
              </w:rPr>
              <w:t>Free cash flow as a percentage of revenue (non-GAAP)</w:t>
            </w:r>
          </w:p>
        </w:tc>
        <w:tc>
          <w:tcPr>
            <w:tcW w:w="2020" w:type="dxa"/>
            <w:vAlign w:val="bottom"/>
          </w:tcPr>
          <w:p>
            <w:pPr>
              <w:jc w:val="right"/>
              <w:ind w:right="259"/>
              <w:spacing w:after="0"/>
              <w:rPr>
                <w:sz w:val="20"/>
                <w:szCs w:val="20"/>
                <w:color w:val="auto"/>
              </w:rPr>
            </w:pPr>
            <w:r>
              <w:rPr>
                <w:rFonts w:ascii="Arial" w:cs="Arial" w:eastAsia="Arial" w:hAnsi="Arial"/>
                <w:sz w:val="18"/>
                <w:szCs w:val="18"/>
                <w:b w:val="1"/>
                <w:bCs w:val="1"/>
                <w:color w:val="auto"/>
              </w:rPr>
              <w:t>40.3%</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38.4%</w:t>
            </w: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31.2%</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36.6%</w:t>
            </w:r>
          </w:p>
        </w:tc>
      </w:tr>
      <w:tr>
        <w:trPr>
          <w:trHeight w:val="258"/>
        </w:trPr>
        <w:tc>
          <w:tcPr>
            <w:tcW w:w="5520" w:type="dxa"/>
            <w:vAlign w:val="bottom"/>
          </w:tcPr>
          <w:p>
            <w:pPr>
              <w:ind w:left="3920"/>
              <w:spacing w:after="0"/>
              <w:rPr>
                <w:sz w:val="20"/>
                <w:szCs w:val="20"/>
                <w:color w:val="auto"/>
              </w:rPr>
            </w:pPr>
            <w:r>
              <w:rPr>
                <w:rFonts w:ascii="Arial" w:cs="Arial" w:eastAsia="Arial" w:hAnsi="Arial"/>
                <w:sz w:val="13"/>
                <w:szCs w:val="13"/>
                <w:color w:val="666666"/>
              </w:rPr>
              <w:t>TEXAS INSTRUMENTS  •</w:t>
            </w:r>
          </w:p>
        </w:tc>
        <w:tc>
          <w:tcPr>
            <w:tcW w:w="2020" w:type="dxa"/>
            <w:vAlign w:val="bottom"/>
          </w:tcPr>
          <w:p>
            <w:pPr>
              <w:jc w:val="right"/>
              <w:ind w:right="339"/>
              <w:spacing w:after="0"/>
              <w:rPr>
                <w:sz w:val="20"/>
                <w:szCs w:val="20"/>
                <w:color w:val="auto"/>
              </w:rPr>
            </w:pPr>
            <w:r>
              <w:rPr>
                <w:rFonts w:ascii="Arial" w:cs="Arial" w:eastAsia="Arial" w:hAnsi="Arial"/>
                <w:sz w:val="13"/>
                <w:szCs w:val="13"/>
                <w:color w:val="666666"/>
                <w:w w:val="98"/>
              </w:rPr>
              <w:t>2020 PROXY STATEMENT</w:t>
            </w:r>
          </w:p>
        </w:tc>
        <w:tc>
          <w:tcPr>
            <w:tcW w:w="1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666666"/>
              </w:rPr>
              <w:t>A-1</w:t>
            </w:r>
          </w:p>
        </w:tc>
      </w:tr>
    </w:tbl>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4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6680" w:type="dxa"/>
            <w:vAlign w:val="bottom"/>
            <w:gridSpan w:val="3"/>
          </w:tcPr>
          <w:p>
            <w:pPr>
              <w:ind w:left="1240"/>
              <w:spacing w:after="0"/>
              <w:rPr>
                <w:sz w:val="20"/>
                <w:szCs w:val="20"/>
                <w:color w:val="auto"/>
              </w:rPr>
            </w:pPr>
            <w:r>
              <w:rPr>
                <w:rFonts w:ascii="Arial" w:cs="Arial" w:eastAsia="Arial" w:hAnsi="Arial"/>
                <w:sz w:val="14"/>
                <w:szCs w:val="14"/>
                <w:b w:val="1"/>
                <w:bCs w:val="1"/>
                <w:color w:val="auto"/>
                <w:w w:val="92"/>
              </w:rPr>
              <w:t xml:space="preserve">For registered shares, your proxy must be received by 11:59 p.m. (Eastern time) on </w:t>
            </w:r>
            <w:r>
              <w:rPr>
                <w:rFonts w:ascii="Arial" w:cs="Arial" w:eastAsia="Arial" w:hAnsi="Arial"/>
                <w:sz w:val="14"/>
                <w:szCs w:val="14"/>
                <w:b w:val="1"/>
                <w:bCs w:val="1"/>
                <w:i w:val="1"/>
                <w:iCs w:val="1"/>
                <w:color w:val="auto"/>
                <w:w w:val="92"/>
              </w:rPr>
              <w:t>April</w:t>
            </w:r>
          </w:p>
        </w:tc>
        <w:tc>
          <w:tcPr>
            <w:tcW w:w="0" w:type="dxa"/>
            <w:vAlign w:val="bottom"/>
          </w:tcPr>
          <w:p>
            <w:pPr>
              <w:spacing w:after="0"/>
              <w:rPr>
                <w:sz w:val="1"/>
                <w:szCs w:val="1"/>
                <w:color w:val="auto"/>
              </w:rPr>
            </w:pPr>
          </w:p>
        </w:tc>
      </w:tr>
      <w:tr>
        <w:trPr>
          <w:trHeight w:val="182"/>
        </w:trPr>
        <w:tc>
          <w:tcPr>
            <w:tcW w:w="3920" w:type="dxa"/>
            <w:vAlign w:val="bottom"/>
          </w:tcPr>
          <w:p>
            <w:pPr>
              <w:spacing w:after="0"/>
              <w:rPr>
                <w:sz w:val="15"/>
                <w:szCs w:val="15"/>
                <w:color w:val="auto"/>
              </w:rPr>
            </w:pPr>
          </w:p>
        </w:tc>
        <w:tc>
          <w:tcPr>
            <w:tcW w:w="2780" w:type="dxa"/>
            <w:vAlign w:val="bottom"/>
          </w:tcPr>
          <w:p>
            <w:pPr>
              <w:ind w:left="1240"/>
              <w:spacing w:after="0"/>
              <w:rPr>
                <w:sz w:val="20"/>
                <w:szCs w:val="20"/>
                <w:color w:val="auto"/>
              </w:rPr>
            </w:pPr>
            <w:r>
              <w:rPr>
                <w:rFonts w:ascii="Arial" w:cs="Arial" w:eastAsia="Arial" w:hAnsi="Arial"/>
                <w:sz w:val="14"/>
                <w:szCs w:val="14"/>
                <w:b w:val="1"/>
                <w:bCs w:val="1"/>
                <w:i w:val="1"/>
                <w:iCs w:val="1"/>
                <w:color w:val="auto"/>
              </w:rPr>
              <w:t>22, 2020.</w:t>
            </w:r>
          </w:p>
        </w:tc>
        <w:tc>
          <w:tcPr>
            <w:tcW w:w="12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920" w:type="dxa"/>
            <w:vAlign w:val="bottom"/>
          </w:tcPr>
          <w:p>
            <w:pPr>
              <w:spacing w:after="0"/>
              <w:rPr>
                <w:sz w:val="16"/>
                <w:szCs w:val="16"/>
                <w:color w:val="auto"/>
              </w:rPr>
            </w:pPr>
          </w:p>
        </w:tc>
        <w:tc>
          <w:tcPr>
            <w:tcW w:w="6680" w:type="dxa"/>
            <w:vAlign w:val="bottom"/>
            <w:gridSpan w:val="3"/>
          </w:tcPr>
          <w:p>
            <w:pPr>
              <w:ind w:left="1240"/>
              <w:spacing w:after="0"/>
              <w:rPr>
                <w:sz w:val="20"/>
                <w:szCs w:val="20"/>
                <w:color w:val="auto"/>
              </w:rPr>
            </w:pPr>
            <w:r>
              <w:rPr>
                <w:rFonts w:ascii="Arial" w:cs="Arial" w:eastAsia="Arial" w:hAnsi="Arial"/>
                <w:sz w:val="14"/>
                <w:szCs w:val="14"/>
                <w:b w:val="1"/>
                <w:bCs w:val="1"/>
                <w:color w:val="auto"/>
                <w:w w:val="91"/>
              </w:rPr>
              <w:t>For shares allocable to a benefit plan account, your proxy must be received by 11:59 p.m.</w:t>
            </w:r>
          </w:p>
        </w:tc>
        <w:tc>
          <w:tcPr>
            <w:tcW w:w="0" w:type="dxa"/>
            <w:vAlign w:val="bottom"/>
          </w:tcPr>
          <w:p>
            <w:pPr>
              <w:spacing w:after="0"/>
              <w:rPr>
                <w:sz w:val="1"/>
                <w:szCs w:val="1"/>
                <w:color w:val="auto"/>
              </w:rPr>
            </w:pPr>
          </w:p>
        </w:tc>
      </w:tr>
      <w:tr>
        <w:trPr>
          <w:trHeight w:val="186"/>
        </w:trPr>
        <w:tc>
          <w:tcPr>
            <w:tcW w:w="3920" w:type="dxa"/>
            <w:vAlign w:val="bottom"/>
          </w:tcPr>
          <w:p>
            <w:pPr>
              <w:spacing w:after="0"/>
              <w:rPr>
                <w:sz w:val="16"/>
                <w:szCs w:val="16"/>
                <w:color w:val="auto"/>
              </w:rPr>
            </w:pPr>
          </w:p>
        </w:tc>
        <w:tc>
          <w:tcPr>
            <w:tcW w:w="6680" w:type="dxa"/>
            <w:vAlign w:val="bottom"/>
            <w:gridSpan w:val="3"/>
          </w:tcPr>
          <w:p>
            <w:pPr>
              <w:ind w:left="1240"/>
              <w:spacing w:after="0"/>
              <w:rPr>
                <w:sz w:val="20"/>
                <w:szCs w:val="20"/>
                <w:color w:val="auto"/>
              </w:rPr>
            </w:pPr>
            <w:r>
              <w:rPr>
                <w:rFonts w:ascii="Arial" w:cs="Arial" w:eastAsia="Arial" w:hAnsi="Arial"/>
                <w:sz w:val="14"/>
                <w:szCs w:val="14"/>
                <w:b w:val="1"/>
                <w:bCs w:val="1"/>
                <w:color w:val="auto"/>
              </w:rPr>
              <w:t xml:space="preserve">(Eastern time) on </w:t>
            </w:r>
            <w:r>
              <w:rPr>
                <w:rFonts w:ascii="Arial" w:cs="Arial" w:eastAsia="Arial" w:hAnsi="Arial"/>
                <w:sz w:val="14"/>
                <w:szCs w:val="14"/>
                <w:b w:val="1"/>
                <w:bCs w:val="1"/>
                <w:i w:val="1"/>
                <w:iCs w:val="1"/>
                <w:color w:val="auto"/>
              </w:rPr>
              <w:t>April 20, 2020.</w:t>
            </w:r>
          </w:p>
        </w:tc>
        <w:tc>
          <w:tcPr>
            <w:tcW w:w="0" w:type="dxa"/>
            <w:vAlign w:val="bottom"/>
          </w:tcPr>
          <w:p>
            <w:pPr>
              <w:spacing w:after="0"/>
              <w:rPr>
                <w:sz w:val="1"/>
                <w:szCs w:val="1"/>
                <w:color w:val="auto"/>
              </w:rPr>
            </w:pPr>
          </w:p>
        </w:tc>
      </w:tr>
      <w:tr>
        <w:trPr>
          <w:trHeight w:val="188"/>
        </w:trPr>
        <w:tc>
          <w:tcPr>
            <w:tcW w:w="39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TEXAS INSTRUMENTS INCORPORATED</w:t>
            </w:r>
          </w:p>
        </w:tc>
        <w:tc>
          <w:tcPr>
            <w:tcW w:w="6680" w:type="dxa"/>
            <w:vAlign w:val="bottom"/>
            <w:gridSpan w:val="3"/>
          </w:tcPr>
          <w:p>
            <w:pPr>
              <w:ind w:left="1240"/>
              <w:spacing w:after="0"/>
              <w:rPr>
                <w:sz w:val="20"/>
                <w:szCs w:val="20"/>
                <w:color w:val="auto"/>
              </w:rPr>
            </w:pPr>
            <w:r>
              <w:rPr>
                <w:rFonts w:ascii="Arial" w:cs="Arial" w:eastAsia="Arial" w:hAnsi="Arial"/>
                <w:sz w:val="14"/>
                <w:szCs w:val="14"/>
                <w:b w:val="1"/>
                <w:bCs w:val="1"/>
                <w:color w:val="auto"/>
              </w:rPr>
              <w:t>VOTE BY INTERNET - www.proxyvote.com</w:t>
            </w:r>
          </w:p>
        </w:tc>
        <w:tc>
          <w:tcPr>
            <w:tcW w:w="0" w:type="dxa"/>
            <w:vAlign w:val="bottom"/>
          </w:tcPr>
          <w:p>
            <w:pPr>
              <w:spacing w:after="0"/>
              <w:rPr>
                <w:sz w:val="1"/>
                <w:szCs w:val="1"/>
                <w:color w:val="auto"/>
              </w:rPr>
            </w:pPr>
          </w:p>
        </w:tc>
      </w:tr>
      <w:tr>
        <w:trPr>
          <w:trHeight w:val="42"/>
        </w:trPr>
        <w:tc>
          <w:tcPr>
            <w:tcW w:w="3920" w:type="dxa"/>
            <w:vAlign w:val="bottom"/>
            <w:vMerge w:val="continue"/>
          </w:tcPr>
          <w:p>
            <w:pPr>
              <w:spacing w:after="0"/>
              <w:rPr>
                <w:sz w:val="3"/>
                <w:szCs w:val="3"/>
                <w:color w:val="auto"/>
              </w:rPr>
            </w:pPr>
          </w:p>
        </w:tc>
        <w:tc>
          <w:tcPr>
            <w:tcW w:w="2780" w:type="dxa"/>
            <w:vAlign w:val="bottom"/>
          </w:tcPr>
          <w:p>
            <w:pPr>
              <w:spacing w:after="0"/>
              <w:rPr>
                <w:sz w:val="3"/>
                <w:szCs w:val="3"/>
                <w:color w:val="auto"/>
              </w:rPr>
            </w:pPr>
          </w:p>
        </w:tc>
        <w:tc>
          <w:tcPr>
            <w:tcW w:w="1240" w:type="dxa"/>
            <w:vAlign w:val="bottom"/>
            <w:tcBorders>
              <w:top w:val="single" w:sz="8" w:color="auto"/>
            </w:tcBorders>
          </w:tcPr>
          <w:p>
            <w:pPr>
              <w:spacing w:after="0"/>
              <w:rPr>
                <w:sz w:val="3"/>
                <w:szCs w:val="3"/>
                <w:color w:val="auto"/>
              </w:rPr>
            </w:pPr>
          </w:p>
        </w:tc>
        <w:tc>
          <w:tcPr>
            <w:tcW w:w="2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ATTN: JANE NAHRA</w:t>
            </w:r>
          </w:p>
        </w:tc>
        <w:tc>
          <w:tcPr>
            <w:tcW w:w="6680" w:type="dxa"/>
            <w:vAlign w:val="bottom"/>
            <w:gridSpan w:val="3"/>
          </w:tcPr>
          <w:p>
            <w:pPr>
              <w:ind w:left="1240"/>
              <w:spacing w:after="0" w:line="149" w:lineRule="exact"/>
              <w:rPr>
                <w:sz w:val="20"/>
                <w:szCs w:val="20"/>
                <w:color w:val="auto"/>
              </w:rPr>
            </w:pPr>
            <w:r>
              <w:rPr>
                <w:rFonts w:ascii="Arial" w:cs="Arial" w:eastAsia="Arial" w:hAnsi="Arial"/>
                <w:sz w:val="14"/>
                <w:szCs w:val="14"/>
                <w:color w:val="auto"/>
                <w:w w:val="95"/>
              </w:rPr>
              <w:t>Use the Internet to transmit your voting instructions and for electronic delivery of information</w:t>
            </w:r>
          </w:p>
        </w:tc>
        <w:tc>
          <w:tcPr>
            <w:tcW w:w="0" w:type="dxa"/>
            <w:vAlign w:val="bottom"/>
          </w:tcPr>
          <w:p>
            <w:pPr>
              <w:spacing w:after="0"/>
              <w:rPr>
                <w:sz w:val="1"/>
                <w:szCs w:val="1"/>
                <w:color w:val="auto"/>
              </w:rPr>
            </w:pPr>
          </w:p>
        </w:tc>
      </w:tr>
      <w:tr>
        <w:trPr>
          <w:trHeight w:val="148"/>
        </w:trPr>
        <w:tc>
          <w:tcPr>
            <w:tcW w:w="392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P.O. BOX 655474</w:t>
            </w:r>
          </w:p>
        </w:tc>
        <w:tc>
          <w:tcPr>
            <w:tcW w:w="6680" w:type="dxa"/>
            <w:vAlign w:val="bottom"/>
            <w:gridSpan w:val="3"/>
          </w:tcPr>
          <w:p>
            <w:pPr>
              <w:ind w:left="1240"/>
              <w:spacing w:after="0" w:line="149" w:lineRule="exact"/>
              <w:rPr>
                <w:sz w:val="20"/>
                <w:szCs w:val="20"/>
                <w:color w:val="auto"/>
              </w:rPr>
            </w:pPr>
            <w:r>
              <w:rPr>
                <w:rFonts w:ascii="Arial" w:cs="Arial" w:eastAsia="Arial" w:hAnsi="Arial"/>
                <w:sz w:val="14"/>
                <w:szCs w:val="14"/>
                <w:color w:val="auto"/>
                <w:w w:val="96"/>
              </w:rPr>
              <w:t>up until the applicable cut-off date and time above. Have your proxy card in hand when you</w:t>
            </w:r>
          </w:p>
        </w:tc>
        <w:tc>
          <w:tcPr>
            <w:tcW w:w="0" w:type="dxa"/>
            <w:vAlign w:val="bottom"/>
          </w:tcPr>
          <w:p>
            <w:pPr>
              <w:spacing w:after="0"/>
              <w:rPr>
                <w:sz w:val="1"/>
                <w:szCs w:val="1"/>
                <w:color w:val="auto"/>
              </w:rPr>
            </w:pPr>
          </w:p>
        </w:tc>
      </w:tr>
      <w:tr>
        <w:trPr>
          <w:trHeight w:val="149"/>
        </w:trPr>
        <w:tc>
          <w:tcPr>
            <w:tcW w:w="392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MS 3999</w:t>
            </w:r>
          </w:p>
        </w:tc>
        <w:tc>
          <w:tcPr>
            <w:tcW w:w="6680" w:type="dxa"/>
            <w:vAlign w:val="bottom"/>
            <w:gridSpan w:val="3"/>
          </w:tcPr>
          <w:p>
            <w:pPr>
              <w:ind w:left="1240"/>
              <w:spacing w:after="0" w:line="149" w:lineRule="exact"/>
              <w:rPr>
                <w:sz w:val="20"/>
                <w:szCs w:val="20"/>
                <w:color w:val="auto"/>
              </w:rPr>
            </w:pPr>
            <w:r>
              <w:rPr>
                <w:rFonts w:ascii="Arial" w:cs="Arial" w:eastAsia="Arial" w:hAnsi="Arial"/>
                <w:sz w:val="14"/>
                <w:szCs w:val="14"/>
                <w:color w:val="auto"/>
              </w:rPr>
              <w:t>access the web site and follow the instructions to obtain your records and to create an</w:t>
            </w:r>
          </w:p>
        </w:tc>
        <w:tc>
          <w:tcPr>
            <w:tcW w:w="0" w:type="dxa"/>
            <w:vAlign w:val="bottom"/>
          </w:tcPr>
          <w:p>
            <w:pPr>
              <w:spacing w:after="0"/>
              <w:rPr>
                <w:sz w:val="1"/>
                <w:szCs w:val="1"/>
                <w:color w:val="auto"/>
              </w:rPr>
            </w:pPr>
          </w:p>
        </w:tc>
      </w:tr>
      <w:tr>
        <w:trPr>
          <w:trHeight w:val="182"/>
        </w:trPr>
        <w:tc>
          <w:tcPr>
            <w:tcW w:w="3920" w:type="dxa"/>
            <w:vAlign w:val="bottom"/>
          </w:tcPr>
          <w:p>
            <w:pPr>
              <w:spacing w:after="0"/>
              <w:rPr>
                <w:sz w:val="20"/>
                <w:szCs w:val="20"/>
                <w:color w:val="auto"/>
              </w:rPr>
            </w:pPr>
            <w:r>
              <w:rPr>
                <w:rFonts w:ascii="Arial" w:cs="Arial" w:eastAsia="Arial" w:hAnsi="Arial"/>
                <w:sz w:val="14"/>
                <w:szCs w:val="14"/>
                <w:b w:val="1"/>
                <w:bCs w:val="1"/>
                <w:i w:val="1"/>
                <w:iCs w:val="1"/>
                <w:color w:val="auto"/>
              </w:rPr>
              <w:t>DALLAS, TX 75265-5474</w:t>
            </w:r>
          </w:p>
        </w:tc>
        <w:tc>
          <w:tcPr>
            <w:tcW w:w="6680" w:type="dxa"/>
            <w:vAlign w:val="bottom"/>
            <w:gridSpan w:val="3"/>
          </w:tcPr>
          <w:p>
            <w:pPr>
              <w:ind w:left="1240"/>
              <w:spacing w:after="0"/>
              <w:rPr>
                <w:sz w:val="20"/>
                <w:szCs w:val="20"/>
                <w:color w:val="auto"/>
              </w:rPr>
            </w:pPr>
            <w:r>
              <w:rPr>
                <w:rFonts w:ascii="Arial" w:cs="Arial" w:eastAsia="Arial" w:hAnsi="Arial"/>
                <w:sz w:val="14"/>
                <w:szCs w:val="14"/>
                <w:color w:val="auto"/>
              </w:rPr>
              <w:t>electronic voting instruction form.</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19"/>
                <w:szCs w:val="19"/>
                <w:color w:val="auto"/>
              </w:rPr>
            </w:pPr>
          </w:p>
        </w:tc>
        <w:tc>
          <w:tcPr>
            <w:tcW w:w="6680" w:type="dxa"/>
            <w:vAlign w:val="bottom"/>
            <w:gridSpan w:val="3"/>
          </w:tcPr>
          <w:p>
            <w:pPr>
              <w:ind w:left="1240"/>
              <w:spacing w:after="0"/>
              <w:rPr>
                <w:sz w:val="20"/>
                <w:szCs w:val="20"/>
                <w:color w:val="auto"/>
              </w:rPr>
            </w:pPr>
            <w:r>
              <w:rPr>
                <w:rFonts w:ascii="Arial" w:cs="Arial" w:eastAsia="Arial" w:hAnsi="Arial"/>
                <w:sz w:val="14"/>
                <w:szCs w:val="14"/>
                <w:b w:val="1"/>
                <w:bCs w:val="1"/>
                <w:color w:val="auto"/>
              </w:rPr>
              <w:t>ELECTRONIC DELIVERY OF FUTURE PROXY MATERIALS</w:t>
            </w:r>
          </w:p>
        </w:tc>
        <w:tc>
          <w:tcPr>
            <w:tcW w:w="0" w:type="dxa"/>
            <w:vAlign w:val="bottom"/>
          </w:tcPr>
          <w:p>
            <w:pPr>
              <w:spacing w:after="0"/>
              <w:rPr>
                <w:sz w:val="1"/>
                <w:szCs w:val="1"/>
                <w:color w:val="auto"/>
              </w:rPr>
            </w:pPr>
          </w:p>
        </w:tc>
      </w:tr>
      <w:tr>
        <w:trPr>
          <w:trHeight w:val="182"/>
        </w:trPr>
        <w:tc>
          <w:tcPr>
            <w:tcW w:w="3920" w:type="dxa"/>
            <w:vAlign w:val="bottom"/>
          </w:tcPr>
          <w:p>
            <w:pPr>
              <w:spacing w:after="0"/>
              <w:rPr>
                <w:sz w:val="15"/>
                <w:szCs w:val="15"/>
                <w:color w:val="auto"/>
              </w:rPr>
            </w:pPr>
          </w:p>
        </w:tc>
        <w:tc>
          <w:tcPr>
            <w:tcW w:w="6680" w:type="dxa"/>
            <w:vAlign w:val="bottom"/>
            <w:gridSpan w:val="3"/>
          </w:tcPr>
          <w:p>
            <w:pPr>
              <w:ind w:left="1240"/>
              <w:spacing w:after="0"/>
              <w:rPr>
                <w:sz w:val="20"/>
                <w:szCs w:val="20"/>
                <w:color w:val="auto"/>
              </w:rPr>
            </w:pPr>
            <w:r>
              <w:rPr>
                <w:rFonts w:ascii="Arial" w:cs="Arial" w:eastAsia="Arial" w:hAnsi="Arial"/>
                <w:sz w:val="14"/>
                <w:szCs w:val="14"/>
                <w:color w:val="auto"/>
                <w:w w:val="94"/>
              </w:rPr>
              <w:t>If you would like to reduce the costs incurred by our company in mailing proxy materials, you</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6680" w:type="dxa"/>
            <w:vAlign w:val="bottom"/>
            <w:gridSpan w:val="3"/>
          </w:tcPr>
          <w:p>
            <w:pPr>
              <w:ind w:left="1240"/>
              <w:spacing w:after="0" w:line="149" w:lineRule="exact"/>
              <w:rPr>
                <w:sz w:val="20"/>
                <w:szCs w:val="20"/>
                <w:color w:val="auto"/>
              </w:rPr>
            </w:pPr>
            <w:r>
              <w:rPr>
                <w:rFonts w:ascii="Arial" w:cs="Arial" w:eastAsia="Arial" w:hAnsi="Arial"/>
                <w:sz w:val="14"/>
                <w:szCs w:val="14"/>
                <w:color w:val="auto"/>
              </w:rPr>
              <w:t>can consent to receiving all future proxy statements, proxy cards and annual reports</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6680" w:type="dxa"/>
            <w:vAlign w:val="bottom"/>
            <w:gridSpan w:val="3"/>
          </w:tcPr>
          <w:p>
            <w:pPr>
              <w:ind w:left="1240"/>
              <w:spacing w:after="0" w:line="149" w:lineRule="exact"/>
              <w:rPr>
                <w:sz w:val="20"/>
                <w:szCs w:val="20"/>
                <w:color w:val="auto"/>
              </w:rPr>
            </w:pPr>
            <w:r>
              <w:rPr>
                <w:rFonts w:ascii="Arial" w:cs="Arial" w:eastAsia="Arial" w:hAnsi="Arial"/>
                <w:sz w:val="14"/>
                <w:szCs w:val="14"/>
                <w:color w:val="auto"/>
                <w:w w:val="98"/>
              </w:rPr>
              <w:t>electronically via email or the Internet. To sign up for electronic delivery, please follow the</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6680" w:type="dxa"/>
            <w:vAlign w:val="bottom"/>
            <w:gridSpan w:val="3"/>
          </w:tcPr>
          <w:p>
            <w:pPr>
              <w:ind w:left="1240"/>
              <w:spacing w:after="0" w:line="149" w:lineRule="exact"/>
              <w:rPr>
                <w:sz w:val="20"/>
                <w:szCs w:val="20"/>
                <w:color w:val="auto"/>
              </w:rPr>
            </w:pPr>
            <w:r>
              <w:rPr>
                <w:rFonts w:ascii="Arial" w:cs="Arial" w:eastAsia="Arial" w:hAnsi="Arial"/>
                <w:sz w:val="14"/>
                <w:szCs w:val="14"/>
                <w:color w:val="auto"/>
                <w:w w:val="95"/>
              </w:rPr>
              <w:t>instructions above to vote using the Internet and, when prompted, indicate that you agree to</w:t>
            </w:r>
          </w:p>
        </w:tc>
        <w:tc>
          <w:tcPr>
            <w:tcW w:w="0" w:type="dxa"/>
            <w:vAlign w:val="bottom"/>
          </w:tcPr>
          <w:p>
            <w:pPr>
              <w:spacing w:after="0"/>
              <w:rPr>
                <w:sz w:val="1"/>
                <w:szCs w:val="1"/>
                <w:color w:val="auto"/>
              </w:rPr>
            </w:pPr>
          </w:p>
        </w:tc>
      </w:tr>
      <w:tr>
        <w:trPr>
          <w:trHeight w:val="182"/>
        </w:trPr>
        <w:tc>
          <w:tcPr>
            <w:tcW w:w="3920" w:type="dxa"/>
            <w:vAlign w:val="bottom"/>
          </w:tcPr>
          <w:p>
            <w:pPr>
              <w:spacing w:after="0"/>
              <w:rPr>
                <w:sz w:val="15"/>
                <w:szCs w:val="15"/>
                <w:color w:val="auto"/>
              </w:rPr>
            </w:pPr>
          </w:p>
        </w:tc>
        <w:tc>
          <w:tcPr>
            <w:tcW w:w="6680" w:type="dxa"/>
            <w:vAlign w:val="bottom"/>
            <w:gridSpan w:val="3"/>
          </w:tcPr>
          <w:p>
            <w:pPr>
              <w:ind w:left="1240"/>
              <w:spacing w:after="0"/>
              <w:rPr>
                <w:sz w:val="20"/>
                <w:szCs w:val="20"/>
                <w:color w:val="auto"/>
              </w:rPr>
            </w:pPr>
            <w:r>
              <w:rPr>
                <w:rFonts w:ascii="Arial" w:cs="Arial" w:eastAsia="Arial" w:hAnsi="Arial"/>
                <w:sz w:val="14"/>
                <w:szCs w:val="14"/>
                <w:color w:val="auto"/>
              </w:rPr>
              <w:t>receive or access proxy materials electronically in future years.</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6680" w:type="dxa"/>
            <w:vAlign w:val="bottom"/>
            <w:gridSpan w:val="3"/>
          </w:tcPr>
          <w:p>
            <w:pPr>
              <w:ind w:left="1240"/>
              <w:spacing w:after="0"/>
              <w:rPr>
                <w:sz w:val="20"/>
                <w:szCs w:val="20"/>
                <w:color w:val="auto"/>
              </w:rPr>
            </w:pPr>
            <w:r>
              <w:rPr>
                <w:rFonts w:ascii="Arial" w:cs="Arial" w:eastAsia="Arial" w:hAnsi="Arial"/>
                <w:sz w:val="14"/>
                <w:szCs w:val="14"/>
                <w:b w:val="1"/>
                <w:bCs w:val="1"/>
                <w:color w:val="auto"/>
              </w:rPr>
              <w:t>VOTE BY PHONE - 1-800-690-6903</w:t>
            </w: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6680" w:type="dxa"/>
            <w:vAlign w:val="bottom"/>
            <w:gridSpan w:val="3"/>
          </w:tcPr>
          <w:p>
            <w:pPr>
              <w:ind w:left="1240"/>
              <w:spacing w:after="0"/>
              <w:rPr>
                <w:sz w:val="20"/>
                <w:szCs w:val="20"/>
                <w:color w:val="auto"/>
              </w:rPr>
            </w:pPr>
            <w:r>
              <w:rPr>
                <w:rFonts w:ascii="Arial" w:cs="Arial" w:eastAsia="Arial" w:hAnsi="Arial"/>
                <w:sz w:val="14"/>
                <w:szCs w:val="14"/>
                <w:color w:val="auto"/>
                <w:w w:val="95"/>
              </w:rPr>
              <w:t>Use any touch-tone telephone to transmit your voting instructions until the applicable cut-off</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6680" w:type="dxa"/>
            <w:vAlign w:val="bottom"/>
            <w:gridSpan w:val="3"/>
          </w:tcPr>
          <w:p>
            <w:pPr>
              <w:ind w:left="1240"/>
              <w:spacing w:after="0" w:line="149" w:lineRule="exact"/>
              <w:rPr>
                <w:sz w:val="20"/>
                <w:szCs w:val="20"/>
                <w:color w:val="auto"/>
              </w:rPr>
            </w:pPr>
            <w:r>
              <w:rPr>
                <w:rFonts w:ascii="Arial" w:cs="Arial" w:eastAsia="Arial" w:hAnsi="Arial"/>
                <w:sz w:val="14"/>
                <w:szCs w:val="14"/>
                <w:color w:val="auto"/>
              </w:rPr>
              <w:t>date and time above. Have your proxy card in hand when you call and then follow the</w:t>
            </w:r>
          </w:p>
        </w:tc>
        <w:tc>
          <w:tcPr>
            <w:tcW w:w="0" w:type="dxa"/>
            <w:vAlign w:val="bottom"/>
          </w:tcPr>
          <w:p>
            <w:pPr>
              <w:spacing w:after="0"/>
              <w:rPr>
                <w:sz w:val="1"/>
                <w:szCs w:val="1"/>
                <w:color w:val="auto"/>
              </w:rPr>
            </w:pPr>
          </w:p>
        </w:tc>
      </w:tr>
      <w:tr>
        <w:trPr>
          <w:trHeight w:val="182"/>
        </w:trPr>
        <w:tc>
          <w:tcPr>
            <w:tcW w:w="3920" w:type="dxa"/>
            <w:vAlign w:val="bottom"/>
          </w:tcPr>
          <w:p>
            <w:pPr>
              <w:spacing w:after="0"/>
              <w:rPr>
                <w:sz w:val="15"/>
                <w:szCs w:val="15"/>
                <w:color w:val="auto"/>
              </w:rPr>
            </w:pPr>
          </w:p>
        </w:tc>
        <w:tc>
          <w:tcPr>
            <w:tcW w:w="6680" w:type="dxa"/>
            <w:vAlign w:val="bottom"/>
            <w:gridSpan w:val="3"/>
          </w:tcPr>
          <w:p>
            <w:pPr>
              <w:ind w:left="1240"/>
              <w:spacing w:after="0"/>
              <w:rPr>
                <w:sz w:val="20"/>
                <w:szCs w:val="20"/>
                <w:color w:val="auto"/>
              </w:rPr>
            </w:pPr>
            <w:r>
              <w:rPr>
                <w:rFonts w:ascii="Arial" w:cs="Arial" w:eastAsia="Arial" w:hAnsi="Arial"/>
                <w:sz w:val="14"/>
                <w:szCs w:val="14"/>
                <w:color w:val="auto"/>
              </w:rPr>
              <w:t>instructions.</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6680" w:type="dxa"/>
            <w:vAlign w:val="bottom"/>
            <w:gridSpan w:val="3"/>
          </w:tcPr>
          <w:p>
            <w:pPr>
              <w:ind w:left="1240"/>
              <w:spacing w:after="0"/>
              <w:rPr>
                <w:sz w:val="20"/>
                <w:szCs w:val="20"/>
                <w:color w:val="auto"/>
              </w:rPr>
            </w:pPr>
            <w:r>
              <w:rPr>
                <w:rFonts w:ascii="Arial" w:cs="Arial" w:eastAsia="Arial" w:hAnsi="Arial"/>
                <w:sz w:val="14"/>
                <w:szCs w:val="14"/>
                <w:b w:val="1"/>
                <w:bCs w:val="1"/>
                <w:color w:val="auto"/>
              </w:rPr>
              <w:t>VOTE BY MAIL</w:t>
            </w:r>
          </w:p>
        </w:tc>
        <w:tc>
          <w:tcPr>
            <w:tcW w:w="0" w:type="dxa"/>
            <w:vAlign w:val="bottom"/>
          </w:tcPr>
          <w:p>
            <w:pPr>
              <w:spacing w:after="0"/>
              <w:rPr>
                <w:sz w:val="1"/>
                <w:szCs w:val="1"/>
                <w:color w:val="auto"/>
              </w:rPr>
            </w:pPr>
          </w:p>
        </w:tc>
      </w:tr>
      <w:tr>
        <w:trPr>
          <w:trHeight w:val="182"/>
        </w:trPr>
        <w:tc>
          <w:tcPr>
            <w:tcW w:w="3920" w:type="dxa"/>
            <w:vAlign w:val="bottom"/>
          </w:tcPr>
          <w:p>
            <w:pPr>
              <w:spacing w:after="0"/>
              <w:rPr>
                <w:sz w:val="15"/>
                <w:szCs w:val="15"/>
                <w:color w:val="auto"/>
              </w:rPr>
            </w:pPr>
          </w:p>
        </w:tc>
        <w:tc>
          <w:tcPr>
            <w:tcW w:w="6680" w:type="dxa"/>
            <w:vAlign w:val="bottom"/>
            <w:gridSpan w:val="3"/>
          </w:tcPr>
          <w:p>
            <w:pPr>
              <w:ind w:left="1240"/>
              <w:spacing w:after="0"/>
              <w:rPr>
                <w:sz w:val="20"/>
                <w:szCs w:val="20"/>
                <w:color w:val="auto"/>
              </w:rPr>
            </w:pPr>
            <w:r>
              <w:rPr>
                <w:rFonts w:ascii="Arial" w:cs="Arial" w:eastAsia="Arial" w:hAnsi="Arial"/>
                <w:sz w:val="14"/>
                <w:szCs w:val="14"/>
                <w:color w:val="auto"/>
              </w:rPr>
              <w:t>Mark, sign and date your proxy card and return it in the postage-paid envelope we have</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6680" w:type="dxa"/>
            <w:vAlign w:val="bottom"/>
            <w:gridSpan w:val="3"/>
          </w:tcPr>
          <w:p>
            <w:pPr>
              <w:ind w:left="1240"/>
              <w:spacing w:after="0" w:line="149" w:lineRule="exact"/>
              <w:rPr>
                <w:sz w:val="20"/>
                <w:szCs w:val="20"/>
                <w:color w:val="auto"/>
              </w:rPr>
            </w:pPr>
            <w:r>
              <w:rPr>
                <w:rFonts w:ascii="Arial" w:cs="Arial" w:eastAsia="Arial" w:hAnsi="Arial"/>
                <w:sz w:val="14"/>
                <w:szCs w:val="14"/>
                <w:color w:val="auto"/>
                <w:w w:val="96"/>
              </w:rPr>
              <w:t>provided or return it to Vote Processing, c/o Broadridge, 51 Mercedes Way, Edgewood, NY</w:t>
            </w:r>
          </w:p>
        </w:tc>
        <w:tc>
          <w:tcPr>
            <w:tcW w:w="0" w:type="dxa"/>
            <w:vAlign w:val="bottom"/>
          </w:tcPr>
          <w:p>
            <w:pPr>
              <w:spacing w:after="0"/>
              <w:rPr>
                <w:sz w:val="1"/>
                <w:szCs w:val="1"/>
                <w:color w:val="auto"/>
              </w:rPr>
            </w:pPr>
          </w:p>
        </w:tc>
      </w:tr>
      <w:tr>
        <w:trPr>
          <w:trHeight w:val="182"/>
        </w:trPr>
        <w:tc>
          <w:tcPr>
            <w:tcW w:w="3920" w:type="dxa"/>
            <w:vAlign w:val="bottom"/>
          </w:tcPr>
          <w:p>
            <w:pPr>
              <w:spacing w:after="0"/>
              <w:rPr>
                <w:sz w:val="15"/>
                <w:szCs w:val="15"/>
                <w:color w:val="auto"/>
              </w:rPr>
            </w:pPr>
          </w:p>
        </w:tc>
        <w:tc>
          <w:tcPr>
            <w:tcW w:w="6680" w:type="dxa"/>
            <w:vAlign w:val="bottom"/>
            <w:gridSpan w:val="3"/>
          </w:tcPr>
          <w:p>
            <w:pPr>
              <w:ind w:left="1240"/>
              <w:spacing w:after="0"/>
              <w:rPr>
                <w:sz w:val="20"/>
                <w:szCs w:val="20"/>
                <w:color w:val="auto"/>
              </w:rPr>
            </w:pPr>
            <w:r>
              <w:rPr>
                <w:rFonts w:ascii="Arial" w:cs="Arial" w:eastAsia="Arial" w:hAnsi="Arial"/>
                <w:sz w:val="14"/>
                <w:szCs w:val="14"/>
                <w:color w:val="auto"/>
              </w:rPr>
              <w:t>11717, so that it is received by the applicable date and time above.</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19"/>
                <w:szCs w:val="19"/>
                <w:color w:val="auto"/>
              </w:rPr>
            </w:pPr>
          </w:p>
        </w:tc>
        <w:tc>
          <w:tcPr>
            <w:tcW w:w="6680" w:type="dxa"/>
            <w:vAlign w:val="bottom"/>
            <w:gridSpan w:val="3"/>
          </w:tcPr>
          <w:p>
            <w:pPr>
              <w:ind w:left="1240"/>
              <w:spacing w:after="0"/>
              <w:rPr>
                <w:sz w:val="20"/>
                <w:szCs w:val="20"/>
                <w:color w:val="auto"/>
              </w:rPr>
            </w:pPr>
            <w:r>
              <w:rPr>
                <w:rFonts w:ascii="Arial" w:cs="Arial" w:eastAsia="Arial" w:hAnsi="Arial"/>
                <w:sz w:val="14"/>
                <w:szCs w:val="14"/>
                <w:b w:val="1"/>
                <w:bCs w:val="1"/>
                <w:color w:val="auto"/>
              </w:rPr>
              <w:t>STOCKHOLDER MEETING ADVANCE REGISTRATION</w:t>
            </w:r>
          </w:p>
        </w:tc>
        <w:tc>
          <w:tcPr>
            <w:tcW w:w="0" w:type="dxa"/>
            <w:vAlign w:val="bottom"/>
          </w:tcPr>
          <w:p>
            <w:pPr>
              <w:spacing w:after="0"/>
              <w:rPr>
                <w:sz w:val="1"/>
                <w:szCs w:val="1"/>
                <w:color w:val="auto"/>
              </w:rPr>
            </w:pPr>
          </w:p>
        </w:tc>
      </w:tr>
      <w:tr>
        <w:trPr>
          <w:trHeight w:val="182"/>
        </w:trPr>
        <w:tc>
          <w:tcPr>
            <w:tcW w:w="3920" w:type="dxa"/>
            <w:vAlign w:val="bottom"/>
          </w:tcPr>
          <w:p>
            <w:pPr>
              <w:spacing w:after="0"/>
              <w:rPr>
                <w:sz w:val="15"/>
                <w:szCs w:val="15"/>
                <w:color w:val="auto"/>
              </w:rPr>
            </w:pPr>
          </w:p>
        </w:tc>
        <w:tc>
          <w:tcPr>
            <w:tcW w:w="6680" w:type="dxa"/>
            <w:vAlign w:val="bottom"/>
            <w:gridSpan w:val="3"/>
          </w:tcPr>
          <w:p>
            <w:pPr>
              <w:ind w:left="1240"/>
              <w:spacing w:after="0"/>
              <w:rPr>
                <w:sz w:val="20"/>
                <w:szCs w:val="20"/>
                <w:color w:val="auto"/>
              </w:rPr>
            </w:pPr>
            <w:r>
              <w:rPr>
                <w:rFonts w:ascii="Arial" w:cs="Arial" w:eastAsia="Arial" w:hAnsi="Arial"/>
                <w:sz w:val="14"/>
                <w:szCs w:val="14"/>
                <w:color w:val="auto"/>
                <w:w w:val="96"/>
              </w:rPr>
              <w:t>You must register and print your advance registration form by 11:59 p.m. (Eastern time) on</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6680" w:type="dxa"/>
            <w:vAlign w:val="bottom"/>
            <w:gridSpan w:val="3"/>
          </w:tcPr>
          <w:p>
            <w:pPr>
              <w:ind w:left="1240"/>
              <w:spacing w:after="0" w:line="149" w:lineRule="exact"/>
              <w:rPr>
                <w:sz w:val="20"/>
                <w:szCs w:val="20"/>
                <w:color w:val="auto"/>
              </w:rPr>
            </w:pPr>
            <w:r>
              <w:rPr>
                <w:rFonts w:ascii="Arial" w:cs="Arial" w:eastAsia="Arial" w:hAnsi="Arial"/>
                <w:sz w:val="14"/>
                <w:szCs w:val="14"/>
                <w:color w:val="auto"/>
                <w:w w:val="98"/>
              </w:rPr>
              <w:t>April 22, 2020 at the stockholder meeting registration site: www.proxyvote.com. If you are</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6680" w:type="dxa"/>
            <w:vAlign w:val="bottom"/>
            <w:gridSpan w:val="3"/>
          </w:tcPr>
          <w:p>
            <w:pPr>
              <w:ind w:left="1240"/>
              <w:spacing w:after="0" w:line="149" w:lineRule="exact"/>
              <w:rPr>
                <w:sz w:val="20"/>
                <w:szCs w:val="20"/>
                <w:color w:val="auto"/>
              </w:rPr>
            </w:pPr>
            <w:r>
              <w:rPr>
                <w:rFonts w:ascii="Arial" w:cs="Arial" w:eastAsia="Arial" w:hAnsi="Arial"/>
                <w:sz w:val="14"/>
                <w:szCs w:val="14"/>
                <w:color w:val="auto"/>
                <w:w w:val="95"/>
              </w:rPr>
              <w:t>unable to print your advance registration form, please call Stockholder Meeting Registration</w:t>
            </w:r>
          </w:p>
        </w:tc>
        <w:tc>
          <w:tcPr>
            <w:tcW w:w="0" w:type="dxa"/>
            <w:vAlign w:val="bottom"/>
          </w:tcPr>
          <w:p>
            <w:pPr>
              <w:spacing w:after="0"/>
              <w:rPr>
                <w:sz w:val="1"/>
                <w:szCs w:val="1"/>
                <w:color w:val="auto"/>
              </w:rPr>
            </w:pPr>
          </w:p>
        </w:tc>
      </w:tr>
      <w:tr>
        <w:trPr>
          <w:trHeight w:val="182"/>
        </w:trPr>
        <w:tc>
          <w:tcPr>
            <w:tcW w:w="3920" w:type="dxa"/>
            <w:vAlign w:val="bottom"/>
          </w:tcPr>
          <w:p>
            <w:pPr>
              <w:spacing w:after="0"/>
              <w:rPr>
                <w:sz w:val="15"/>
                <w:szCs w:val="15"/>
                <w:color w:val="auto"/>
              </w:rPr>
            </w:pPr>
          </w:p>
        </w:tc>
        <w:tc>
          <w:tcPr>
            <w:tcW w:w="6680" w:type="dxa"/>
            <w:vAlign w:val="bottom"/>
            <w:gridSpan w:val="3"/>
          </w:tcPr>
          <w:p>
            <w:pPr>
              <w:ind w:left="1240"/>
              <w:spacing w:after="0"/>
              <w:rPr>
                <w:sz w:val="20"/>
                <w:szCs w:val="20"/>
                <w:color w:val="auto"/>
              </w:rPr>
            </w:pPr>
            <w:r>
              <w:rPr>
                <w:rFonts w:ascii="Arial" w:cs="Arial" w:eastAsia="Arial" w:hAnsi="Arial"/>
                <w:sz w:val="14"/>
                <w:szCs w:val="14"/>
                <w:color w:val="auto"/>
              </w:rPr>
              <w:t>Phone Support (Toll Free) 1-844-318-0137 or (International Toll Call) 1-925-331-6070.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-3155315</wp:posOffset>
            </wp:positionV>
            <wp:extent cx="1311275" cy="4457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11275" cy="445770"/>
                    </a:xfrm>
                    <a:prstGeom prst="rect">
                      <a:avLst/>
                    </a:prstGeom>
                    <a:noFill/>
                  </pic:spPr>
                </pic:pic>
              </a:graphicData>
            </a:graphic>
          </wp:anchor>
        </w:drawing>
      </w: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color w:val="auto"/>
        </w:rPr>
        <w:t>TO VOTE, MARK BLOCKS BELOW IN BLUE OR BLACK INK AS FOLLOWS:</w:t>
      </w:r>
    </w:p>
    <w:p>
      <w:pPr>
        <w:jc w:val="right"/>
        <w:spacing w:after="0"/>
        <w:tabs>
          <w:tab w:leader="none" w:pos="2800" w:val="left"/>
        </w:tabs>
        <w:rPr>
          <w:sz w:val="20"/>
          <w:szCs w:val="20"/>
          <w:color w:val="auto"/>
        </w:rPr>
      </w:pPr>
      <w:r>
        <w:rPr>
          <w:rFonts w:ascii="Arial" w:cs="Arial" w:eastAsia="Arial" w:hAnsi="Arial"/>
          <w:sz w:val="14"/>
          <w:szCs w:val="14"/>
          <w:color w:val="auto"/>
        </w:rPr>
        <w:t>E97070-P33282</w:t>
      </w:r>
      <w:r>
        <w:rPr>
          <w:sz w:val="20"/>
          <w:szCs w:val="20"/>
          <w:color w:val="auto"/>
        </w:rPr>
        <w:tab/>
      </w:r>
      <w:r>
        <w:rPr>
          <w:rFonts w:ascii="Arial" w:cs="Arial" w:eastAsia="Arial" w:hAnsi="Arial"/>
          <w:sz w:val="13"/>
          <w:szCs w:val="13"/>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wp:posOffset>
            </wp:positionV>
            <wp:extent cx="715772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342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color w:val="auto"/>
        </w:rPr>
        <w:t>DETACH AND RETURN THIS PORTION ONLY</w:t>
      </w:r>
    </w:p>
    <w:p>
      <w:pPr>
        <w:spacing w:after="0" w:line="66" w:lineRule="exact"/>
        <w:rPr>
          <w:sz w:val="20"/>
          <w:szCs w:val="20"/>
          <w:color w:val="auto"/>
        </w:rPr>
      </w:pPr>
    </w:p>
    <w:p>
      <w:pPr>
        <w:jc w:val="center"/>
        <w:ind w:right="340"/>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1685" cy="38227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1685" cy="3822700"/>
                    </a:xfrm>
                    <a:prstGeom prst="rect">
                      <a:avLst/>
                    </a:prstGeom>
                    <a:noFill/>
                  </pic:spPr>
                </pic:pic>
              </a:graphicData>
            </a:graphic>
          </wp:anchor>
        </w:drawing>
      </w:r>
    </w:p>
    <w:p>
      <w:pPr>
        <w:spacing w:after="0" w:line="49"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TEXAS INSTRUMENTS INCORPORATED</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 xml:space="preserve">The Board of Directors recommends you vote </w:t>
      </w:r>
      <w:r>
        <w:rPr>
          <w:rFonts w:ascii="Arial" w:cs="Arial" w:eastAsia="Arial" w:hAnsi="Arial"/>
          <w:sz w:val="14"/>
          <w:szCs w:val="14"/>
          <w:b w:val="1"/>
          <w:bCs w:val="1"/>
          <w:color w:val="auto"/>
        </w:rPr>
        <w:t>FOR</w:t>
      </w:r>
      <w:r>
        <w:rPr>
          <w:rFonts w:ascii="Arial" w:cs="Arial" w:eastAsia="Arial" w:hAnsi="Arial"/>
          <w:sz w:val="14"/>
          <w:szCs w:val="14"/>
          <w:color w:val="auto"/>
        </w:rPr>
        <w:t xml:space="preserve"> each of the nominees for</w:t>
      </w:r>
    </w:p>
    <w:p>
      <w:pPr>
        <w:spacing w:after="0" w:line="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 xml:space="preserve">Director and </w:t>
      </w:r>
      <w:r>
        <w:rPr>
          <w:rFonts w:ascii="Arial" w:cs="Arial" w:eastAsia="Arial" w:hAnsi="Arial"/>
          <w:sz w:val="14"/>
          <w:szCs w:val="14"/>
          <w:b w:val="1"/>
          <w:bCs w:val="1"/>
          <w:color w:val="auto"/>
        </w:rPr>
        <w:t>FOR</w:t>
      </w:r>
      <w:r>
        <w:rPr>
          <w:rFonts w:ascii="Arial" w:cs="Arial" w:eastAsia="Arial" w:hAnsi="Arial"/>
          <w:sz w:val="14"/>
          <w:szCs w:val="14"/>
          <w:color w:val="auto"/>
        </w:rPr>
        <w:t xml:space="preserve"> Proposals 2 and 3.</w:t>
      </w:r>
    </w:p>
    <w:p>
      <w:pPr>
        <w:sectPr>
          <w:pgSz w:w="11900" w:h="16838" w:orient="portrait"/>
          <w:cols w:equalWidth="0" w:num="1">
            <w:col w:w="11240"/>
          </w:cols>
          <w:pgMar w:left="320" w:top="459" w:right="339" w:bottom="1440" w:gutter="0" w:footer="0" w:header="0"/>
        </w:sectPr>
      </w:pPr>
    </w:p>
    <w:p>
      <w:pPr>
        <w:spacing w:after="0" w:line="80"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2680" w:type="dxa"/>
            <w:vAlign w:val="bottom"/>
            <w:gridSpan w:val="2"/>
          </w:tcPr>
          <w:p>
            <w:pPr>
              <w:spacing w:after="0"/>
              <w:rPr>
                <w:sz w:val="20"/>
                <w:szCs w:val="20"/>
                <w:color w:val="auto"/>
              </w:rPr>
            </w:pPr>
            <w:r>
              <w:rPr>
                <w:rFonts w:ascii="Arial" w:cs="Arial" w:eastAsia="Arial" w:hAnsi="Arial"/>
                <w:sz w:val="14"/>
                <w:szCs w:val="14"/>
                <w:b w:val="1"/>
                <w:bCs w:val="1"/>
                <w:color w:val="auto"/>
              </w:rPr>
              <w:t>Vote on Directors</w:t>
            </w:r>
          </w:p>
        </w:tc>
        <w:tc>
          <w:tcPr>
            <w:tcW w:w="1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57"/>
        </w:trPr>
        <w:tc>
          <w:tcPr>
            <w:tcW w:w="2680" w:type="dxa"/>
            <w:vAlign w:val="bottom"/>
            <w:gridSpan w:val="2"/>
          </w:tcPr>
          <w:p>
            <w:pPr>
              <w:ind w:left="60"/>
              <w:spacing w:after="0"/>
              <w:rPr>
                <w:sz w:val="20"/>
                <w:szCs w:val="20"/>
                <w:color w:val="auto"/>
              </w:rPr>
            </w:pPr>
            <w:r>
              <w:rPr>
                <w:rFonts w:ascii="Arial" w:cs="Arial" w:eastAsia="Arial" w:hAnsi="Arial"/>
                <w:sz w:val="14"/>
                <w:szCs w:val="14"/>
                <w:color w:val="auto"/>
              </w:rPr>
              <w:t>1.  Election of Directors</w:t>
            </w: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6"/>
        </w:trPr>
        <w:tc>
          <w:tcPr>
            <w:tcW w:w="2680" w:type="dxa"/>
            <w:vAlign w:val="bottom"/>
            <w:gridSpan w:val="2"/>
          </w:tcPr>
          <w:p>
            <w:pPr>
              <w:ind w:left="260"/>
              <w:spacing w:after="0"/>
              <w:rPr>
                <w:sz w:val="20"/>
                <w:szCs w:val="20"/>
                <w:color w:val="auto"/>
              </w:rPr>
            </w:pPr>
            <w:r>
              <w:rPr>
                <w:rFonts w:ascii="Arial" w:cs="Arial" w:eastAsia="Arial" w:hAnsi="Arial"/>
                <w:sz w:val="14"/>
                <w:szCs w:val="14"/>
                <w:b w:val="1"/>
                <w:bCs w:val="1"/>
                <w:color w:val="auto"/>
              </w:rPr>
              <w:t>Nominees:</w:t>
            </w:r>
          </w:p>
        </w:tc>
        <w:tc>
          <w:tcPr>
            <w:tcW w:w="1220" w:type="dxa"/>
            <w:vAlign w:val="bottom"/>
          </w:tcPr>
          <w:p>
            <w:pPr>
              <w:jc w:val="center"/>
              <w:ind w:left="688"/>
              <w:spacing w:after="0"/>
              <w:rPr>
                <w:sz w:val="20"/>
                <w:szCs w:val="20"/>
                <w:color w:val="auto"/>
              </w:rPr>
            </w:pPr>
            <w:r>
              <w:rPr>
                <w:rFonts w:ascii="Arial" w:cs="Arial" w:eastAsia="Arial" w:hAnsi="Arial"/>
                <w:sz w:val="14"/>
                <w:szCs w:val="14"/>
                <w:b w:val="1"/>
                <w:bCs w:val="1"/>
                <w:color w:val="auto"/>
                <w:w w:val="97"/>
              </w:rPr>
              <w:t>For</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245"/>
        </w:trPr>
        <w:tc>
          <w:tcPr>
            <w:tcW w:w="500" w:type="dxa"/>
            <w:vAlign w:val="bottom"/>
          </w:tcPr>
          <w:p>
            <w:pPr>
              <w:ind w:left="260"/>
              <w:spacing w:after="0"/>
              <w:rPr>
                <w:sz w:val="20"/>
                <w:szCs w:val="20"/>
                <w:color w:val="auto"/>
              </w:rPr>
            </w:pPr>
            <w:r>
              <w:rPr>
                <w:rFonts w:ascii="Arial" w:cs="Arial" w:eastAsia="Arial" w:hAnsi="Arial"/>
                <w:sz w:val="14"/>
                <w:szCs w:val="14"/>
                <w:color w:val="auto"/>
              </w:rPr>
              <w:t>1a.</w:t>
            </w:r>
          </w:p>
        </w:tc>
        <w:tc>
          <w:tcPr>
            <w:tcW w:w="2180" w:type="dxa"/>
            <w:vAlign w:val="bottom"/>
          </w:tcPr>
          <w:p>
            <w:pPr>
              <w:ind w:left="60"/>
              <w:spacing w:after="0"/>
              <w:rPr>
                <w:sz w:val="20"/>
                <w:szCs w:val="20"/>
                <w:color w:val="auto"/>
              </w:rPr>
            </w:pPr>
            <w:r>
              <w:rPr>
                <w:rFonts w:ascii="Arial" w:cs="Arial" w:eastAsia="Arial" w:hAnsi="Arial"/>
                <w:sz w:val="14"/>
                <w:szCs w:val="14"/>
                <w:color w:val="auto"/>
              </w:rPr>
              <w:t>Mark A. Blinn</w:t>
            </w:r>
          </w:p>
        </w:tc>
        <w:tc>
          <w:tcPr>
            <w:tcW w:w="1220" w:type="dxa"/>
            <w:vAlign w:val="bottom"/>
          </w:tcPr>
          <w:p>
            <w:pPr>
              <w:jc w:val="center"/>
              <w:ind w:left="688"/>
              <w:spacing w:after="0" w:line="141" w:lineRule="exact"/>
              <w:rPr>
                <w:sz w:val="20"/>
                <w:szCs w:val="20"/>
                <w:color w:val="auto"/>
              </w:rPr>
            </w:pPr>
            <w:r>
              <w:rPr>
                <w:rFonts w:ascii="MS PGothic" w:cs="MS PGothic" w:eastAsia="MS PGothic" w:hAnsi="MS PGothic"/>
                <w:sz w:val="14"/>
                <w:szCs w:val="14"/>
                <w:color w:val="auto"/>
                <w:w w:val="99"/>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43"/>
        </w:trPr>
        <w:tc>
          <w:tcPr>
            <w:tcW w:w="500" w:type="dxa"/>
            <w:vAlign w:val="bottom"/>
          </w:tcPr>
          <w:p>
            <w:pPr>
              <w:ind w:left="260"/>
              <w:spacing w:after="0"/>
              <w:rPr>
                <w:sz w:val="20"/>
                <w:szCs w:val="20"/>
                <w:color w:val="auto"/>
              </w:rPr>
            </w:pPr>
            <w:r>
              <w:rPr>
                <w:rFonts w:ascii="Arial" w:cs="Arial" w:eastAsia="Arial" w:hAnsi="Arial"/>
                <w:sz w:val="14"/>
                <w:szCs w:val="14"/>
                <w:color w:val="auto"/>
              </w:rPr>
              <w:t>1b.</w:t>
            </w:r>
          </w:p>
        </w:tc>
        <w:tc>
          <w:tcPr>
            <w:tcW w:w="2180" w:type="dxa"/>
            <w:vAlign w:val="bottom"/>
          </w:tcPr>
          <w:p>
            <w:pPr>
              <w:ind w:left="40"/>
              <w:spacing w:after="0"/>
              <w:rPr>
                <w:sz w:val="20"/>
                <w:szCs w:val="20"/>
                <w:color w:val="auto"/>
              </w:rPr>
            </w:pPr>
            <w:r>
              <w:rPr>
                <w:rFonts w:ascii="Arial" w:cs="Arial" w:eastAsia="Arial" w:hAnsi="Arial"/>
                <w:sz w:val="14"/>
                <w:szCs w:val="14"/>
                <w:color w:val="auto"/>
              </w:rPr>
              <w:t>Todd M. Bluedorn</w:t>
            </w:r>
          </w:p>
        </w:tc>
        <w:tc>
          <w:tcPr>
            <w:tcW w:w="1220" w:type="dxa"/>
            <w:vAlign w:val="bottom"/>
          </w:tcPr>
          <w:p>
            <w:pPr>
              <w:jc w:val="center"/>
              <w:ind w:left="688"/>
              <w:spacing w:after="0" w:line="141" w:lineRule="exact"/>
              <w:rPr>
                <w:sz w:val="20"/>
                <w:szCs w:val="20"/>
                <w:color w:val="auto"/>
              </w:rPr>
            </w:pPr>
            <w:r>
              <w:rPr>
                <w:rFonts w:ascii="MS PGothic" w:cs="MS PGothic" w:eastAsia="MS PGothic" w:hAnsi="MS PGothic"/>
                <w:sz w:val="14"/>
                <w:szCs w:val="14"/>
                <w:color w:val="auto"/>
                <w:w w:val="99"/>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43"/>
        </w:trPr>
        <w:tc>
          <w:tcPr>
            <w:tcW w:w="500" w:type="dxa"/>
            <w:vAlign w:val="bottom"/>
          </w:tcPr>
          <w:p>
            <w:pPr>
              <w:ind w:left="260"/>
              <w:spacing w:after="0"/>
              <w:rPr>
                <w:sz w:val="20"/>
                <w:szCs w:val="20"/>
                <w:color w:val="auto"/>
              </w:rPr>
            </w:pPr>
            <w:r>
              <w:rPr>
                <w:rFonts w:ascii="Arial" w:cs="Arial" w:eastAsia="Arial" w:hAnsi="Arial"/>
                <w:sz w:val="14"/>
                <w:szCs w:val="14"/>
                <w:color w:val="auto"/>
              </w:rPr>
              <w:t>1c.</w:t>
            </w:r>
          </w:p>
        </w:tc>
        <w:tc>
          <w:tcPr>
            <w:tcW w:w="2180" w:type="dxa"/>
            <w:vAlign w:val="bottom"/>
          </w:tcPr>
          <w:p>
            <w:pPr>
              <w:ind w:left="60"/>
              <w:spacing w:after="0"/>
              <w:rPr>
                <w:sz w:val="20"/>
                <w:szCs w:val="20"/>
                <w:color w:val="auto"/>
              </w:rPr>
            </w:pPr>
            <w:r>
              <w:rPr>
                <w:rFonts w:ascii="Arial" w:cs="Arial" w:eastAsia="Arial" w:hAnsi="Arial"/>
                <w:sz w:val="14"/>
                <w:szCs w:val="14"/>
                <w:color w:val="auto"/>
              </w:rPr>
              <w:t>Janet F. Clark</w:t>
            </w:r>
          </w:p>
        </w:tc>
        <w:tc>
          <w:tcPr>
            <w:tcW w:w="1220" w:type="dxa"/>
            <w:vAlign w:val="bottom"/>
          </w:tcPr>
          <w:p>
            <w:pPr>
              <w:jc w:val="center"/>
              <w:ind w:left="688"/>
              <w:spacing w:after="0" w:line="141" w:lineRule="exact"/>
              <w:rPr>
                <w:sz w:val="20"/>
                <w:szCs w:val="20"/>
                <w:color w:val="auto"/>
              </w:rPr>
            </w:pPr>
            <w:r>
              <w:rPr>
                <w:rFonts w:ascii="MS PGothic" w:cs="MS PGothic" w:eastAsia="MS PGothic" w:hAnsi="MS PGothic"/>
                <w:sz w:val="14"/>
                <w:szCs w:val="14"/>
                <w:color w:val="auto"/>
                <w:w w:val="99"/>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43"/>
        </w:trPr>
        <w:tc>
          <w:tcPr>
            <w:tcW w:w="500" w:type="dxa"/>
            <w:vAlign w:val="bottom"/>
          </w:tcPr>
          <w:p>
            <w:pPr>
              <w:ind w:left="260"/>
              <w:spacing w:after="0"/>
              <w:rPr>
                <w:sz w:val="20"/>
                <w:szCs w:val="20"/>
                <w:color w:val="auto"/>
              </w:rPr>
            </w:pPr>
            <w:r>
              <w:rPr>
                <w:rFonts w:ascii="Arial" w:cs="Arial" w:eastAsia="Arial" w:hAnsi="Arial"/>
                <w:sz w:val="14"/>
                <w:szCs w:val="14"/>
                <w:color w:val="auto"/>
              </w:rPr>
              <w:t>1d.</w:t>
            </w:r>
          </w:p>
        </w:tc>
        <w:tc>
          <w:tcPr>
            <w:tcW w:w="2180" w:type="dxa"/>
            <w:vAlign w:val="bottom"/>
          </w:tcPr>
          <w:p>
            <w:pPr>
              <w:ind w:left="40"/>
              <w:spacing w:after="0"/>
              <w:rPr>
                <w:sz w:val="20"/>
                <w:szCs w:val="20"/>
                <w:color w:val="auto"/>
              </w:rPr>
            </w:pPr>
            <w:r>
              <w:rPr>
                <w:rFonts w:ascii="Arial" w:cs="Arial" w:eastAsia="Arial" w:hAnsi="Arial"/>
                <w:sz w:val="14"/>
                <w:szCs w:val="14"/>
                <w:color w:val="auto"/>
              </w:rPr>
              <w:t>Carrie S. Cox</w:t>
            </w:r>
          </w:p>
        </w:tc>
        <w:tc>
          <w:tcPr>
            <w:tcW w:w="1220" w:type="dxa"/>
            <w:vAlign w:val="bottom"/>
          </w:tcPr>
          <w:p>
            <w:pPr>
              <w:jc w:val="center"/>
              <w:ind w:left="688"/>
              <w:spacing w:after="0" w:line="141" w:lineRule="exact"/>
              <w:rPr>
                <w:sz w:val="20"/>
                <w:szCs w:val="20"/>
                <w:color w:val="auto"/>
              </w:rPr>
            </w:pPr>
            <w:r>
              <w:rPr>
                <w:rFonts w:ascii="MS PGothic" w:cs="MS PGothic" w:eastAsia="MS PGothic" w:hAnsi="MS PGothic"/>
                <w:sz w:val="14"/>
                <w:szCs w:val="14"/>
                <w:color w:val="auto"/>
                <w:w w:val="99"/>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43"/>
        </w:trPr>
        <w:tc>
          <w:tcPr>
            <w:tcW w:w="500" w:type="dxa"/>
            <w:vAlign w:val="bottom"/>
          </w:tcPr>
          <w:p>
            <w:pPr>
              <w:ind w:left="260"/>
              <w:spacing w:after="0"/>
              <w:rPr>
                <w:sz w:val="20"/>
                <w:szCs w:val="20"/>
                <w:color w:val="auto"/>
              </w:rPr>
            </w:pPr>
            <w:r>
              <w:rPr>
                <w:rFonts w:ascii="Arial" w:cs="Arial" w:eastAsia="Arial" w:hAnsi="Arial"/>
                <w:sz w:val="14"/>
                <w:szCs w:val="14"/>
                <w:color w:val="auto"/>
              </w:rPr>
              <w:t>1e.</w:t>
            </w:r>
          </w:p>
        </w:tc>
        <w:tc>
          <w:tcPr>
            <w:tcW w:w="2180" w:type="dxa"/>
            <w:vAlign w:val="bottom"/>
          </w:tcPr>
          <w:p>
            <w:pPr>
              <w:ind w:left="60"/>
              <w:spacing w:after="0"/>
              <w:rPr>
                <w:sz w:val="20"/>
                <w:szCs w:val="20"/>
                <w:color w:val="auto"/>
              </w:rPr>
            </w:pPr>
            <w:r>
              <w:rPr>
                <w:rFonts w:ascii="Arial" w:cs="Arial" w:eastAsia="Arial" w:hAnsi="Arial"/>
                <w:sz w:val="14"/>
                <w:szCs w:val="14"/>
                <w:color w:val="auto"/>
              </w:rPr>
              <w:t>Martin S. Craighead</w:t>
            </w:r>
          </w:p>
        </w:tc>
        <w:tc>
          <w:tcPr>
            <w:tcW w:w="1220" w:type="dxa"/>
            <w:vAlign w:val="bottom"/>
          </w:tcPr>
          <w:p>
            <w:pPr>
              <w:jc w:val="center"/>
              <w:ind w:left="688"/>
              <w:spacing w:after="0" w:line="141" w:lineRule="exact"/>
              <w:rPr>
                <w:sz w:val="20"/>
                <w:szCs w:val="20"/>
                <w:color w:val="auto"/>
              </w:rPr>
            </w:pPr>
            <w:r>
              <w:rPr>
                <w:rFonts w:ascii="MS PGothic" w:cs="MS PGothic" w:eastAsia="MS PGothic" w:hAnsi="MS PGothic"/>
                <w:sz w:val="14"/>
                <w:szCs w:val="14"/>
                <w:color w:val="auto"/>
                <w:w w:val="99"/>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43"/>
        </w:trPr>
        <w:tc>
          <w:tcPr>
            <w:tcW w:w="500" w:type="dxa"/>
            <w:vAlign w:val="bottom"/>
          </w:tcPr>
          <w:p>
            <w:pPr>
              <w:ind w:left="260"/>
              <w:spacing w:after="0"/>
              <w:rPr>
                <w:sz w:val="20"/>
                <w:szCs w:val="20"/>
                <w:color w:val="auto"/>
              </w:rPr>
            </w:pPr>
            <w:r>
              <w:rPr>
                <w:rFonts w:ascii="Arial" w:cs="Arial" w:eastAsia="Arial" w:hAnsi="Arial"/>
                <w:sz w:val="14"/>
                <w:szCs w:val="14"/>
                <w:color w:val="auto"/>
              </w:rPr>
              <w:t>1f.</w:t>
            </w:r>
          </w:p>
        </w:tc>
        <w:tc>
          <w:tcPr>
            <w:tcW w:w="2180" w:type="dxa"/>
            <w:vAlign w:val="bottom"/>
          </w:tcPr>
          <w:p>
            <w:pPr>
              <w:ind w:left="60"/>
              <w:spacing w:after="0"/>
              <w:rPr>
                <w:sz w:val="20"/>
                <w:szCs w:val="20"/>
                <w:color w:val="auto"/>
              </w:rPr>
            </w:pPr>
            <w:r>
              <w:rPr>
                <w:rFonts w:ascii="Arial" w:cs="Arial" w:eastAsia="Arial" w:hAnsi="Arial"/>
                <w:sz w:val="14"/>
                <w:szCs w:val="14"/>
                <w:color w:val="auto"/>
              </w:rPr>
              <w:t>Jean M. Hobby</w:t>
            </w:r>
          </w:p>
        </w:tc>
        <w:tc>
          <w:tcPr>
            <w:tcW w:w="1220" w:type="dxa"/>
            <w:vAlign w:val="bottom"/>
          </w:tcPr>
          <w:p>
            <w:pPr>
              <w:jc w:val="center"/>
              <w:ind w:left="688"/>
              <w:spacing w:after="0" w:line="141" w:lineRule="exact"/>
              <w:rPr>
                <w:sz w:val="20"/>
                <w:szCs w:val="20"/>
                <w:color w:val="auto"/>
              </w:rPr>
            </w:pPr>
            <w:r>
              <w:rPr>
                <w:rFonts w:ascii="MS PGothic" w:cs="MS PGothic" w:eastAsia="MS PGothic" w:hAnsi="MS PGothic"/>
                <w:sz w:val="14"/>
                <w:szCs w:val="14"/>
                <w:color w:val="auto"/>
                <w:w w:val="99"/>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43"/>
        </w:trPr>
        <w:tc>
          <w:tcPr>
            <w:tcW w:w="500" w:type="dxa"/>
            <w:vAlign w:val="bottom"/>
          </w:tcPr>
          <w:p>
            <w:pPr>
              <w:ind w:left="260"/>
              <w:spacing w:after="0"/>
              <w:rPr>
                <w:sz w:val="20"/>
                <w:szCs w:val="20"/>
                <w:color w:val="auto"/>
              </w:rPr>
            </w:pPr>
            <w:r>
              <w:rPr>
                <w:rFonts w:ascii="Arial" w:cs="Arial" w:eastAsia="Arial" w:hAnsi="Arial"/>
                <w:sz w:val="14"/>
                <w:szCs w:val="14"/>
                <w:color w:val="auto"/>
              </w:rPr>
              <w:t>1g.</w:t>
            </w:r>
          </w:p>
        </w:tc>
        <w:tc>
          <w:tcPr>
            <w:tcW w:w="2180" w:type="dxa"/>
            <w:vAlign w:val="bottom"/>
          </w:tcPr>
          <w:p>
            <w:pPr>
              <w:ind w:left="40"/>
              <w:spacing w:after="0"/>
              <w:rPr>
                <w:sz w:val="20"/>
                <w:szCs w:val="20"/>
                <w:color w:val="auto"/>
              </w:rPr>
            </w:pPr>
            <w:r>
              <w:rPr>
                <w:rFonts w:ascii="Arial" w:cs="Arial" w:eastAsia="Arial" w:hAnsi="Arial"/>
                <w:sz w:val="14"/>
                <w:szCs w:val="14"/>
                <w:color w:val="auto"/>
              </w:rPr>
              <w:t>Michael D. Hsu</w:t>
            </w:r>
          </w:p>
        </w:tc>
        <w:tc>
          <w:tcPr>
            <w:tcW w:w="1220" w:type="dxa"/>
            <w:vAlign w:val="bottom"/>
          </w:tcPr>
          <w:p>
            <w:pPr>
              <w:jc w:val="center"/>
              <w:ind w:left="688"/>
              <w:spacing w:after="0" w:line="141" w:lineRule="exact"/>
              <w:rPr>
                <w:sz w:val="20"/>
                <w:szCs w:val="20"/>
                <w:color w:val="auto"/>
              </w:rPr>
            </w:pPr>
            <w:r>
              <w:rPr>
                <w:rFonts w:ascii="MS PGothic" w:cs="MS PGothic" w:eastAsia="MS PGothic" w:hAnsi="MS PGothic"/>
                <w:sz w:val="14"/>
                <w:szCs w:val="14"/>
                <w:color w:val="auto"/>
                <w:w w:val="99"/>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43"/>
        </w:trPr>
        <w:tc>
          <w:tcPr>
            <w:tcW w:w="500" w:type="dxa"/>
            <w:vAlign w:val="bottom"/>
          </w:tcPr>
          <w:p>
            <w:pPr>
              <w:ind w:left="260"/>
              <w:spacing w:after="0"/>
              <w:rPr>
                <w:sz w:val="20"/>
                <w:szCs w:val="20"/>
                <w:color w:val="auto"/>
              </w:rPr>
            </w:pPr>
            <w:r>
              <w:rPr>
                <w:rFonts w:ascii="Arial" w:cs="Arial" w:eastAsia="Arial" w:hAnsi="Arial"/>
                <w:sz w:val="14"/>
                <w:szCs w:val="14"/>
                <w:color w:val="auto"/>
              </w:rPr>
              <w:t>1h.</w:t>
            </w:r>
          </w:p>
        </w:tc>
        <w:tc>
          <w:tcPr>
            <w:tcW w:w="2180" w:type="dxa"/>
            <w:vAlign w:val="bottom"/>
          </w:tcPr>
          <w:p>
            <w:pPr>
              <w:ind w:left="40"/>
              <w:spacing w:after="0"/>
              <w:rPr>
                <w:sz w:val="20"/>
                <w:szCs w:val="20"/>
                <w:color w:val="auto"/>
              </w:rPr>
            </w:pPr>
            <w:r>
              <w:rPr>
                <w:rFonts w:ascii="Arial" w:cs="Arial" w:eastAsia="Arial" w:hAnsi="Arial"/>
                <w:sz w:val="14"/>
                <w:szCs w:val="14"/>
                <w:color w:val="auto"/>
              </w:rPr>
              <w:t>Ronald Kirk</w:t>
            </w:r>
          </w:p>
        </w:tc>
        <w:tc>
          <w:tcPr>
            <w:tcW w:w="1220" w:type="dxa"/>
            <w:vAlign w:val="bottom"/>
          </w:tcPr>
          <w:p>
            <w:pPr>
              <w:jc w:val="center"/>
              <w:ind w:left="688"/>
              <w:spacing w:after="0" w:line="141" w:lineRule="exact"/>
              <w:rPr>
                <w:sz w:val="20"/>
                <w:szCs w:val="20"/>
                <w:color w:val="auto"/>
              </w:rPr>
            </w:pPr>
            <w:r>
              <w:rPr>
                <w:rFonts w:ascii="MS PGothic" w:cs="MS PGothic" w:eastAsia="MS PGothic" w:hAnsi="MS PGothic"/>
                <w:sz w:val="14"/>
                <w:szCs w:val="14"/>
                <w:color w:val="auto"/>
                <w:w w:val="99"/>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43"/>
        </w:trPr>
        <w:tc>
          <w:tcPr>
            <w:tcW w:w="500" w:type="dxa"/>
            <w:vAlign w:val="bottom"/>
          </w:tcPr>
          <w:p>
            <w:pPr>
              <w:ind w:left="260"/>
              <w:spacing w:after="0"/>
              <w:rPr>
                <w:sz w:val="20"/>
                <w:szCs w:val="20"/>
                <w:color w:val="auto"/>
              </w:rPr>
            </w:pPr>
            <w:r>
              <w:rPr>
                <w:rFonts w:ascii="Arial" w:cs="Arial" w:eastAsia="Arial" w:hAnsi="Arial"/>
                <w:sz w:val="14"/>
                <w:szCs w:val="14"/>
                <w:color w:val="auto"/>
              </w:rPr>
              <w:t>1i.</w:t>
            </w:r>
          </w:p>
        </w:tc>
        <w:tc>
          <w:tcPr>
            <w:tcW w:w="2180" w:type="dxa"/>
            <w:vAlign w:val="bottom"/>
          </w:tcPr>
          <w:p>
            <w:pPr>
              <w:ind w:left="40"/>
              <w:spacing w:after="0"/>
              <w:rPr>
                <w:sz w:val="20"/>
                <w:szCs w:val="20"/>
                <w:color w:val="auto"/>
              </w:rPr>
            </w:pPr>
            <w:r>
              <w:rPr>
                <w:rFonts w:ascii="Arial" w:cs="Arial" w:eastAsia="Arial" w:hAnsi="Arial"/>
                <w:sz w:val="14"/>
                <w:szCs w:val="14"/>
                <w:color w:val="auto"/>
              </w:rPr>
              <w:t>Pamela H. Patsley</w:t>
            </w:r>
          </w:p>
        </w:tc>
        <w:tc>
          <w:tcPr>
            <w:tcW w:w="1220" w:type="dxa"/>
            <w:vAlign w:val="bottom"/>
          </w:tcPr>
          <w:p>
            <w:pPr>
              <w:jc w:val="center"/>
              <w:ind w:left="688"/>
              <w:spacing w:after="0" w:line="141" w:lineRule="exact"/>
              <w:rPr>
                <w:sz w:val="20"/>
                <w:szCs w:val="20"/>
                <w:color w:val="auto"/>
              </w:rPr>
            </w:pPr>
            <w:r>
              <w:rPr>
                <w:rFonts w:ascii="MS PGothic" w:cs="MS PGothic" w:eastAsia="MS PGothic" w:hAnsi="MS PGothic"/>
                <w:sz w:val="14"/>
                <w:szCs w:val="14"/>
                <w:color w:val="auto"/>
                <w:w w:val="99"/>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43"/>
        </w:trPr>
        <w:tc>
          <w:tcPr>
            <w:tcW w:w="500" w:type="dxa"/>
            <w:vAlign w:val="bottom"/>
          </w:tcPr>
          <w:p>
            <w:pPr>
              <w:ind w:left="260"/>
              <w:spacing w:after="0"/>
              <w:rPr>
                <w:sz w:val="20"/>
                <w:szCs w:val="20"/>
                <w:color w:val="auto"/>
              </w:rPr>
            </w:pPr>
            <w:r>
              <w:rPr>
                <w:rFonts w:ascii="Arial" w:cs="Arial" w:eastAsia="Arial" w:hAnsi="Arial"/>
                <w:sz w:val="14"/>
                <w:szCs w:val="14"/>
                <w:color w:val="auto"/>
              </w:rPr>
              <w:t>1j.</w:t>
            </w:r>
          </w:p>
        </w:tc>
        <w:tc>
          <w:tcPr>
            <w:tcW w:w="2180" w:type="dxa"/>
            <w:vAlign w:val="bottom"/>
          </w:tcPr>
          <w:p>
            <w:pPr>
              <w:ind w:left="40"/>
              <w:spacing w:after="0"/>
              <w:rPr>
                <w:sz w:val="20"/>
                <w:szCs w:val="20"/>
                <w:color w:val="auto"/>
              </w:rPr>
            </w:pPr>
            <w:r>
              <w:rPr>
                <w:rFonts w:ascii="Arial" w:cs="Arial" w:eastAsia="Arial" w:hAnsi="Arial"/>
                <w:sz w:val="14"/>
                <w:szCs w:val="14"/>
                <w:color w:val="auto"/>
              </w:rPr>
              <w:t>Robert E. Sanchez</w:t>
            </w:r>
          </w:p>
        </w:tc>
        <w:tc>
          <w:tcPr>
            <w:tcW w:w="1220" w:type="dxa"/>
            <w:vAlign w:val="bottom"/>
          </w:tcPr>
          <w:p>
            <w:pPr>
              <w:jc w:val="center"/>
              <w:ind w:left="688"/>
              <w:spacing w:after="0" w:line="141" w:lineRule="exact"/>
              <w:rPr>
                <w:sz w:val="20"/>
                <w:szCs w:val="20"/>
                <w:color w:val="auto"/>
              </w:rPr>
            </w:pPr>
            <w:r>
              <w:rPr>
                <w:rFonts w:ascii="MS PGothic" w:cs="MS PGothic" w:eastAsia="MS PGothic" w:hAnsi="MS PGothic"/>
                <w:sz w:val="14"/>
                <w:szCs w:val="14"/>
                <w:color w:val="auto"/>
                <w:w w:val="99"/>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43"/>
        </w:trPr>
        <w:tc>
          <w:tcPr>
            <w:tcW w:w="500" w:type="dxa"/>
            <w:vAlign w:val="bottom"/>
          </w:tcPr>
          <w:p>
            <w:pPr>
              <w:ind w:left="260"/>
              <w:spacing w:after="0"/>
              <w:rPr>
                <w:sz w:val="20"/>
                <w:szCs w:val="20"/>
                <w:color w:val="auto"/>
              </w:rPr>
            </w:pPr>
            <w:r>
              <w:rPr>
                <w:rFonts w:ascii="Arial" w:cs="Arial" w:eastAsia="Arial" w:hAnsi="Arial"/>
                <w:sz w:val="14"/>
                <w:szCs w:val="14"/>
                <w:color w:val="auto"/>
              </w:rPr>
              <w:t>1k.</w:t>
            </w:r>
          </w:p>
        </w:tc>
        <w:tc>
          <w:tcPr>
            <w:tcW w:w="2180" w:type="dxa"/>
            <w:vAlign w:val="bottom"/>
          </w:tcPr>
          <w:p>
            <w:pPr>
              <w:ind w:left="40"/>
              <w:spacing w:after="0"/>
              <w:rPr>
                <w:sz w:val="20"/>
                <w:szCs w:val="20"/>
                <w:color w:val="auto"/>
              </w:rPr>
            </w:pPr>
            <w:r>
              <w:rPr>
                <w:rFonts w:ascii="Arial" w:cs="Arial" w:eastAsia="Arial" w:hAnsi="Arial"/>
                <w:sz w:val="14"/>
                <w:szCs w:val="14"/>
                <w:color w:val="auto"/>
              </w:rPr>
              <w:t>Richard k. Templeton</w:t>
            </w:r>
          </w:p>
        </w:tc>
        <w:tc>
          <w:tcPr>
            <w:tcW w:w="1220" w:type="dxa"/>
            <w:vAlign w:val="bottom"/>
          </w:tcPr>
          <w:p>
            <w:pPr>
              <w:jc w:val="center"/>
              <w:ind w:left="688"/>
              <w:spacing w:after="0" w:line="141" w:lineRule="exact"/>
              <w:rPr>
                <w:sz w:val="20"/>
                <w:szCs w:val="20"/>
                <w:color w:val="auto"/>
              </w:rPr>
            </w:pPr>
            <w:r>
              <w:rPr>
                <w:rFonts w:ascii="MS PGothic" w:cs="MS PGothic" w:eastAsia="MS PGothic" w:hAnsi="MS PGothic"/>
                <w:sz w:val="14"/>
                <w:szCs w:val="14"/>
                <w:color w:val="auto"/>
                <w:w w:val="99"/>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bl>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2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420" w:type="dxa"/>
            <w:vAlign w:val="bottom"/>
          </w:tcPr>
          <w:p>
            <w:pPr>
              <w:jc w:val="center"/>
              <w:ind w:left="8"/>
              <w:spacing w:after="0"/>
              <w:rPr>
                <w:sz w:val="20"/>
                <w:szCs w:val="20"/>
                <w:color w:val="auto"/>
              </w:rPr>
            </w:pPr>
            <w:r>
              <w:rPr>
                <w:rFonts w:ascii="Arial" w:cs="Arial" w:eastAsia="Arial" w:hAnsi="Arial"/>
                <w:sz w:val="14"/>
                <w:szCs w:val="14"/>
                <w:b w:val="1"/>
                <w:bCs w:val="1"/>
                <w:color w:val="auto"/>
                <w:w w:val="97"/>
              </w:rPr>
              <w:t>For</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Against</w:t>
            </w:r>
          </w:p>
        </w:tc>
        <w:tc>
          <w:tcPr>
            <w:tcW w:w="540" w:type="dxa"/>
            <w:vAlign w:val="bottom"/>
          </w:tcPr>
          <w:p>
            <w:pPr>
              <w:ind w:left="60"/>
              <w:spacing w:after="0"/>
              <w:rPr>
                <w:sz w:val="20"/>
                <w:szCs w:val="20"/>
                <w:color w:val="auto"/>
              </w:rPr>
            </w:pPr>
            <w:r>
              <w:rPr>
                <w:rFonts w:ascii="Arial" w:cs="Arial" w:eastAsia="Arial" w:hAnsi="Arial"/>
                <w:sz w:val="14"/>
                <w:szCs w:val="14"/>
                <w:b w:val="1"/>
                <w:bCs w:val="1"/>
                <w:color w:val="auto"/>
                <w:w w:val="89"/>
              </w:rPr>
              <w:t>Abstain</w:t>
            </w:r>
          </w:p>
        </w:tc>
      </w:tr>
      <w:tr>
        <w:trPr>
          <w:trHeight w:val="228"/>
        </w:trPr>
        <w:tc>
          <w:tcPr>
            <w:tcW w:w="200" w:type="dxa"/>
            <w:vAlign w:val="bottom"/>
          </w:tcPr>
          <w:p>
            <w:pPr>
              <w:jc w:val="right"/>
              <w:ind w:right="33"/>
              <w:spacing w:after="0"/>
              <w:rPr>
                <w:sz w:val="20"/>
                <w:szCs w:val="20"/>
                <w:color w:val="auto"/>
              </w:rPr>
            </w:pPr>
            <w:r>
              <w:rPr>
                <w:rFonts w:ascii="Arial" w:cs="Arial" w:eastAsia="Arial" w:hAnsi="Arial"/>
                <w:sz w:val="13"/>
                <w:szCs w:val="13"/>
                <w:color w:val="auto"/>
                <w:w w:val="73"/>
              </w:rPr>
              <w:t>2.</w:t>
            </w:r>
          </w:p>
        </w:tc>
        <w:tc>
          <w:tcPr>
            <w:tcW w:w="3620" w:type="dxa"/>
            <w:vAlign w:val="bottom"/>
          </w:tcPr>
          <w:p>
            <w:pPr>
              <w:ind w:left="80"/>
              <w:spacing w:after="0"/>
              <w:rPr>
                <w:sz w:val="20"/>
                <w:szCs w:val="20"/>
                <w:color w:val="auto"/>
              </w:rPr>
            </w:pPr>
            <w:r>
              <w:rPr>
                <w:rFonts w:ascii="Arial" w:cs="Arial" w:eastAsia="Arial" w:hAnsi="Arial"/>
                <w:sz w:val="14"/>
                <w:szCs w:val="14"/>
                <w:color w:val="auto"/>
              </w:rPr>
              <w:t>Board proposal regarding advisory approval of the</w:t>
            </w:r>
          </w:p>
        </w:tc>
        <w:tc>
          <w:tcPr>
            <w:tcW w:w="4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54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r>
      <w:tr>
        <w:trPr>
          <w:trHeight w:val="182"/>
        </w:trPr>
        <w:tc>
          <w:tcPr>
            <w:tcW w:w="200" w:type="dxa"/>
            <w:vAlign w:val="bottom"/>
          </w:tcPr>
          <w:p>
            <w:pPr>
              <w:spacing w:after="0"/>
              <w:rPr>
                <w:sz w:val="15"/>
                <w:szCs w:val="15"/>
                <w:color w:val="auto"/>
              </w:rPr>
            </w:pPr>
          </w:p>
        </w:tc>
        <w:tc>
          <w:tcPr>
            <w:tcW w:w="3620" w:type="dxa"/>
            <w:vAlign w:val="bottom"/>
          </w:tcPr>
          <w:p>
            <w:pPr>
              <w:ind w:left="80"/>
              <w:spacing w:after="0"/>
              <w:rPr>
                <w:sz w:val="20"/>
                <w:szCs w:val="20"/>
                <w:color w:val="auto"/>
              </w:rPr>
            </w:pPr>
            <w:r>
              <w:rPr>
                <w:rFonts w:ascii="Arial" w:cs="Arial" w:eastAsia="Arial" w:hAnsi="Arial"/>
                <w:sz w:val="14"/>
                <w:szCs w:val="14"/>
                <w:color w:val="auto"/>
              </w:rPr>
              <w:t>Company’s executive compensation.</w:t>
            </w: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23"/>
        </w:trPr>
        <w:tc>
          <w:tcPr>
            <w:tcW w:w="200" w:type="dxa"/>
            <w:vAlign w:val="bottom"/>
          </w:tcPr>
          <w:p>
            <w:pPr>
              <w:jc w:val="right"/>
              <w:ind w:right="33"/>
              <w:spacing w:after="0"/>
              <w:rPr>
                <w:sz w:val="20"/>
                <w:szCs w:val="20"/>
                <w:color w:val="auto"/>
              </w:rPr>
            </w:pPr>
            <w:r>
              <w:rPr>
                <w:rFonts w:ascii="Arial" w:cs="Arial" w:eastAsia="Arial" w:hAnsi="Arial"/>
                <w:sz w:val="13"/>
                <w:szCs w:val="13"/>
                <w:color w:val="auto"/>
                <w:w w:val="73"/>
              </w:rPr>
              <w:t>3.</w:t>
            </w:r>
          </w:p>
        </w:tc>
        <w:tc>
          <w:tcPr>
            <w:tcW w:w="3620" w:type="dxa"/>
            <w:vAlign w:val="bottom"/>
          </w:tcPr>
          <w:p>
            <w:pPr>
              <w:ind w:left="80"/>
              <w:spacing w:after="0"/>
              <w:rPr>
                <w:sz w:val="20"/>
                <w:szCs w:val="20"/>
                <w:color w:val="auto"/>
              </w:rPr>
            </w:pPr>
            <w:r>
              <w:rPr>
                <w:rFonts w:ascii="Arial" w:cs="Arial" w:eastAsia="Arial" w:hAnsi="Arial"/>
                <w:sz w:val="14"/>
                <w:szCs w:val="14"/>
                <w:color w:val="auto"/>
                <w:w w:val="98"/>
              </w:rPr>
              <w:t>Board proposal to ratify the appointment of Ernst &amp; Young</w:t>
            </w:r>
          </w:p>
        </w:tc>
        <w:tc>
          <w:tcPr>
            <w:tcW w:w="4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54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r>
      <w:tr>
        <w:trPr>
          <w:trHeight w:val="155"/>
        </w:trPr>
        <w:tc>
          <w:tcPr>
            <w:tcW w:w="200" w:type="dxa"/>
            <w:vAlign w:val="bottom"/>
          </w:tcPr>
          <w:p>
            <w:pPr>
              <w:spacing w:after="0"/>
              <w:rPr>
                <w:sz w:val="13"/>
                <w:szCs w:val="13"/>
                <w:color w:val="auto"/>
              </w:rPr>
            </w:pPr>
          </w:p>
        </w:tc>
        <w:tc>
          <w:tcPr>
            <w:tcW w:w="3620" w:type="dxa"/>
            <w:vAlign w:val="bottom"/>
          </w:tcPr>
          <w:p>
            <w:pPr>
              <w:ind w:left="80"/>
              <w:spacing w:after="0" w:line="155" w:lineRule="exact"/>
              <w:rPr>
                <w:sz w:val="20"/>
                <w:szCs w:val="20"/>
                <w:color w:val="auto"/>
              </w:rPr>
            </w:pPr>
            <w:r>
              <w:rPr>
                <w:rFonts w:ascii="Arial" w:cs="Arial" w:eastAsia="Arial" w:hAnsi="Arial"/>
                <w:sz w:val="14"/>
                <w:szCs w:val="14"/>
                <w:color w:val="auto"/>
              </w:rPr>
              <w:t>LLP as the Company’s independent registered public</w:t>
            </w: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r>
    </w:tbl>
    <w:p>
      <w:pPr>
        <w:ind w:left="280"/>
        <w:spacing w:after="0"/>
        <w:rPr>
          <w:sz w:val="20"/>
          <w:szCs w:val="20"/>
          <w:color w:val="auto"/>
        </w:rPr>
      </w:pPr>
      <w:r>
        <w:rPr>
          <w:rFonts w:ascii="Arial" w:cs="Arial" w:eastAsia="Arial" w:hAnsi="Arial"/>
          <w:sz w:val="14"/>
          <w:szCs w:val="14"/>
          <w:color w:val="auto"/>
        </w:rPr>
        <w:t>accounting firm for 2020.</w:t>
      </w:r>
    </w:p>
    <w:p>
      <w:pPr>
        <w:spacing w:after="0" w:line="188" w:lineRule="exact"/>
        <w:rPr>
          <w:sz w:val="20"/>
          <w:szCs w:val="20"/>
          <w:color w:val="auto"/>
        </w:rPr>
      </w:pPr>
    </w:p>
    <w:p>
      <w:pPr>
        <w:ind w:right="1940"/>
        <w:spacing w:after="0" w:line="258"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Such other business as may properly come before the</w:t>
      </w:r>
      <w:r>
        <w:rPr>
          <w:rFonts w:ascii="Arial" w:cs="Arial" w:eastAsia="Arial" w:hAnsi="Arial"/>
          <w:sz w:val="14"/>
          <w:szCs w:val="14"/>
          <w:b w:val="1"/>
          <w:bCs w:val="1"/>
          <w:color w:val="auto"/>
        </w:rPr>
        <w:t xml:space="preserve"> </w:t>
      </w:r>
      <w:r>
        <w:rPr>
          <w:rFonts w:ascii="Arial" w:cs="Arial" w:eastAsia="Arial" w:hAnsi="Arial"/>
          <w:sz w:val="14"/>
          <w:szCs w:val="14"/>
          <w:color w:val="auto"/>
        </w:rPr>
        <w:t>meeting or any adjournment thereof.</w:t>
      </w:r>
    </w:p>
    <w:p>
      <w:pPr>
        <w:spacing w:after="0" w:line="1568" w:lineRule="exact"/>
        <w:rPr>
          <w:sz w:val="20"/>
          <w:szCs w:val="20"/>
          <w:color w:val="auto"/>
        </w:rPr>
      </w:pPr>
    </w:p>
    <w:p>
      <w:pPr>
        <w:sectPr>
          <w:pgSz w:w="11900" w:h="16838" w:orient="portrait"/>
          <w:cols w:equalWidth="0" w:num="2">
            <w:col w:w="5380" w:space="360"/>
            <w:col w:w="5500"/>
          </w:cols>
          <w:pgMar w:left="320" w:top="459" w:right="339" w:bottom="1440" w:gutter="0" w:footer="0" w:header="0"/>
          <w:type w:val="continuous"/>
        </w:sectPr>
      </w:pPr>
    </w:p>
    <w:p>
      <w:pPr>
        <w:spacing w:after="0" w:line="34" w:lineRule="exact"/>
        <w:rPr>
          <w:sz w:val="20"/>
          <w:szCs w:val="20"/>
          <w:color w:val="auto"/>
        </w:rPr>
      </w:pPr>
    </w:p>
    <w:p>
      <w:pPr>
        <w:ind w:left="500" w:right="2100"/>
        <w:spacing w:after="0" w:line="238" w:lineRule="auto"/>
        <w:rPr>
          <w:sz w:val="20"/>
          <w:szCs w:val="20"/>
          <w:color w:val="auto"/>
        </w:rPr>
      </w:pPr>
      <w:r>
        <w:rPr>
          <w:rFonts w:ascii="Arial" w:cs="Arial" w:eastAsia="Arial" w:hAnsi="Arial"/>
          <w:sz w:val="14"/>
          <w:szCs w:val="14"/>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80"/>
        <w:spacing w:after="0"/>
        <w:tabs>
          <w:tab w:leader="none" w:pos="3140" w:val="left"/>
          <w:tab w:leader="none" w:pos="5720" w:val="left"/>
          <w:tab w:leader="none" w:pos="924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3"/>
          <w:szCs w:val="13"/>
          <w:color w:val="auto"/>
        </w:rPr>
        <w:t>Date</w:t>
      </w:r>
    </w:p>
    <w:p>
      <w:pPr>
        <w:sectPr>
          <w:pgSz w:w="11900" w:h="16838" w:orient="portrait"/>
          <w:cols w:equalWidth="0" w:num="1">
            <w:col w:w="11240"/>
          </w:cols>
          <w:pgMar w:left="320" w:top="459" w:right="3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205740</wp:posOffset>
            </wp:positionV>
            <wp:extent cx="1311275" cy="4457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1127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APRIL 23, 2020</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You are invited to attend the 2020 annual meeting of stockholders on Thursday, April 23, 2020, in the auditorium on our property at 12500 TI Boulevard, Dallas, Texas, at 8:30 a.m. (Central time). At the meeting we will consider the election of directors, advisory approval of the Company’s executive compensation, ratification of the appointment of Ernst &amp; Young LLP as the Company’s independent registered public accounting firm for 2020 and such other matters as may properly come before the meeting.</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Electronic Delivery of Proxy Materials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are pleased to offer stockholders the opportunity to receive future proxy mailings by email. To request electronic delivery, please vote via the Internet at www.proxyvote.com and, when prompted, enroll to receive proxy materials electronically in future years.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2020 Notice and Proxy Statement and 2019 Annual Report are also available at www.proxyvote.com.</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E97071-P33282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36130" cy="34651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6130" cy="3465195"/>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FOR ANNUAL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APRIL 23,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1" w:lineRule="exact"/>
        <w:rPr>
          <w:sz w:val="20"/>
          <w:szCs w:val="20"/>
          <w:color w:val="auto"/>
        </w:rPr>
      </w:pPr>
    </w:p>
    <w:p>
      <w:pPr>
        <w:ind w:left="240" w:right="180"/>
        <w:spacing w:after="0" w:line="254" w:lineRule="auto"/>
        <w:rPr>
          <w:sz w:val="20"/>
          <w:szCs w:val="20"/>
          <w:color w:val="auto"/>
        </w:rPr>
      </w:pPr>
      <w:r>
        <w:rPr>
          <w:rFonts w:ascii="Arial" w:cs="Arial" w:eastAsia="Arial" w:hAnsi="Arial"/>
          <w:sz w:val="18"/>
          <w:szCs w:val="18"/>
          <w:color w:val="auto"/>
        </w:rPr>
        <w:t xml:space="preserve">The undersigned hereby appoints MARK A. BLINN, RONALD KIRK, PAMELA H. PATSLEY, RICHARD K. TEMPLETON, or any one or more of them, the true and lawful attorneys of the undersigned with power of substitution, to vote as proxies for the undersigned at the annual meeting of stockholders of Texas Instruments Incorporated to be held on April 23, 2020, at 8:30 a.m. (Central time) and at any or all adjournments thereof, according to the number of shares of common stock that the undersigned would be entitled to vote if then personally present, in the election of directors, upon the board proposals and upon other matters properly coming before the meeting. </w:t>
      </w:r>
      <w:r>
        <w:rPr>
          <w:rFonts w:ascii="Arial" w:cs="Arial" w:eastAsia="Arial" w:hAnsi="Arial"/>
          <w:sz w:val="18"/>
          <w:szCs w:val="18"/>
          <w:b w:val="1"/>
          <w:bCs w:val="1"/>
          <w:color w:val="auto"/>
        </w:rPr>
        <w:t>If no contrary indication is made, this proxy will</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be voted FOR the election of each director nominee and FOR Proposals 2 and 3. </w:t>
      </w:r>
      <w:r>
        <w:rPr>
          <w:rFonts w:ascii="Arial" w:cs="Arial" w:eastAsia="Arial" w:hAnsi="Arial"/>
          <w:sz w:val="18"/>
          <w:szCs w:val="18"/>
          <w:color w:val="auto"/>
        </w:rPr>
        <w:t>If other matters come before the meeting, this proxy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voted in the discretion of the named proxies.</w:t>
      </w:r>
    </w:p>
    <w:p>
      <w:pPr>
        <w:spacing w:after="0" w:line="195" w:lineRule="exact"/>
        <w:rPr>
          <w:sz w:val="20"/>
          <w:szCs w:val="20"/>
          <w:color w:val="auto"/>
        </w:rPr>
      </w:pPr>
    </w:p>
    <w:p>
      <w:pPr>
        <w:ind w:left="240" w:right="180"/>
        <w:spacing w:after="0" w:line="254" w:lineRule="auto"/>
        <w:rPr>
          <w:sz w:val="20"/>
          <w:szCs w:val="20"/>
          <w:color w:val="auto"/>
        </w:rPr>
      </w:pPr>
      <w:r>
        <w:rPr>
          <w:rFonts w:ascii="Arial" w:cs="Arial" w:eastAsia="Arial" w:hAnsi="Arial"/>
          <w:sz w:val="18"/>
          <w:szCs w:val="18"/>
          <w:color w:val="auto"/>
        </w:rPr>
        <w:t>Should you have an account in the TI Contribution and 401(k) Savings Plan or the TI 401(k) Savings Plan, this proxy represents the number of TI shares allocable to that plan account as well as other shares registered in your name. As a “named fiduciary” under the plans for TI shares allocable to that plan account and for shares for which no voting instructions are received, this proxy will serve as voting instructions for The Northern Trust Company, trustee for the plans, or its designee. The plans provide that the trustee will vote each participant’s shares in accordance with the participant’s instructions unless otherwise required by law. If the trustee does not receive voting instructions for TI shares under the plans by April 20, 2020, those shares will be voted, in accordance with the terms of plans, in the same proportion as the shares for which voting instructions have been received unless otherwise required by law. If other matters come before the meeting, the named proxies will vote plan shares on those matters in their discretion.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 On the reverse side of this card are procedures on how to vote the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consider voting by Internet or telephone.</w:t>
      </w:r>
    </w:p>
    <w:sectPr>
      <w:pgSz w:w="11900" w:h="16838" w:orient="portrait"/>
      <w:cols w:equalWidth="0" w:num="1">
        <w:col w:w="11240"/>
      </w:cols>
      <w:pgMar w:left="320" w:top="4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lvl w:ilvl="1">
      <w:lvlJc w:val="left"/>
      <w:lvlText w:val="(%2)"/>
      <w:numFmt w:val="decimal"/>
      <w:start w:val="1"/>
    </w:lvl>
  </w:abstractNum>
  <w:abstractNum w:abstractNumId="5">
    <w:nsid w:val="725A06FB"/>
    <w:multiLevelType w:val="hybridMultilevel"/>
    <w:lvl w:ilvl="0">
      <w:lvlJc w:val="left"/>
      <w:lvlText w:val="(%1)"/>
      <w:numFmt w:val="decimal"/>
      <w:start w:val="2"/>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27">
    <w:nsid w:val="23F9C13C"/>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8">
    <w:nsid w:val="649BB77C"/>
    <w:multiLevelType w:val="hybridMultilevel"/>
    <w:lvl w:ilvl="0">
      <w:lvlJc w:val="left"/>
      <w:lvlText w:val="%1"/>
      <w:numFmt w:val="upperLetter"/>
      <w:start w:val="1"/>
    </w:lvl>
    <w:lvl w:ilvl="1">
      <w:lvlJc w:val="left"/>
      <w:lvlText w:val="%2."/>
      <w:numFmt w:val="decimal"/>
      <w:start w:val="3"/>
    </w:lvl>
  </w:abstractNum>
  <w:abstractNum w:abstractNumId="29">
    <w:nsid w:val="275AC794"/>
    <w:multiLevelType w:val="hybridMultilevel"/>
    <w:lvl w:ilvl="0">
      <w:lvlJc w:val="left"/>
      <w:lvlText w:val="%1."/>
      <w:numFmt w:val="upperLetter"/>
      <w:start w:val="3"/>
    </w:lvl>
    <w:lvl w:ilvl="1">
      <w:lvlJc w:val="left"/>
      <w:lvlText w:val="%2."/>
      <w:numFmt w:val="decimal"/>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lvl w:ilvl="1">
      <w:lvlJc w:val="left"/>
      <w:lvlText w:val="¡"/>
      <w:numFmt w:val="bullet"/>
      <w:start w:val="1"/>
    </w:lvl>
  </w:abstractNum>
  <w:abstractNum w:abstractNumId="32">
    <w:nsid w:val="180115BE"/>
    <w:multiLevelType w:val="hybridMultilevel"/>
    <w:lvl w:ilvl="0">
      <w:lvlJc w:val="left"/>
      <w:lvlText w:val="•"/>
      <w:numFmt w:val="bullet"/>
      <w:start w:val="1"/>
    </w:lvl>
    <w:lvl w:ilvl="1">
      <w:lvlJc w:val="left"/>
      <w:lvlText w:val="¡"/>
      <w:numFmt w:val="bullet"/>
      <w:start w:val="1"/>
    </w:lvl>
  </w:abstractNum>
  <w:abstractNum w:abstractNumId="33">
    <w:nsid w:val="235BA861"/>
    <w:multiLevelType w:val="hybridMultilevel"/>
    <w:lvl w:ilvl="0">
      <w:lvlJc w:val="left"/>
      <w:lvlText w:val="•"/>
      <w:numFmt w:val="bullet"/>
      <w:start w:val="1"/>
    </w:lvl>
    <w:lvl w:ilvl="1">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lvl w:ilvl="1">
      <w:lvlJc w:val="left"/>
      <w:lvlText w:val="¡"/>
      <w:numFmt w:val="bullet"/>
      <w:start w:val="1"/>
    </w:lvl>
  </w:abstractNum>
  <w:abstractNum w:abstractNumId="36">
    <w:nsid w:val="15B5AF5C"/>
    <w:multiLevelType w:val="hybridMultilevel"/>
    <w:lvl w:ilvl="0">
      <w:lvlJc w:val="left"/>
      <w:lvlText w:val="(%1)"/>
      <w:numFmt w:val="lowerLetter"/>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1)"/>
      <w:numFmt w:val="decimal"/>
      <w:start w:val="1"/>
    </w:lvl>
  </w:abstractNum>
  <w:abstractNum w:abstractNumId="40">
    <w:nsid w:val="3F6AB60F"/>
    <w:multiLevelType w:val="hybridMultilevel"/>
    <w:lvl w:ilvl="0">
      <w:lvlJc w:val="left"/>
      <w:lvlText w:val="(%1)"/>
      <w:numFmt w:val="decimal"/>
      <w:start w:val="4"/>
    </w:lvl>
  </w:abstractNum>
  <w:abstractNum w:abstractNumId="41">
    <w:nsid w:val="61574095"/>
    <w:multiLevelType w:val="hybridMultilevel"/>
    <w:lvl w:ilvl="0">
      <w:lvlJc w:val="left"/>
      <w:lvlText w:val="(%1)"/>
      <w:numFmt w:val="decimal"/>
      <w:start w:val="5"/>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
      <w:numFmt w:val="bullet"/>
      <w:start w:val="1"/>
    </w:lvl>
    <w:lvl w:ilvl="1">
      <w:lvlJc w:val="left"/>
      <w:lvlText w:val="¡"/>
      <w:numFmt w:val="bullet"/>
      <w:start w:val="1"/>
    </w:lvl>
  </w:abstractNum>
  <w:abstractNum w:abstractNumId="44">
    <w:nsid w:val="579BE4F1"/>
    <w:multiLevelType w:val="hybridMultilevel"/>
    <w:lvl w:ilvl="0">
      <w:lvlJc w:val="left"/>
      <w:lvlText w:val="•"/>
      <w:numFmt w:val="bullet"/>
      <w:start w:val="1"/>
    </w:lvl>
    <w:lvl w:ilvl="1">
      <w:lvlJc w:val="left"/>
      <w:lvlText w:val="*"/>
      <w:numFmt w:val="bullet"/>
      <w:start w:val="1"/>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
      <w:numFmt w:val="bullet"/>
      <w:start w:val="1"/>
    </w:lvl>
  </w:abstractNum>
  <w:abstractNum w:abstractNumId="47">
    <w:nsid w:val="2F305DEF"/>
    <w:multiLevelType w:val="hybridMultilevel"/>
    <w:lvl w:ilvl="0">
      <w:lvlJc w:val="left"/>
      <w:lvlText w:val="(%1)"/>
      <w:numFmt w:val="lowerRoman"/>
      <w:start w:val="2"/>
    </w:lvl>
  </w:abstractNum>
  <w:abstractNum w:abstractNumId="48">
    <w:nsid w:val="25A70BF7"/>
    <w:multiLevelType w:val="hybridMultilevel"/>
    <w:lvl w:ilvl="0">
      <w:lvlJc w:val="left"/>
      <w:lvlText w:val="1"/>
      <w:numFmt w:val="bullet"/>
      <w:start w:val="1"/>
    </w:lvl>
  </w:abstractNum>
  <w:abstractNum w:abstractNumId="49">
    <w:nsid w:val="1DBABF00"/>
    <w:multiLevelType w:val="hybridMultilevel"/>
    <w:lvl w:ilvl="0">
      <w:lvlJc w:val="left"/>
      <w:lvlText w:val="*"/>
      <w:numFmt w:val="bullet"/>
      <w:start w:val="1"/>
    </w:lvl>
  </w:abstractNum>
  <w:abstractNum w:abstractNumId="50">
    <w:nsid w:val="4AD084E9"/>
    <w:multiLevelType w:val="hybridMultilevel"/>
    <w:lvl w:ilvl="0">
      <w:lvlJc w:val="left"/>
      <w:lvlText w:val="•"/>
      <w:numFmt w:val="bullet"/>
      <w:start w:val="1"/>
    </w:lvl>
    <w:lvl w:ilvl="1">
      <w:lvlJc w:val="left"/>
      <w:lvlText w:val="¡"/>
      <w:numFmt w:val="bullet"/>
      <w:start w:val="1"/>
    </w:lvl>
  </w:abstractNum>
  <w:abstractNum w:abstractNumId="51">
    <w:nsid w:val="1F48EAA1"/>
    <w:multiLevelType w:val="hybridMultilevel"/>
    <w:lvl w:ilvl="0">
      <w:lvlJc w:val="left"/>
      <w:lvlText w:val="•"/>
      <w:numFmt w:val="bullet"/>
      <w:start w:val="1"/>
    </w:lvl>
    <w:lvl w:ilvl="1">
      <w:lvlJc w:val="left"/>
      <w:lvlText w:val="¡"/>
      <w:numFmt w:val="bullet"/>
      <w:start w:val="1"/>
    </w:lvl>
  </w:abstractNum>
  <w:abstractNum w:abstractNumId="52">
    <w:nsid w:val="1381823A"/>
    <w:multiLevelType w:val="hybridMultilevel"/>
    <w:lvl w:ilvl="0">
      <w:lvlJc w:val="left"/>
      <w:lvlText w:val="•"/>
      <w:numFmt w:val="bullet"/>
      <w:start w:val="1"/>
    </w:lvl>
  </w:abstractNum>
  <w:abstractNum w:abstractNumId="53">
    <w:nsid w:val="5DB70AE5"/>
    <w:multiLevelType w:val="hybridMultilevel"/>
    <w:lvl w:ilvl="0">
      <w:lvlJc w:val="left"/>
      <w:lvlText w:val="•"/>
      <w:numFmt w:val="bullet"/>
      <w:start w:val="1"/>
    </w:lvl>
  </w:abstractNum>
  <w:abstractNum w:abstractNumId="54">
    <w:nsid w:val="100F8FCA"/>
    <w:multiLevelType w:val="hybridMultilevel"/>
    <w:lvl w:ilvl="0">
      <w:lvlJc w:val="left"/>
      <w:lvlText w:val="2"/>
      <w:numFmt w:val="bullet"/>
      <w:start w:val="1"/>
    </w:lvl>
  </w:abstractNum>
  <w:abstractNum w:abstractNumId="55">
    <w:nsid w:val="6590700B"/>
    <w:multiLevelType w:val="hybridMultilevel"/>
    <w:lvl w:ilvl="0">
      <w:lvlJc w:val="left"/>
      <w:lvlText w:val="•"/>
      <w:numFmt w:val="bullet"/>
      <w:start w:val="1"/>
    </w:lvl>
    <w:lvl w:ilvl="1">
      <w:lvlJc w:val="left"/>
      <w:lvlText w:val="¡"/>
      <w:numFmt w:val="bullet"/>
      <w:start w:val="1"/>
    </w:lvl>
  </w:abstractNum>
  <w:abstractNum w:abstractNumId="56">
    <w:nsid w:val="15014ACB"/>
    <w:multiLevelType w:val="hybridMultilevel"/>
    <w:lvl w:ilvl="0">
      <w:lvlJc w:val="left"/>
      <w:lvlText w:val="(%1)"/>
      <w:numFmt w:val="decimal"/>
      <w:start w:val="1"/>
    </w:lvl>
  </w:abstractNum>
  <w:abstractNum w:abstractNumId="57">
    <w:nsid w:val="5F5E7FD0"/>
    <w:multiLevelType w:val="hybridMultilevel"/>
    <w:lvl w:ilvl="0">
      <w:lvlJc w:val="left"/>
      <w:lvlText w:val="(%1)"/>
      <w:numFmt w:val="decimal"/>
      <w:start w:val="6"/>
    </w:lvl>
  </w:abstractNum>
  <w:abstractNum w:abstractNumId="58">
    <w:nsid w:val="98A3148"/>
    <w:multiLevelType w:val="hybridMultilevel"/>
    <w:lvl w:ilvl="0">
      <w:lvlJc w:val="left"/>
      <w:lvlText w:val="(%1)"/>
      <w:numFmt w:val="lowerLetter"/>
      <w:start w:val="1"/>
    </w:lvl>
  </w:abstractNum>
  <w:abstractNum w:abstractNumId="59">
    <w:nsid w:val="799D0247"/>
    <w:multiLevelType w:val="hybridMultilevel"/>
    <w:lvl w:ilvl="0">
      <w:lvlJc w:val="left"/>
      <w:lvlText w:val="(%1)"/>
      <w:numFmt w:val="decimal"/>
      <w:start w:val="1"/>
    </w:lvl>
  </w:abstractNum>
  <w:abstractNum w:abstractNumId="60">
    <w:nsid w:val="6B94764"/>
    <w:multiLevelType w:val="hybridMultilevel"/>
    <w:lvl w:ilvl="0">
      <w:lvlJc w:val="left"/>
      <w:lvlText w:val="(%1)"/>
      <w:numFmt w:val="decimal"/>
      <w:start w:val="5"/>
    </w:lvl>
  </w:abstractNum>
  <w:abstractNum w:abstractNumId="61">
    <w:nsid w:val="42C296BD"/>
    <w:multiLevelType w:val="hybridMultilevel"/>
    <w:lvl w:ilvl="0">
      <w:lvlJc w:val="left"/>
      <w:lvlText w:val="(%1)"/>
      <w:numFmt w:val="decimal"/>
      <w:start w:val="1"/>
    </w:lvl>
  </w:abstractNum>
  <w:abstractNum w:abstractNumId="62">
    <w:nsid w:val="168E121F"/>
    <w:multiLevelType w:val="hybridMultilevel"/>
    <w:lvl w:ilvl="0">
      <w:lvlJc w:val="left"/>
      <w:lvlText w:val="*"/>
      <w:numFmt w:val="bullet"/>
      <w:start w:val="1"/>
    </w:lvl>
  </w:abstractNum>
  <w:abstractNum w:abstractNumId="63">
    <w:nsid w:val="1EBA5D23"/>
    <w:multiLevelType w:val="hybridMultilevel"/>
    <w:lvl w:ilvl="0">
      <w:lvlJc w:val="left"/>
      <w:lvlText w:val="(%1)"/>
      <w:numFmt w:val="lowerRoman"/>
      <w:start w:val="2"/>
    </w:lvl>
  </w:abstractNum>
  <w:abstractNum w:abstractNumId="64">
    <w:nsid w:val="661E3F1E"/>
    <w:multiLevelType w:val="hybridMultilevel"/>
    <w:lvl w:ilvl="0">
      <w:lvlJc w:val="left"/>
      <w:lvlText w:val="(%1)"/>
      <w:numFmt w:val="decimal"/>
      <w:start w:val="1"/>
    </w:lvl>
  </w:abstractNum>
  <w:abstractNum w:abstractNumId="65">
    <w:nsid w:val="5DC79EA8"/>
    <w:multiLevelType w:val="hybridMultilevel"/>
    <w:lvl w:ilvl="0">
      <w:lvlJc w:val="left"/>
      <w:lvlText w:val="(%1)"/>
      <w:numFmt w:val="decimal"/>
      <w:start w:val="1"/>
    </w:lvl>
  </w:abstractNum>
  <w:abstractNum w:abstractNumId="66">
    <w:nsid w:val="540A471C"/>
    <w:multiLevelType w:val="hybridMultilevel"/>
    <w:lvl w:ilvl="0">
      <w:lvlJc w:val="left"/>
      <w:lvlText w:val="(%1)"/>
      <w:numFmt w:val="lowerRoman"/>
      <w:start w:val="1"/>
    </w:lvl>
  </w:abstractNum>
  <w:abstractNum w:abstractNumId="67">
    <w:nsid w:val="7BD3EE7B"/>
    <w:multiLevelType w:val="hybridMultilevel"/>
    <w:lvl w:ilvl="0">
      <w:lvlJc w:val="left"/>
      <w:lvlText w:val="(%1)"/>
      <w:numFmt w:val="decimal"/>
      <w:start w:val="1"/>
    </w:lvl>
  </w:abstractNum>
  <w:abstractNum w:abstractNumId="68">
    <w:nsid w:val="51D9C564"/>
    <w:multiLevelType w:val="hybridMultilevel"/>
    <w:lvl w:ilvl="0">
      <w:lvlJc w:val="left"/>
      <w:lvlText w:val="(%1)"/>
      <w:numFmt w:val="decimal"/>
      <w:start w:val="2"/>
    </w:lvl>
  </w:abstractNum>
  <w:abstractNum w:abstractNumId="69">
    <w:nsid w:val="613EFDC5"/>
    <w:multiLevelType w:val="hybridMultilevel"/>
    <w:lvl w:ilvl="0">
      <w:lvlJc w:val="left"/>
      <w:lvlText w:val="•"/>
      <w:numFmt w:val="bullet"/>
      <w:start w:val="1"/>
    </w:lvl>
  </w:abstractNum>
  <w:abstractNum w:abstractNumId="70">
    <w:nsid w:val="BF72B14"/>
    <w:multiLevelType w:val="hybridMultilevel"/>
    <w:lvl w:ilvl="0">
      <w:lvlJc w:val="left"/>
      <w:lvlText w:val="•"/>
      <w:numFmt w:val="bullet"/>
      <w:start w:val="1"/>
    </w:lvl>
  </w:abstractNum>
  <w:abstractNum w:abstractNumId="71">
    <w:nsid w:val="11447B73"/>
    <w:multiLevelType w:val="hybridMultilevel"/>
    <w:lvl w:ilvl="0">
      <w:lvlJc w:val="left"/>
      <w:lvlText w:val="(%1)"/>
      <w:numFmt w:val="decimal"/>
      <w:start w:val="1"/>
    </w:lvl>
  </w:abstractNum>
  <w:abstractNum w:abstractNumId="72">
    <w:nsid w:val="42963E5A"/>
    <w:multiLevelType w:val="hybridMultilevel"/>
    <w:lvl w:ilvl="0">
      <w:lvlJc w:val="left"/>
      <w:lvlText w:val="**"/>
      <w:numFmt w:val="bullet"/>
      <w:start w:val="1"/>
    </w:lvl>
  </w:abstractNum>
  <w:abstractNum w:abstractNumId="73">
    <w:nsid w:val="A0382C5"/>
    <w:multiLevelType w:val="hybridMultilevel"/>
    <w:lvl w:ilvl="0">
      <w:lvlJc w:val="left"/>
      <w:lvlText w:val="(%1)"/>
      <w:numFmt w:val="decimal"/>
      <w:start w:val="1"/>
    </w:lvl>
  </w:abstractNum>
  <w:abstractNum w:abstractNumId="74">
    <w:nsid w:val="8F2B15E"/>
    <w:multiLevelType w:val="hybridMultilevel"/>
    <w:lvl w:ilvl="0">
      <w:lvlJc w:val="left"/>
      <w:lvlText w:val="%1"/>
      <w:numFmt w:val="decimal"/>
      <w:start w:val="1"/>
    </w:lvl>
    <w:lvl w:ilvl="1">
      <w:lvlJc w:val="left"/>
      <w:lvlText w:val="(%2)"/>
      <w:numFmt w:val="lowerLetter"/>
      <w:start w:val="1"/>
    </w:lvl>
  </w:abstractNum>
  <w:abstractNum w:abstractNumId="75">
    <w:nsid w:val="1A32234B"/>
    <w:multiLevelType w:val="hybridMultilevel"/>
    <w:lvl w:ilvl="0">
      <w:lvlJc w:val="left"/>
      <w:lvlText w:val="(%1)"/>
      <w:numFmt w:val="decimal"/>
      <w:start w:val="2"/>
    </w:lvl>
    <w:lvl w:ilvl="1">
      <w:lvlJc w:val="left"/>
      <w:lvlText w:val="%2"/>
      <w:numFmt w:val="lowerLetter"/>
      <w:start w:val="1"/>
    </w:lvl>
  </w:abstractNum>
  <w:abstractNum w:abstractNumId="76">
    <w:nsid w:val="3B0FD379"/>
    <w:multiLevelType w:val="hybridMultilevel"/>
    <w:lvl w:ilvl="0">
      <w:lvlJc w:val="left"/>
      <w:lvlText w:val="(%1)"/>
      <w:numFmt w:val="decimal"/>
      <w:start w:val="4"/>
    </w:lvl>
    <w:lvl w:ilvl="1">
      <w:lvlJc w:val="left"/>
      <w:lvlText w:val="(%2)"/>
      <w:numFmt w:val="lowerLetter"/>
      <w:start w:val="1"/>
    </w:lvl>
  </w:abstractNum>
  <w:abstractNum w:abstractNumId="77">
    <w:nsid w:val="68EB2F63"/>
    <w:multiLevelType w:val="hybridMultilevel"/>
    <w:lvl w:ilvl="0">
      <w:lvlJc w:val="left"/>
      <w:lvlText w:val="%1."/>
      <w:numFmt w:val="decimal"/>
      <w:start w:val="1"/>
    </w:lvl>
  </w:abstractNum>
  <w:abstractNum w:abstractNumId="78">
    <w:nsid w:val="4962813B"/>
    <w:multiLevelType w:val="hybridMultilevel"/>
    <w:lvl w:ilvl="0">
      <w:lvlJc w:val="left"/>
      <w:lvlText w:val="%1."/>
      <w:numFmt w:val="decimal"/>
      <w:start w:val="3"/>
    </w:lvl>
    <w:lvl w:ilvl="1">
      <w:lvlJc w:val="left"/>
      <w:lvlText w:val="(%2)"/>
      <w:numFmt w:val="lowerLetter"/>
      <w:start w:val="1"/>
    </w:lvl>
  </w:abstractNum>
  <w:abstractNum w:abstractNumId="79">
    <w:nsid w:val="60B6DF70"/>
    <w:multiLevelType w:val="hybridMultilevel"/>
    <w:lvl w:ilvl="0">
      <w:lvlJc w:val="left"/>
      <w:lvlText w:val="•"/>
      <w:numFmt w:val="bullet"/>
      <w:start w:val="1"/>
    </w:lvl>
  </w:abstractNum>
  <w:abstractNum w:abstractNumId="80">
    <w:nsid w:val="6A5EE64"/>
    <w:multiLevelType w:val="hybridMultilevel"/>
    <w:lvl w:ilvl="0">
      <w:lvlJc w:val="left"/>
      <w:lvlText w:val="•"/>
      <w:numFmt w:val="bullet"/>
      <w:start w:val="1"/>
    </w:lvl>
    <w:lvl w:ilvl="1">
      <w:lvlJc w:val="left"/>
      <w:lvlText w:val="¡"/>
      <w:numFmt w:val="bullet"/>
      <w:start w:val="1"/>
    </w:lvl>
  </w:abstractNum>
  <w:abstractNum w:abstractNumId="81">
    <w:nsid w:val="1433062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2020-03-10T10:12:52Z</dcterms:created>
  <dcterms:modified xsi:type="dcterms:W3CDTF">2020-03-10T10:12:52Z</dcterms:modified>
</cp:coreProperties>
</file>