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7793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79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5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95"/>
            <w:col w:w="3345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left="2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174.81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12,870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174.1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13,410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167.42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637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187.03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221.5798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11,670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3,046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174.81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628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174.1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01/26/2033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167.42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187.03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637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$221.00 to $221.93. The Issuer undertakes to provide upon request a detailed breakout of the sale prices and the number of shares sold at each price.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family member of which reporting person is trustee. Beneficial ownership by reporting person disclaimed.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Trust for the benefit of the reporting person. Reporting person is the sole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27,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25,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7"/>
        <w:spacing w:after="0"/>
        <w:tabs>
          <w:tab w:leader="none" w:pos="1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27, 2026.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Shannon Thompson,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-8255</wp:posOffset>
            </wp:positionV>
            <wp:extent cx="10179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-14605</wp:posOffset>
            </wp:positionV>
            <wp:extent cx="704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-8255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40" w:space="300"/>
            <w:col w:w="1219"/>
          </w:cols>
          <w:pgMar w:left="500" w:top="127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39" w:firstLine="3"/>
        <w:spacing w:after="0" w:line="313" w:lineRule="auto"/>
        <w:tabs>
          <w:tab w:leader="none" w:pos="137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2914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2026-02-06T16:33:50Z</dcterms:created>
  <dcterms:modified xsi:type="dcterms:W3CDTF">2026-02-06T16:33:50Z</dcterms:modified>
</cp:coreProperties>
</file>