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55245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3" w:lineRule="exact"/>
        <w:rPr>
          <w:sz w:val="24"/>
          <w:szCs w:val="24"/>
          <w:color w:val="auto"/>
        </w:rPr>
      </w:pPr>
    </w:p>
    <w:p>
      <w:pPr>
        <w:ind w:left="740" w:right="320" w:hanging="714"/>
        <w:spacing w:after="0" w:line="250"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44"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37465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3"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200"/>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0"/>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200"/>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94615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90" w:lineRule="exact"/>
        <w:rPr>
          <w:sz w:val="24"/>
          <w:szCs w:val="24"/>
          <w:color w:val="auto"/>
        </w:rPr>
      </w:pPr>
    </w:p>
    <w:p>
      <w:pPr>
        <w:ind w:right="1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jc w:val="both"/>
        <w:ind w:right="34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4"/>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105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908,204,093</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October 17, 2023</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0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8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Income</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598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per-share amounts)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4,532</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13,442</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12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4,854</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23"/>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2,815</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8,588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10,684</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452</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1,387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Restructuring charges/other</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608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1,892</w:t>
            </w:r>
          </w:p>
        </w:tc>
        <w:tc>
          <w:tcPr>
            <w:tcW w:w="12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5,798</w:t>
            </w:r>
          </w:p>
        </w:tc>
        <w:tc>
          <w:tcPr>
            <w:tcW w:w="10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731</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Earnings per common share (EPS):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0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5.63</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5.58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59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59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 w:right="800"/>
        <w:spacing w:after="0" w:line="234" w:lineRule="auto"/>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1,709</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5,139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6,787</w:t>
            </w:r>
          </w:p>
        </w:tc>
      </w:tr>
      <w:tr>
        <w:trPr>
          <w:trHeight w:val="230"/>
        </w:trPr>
        <w:tc>
          <w:tcPr>
            <w:tcW w:w="60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6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1,699</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5,113</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6,757</w:t>
            </w:r>
          </w:p>
        </w:tc>
      </w:tr>
      <w:tr>
        <w:trPr>
          <w:trHeight w:val="20"/>
        </w:trPr>
        <w:tc>
          <w:tcPr>
            <w:tcW w:w="60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60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4"/>
        </w:trPr>
        <w:tc>
          <w:tcPr>
            <w:tcW w:w="61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1,709</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5,139</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($3) and ($4); ($4) and $2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6100" w:type="dxa"/>
            <w:vAlign w:val="bottom"/>
            <w:gridSpan w:val="2"/>
            <w:shd w:val="clear" w:color="auto" w:fill="DBDBDB"/>
          </w:tcPr>
          <w:p>
            <w:pPr>
              <w:ind w:left="220"/>
              <w:spacing w:after="0" w:line="176" w:lineRule="exact"/>
              <w:rPr>
                <w:sz w:val="20"/>
                <w:szCs w:val="20"/>
                <w:color w:val="auto"/>
              </w:rPr>
            </w:pPr>
            <w:r>
              <w:rPr>
                <w:rFonts w:ascii="Arial" w:cs="Arial" w:eastAsia="Arial" w:hAnsi="Arial"/>
                <w:sz w:val="18"/>
                <w:szCs w:val="18"/>
                <w:color w:val="auto"/>
              </w:rPr>
              <w:t>Recognized within net income, net of tax effect of ($1) and ($4); ($3)</w:t>
            </w: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and ($9)</w:t>
            </w: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9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6100" w:type="dxa"/>
            <w:vAlign w:val="bottom"/>
            <w:gridSpan w:val="2"/>
          </w:tcPr>
          <w:p>
            <w:pPr>
              <w:ind w:left="140"/>
              <w:spacing w:after="0"/>
              <w:rPr>
                <w:sz w:val="20"/>
                <w:szCs w:val="20"/>
                <w:color w:val="auto"/>
              </w:rPr>
            </w:pPr>
            <w:r>
              <w:rPr>
                <w:rFonts w:ascii="Arial" w:cs="Arial" w:eastAsia="Arial" w:hAnsi="Arial"/>
                <w:sz w:val="18"/>
                <w:szCs w:val="18"/>
                <w:color w:val="auto"/>
              </w:rPr>
              <w:t>Prior service cost (credit) of defined benefit plans: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net of tax effect of $0 and $0; $0 and $0</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Recognized within net income, net of tax effect of $0 and $0; $0 and $0</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Change in fair value, net of tax effect of $0 and $0; $0 and $0</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Unrealized gains (losses), net of tax effect of $0 and $0; $0 and $2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1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BDBDB"/>
          </w:tcPr>
          <w:p>
            <w:pPr>
              <w:spacing w:after="0"/>
              <w:rPr>
                <w:sz w:val="20"/>
                <w:szCs w:val="20"/>
                <w:color w:val="auto"/>
              </w:rPr>
            </w:pPr>
          </w:p>
        </w:tc>
        <w:tc>
          <w:tcPr>
            <w:tcW w:w="1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2,566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($15) and ($13)</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1,976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2,147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3,908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15,097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(3,208)</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1,923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713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2,652</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1,226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3,280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52,098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50,353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September 30, 2023 – 833; December 31, 2022 – 835</w:t>
            </w:r>
          </w:p>
        </w:tc>
        <w:tc>
          <w:tcPr>
            <w:tcW w:w="1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(40,253)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(40,214)</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16,631</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14,577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5,139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(1,151)</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(348)</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4,496</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37"/>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(3,923)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(10,140)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(10,795)</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9,976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(4,051)</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6"/>
        </w:trPr>
        <w:tc>
          <w:tcPr>
            <w:tcW w:w="86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shd w:val="clear" w:color="auto" w:fill="DBDBDB"/>
          </w:tcPr>
          <w:p>
            <w:pPr>
              <w:spacing w:after="0"/>
              <w:rPr>
                <w:sz w:val="20"/>
                <w:szCs w:val="20"/>
                <w:color w:val="auto"/>
              </w:rPr>
            </w:pPr>
          </w:p>
        </w:tc>
        <w:tc>
          <w:tcPr>
            <w:tcW w:w="7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(3,376)</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(5,584)</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2,566</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3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90" w:lineRule="exact"/>
        <w:rPr>
          <w:sz w:val="20"/>
          <w:szCs w:val="20"/>
          <w:color w:val="auto"/>
        </w:rPr>
      </w:pPr>
    </w:p>
    <w:p>
      <w:pPr>
        <w:ind w:left="620" w:right="40" w:hanging="329"/>
        <w:spacing w:after="0" w:line="256"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84" w:lineRule="exact"/>
        <w:rPr>
          <w:rFonts w:ascii="Arial" w:cs="Arial" w:eastAsia="Arial" w:hAnsi="Arial"/>
          <w:sz w:val="18"/>
          <w:szCs w:val="18"/>
          <w:color w:val="auto"/>
        </w:rPr>
      </w:pPr>
    </w:p>
    <w:p>
      <w:pPr>
        <w:ind w:left="620" w:right="180" w:hanging="329"/>
        <w:spacing w:after="0" w:line="275"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7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22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For Nine Months Ended</w:t>
            </w:r>
          </w:p>
        </w:tc>
      </w:tr>
      <w:tr>
        <w:trPr>
          <w:trHeight w:val="203"/>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r>
      <w:tr>
        <w:trPr>
          <w:trHeight w:val="196"/>
        </w:trPr>
        <w:tc>
          <w:tcPr>
            <w:tcW w:w="606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r>
      <w:tr>
        <w:trPr>
          <w:trHeight w:val="224"/>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29"/>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3,353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9,920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11,801</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2,616</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4,532</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13,442</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15,358</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30"/>
        </w:trPr>
        <w:tc>
          <w:tcPr>
            <w:tcW w:w="6060" w:type="dxa"/>
            <w:vAlign w:val="bottom"/>
          </w:tcPr>
          <w:p>
            <w:pPr>
              <w:ind w:left="140"/>
              <w:spacing w:after="0"/>
              <w:rPr>
                <w:sz w:val="20"/>
                <w:szCs w:val="20"/>
                <w:color w:val="auto"/>
              </w:rPr>
            </w:pPr>
            <w:r>
              <w:rPr>
                <w:rFonts w:ascii="Arial" w:cs="Arial" w:eastAsia="Arial" w:hAnsi="Arial"/>
                <w:sz w:val="18"/>
                <w:szCs w:val="18"/>
                <w:color w:val="auto"/>
              </w:rPr>
              <w:t>Analog</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1,504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4,541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6,561</w:t>
            </w:r>
          </w:p>
        </w:tc>
      </w:tr>
      <w:tr>
        <w:trPr>
          <w:trHeight w:val="230"/>
        </w:trPr>
        <w:tc>
          <w:tcPr>
            <w:tcW w:w="60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Embedded Processing</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813</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960</w:t>
            </w:r>
          </w:p>
        </w:tc>
      </w:tr>
      <w:tr>
        <w:trPr>
          <w:trHeight w:val="230"/>
        </w:trPr>
        <w:tc>
          <w:tcPr>
            <w:tcW w:w="60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48"/>
        </w:trPr>
        <w:tc>
          <w:tcPr>
            <w:tcW w:w="6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profit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1,892</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5,798</w:t>
            </w:r>
          </w:p>
        </w:tc>
        <w:tc>
          <w:tcPr>
            <w:tcW w:w="100" w:type="dxa"/>
            <w:vAlign w:val="bottom"/>
            <w:tcBorders>
              <w:bottom w:val="single" w:sz="8" w:color="DBDBDB"/>
            </w:tcBorders>
            <w:shd w:val="clear" w:color="auto" w:fill="DBDBDB"/>
          </w:tcPr>
          <w:p>
            <w:pPr>
              <w:spacing w:after="0"/>
              <w:rPr>
                <w:sz w:val="21"/>
                <w:szCs w:val="21"/>
                <w:color w:val="auto"/>
              </w:rPr>
            </w:pP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7,964</w:t>
            </w:r>
          </w:p>
        </w:tc>
      </w:tr>
      <w:tr>
        <w:trPr>
          <w:trHeight w:val="20"/>
        </w:trPr>
        <w:tc>
          <w:tcPr>
            <w:tcW w:w="60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geographic area information is based on product shipment destination, which does not reflect end demand by geography.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rPr>
              <w:t>For Three Months Ended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For Nine Months Ended</w:t>
            </w:r>
          </w:p>
        </w:tc>
        <w:tc>
          <w:tcPr>
            <w:tcW w:w="66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r>
      <w:tr>
        <w:trPr>
          <w:trHeight w:val="196"/>
        </w:trPr>
        <w:tc>
          <w:tcPr>
            <w:tcW w:w="332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r>
      <w:tr>
        <w:trPr>
          <w:trHeight w:val="210"/>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3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 (a)</w:t>
            </w:r>
          </w:p>
        </w:tc>
        <w:tc>
          <w:tcPr>
            <w:tcW w:w="22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1,880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5,531</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50</w:t>
            </w: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13</w:t>
            </w:r>
          </w:p>
        </w:tc>
      </w:tr>
      <w:tr>
        <w:trPr>
          <w:trHeight w:val="229"/>
        </w:trPr>
        <w:tc>
          <w:tcPr>
            <w:tcW w:w="3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2,894</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54"/>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230"/>
        </w:trPr>
        <w:tc>
          <w:tcPr>
            <w:tcW w:w="33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487</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3</w:t>
            </w: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40" w:right="140" w:hanging="332"/>
        <w:spacing w:after="0" w:line="275"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includes shipments to customers that manufacture in China and then export end products to their customers around the world, as well as distributors that transship inventory through China to service other countries.</w:t>
      </w:r>
    </w:p>
    <w:p>
      <w:pPr>
        <w:spacing w:after="0" w:line="174"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The following additional geographic information includes our estimate for revenue based on the location of our end customers’ headquarters, providing a better representation of the geographic profile for where critical decisions are made.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For Three Months Ended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rPr>
              <w:t>For Nine Months Ended</w:t>
            </w:r>
          </w:p>
        </w:tc>
        <w:tc>
          <w:tcPr>
            <w:tcW w:w="660" w:type="dxa"/>
            <w:vAlign w:val="bottom"/>
          </w:tcPr>
          <w:p>
            <w:pPr>
              <w:spacing w:after="0"/>
              <w:rPr>
                <w:sz w:val="17"/>
                <w:szCs w:val="17"/>
                <w:color w:val="auto"/>
              </w:rPr>
            </w:pPr>
          </w:p>
        </w:tc>
      </w:tr>
      <w:tr>
        <w:trPr>
          <w:trHeight w:val="203"/>
        </w:trPr>
        <w:tc>
          <w:tcPr>
            <w:tcW w:w="3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7"/>
                <w:szCs w:val="17"/>
                <w:color w:val="auto"/>
              </w:rPr>
            </w:pPr>
          </w:p>
        </w:tc>
      </w:tr>
      <w:tr>
        <w:trPr>
          <w:trHeight w:val="196"/>
        </w:trPr>
        <w:tc>
          <w:tcPr>
            <w:tcW w:w="33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r>
      <w:tr>
        <w:trPr>
          <w:trHeight w:val="210"/>
        </w:trPr>
        <w:tc>
          <w:tcPr>
            <w:tcW w:w="33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4,391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33 %</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813</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2,561</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24</w:t>
            </w: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30"/>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2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1,193</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3,657</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23</w:t>
            </w: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8</w:t>
            </w:r>
          </w:p>
        </w:tc>
      </w:tr>
      <w:tr>
        <w:trPr>
          <w:trHeight w:val="230"/>
        </w:trPr>
        <w:tc>
          <w:tcPr>
            <w:tcW w:w="33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40" w:right="340" w:hanging="332"/>
        <w:spacing w:after="0" w:line="275"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end customers headquartered in Germany was 13% and 11% in the third quarters of 2023 and 2022, respectively, and 13% and 10% in the first nine months of 2023 and 2022,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2022. The Consolidated Statements of Income, Comprehensive Income and Cash Flows for the periods ended September 30, 2023 and 2022, and the Consolidated Balance Sheet as of September 30, 2023,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2022. The results for the three- and nine-month periods are not necessarily indicative of a full year’s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center"/>
              <w:ind w:left="818"/>
              <w:spacing w:after="0"/>
              <w:rPr>
                <w:sz w:val="20"/>
                <w:szCs w:val="20"/>
                <w:color w:val="auto"/>
              </w:rPr>
            </w:pPr>
            <w:r>
              <w:rPr>
                <w:rFonts w:ascii="Arial" w:cs="Arial" w:eastAsia="Arial" w:hAnsi="Arial"/>
                <w:sz w:val="14"/>
                <w:szCs w:val="14"/>
                <w:b w:val="1"/>
                <w:bCs w:val="1"/>
                <w:color w:val="auto"/>
              </w:rPr>
              <w:t>For Three Months Ended September 30,</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1,709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908</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6"/>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1,709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60" w:type="dxa"/>
            <w:vAlign w:val="bottom"/>
            <w:tcBorders>
              <w:bottom w:val="single" w:sz="8" w:color="auto"/>
            </w:tcBorders>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24"/>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rPr>
              <w:t>For Nine Months Ended September 30,</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11"/>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spacing w:after="0"/>
              <w:rPr>
                <w:sz w:val="18"/>
                <w:szCs w:val="18"/>
                <w:color w:val="auto"/>
              </w:rPr>
            </w:pPr>
          </w:p>
        </w:tc>
        <w:tc>
          <w:tcPr>
            <w:tcW w:w="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9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9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spacing w:after="0"/>
              <w:rPr>
                <w:sz w:val="18"/>
                <w:szCs w:val="18"/>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908</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DBDBDB"/>
            </w:tcBorders>
          </w:tcPr>
          <w:p>
            <w:pPr>
              <w:spacing w:after="0" w:line="20" w:lineRule="exact"/>
              <w:rPr>
                <w:sz w:val="1"/>
                <w:szCs w:val="1"/>
                <w:color w:val="auto"/>
              </w:rPr>
            </w:pPr>
          </w:p>
        </w:tc>
        <w:tc>
          <w:tcPr>
            <w:tcW w:w="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9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10</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spacing w:after="0"/>
              <w:rPr>
                <w:sz w:val="19"/>
                <w:szCs w:val="19"/>
                <w:color w:val="auto"/>
              </w:rPr>
            </w:pP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5,113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1"/>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9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Potentially dilutive securities representing 9 million and 6 million shares of common stock that were outstanding during the third quarters of 2023 and 2022, respectively, and 9 million and 5 million shares outstanding during the first nine months of 2023 and 2022, respectively, were excluded from the computation of diluted earnings per common share during these periods because their effect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4"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have not been material. We do not use derivatives for speculative or trading purposes.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fair values of our derivative financial instruments were not material as of September 30, 2023.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September 30, 2023, the carrying value of long-term debt, including the current portion, was $ 11.22 billion, and the estimated fair value was $9.82 billion. The estimated fair value is measured using broker-dealer quotes, which are Level 2 inputs. See Note 4 for a description of fair value and the definition of Level 2 inputs.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24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Nine Months Ended</w:t>
            </w:r>
          </w:p>
        </w:tc>
      </w:tr>
      <w:tr>
        <w:trPr>
          <w:trHeight w:val="203"/>
        </w:trPr>
        <w:tc>
          <w:tcPr>
            <w:tcW w:w="5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66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224"/>
        </w:trPr>
        <w:tc>
          <w:tcPr>
            <w:tcW w:w="5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BDBDB"/>
          </w:tcPr>
          <w:p>
            <w:pPr>
              <w:jc w:val="right"/>
              <w:ind w:right="138"/>
              <w:spacing w:after="0"/>
              <w:rPr>
                <w:sz w:val="20"/>
                <w:szCs w:val="20"/>
                <w:color w:val="auto"/>
              </w:rPr>
            </w:pPr>
            <w:r>
              <w:rPr>
                <w:rFonts w:ascii="Arial" w:cs="Arial" w:eastAsia="Arial" w:hAnsi="Arial"/>
                <w:sz w:val="18"/>
                <w:szCs w:val="18"/>
                <w:b w:val="1"/>
                <w:bCs w:val="1"/>
                <w:color w:val="auto"/>
              </w:rPr>
              <w:t>794</w:t>
            </w:r>
          </w:p>
        </w:tc>
        <w:tc>
          <w:tcPr>
            <w:tcW w:w="12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1,147</w:t>
            </w:r>
          </w:p>
        </w:tc>
      </w:tr>
      <w:tr>
        <w:trPr>
          <w:trHeight w:val="230"/>
        </w:trPr>
        <w:tc>
          <w:tcPr>
            <w:tcW w:w="5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(69)</w:t>
            </w:r>
          </w:p>
        </w:tc>
      </w:tr>
      <w:tr>
        <w:trPr>
          <w:trHeight w:val="248"/>
        </w:trPr>
        <w:tc>
          <w:tcPr>
            <w:tcW w:w="5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213</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DBDBDB"/>
          </w:tcPr>
          <w:p>
            <w:pPr>
              <w:jc w:val="right"/>
              <w:ind w:right="138"/>
              <w:spacing w:after="0"/>
              <w:rPr>
                <w:sz w:val="20"/>
                <w:szCs w:val="20"/>
                <w:color w:val="auto"/>
              </w:rPr>
            </w:pPr>
            <w:r>
              <w:rPr>
                <w:rFonts w:ascii="Arial" w:cs="Arial" w:eastAsia="Arial" w:hAnsi="Arial"/>
                <w:sz w:val="18"/>
                <w:szCs w:val="18"/>
                <w:b w:val="1"/>
                <w:bCs w:val="1"/>
                <w:color w:val="auto"/>
              </w:rPr>
              <w:t>731</w:t>
            </w:r>
          </w:p>
        </w:tc>
        <w:tc>
          <w:tcPr>
            <w:tcW w:w="12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1,078</w:t>
            </w:r>
          </w:p>
        </w:tc>
      </w:tr>
      <w:tr>
        <w:trPr>
          <w:trHeight w:val="20"/>
        </w:trPr>
        <w:tc>
          <w:tcPr>
            <w:tcW w:w="56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5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3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9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3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11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Cash and Cash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3"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1,519</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396</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1,919</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6,382</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2,566</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6,382</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unrealized gains and losses associated with our debt investments were not material.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credit losses related to debt investments for the first nine months of 2023 and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September 30,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7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6,775</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w:t>
            </w:r>
          </w:p>
        </w:tc>
      </w:tr>
    </w:tbl>
    <w:p>
      <w:pPr>
        <w:spacing w:after="0" w:line="2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Proceeds from sales, redemptions and maturities of short-term available-for-sale investments were $2.89 billion and $3.03 billion for the third quarters of 2023 and 2022, respectively, and $9.98 billion and $10.01 billion for the first nine months of 2023 and 2022, respectively. Gross realized gains and losses from these sales were not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3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19"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0" w:right="100" w:hanging="329"/>
        <w:spacing w:after="0" w:line="255"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80" w:lineRule="exact"/>
        <w:rPr>
          <w:rFonts w:ascii="Arial" w:cs="Arial" w:eastAsia="Arial" w:hAnsi="Arial"/>
          <w:sz w:val="18"/>
          <w:szCs w:val="18"/>
          <w:color w:val="auto"/>
        </w:rPr>
      </w:pPr>
    </w:p>
    <w:p>
      <w:pPr>
        <w:ind w:left="620" w:right="260" w:hanging="329"/>
        <w:spacing w:after="0" w:line="266"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These values are generally determined using pricing models that utilize management estimates of market participant assumptions. As of September 30, 2023, and December 31, 2022, we had no Level 3 assets or liabilities.</w:t>
      </w:r>
    </w:p>
    <w:p>
      <w:pPr>
        <w:spacing w:after="0" w:line="182"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r>
      <w:tr>
        <w:trPr>
          <w:trHeight w:val="224"/>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1,799</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1,799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1,811</w:t>
            </w: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4,914</w:t>
            </w:r>
          </w:p>
        </w:tc>
      </w:tr>
      <w:tr>
        <w:trPr>
          <w:trHeight w:val="229"/>
        </w:trPr>
        <w:tc>
          <w:tcPr>
            <w:tcW w:w="37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496</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37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Mutual funds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5,313</w:t>
            </w: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2,999</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8,312</w:t>
            </w: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6,163</w:t>
            </w:r>
          </w:p>
        </w:tc>
        <w:tc>
          <w:tcPr>
            <w:tcW w:w="34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8,371</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229"/>
        </w:trPr>
        <w:tc>
          <w:tcPr>
            <w:tcW w:w="370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w:t>
            </w:r>
          </w:p>
        </w:tc>
        <w:tc>
          <w:tcPr>
            <w:tcW w:w="12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352</w:t>
            </w: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352</w:t>
            </w: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w:t>
            </w:r>
          </w:p>
        </w:tc>
        <w:tc>
          <w:tcPr>
            <w:tcW w:w="34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37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38"/>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17"/>
                <w:szCs w:val="17"/>
                <w:color w:val="auto"/>
              </w:rPr>
            </w:pPr>
          </w:p>
        </w:tc>
        <w:tc>
          <w:tcPr>
            <w:tcW w:w="21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September 30,</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costs (credits)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83"/>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U.S. Defined Benefit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24"/>
                <w:szCs w:val="24"/>
                <w:color w:val="auto"/>
              </w:rPr>
            </w:pPr>
          </w:p>
        </w:tc>
        <w:tc>
          <w:tcPr>
            <w:tcW w:w="21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Nine Months Ended September 30,</w:t>
            </w: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benefit costs (credits)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Settlement losses</w:t>
            </w: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including other postretirement losses (gains)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3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September 30, 2023, the aforementioned line of credit was a variable-rate, revolving credit facility from a consortium of investment-grade banks that allows us to borrow up to $1 billion until March 2024. The interest rate on borrowings under this credit facility, if drawn, is indexed to the applicable Term Secured Overnight Financing Rate (Term SOFR). As of September 30, 2023, our credit facility was undrawn, and we had no commercial paper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May 2023, we issued three series of senior unsecured notes for an aggregate principal amount of $1.60 billion, consisting of:</w:t>
      </w:r>
    </w:p>
    <w:p>
      <w:pPr>
        <w:spacing w:after="0" w:line="225" w:lineRule="exact"/>
        <w:rPr>
          <w:sz w:val="20"/>
          <w:szCs w:val="20"/>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 million further issuance of existing 4.60% notes due in 2028;</w:t>
      </w:r>
    </w:p>
    <w:p>
      <w:pPr>
        <w:spacing w:after="0" w:line="21"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 million further issuance of existing 4.90% notes due in 2033;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billion of 5.05% notes due in 2063.</w:t>
      </w:r>
    </w:p>
    <w:p>
      <w:pPr>
        <w:spacing w:after="0" w:line="21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We incurred $ 7 million of issuance cost and other related costs. The proceeds of the offering were $1.60 billion, net of the original issuance discounts and premiums, which will be used for general corporate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May 2023, we retired $500 million of maturing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March 2023, we issued two series of senior unsecured notes for an aggregate principal amount of $1.40 billion, consisting of $750 million of 4.90% notes due in 2033 and $650 million of 5.00% notes due in 2053. We incurred $11 million of issuance and other related costs. The proceeds of the offering were $1.40 billion, net of the original issuance discounts, which will be used for general corporate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w:t>
            </w:r>
          </w:p>
        </w:tc>
      </w:tr>
      <w:tr>
        <w:trPr>
          <w:trHeight w:val="204"/>
        </w:trPr>
        <w:tc>
          <w:tcPr>
            <w:tcW w:w="83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2023 at 2.25%</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2024 at 2.625%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2024 at 4.70%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2025 at 1.375%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2026 at 1.125%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2.25%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2030 at 1.75%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2031 at 1.90%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2032 at 3.65%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2033 at 4.90%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Notes due 2063 at 5.05%</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11,300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8,800</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11,222</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8,735</w:t>
            </w:r>
          </w:p>
        </w:tc>
      </w:tr>
      <w:tr>
        <w:trPr>
          <w:trHeight w:val="229"/>
        </w:trPr>
        <w:tc>
          <w:tcPr>
            <w:tcW w:w="8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8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10,922</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8,235</w:t>
            </w:r>
          </w:p>
        </w:tc>
      </w:tr>
      <w:tr>
        <w:trPr>
          <w:trHeight w:val="20"/>
        </w:trPr>
        <w:tc>
          <w:tcPr>
            <w:tcW w:w="83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Interest and debt expense was $98 million and $53 million for the third quarters of 2023 and 2022, respectively, and $255 million and $154 million for the first nine months of 2023 and 2022, respectively. This was net of the amortized discounts, premiums, issuance and other related costs. Capitalized interest was not material.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50,353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(40,214)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2023</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50,930</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(40,192)</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($1.24 per share)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2023</w:t>
            </w:r>
          </w:p>
        </w:tc>
        <w:tc>
          <w:tcPr>
            <w:tcW w:w="200" w:type="dxa"/>
            <w:vAlign w:val="bottom"/>
            <w:tcBorders>
              <w:top w:val="single" w:sz="8" w:color="auto"/>
              <w:bottom w:val="single" w:sz="8" w:color="auto"/>
            </w:tcBorders>
            <w:shd w:val="clear" w:color="auto" w:fill="DBDBDB"/>
          </w:tcPr>
          <w:p>
            <w:pPr>
              <w:spacing w:after="0"/>
              <w:rPr>
                <w:sz w:val="19"/>
                <w:szCs w:val="19"/>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51,522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(40,240)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1,709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Dividends declared and paid ($1.24 per share)</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repurchases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200" w:type="dxa"/>
            <w:vAlign w:val="bottom"/>
            <w:shd w:val="clear" w:color="auto" w:fill="DBDBDB"/>
          </w:tcPr>
          <w:p>
            <w:pPr>
              <w:spacing w:after="0"/>
              <w:rPr>
                <w:sz w:val="19"/>
                <w:szCs w:val="19"/>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Balance, September 30, 2023</w:t>
            </w: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3,280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52,098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(40,253)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5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2021</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45,919</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Balance, March 31, 2022</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47,053</w:t>
            </w:r>
          </w:p>
        </w:tc>
        <w:tc>
          <w:tcPr>
            <w:tcW w:w="1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(37,291)</w:t>
            </w:r>
          </w:p>
        </w:tc>
        <w:tc>
          <w:tcPr>
            <w:tcW w:w="10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6"/>
        </w:trPr>
        <w:tc>
          <w:tcPr>
            <w:tcW w:w="524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7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June 30, 2022</w:t>
            </w:r>
          </w:p>
        </w:tc>
        <w:tc>
          <w:tcPr>
            <w:tcW w:w="34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spacing w:after="0"/>
              <w:rPr>
                <w:sz w:val="19"/>
                <w:szCs w:val="19"/>
                <w:color w:val="auto"/>
              </w:rPr>
            </w:pP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48,280</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spacing w:after="0"/>
              <w:rPr>
                <w:sz w:val="19"/>
                <w:szCs w:val="19"/>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(38,532)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spacing w:after="0"/>
              <w:rPr>
                <w:sz w:val="19"/>
                <w:szCs w:val="19"/>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Dividends declared and paid ($1.15 per share)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September 30, 2022</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49,519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3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3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74"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3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During the third quarter and first nine months of 2022, restructuring charges/other included $77 million and $209 million, respectively, of preproduction costs at our Lehi, Utah, manufacturing facility, which were included in Other for segment reporting purposes. These costs transitioned primarily to cost of revenue after production began in December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7"/>
                <w:szCs w:val="17"/>
                <w:color w:val="auto"/>
              </w:rPr>
            </w:pPr>
          </w:p>
        </w:tc>
        <w:tc>
          <w:tcPr>
            <w:tcW w:w="1260" w:type="dxa"/>
            <w:vAlign w:val="bottom"/>
          </w:tcPr>
          <w:p>
            <w:pPr>
              <w:jc w:val="right"/>
              <w:ind w:right="177"/>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24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U.S. CHIPS and Science Act investment tax credit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1,923</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1,135</w:t>
            </w:r>
          </w:p>
        </w:tc>
      </w:tr>
      <w:tr>
        <w:trPr>
          <w:trHeight w:val="20"/>
        </w:trPr>
        <w:tc>
          <w:tcPr>
            <w:tcW w:w="82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3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third quarters and first nine months of 2023 and 2022. The table below details where these transactions are recorded in our Consolidated Statements of Income.</w:t>
      </w:r>
    </w:p>
    <w:p>
      <w:pPr>
        <w:sectPr>
          <w:pgSz w:w="11900" w:h="16838" w:orient="portrait"/>
          <w:cols w:equalWidth="0" w:num="1">
            <w:col w:w="11240"/>
          </w:cols>
          <w:pgMar w:left="320" w:top="118" w:right="339" w:bottom="1440" w:gutter="0" w:footer="0" w:header="0"/>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For Nine Months Ended</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20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Net actuarial losses of defined benefit plans: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140"/>
              <w:spacing w:after="0" w:line="176" w:lineRule="exact"/>
              <w:rPr>
                <w:sz w:val="20"/>
                <w:szCs w:val="20"/>
                <w:color w:val="auto"/>
              </w:rPr>
            </w:pPr>
            <w:r>
              <w:rPr>
                <w:rFonts w:ascii="Arial" w:cs="Arial" w:eastAsia="Arial" w:hAnsi="Arial"/>
                <w:sz w:val="18"/>
                <w:szCs w:val="18"/>
                <w:color w:val="auto"/>
              </w:rPr>
              <w:t>Recognized net actuarial loss and settlement</w:t>
            </w:r>
          </w:p>
        </w:tc>
        <w:tc>
          <w:tcPr>
            <w:tcW w:w="780" w:type="dxa"/>
            <w:vAlign w:val="bottom"/>
            <w:vMerge w:val="restart"/>
          </w:tcPr>
          <w:p>
            <w:pPr>
              <w:jc w:val="right"/>
              <w:ind w:right="578"/>
              <w:spacing w:after="0"/>
              <w:rPr>
                <w:sz w:val="20"/>
                <w:szCs w:val="20"/>
                <w:color w:val="auto"/>
              </w:rPr>
            </w:pPr>
            <w:r>
              <w:rPr>
                <w:rFonts w:ascii="Arial" w:cs="Arial" w:eastAsia="Arial" w:hAnsi="Arial"/>
                <w:sz w:val="18"/>
                <w:szCs w:val="18"/>
                <w:b w:val="1"/>
                <w:bCs w:val="1"/>
                <w:color w:val="auto"/>
                <w:w w:val="99"/>
              </w:rPr>
              <w:t>$</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880" w:type="dxa"/>
            <w:vAlign w:val="bottom"/>
          </w:tcPr>
          <w:p>
            <w:pPr>
              <w:ind w:left="140"/>
              <w:spacing w:after="0"/>
              <w:rPr>
                <w:sz w:val="20"/>
                <w:szCs w:val="20"/>
                <w:color w:val="auto"/>
              </w:rPr>
            </w:pPr>
            <w:r>
              <w:rPr>
                <w:rFonts w:ascii="Arial" w:cs="Arial" w:eastAsia="Arial" w:hAnsi="Arial"/>
                <w:sz w:val="18"/>
                <w:szCs w:val="18"/>
                <w:color w:val="auto"/>
              </w:rPr>
              <w:t>losses (a)</w:t>
            </w:r>
          </w:p>
        </w:tc>
        <w:tc>
          <w:tcPr>
            <w:tcW w:w="78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07"/>
        </w:trPr>
        <w:tc>
          <w:tcPr>
            <w:tcW w:w="3880" w:type="dxa"/>
            <w:vAlign w:val="bottom"/>
          </w:tcPr>
          <w:p>
            <w:pPr>
              <w:ind w:left="140"/>
              <w:spacing w:after="0"/>
              <w:rPr>
                <w:sz w:val="20"/>
                <w:szCs w:val="20"/>
                <w:color w:val="auto"/>
              </w:rPr>
            </w:pPr>
            <w:r>
              <w:rPr>
                <w:rFonts w:ascii="Arial" w:cs="Arial" w:eastAsia="Arial" w:hAnsi="Arial"/>
                <w:sz w:val="18"/>
                <w:szCs w:val="18"/>
                <w:color w:val="auto"/>
              </w:rPr>
              <w:t>Tax effect</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88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780" w:type="dxa"/>
            <w:vAlign w:val="bottom"/>
            <w:tcBorders>
              <w:bottom w:val="single" w:sz="8" w:color="auto"/>
            </w:tcBorders>
          </w:tcPr>
          <w:p>
            <w:pPr>
              <w:jc w:val="right"/>
              <w:ind w:right="578"/>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Prior service cost (credit) of defined benefit</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38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plans: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880" w:type="dxa"/>
            <w:vAlign w:val="bottom"/>
          </w:tcPr>
          <w:p>
            <w:pPr>
              <w:ind w:left="140"/>
              <w:spacing w:after="0"/>
              <w:rPr>
                <w:sz w:val="20"/>
                <w:szCs w:val="20"/>
                <w:color w:val="auto"/>
              </w:rPr>
            </w:pPr>
            <w:r>
              <w:rPr>
                <w:rFonts w:ascii="Arial" w:cs="Arial" w:eastAsia="Arial" w:hAnsi="Arial"/>
                <w:sz w:val="18"/>
                <w:szCs w:val="18"/>
                <w:color w:val="auto"/>
              </w:rPr>
              <w:t>Amortization of prior service cost (credit) (a)</w:t>
            </w:r>
          </w:p>
        </w:tc>
        <w:tc>
          <w:tcPr>
            <w:tcW w:w="780" w:type="dxa"/>
            <w:vAlign w:val="bottom"/>
          </w:tcPr>
          <w:p>
            <w:pPr>
              <w:jc w:val="right"/>
              <w:ind w:right="578"/>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2"/>
                <w:szCs w:val="22"/>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7"/>
        </w:trPr>
        <w:tc>
          <w:tcPr>
            <w:tcW w:w="3880" w:type="dxa"/>
            <w:vAlign w:val="bottom"/>
          </w:tcPr>
          <w:p>
            <w:pPr>
              <w:ind w:left="140"/>
              <w:spacing w:after="0"/>
              <w:rPr>
                <w:sz w:val="20"/>
                <w:szCs w:val="20"/>
                <w:color w:val="auto"/>
              </w:rPr>
            </w:pPr>
            <w:r>
              <w:rPr>
                <w:rFonts w:ascii="Arial" w:cs="Arial" w:eastAsia="Arial" w:hAnsi="Arial"/>
                <w:sz w:val="18"/>
                <w:szCs w:val="18"/>
                <w:color w:val="auto"/>
              </w:rPr>
              <w:t>Tax effect</w:t>
            </w:r>
          </w:p>
        </w:tc>
        <w:tc>
          <w:tcPr>
            <w:tcW w:w="78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1"/>
        </w:trPr>
        <w:tc>
          <w:tcPr>
            <w:tcW w:w="388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78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(a) Detailed in Note 5</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38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0"/>
                <w:szCs w:val="20"/>
                <w:color w:val="auto"/>
              </w:rPr>
            </w:pPr>
            <w:r>
              <w:rPr>
                <w:rFonts w:ascii="Arial" w:cs="Arial" w:eastAsia="Arial" w:hAnsi="Arial"/>
                <w:sz w:val="18"/>
                <w:szCs w:val="18"/>
                <w:i w:val="1"/>
                <w:iCs w:val="1"/>
                <w:color w:val="auto"/>
              </w:rPr>
              <w:t>Stock compensation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center"/>
        <w:ind w:left="-179"/>
        <w:spacing w:after="0" w:line="259" w:lineRule="auto"/>
        <w:rPr>
          <w:sz w:val="20"/>
          <w:szCs w:val="20"/>
          <w:color w:val="auto"/>
        </w:rPr>
      </w:pPr>
      <w:r>
        <w:rPr>
          <w:rFonts w:ascii="Arial" w:cs="Arial" w:eastAsia="Arial" w:hAnsi="Arial"/>
          <w:sz w:val="14"/>
          <w:szCs w:val="14"/>
          <w:b w:val="1"/>
          <w:bCs w:val="1"/>
          <w:color w:val="auto"/>
        </w:rPr>
        <w:t>Impact to Related Statement of Income Lines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Decrease to OI&amp;E</w:t>
      </w:r>
    </w:p>
    <w:p>
      <w:pPr>
        <w:spacing w:after="0" w:line="23" w:lineRule="exact"/>
        <w:rPr>
          <w:sz w:val="20"/>
          <w:szCs w:val="20"/>
          <w:color w:val="auto"/>
        </w:rPr>
      </w:pPr>
    </w:p>
    <w:p>
      <w:pPr>
        <w:ind w:right="500"/>
        <w:spacing w:after="0" w:line="234" w:lineRule="auto"/>
        <w:rPr>
          <w:sz w:val="20"/>
          <w:szCs w:val="20"/>
          <w:color w:val="auto"/>
        </w:rPr>
      </w:pPr>
      <w:r>
        <w:rPr>
          <w:rFonts w:ascii="Arial" w:cs="Arial" w:eastAsia="Arial" w:hAnsi="Arial"/>
          <w:sz w:val="18"/>
          <w:szCs w:val="18"/>
          <w:color w:val="auto"/>
        </w:rPr>
        <w:t>Decrease to provision for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Decrease to net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Decrease (increase) to OI&amp;E</w:t>
      </w:r>
    </w:p>
    <w:p>
      <w:pPr>
        <w:spacing w:after="0" w:line="34"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(Decrease) increase to provision for income taxes</w:t>
      </w:r>
    </w:p>
    <w:p>
      <w:pPr>
        <w:spacing w:after="0" w:line="15"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Decrease (increase) to net income</w:t>
      </w:r>
    </w:p>
    <w:p>
      <w:pPr>
        <w:spacing w:after="0" w:line="1186" w:lineRule="exact"/>
        <w:rPr>
          <w:sz w:val="20"/>
          <w:szCs w:val="20"/>
          <w:color w:val="auto"/>
        </w:rPr>
      </w:pPr>
    </w:p>
    <w:p>
      <w:pPr>
        <w:sectPr>
          <w:pgSz w:w="11900" w:h="16838" w:orient="portrait"/>
          <w:cols w:equalWidth="0" w:num="2">
            <w:col w:w="8640" w:space="100"/>
            <w:col w:w="2500"/>
          </w:cols>
          <w:pgMar w:left="320" w:top="118" w:right="339" w:bottom="1440" w:gutter="0" w:footer="0" w:header="0"/>
          <w:type w:val="continuous"/>
        </w:sectPr>
      </w:pPr>
    </w:p>
    <w:p>
      <w:pPr>
        <w:spacing w:after="0" w:line="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During the first nine months of 2023, 3 million shares were issued from treasury related to stock compensation. Shares issued from treasury during the third quarter of 2023 were less than 1 million.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40" w:hanging="328"/>
        <w:spacing w:after="0" w:line="275"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6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20" w:hanging="320"/>
        <w:spacing w:after="0" w:line="275" w:lineRule="auto"/>
        <w:tabs>
          <w:tab w:leader="none" w:pos="12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65" w:lineRule="exact"/>
        <w:rPr>
          <w:rFonts w:ascii="Arial" w:cs="Arial" w:eastAsia="Arial" w:hAnsi="Arial"/>
          <w:sz w:val="18"/>
          <w:szCs w:val="18"/>
          <w:color w:val="auto"/>
        </w:rPr>
      </w:pPr>
    </w:p>
    <w:p>
      <w:pPr>
        <w:jc w:val="both"/>
        <w:ind w:left="1300" w:right="440" w:hanging="320"/>
        <w:spacing w:after="0" w:line="306" w:lineRule="auto"/>
        <w:tabs>
          <w:tab w:leader="none" w:pos="1294"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41" w:lineRule="exact"/>
        <w:rPr>
          <w:rFonts w:ascii="Arial" w:cs="Arial" w:eastAsia="Arial" w:hAnsi="Arial"/>
          <w:sz w:val="17"/>
          <w:szCs w:val="17"/>
          <w:color w:val="auto"/>
        </w:rPr>
      </w:pPr>
    </w:p>
    <w:p>
      <w:pPr>
        <w:ind w:left="1300" w:right="20" w:hanging="320"/>
        <w:spacing w:after="0" w:line="275" w:lineRule="auto"/>
        <w:tabs>
          <w:tab w:leader="none" w:pos="12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66"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76" w:lineRule="exact"/>
        <w:rPr>
          <w:sz w:val="20"/>
          <w:szCs w:val="20"/>
          <w:color w:val="auto"/>
        </w:rPr>
      </w:pPr>
    </w:p>
    <w:p>
      <w:pPr>
        <w:ind w:left="660" w:right="660" w:hanging="328"/>
        <w:spacing w:after="0" w:line="275"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65"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9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4" w:lineRule="exact"/>
        <w:rPr>
          <w:sz w:val="20"/>
          <w:szCs w:val="20"/>
          <w:color w:val="auto"/>
        </w:rPr>
      </w:pPr>
    </w:p>
    <w:p>
      <w:pPr>
        <w:ind w:left="620" w:hanging="329"/>
        <w:spacing w:after="0" w:line="263"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5" w:lineRule="exact"/>
        <w:rPr>
          <w:rFonts w:ascii="Arial" w:cs="Arial" w:eastAsia="Arial" w:hAnsi="Arial"/>
          <w:sz w:val="18"/>
          <w:szCs w:val="18"/>
          <w:color w:val="auto"/>
        </w:rPr>
      </w:pPr>
    </w:p>
    <w:p>
      <w:pPr>
        <w:ind w:left="620" w:hanging="329"/>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75"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5" w:lineRule="exact"/>
        <w:rPr>
          <w:rFonts w:ascii="Arial" w:cs="Arial" w:eastAsia="Arial" w:hAnsi="Arial"/>
          <w:sz w:val="18"/>
          <w:szCs w:val="18"/>
          <w:color w:val="auto"/>
        </w:rPr>
      </w:pPr>
    </w:p>
    <w:p>
      <w:pPr>
        <w:ind w:left="1300" w:right="480" w:hanging="320"/>
        <w:spacing w:after="0" w:line="275"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65" w:lineRule="exact"/>
        <w:rPr>
          <w:rFonts w:ascii="Arial" w:cs="Arial" w:eastAsia="Arial" w:hAnsi="Arial"/>
          <w:sz w:val="18"/>
          <w:szCs w:val="18"/>
          <w:color w:val="auto"/>
        </w:rPr>
      </w:pPr>
    </w:p>
    <w:p>
      <w:pPr>
        <w:ind w:left="1300" w:right="740" w:hanging="320"/>
        <w:spacing w:after="0" w:line="275"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8" w:name="page19"/>
    <w:bookmarkEnd w:id="18"/>
    <w:p>
      <w:pPr>
        <w:ind w:left="1300" w:right="480" w:hanging="320"/>
        <w:spacing w:after="0" w:line="258"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81"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third quarter revenue was $4.53 billion, net income was $1.71 billion and earnings per share (EPS) were $1.85.</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Revenue was flat sequentially and decreased 14% from the same quarter a year ago. During the quarter, automotive growth continued and industrial weakness broadened.</w:t>
      </w:r>
    </w:p>
    <w:p>
      <w:pPr>
        <w:spacing w:after="0" w:line="17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Our cash flow from operations of $6.5 billion for the trailing 12 months again underscored the strength of our business model, the quality of our product portfolio and the benefit of 300-mm production. Free cash flow for the same period was $1.6 billion and 9% of revenue.</w:t>
      </w:r>
    </w:p>
    <w:p>
      <w:pPr>
        <w:spacing w:after="0" w:line="17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Over the past 12 months we invested $3.7 billion in R&amp;D and SG&amp;A, invested $4.9 billion in capital expenditures and returned $5.6 billion to shareholders.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third quarter 2023 compared with third quarter 2022</w:t>
      </w:r>
    </w:p>
    <w:p>
      <w:pPr>
        <w:spacing w:after="0" w:line="23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Revenue of $4.53 billion decreased $709 million, or 14%, primarily due to lower revenue from Analog, partially offset by higher revenue from Embedded Processing.</w:t>
      </w:r>
    </w:p>
    <w:p>
      <w:pPr>
        <w:spacing w:after="0" w:line="17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Gross profit of $2.82 billion was down $ 802 million, or 22%, primarily due to lower revenue and, to a lesser extent, higher manufacturing costs associated with planned capacity expansion and reduced factory loadings. As a percentage of revenue, gross profit decreased to 62.1% from 69.0%.</w:t>
      </w:r>
    </w:p>
    <w:p>
      <w:pPr>
        <w:spacing w:after="0" w:line="184"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Operating expenses (R&amp;D and SG&amp;A) were $923 million compared with $862 million. This increase was due to higher employee-related costs as we invest to strengthen our competitive advantages.</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Restructuring charges/other in the year-ago period was $77 million due to preproduction costs at our Lehi, Utah, manufacturing facility. These costs transitioned primarily to cost of revenue after production began in December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$1.89 billion, or 41.7% of revenue, compared with $2.68 billion, or 51.1%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$128 million of income compared with $33 million of income, primarily due to higher interest income.</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Interest and debt expense of $98 million increased $45 million due to the issuance of additional long-term debt. See Note 6 to the financial statements.</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provision for income taxes was $213 million compared with $363 million. This decrease was primarily due to lower income before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$1.71 billion compared with $2.30 billion. EPS was $1.85 compared with $2.47.</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Third quarter 2023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2023</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3,353</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3,993</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54.7 %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Analog revenue decreased in both product lines at about the same rate. Operating profit decreased primarily due to lower revenue and higher manufacturing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2023</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890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29.0 %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39.1 %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84" w:lineRule="exact"/>
        <w:rPr>
          <w:sz w:val="20"/>
          <w:szCs w:val="20"/>
          <w:color w:val="auto"/>
        </w:rPr>
      </w:pPr>
    </w:p>
    <w:p>
      <w:pPr>
        <w:ind w:right="1040"/>
        <w:spacing w:after="0" w:line="275" w:lineRule="auto"/>
        <w:rPr>
          <w:sz w:val="20"/>
          <w:szCs w:val="20"/>
          <w:color w:val="auto"/>
        </w:rPr>
      </w:pPr>
      <w:r>
        <w:rPr>
          <w:rFonts w:ascii="Arial" w:cs="Arial" w:eastAsia="Arial" w:hAnsi="Arial"/>
          <w:sz w:val="18"/>
          <w:szCs w:val="18"/>
          <w:color w:val="auto"/>
        </w:rPr>
        <w:t>Embedded Processing revenue increased due to the mix of products shipped. Operating profit decreased primarily due to higher manufacturing costs, partially offset by higher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2023</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Q3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427</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45.0 %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40.3 %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$138 million, and operating profit decreased $42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nine months of 2023 compared with first nine months of 2022</w:t>
      </w:r>
    </w:p>
    <w:p>
      <w:pPr>
        <w:spacing w:after="0" w:line="23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Revenue of $13.44 billion decreased $1.92 billion, or 12%, primarily due to lower revenue from Analog, partially offset by higher revenue from Embedded Processing.</w:t>
      </w:r>
    </w:p>
    <w:p>
      <w:pPr>
        <w:spacing w:after="0" w:line="17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profit of $ 8.59 billion was down $2.10 billion, or 20%, due to lower revenue and, to a lesser extent, higher manufacturing costs associated with planned capacity expansion and reduced factory loadings. As a percentage of revenue, gross profit decreased to 63.9% from 69.6%.</w:t>
      </w:r>
    </w:p>
    <w:p>
      <w:pPr>
        <w:spacing w:after="0" w:line="18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Operating expenses were $2.79 billion compared with $2.51 billion. This increase was due to higher employee-related costs as we invest to strengthen our competitive advantages.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in the year-ago period was $209 million due to preproduction costs at our Lehi, Utah, manufacturing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These costs transitioned primarily to cost of revenue after production began in December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$5.80 billion, or 43.1% of revenue, compared with $7.96 billion, or 51.9%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$327 million of income compared with $55 million of income, due to higher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$255 million increased $101 million due to the issuance of additional long-term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Our provision for income taxes was $731 million compared with $1.08 billion. This decrease was due to lower income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$5.14 billion compared with $6.79 billion. EPS was $5.58 compared with $7.27.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2023</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9,920</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11,801</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4,541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45.8 %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Analog revenue decreased in both product lines, led by Power. Operating profit decreased primarily due to lower revenue and higher manufacturing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2023</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2,616</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2,424</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813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31.1 %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39.6 %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84" w:lineRule="exact"/>
        <w:rPr>
          <w:sz w:val="20"/>
          <w:szCs w:val="20"/>
          <w:color w:val="auto"/>
        </w:rPr>
      </w:pPr>
    </w:p>
    <w:p>
      <w:pPr>
        <w:ind w:right="1040"/>
        <w:spacing w:after="0" w:line="275" w:lineRule="auto"/>
        <w:rPr>
          <w:sz w:val="20"/>
          <w:szCs w:val="20"/>
          <w:color w:val="auto"/>
        </w:rPr>
      </w:pPr>
      <w:r>
        <w:rPr>
          <w:rFonts w:ascii="Arial" w:cs="Arial" w:eastAsia="Arial" w:hAnsi="Arial"/>
          <w:sz w:val="18"/>
          <w:szCs w:val="18"/>
          <w:color w:val="auto"/>
        </w:rPr>
        <w:t>Embedded Processing revenue increased due to the mix of products shipped. Operating profit decreased primarily due to higher manufacturing costs, partially offset by higher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YTD 2023</w:t>
            </w:r>
          </w:p>
        </w:tc>
        <w:tc>
          <w:tcPr>
            <w:tcW w:w="2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YTD 2022</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906</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1,133</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49.0 %</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39.1 %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$227 million, and operating profit increased $1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At the end of the third quarter of 2023, total cash (cash and cash equivalents plus short-term investments) was $8.95 billion, a decrease of $119 million from the end of 2022.</w:t>
      </w:r>
    </w:p>
    <w:p>
      <w:pPr>
        <w:spacing w:after="0" w:line="174"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Accounts receivable were $1.98 billion, an increase of $ 81 million compared with the end of 2022. Days sales outstanding for the third quarter of 2023 were 39 compared with 37 at the end of 2022.</w:t>
      </w:r>
    </w:p>
    <w:p>
      <w:pPr>
        <w:spacing w:after="0" w:line="174"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Inventory was $3.91 billion, an increase of $1.15 billion from the end of 2022. Days of inventory for the third quarter of 2023 were 205 compared with 157 at the end of 2022.</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access to debt markets. We also have a variable-rate, revolving credit facility. As of September 30, 2023, our credit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undrawn, and we had no commercial paper outstanding. Cash flows from operating activities for the first nine months of 2023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billion, a decrease of $2.18 billion from the year-ago period due to lower net income and higher cash used for working capital, as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continued to strategically build inventory.</w:t>
      </w: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Investing activities for the first nine months of 2023 used $4.05 billion compared with $2.56 billion in the year-ago period. Capital expenditures were $3.92 billion compared with $1.83 billion in the year-ago period and were primarily for semiconductor manufacturing equipment and facilities in both periods. Short-term investments used cash of $164 million compared with $788 million in the year-ago period.</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 continue to invest to strengthen our competitive advantage in manufacturing and technology as part of our long-term capacity planning, our capital expenditures are expected to be higher than historical levels. In August 2022, the U.S. government enacted the U.S. CHIPS and Science Act, which provides funding for manufacturing grants and research investments and establishes a 25% investment tax credit for certain investments in U.S. semiconductor manufacturing. We expect to receive the cash benefit associated with the investment tax credit for qualifying capital expenditures in future periods. See Note 9 to the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for the first nine months of 2023 used $929 million compared with $5.58 billion in the year-ago period. In 2023, we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received net proceeds of $3.00 billion from the issuance of fixed-rate, long-term debt, and we retired maturing debt of $500 million.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year-ago period, we received net proceeds of $695 million from the issuance of fixed-rate, long-term debt, and we retired maturing debt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million. Dividends paid were $3.38 billion compared with $3.17 billion in the year-ago period, reflecting an increased dividend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fewer shares outstanding. We used $228 million to repurchase 1.3 million shares of our common stock compared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$2.77 billion used in the year-ago period to repurchase 16.8 million shares. Employee exercises of stock options provided cash proceeds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$218 million compared with $191 million in the year-ago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2023, we announced we would increase our dividend by 5%, marking 20 consecutive years of dividend increases.</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had $2.57 billion of cash and cash equivalents and $6.38 billion of short-term investments as of September 30, 2023. We believe we have the necessary financial resources and operating plans to fund our working capital needs, capital expenditures, dividend and debt-related payments, and other business requirements for at least the next 12 months.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3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6,538</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ind w:right="133"/>
              <w:spacing w:after="0"/>
              <w:rPr>
                <w:sz w:val="20"/>
                <w:szCs w:val="20"/>
                <w:color w:val="auto"/>
              </w:rPr>
            </w:pPr>
            <w:r>
              <w:rPr>
                <w:rFonts w:ascii="Arial" w:cs="Arial" w:eastAsia="Arial" w:hAnsi="Arial"/>
                <w:sz w:val="18"/>
                <w:szCs w:val="18"/>
                <w:color w:val="auto"/>
              </w:rPr>
              <w:t>9,035</w:t>
            </w:r>
          </w:p>
        </w:tc>
        <w:tc>
          <w:tcPr>
            <w:tcW w:w="14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(4,890)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DBDBDB"/>
            </w:tcBorders>
          </w:tcPr>
          <w:p>
            <w:pPr>
              <w:spacing w:after="0"/>
              <w:rPr>
                <w:sz w:val="19"/>
                <w:szCs w:val="19"/>
                <w:color w:val="auto"/>
              </w:rPr>
            </w:pPr>
          </w:p>
        </w:tc>
        <w:tc>
          <w:tcPr>
            <w:tcW w:w="1320" w:type="dxa"/>
            <w:vAlign w:val="bottom"/>
            <w:tcBorders>
              <w:bottom w:val="single" w:sz="8" w:color="DBDBDB"/>
            </w:tcBorders>
          </w:tcPr>
          <w:p>
            <w:pPr>
              <w:spacing w:after="0"/>
              <w:rPr>
                <w:sz w:val="19"/>
                <w:szCs w:val="19"/>
                <w:color w:val="auto"/>
              </w:rPr>
            </w:pPr>
          </w:p>
        </w:tc>
      </w:tr>
      <w:tr>
        <w:trPr>
          <w:trHeight w:val="248"/>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1,648</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5,923</w:t>
            </w:r>
          </w:p>
        </w:tc>
        <w:tc>
          <w:tcPr>
            <w:tcW w:w="14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4"/>
        </w:trPr>
        <w:tc>
          <w:tcPr>
            <w:tcW w:w="7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b w:val="1"/>
                <w:bCs w:val="1"/>
                <w:color w:val="auto"/>
              </w:rPr>
              <w:t>18,112</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ind w:right="133"/>
              <w:spacing w:after="0"/>
              <w:rPr>
                <w:sz w:val="20"/>
                <w:szCs w:val="20"/>
                <w:color w:val="auto"/>
              </w:rPr>
            </w:pPr>
            <w:r>
              <w:rPr>
                <w:rFonts w:ascii="Arial" w:cs="Arial" w:eastAsia="Arial" w:hAnsi="Arial"/>
                <w:sz w:val="18"/>
                <w:szCs w:val="18"/>
                <w:color w:val="auto"/>
              </w:rPr>
              <w:t>20,190</w:t>
            </w:r>
          </w:p>
        </w:tc>
        <w:tc>
          <w:tcPr>
            <w:tcW w:w="12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0"/>
        </w:trPr>
        <w:tc>
          <w:tcPr>
            <w:tcW w:w="70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320" w:type="dxa"/>
            <w:vAlign w:val="bottom"/>
            <w:tcBorders>
              <w:top w:val="single" w:sz="8" w:color="DBDBDB"/>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36.1 %</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44.7 %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51"/>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29.3 %</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6" w:right="5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2022, and is incorporated by reference herein.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20"/>
          </w:cols>
          <w:pgMar w:left="320" w:top="886" w:right="359" w:bottom="1440" w:gutter="0" w:footer="0" w:header="0"/>
        </w:sectPr>
      </w:pP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60" w:type="dxa"/>
            <w:vAlign w:val="bottom"/>
          </w:tcPr>
          <w:p>
            <w:pPr>
              <w:jc w:val="center"/>
              <w:ind w:left="88"/>
              <w:spacing w:after="0"/>
              <w:rPr>
                <w:sz w:val="20"/>
                <w:szCs w:val="20"/>
                <w:color w:val="auto"/>
              </w:rPr>
            </w:pPr>
            <w:r>
              <w:rPr>
                <w:rFonts w:ascii="Arial" w:cs="Arial" w:eastAsia="Arial" w:hAnsi="Arial"/>
                <w:sz w:val="14"/>
                <w:szCs w:val="14"/>
                <w:b w:val="1"/>
                <w:bCs w:val="1"/>
                <w:color w:val="auto"/>
              </w:rPr>
              <w:t>Purchased as Part of</w:t>
            </w:r>
          </w:p>
        </w:tc>
        <w:tc>
          <w:tcPr>
            <w:tcW w:w="0" w:type="dxa"/>
            <w:vAlign w:val="bottom"/>
          </w:tcPr>
          <w:p>
            <w:pPr>
              <w:spacing w:after="0"/>
              <w:rPr>
                <w:sz w:val="1"/>
                <w:szCs w:val="1"/>
                <w:color w:val="auto"/>
              </w:rPr>
            </w:pPr>
          </w:p>
        </w:tc>
      </w:tr>
      <w:tr>
        <w:trPr>
          <w:trHeight w:val="189"/>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Total Number of Shares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w:t>
            </w:r>
          </w:p>
        </w:tc>
        <w:tc>
          <w:tcPr>
            <w:tcW w:w="0" w:type="dxa"/>
            <w:vAlign w:val="bottom"/>
          </w:tcPr>
          <w:p>
            <w:pPr>
              <w:spacing w:after="0"/>
              <w:rPr>
                <w:sz w:val="1"/>
                <w:szCs w:val="1"/>
                <w:color w:val="auto"/>
              </w:rPr>
            </w:pPr>
          </w:p>
        </w:tc>
      </w:tr>
      <w:tr>
        <w:trPr>
          <w:trHeight w:val="189"/>
        </w:trPr>
        <w:tc>
          <w:tcPr>
            <w:tcW w:w="2340" w:type="dxa"/>
            <w:vAlign w:val="bottom"/>
            <w:vMerge w:val="continue"/>
          </w:tcPr>
          <w:p>
            <w:pPr>
              <w:spacing w:after="0"/>
              <w:rPr>
                <w:sz w:val="16"/>
                <w:szCs w:val="16"/>
                <w:color w:val="auto"/>
              </w:rPr>
            </w:pPr>
          </w:p>
        </w:tc>
        <w:tc>
          <w:tcPr>
            <w:tcW w:w="3660" w:type="dxa"/>
            <w:vAlign w:val="bottom"/>
          </w:tcPr>
          <w:p>
            <w:pPr>
              <w:jc w:val="center"/>
              <w:ind w:left="1688"/>
              <w:spacing w:after="0"/>
              <w:rPr>
                <w:sz w:val="20"/>
                <w:szCs w:val="20"/>
                <w:color w:val="auto"/>
              </w:rPr>
            </w:pPr>
            <w:r>
              <w:rPr>
                <w:rFonts w:ascii="Arial" w:cs="Arial" w:eastAsia="Arial" w:hAnsi="Arial"/>
                <w:sz w:val="14"/>
                <w:szCs w:val="14"/>
                <w:b w:val="1"/>
                <w:bCs w:val="1"/>
                <w:color w:val="auto"/>
              </w:rPr>
              <w:t>Purchased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 or Programs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Approximate Dollar Value</w:t>
      </w:r>
    </w:p>
    <w:p>
      <w:pPr>
        <w:spacing w:after="0" w:line="6" w:lineRule="exact"/>
        <w:rPr>
          <w:sz w:val="20"/>
          <w:szCs w:val="20"/>
          <w:color w:val="auto"/>
        </w:rPr>
      </w:pPr>
    </w:p>
    <w:p>
      <w:pPr>
        <w:jc w:val="center"/>
        <w:ind w:right="20"/>
        <w:spacing w:after="0" w:line="211" w:lineRule="auto"/>
        <w:rPr>
          <w:sz w:val="20"/>
          <w:szCs w:val="20"/>
          <w:color w:val="auto"/>
        </w:rPr>
      </w:pPr>
      <w:r>
        <w:rPr>
          <w:rFonts w:ascii="Arial" w:cs="Arial" w:eastAsia="Arial" w:hAnsi="Arial"/>
          <w:sz w:val="14"/>
          <w:szCs w:val="14"/>
          <w:b w:val="1"/>
          <w:bCs w:val="1"/>
          <w:color w:val="auto"/>
        </w:rPr>
        <w:t>of Shares that May Yet Be Purchased Under the Plans</w:t>
      </w:r>
    </w:p>
    <w:p>
      <w:pPr>
        <w:ind w:left="400"/>
        <w:spacing w:after="0"/>
        <w:rPr>
          <w:sz w:val="20"/>
          <w:szCs w:val="20"/>
          <w:color w:val="auto"/>
        </w:rPr>
      </w:pPr>
      <w:r>
        <w:rPr>
          <w:rFonts w:ascii="Arial" w:cs="Arial" w:eastAsia="Arial" w:hAnsi="Arial"/>
          <w:sz w:val="14"/>
          <w:szCs w:val="14"/>
          <w:b w:val="1"/>
          <w:bCs w:val="1"/>
          <w:color w:val="auto"/>
        </w:rPr>
        <w:t>or Programs (a)</w:t>
      </w:r>
    </w:p>
    <w:p>
      <w:pPr>
        <w:spacing w:after="0" w:line="24" w:lineRule="exact"/>
        <w:rPr>
          <w:sz w:val="20"/>
          <w:szCs w:val="20"/>
          <w:color w:val="auto"/>
        </w:rPr>
      </w:pPr>
    </w:p>
    <w:p>
      <w:pPr>
        <w:sectPr>
          <w:pgSz w:w="11900" w:h="16838" w:orient="portrait"/>
          <w:cols w:equalWidth="0" w:num="2">
            <w:col w:w="9120" w:space="200"/>
            <w:col w:w="1900"/>
          </w:cols>
          <w:pgMar w:left="320" w:top="886"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4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July 1, 2023 through July 31, 2023</w:t>
            </w:r>
          </w:p>
        </w:tc>
        <w:tc>
          <w:tcPr>
            <w:tcW w:w="120" w:type="dxa"/>
            <w:vAlign w:val="bottom"/>
            <w:tcBorders>
              <w:top w:val="single" w:sz="8" w:color="DBDBDB"/>
            </w:tcBorders>
            <w:shd w:val="clear" w:color="auto" w:fill="DBDBDB"/>
          </w:tcPr>
          <w:p>
            <w:pPr>
              <w:spacing w:after="0"/>
              <w:rPr>
                <w:sz w:val="19"/>
                <w:szCs w:val="19"/>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61,656</w:t>
            </w:r>
          </w:p>
        </w:tc>
        <w:tc>
          <w:tcPr>
            <w:tcW w:w="4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177.82</w:t>
            </w:r>
          </w:p>
        </w:tc>
        <w:tc>
          <w:tcPr>
            <w:tcW w:w="4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720" w:type="dxa"/>
            <w:vAlign w:val="bottom"/>
            <w:tcBorders>
              <w:top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50,020</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21.30</w:t>
            </w:r>
          </w:p>
        </w:tc>
        <w:tc>
          <w:tcPr>
            <w:tcW w:w="108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August 1, 2023 through August 31, 2023</w:t>
            </w:r>
          </w:p>
        </w:tc>
        <w:tc>
          <w:tcPr>
            <w:tcW w:w="1280" w:type="dxa"/>
            <w:vAlign w:val="bottom"/>
          </w:tcPr>
          <w:p>
            <w:pPr>
              <w:jc w:val="right"/>
              <w:spacing w:after="0"/>
              <w:rPr>
                <w:sz w:val="20"/>
                <w:szCs w:val="20"/>
                <w:color w:val="auto"/>
              </w:rPr>
            </w:pPr>
            <w:r>
              <w:rPr>
                <w:rFonts w:ascii="Arial" w:cs="Arial" w:eastAsia="Arial" w:hAnsi="Arial"/>
                <w:sz w:val="18"/>
                <w:szCs w:val="18"/>
                <w:color w:val="auto"/>
              </w:rPr>
              <w:t>109,035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109,035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21.28</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w:t>
            </w:r>
          </w:p>
        </w:tc>
      </w:tr>
      <w:tr>
        <w:trPr>
          <w:trHeight w:val="229"/>
        </w:trPr>
        <w:tc>
          <w:tcPr>
            <w:tcW w:w="42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September 1, 2023 through September 30, 2023</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126,201</w:t>
            </w:r>
          </w:p>
        </w:tc>
        <w:tc>
          <w:tcPr>
            <w:tcW w:w="42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162.42</w:t>
            </w:r>
          </w:p>
        </w:tc>
        <w:tc>
          <w:tcPr>
            <w:tcW w:w="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390"/>
              <w:spacing w:after="0"/>
              <w:rPr>
                <w:sz w:val="20"/>
                <w:szCs w:val="20"/>
                <w:color w:val="auto"/>
              </w:rPr>
            </w:pPr>
            <w:r>
              <w:rPr>
                <w:rFonts w:ascii="Arial" w:cs="Arial" w:eastAsia="Arial" w:hAnsi="Arial"/>
                <w:sz w:val="18"/>
                <w:szCs w:val="18"/>
                <w:color w:val="auto"/>
              </w:rPr>
              <w:t>126,201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21.26</w:t>
            </w:r>
          </w:p>
        </w:tc>
        <w:tc>
          <w:tcPr>
            <w:tcW w:w="1080" w:type="dxa"/>
            <w:vAlign w:val="bottom"/>
            <w:shd w:val="clear" w:color="auto" w:fill="DBDBDB"/>
          </w:tcPr>
          <w:p>
            <w:pPr>
              <w:ind w:left="60"/>
              <w:spacing w:after="0"/>
              <w:rPr>
                <w:sz w:val="20"/>
                <w:szCs w:val="20"/>
                <w:color w:val="auto"/>
              </w:rPr>
            </w:pPr>
            <w:r>
              <w:rPr>
                <w:rFonts w:ascii="Arial" w:cs="Arial" w:eastAsia="Arial" w:hAnsi="Arial"/>
                <w:sz w:val="18"/>
                <w:szCs w:val="18"/>
                <w:color w:val="auto"/>
              </w:rPr>
              <w:t>billion</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296,892</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167.89</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285,256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21.26</w:t>
            </w:r>
          </w:p>
        </w:tc>
        <w:tc>
          <w:tcPr>
            <w:tcW w:w="1080" w:type="dxa"/>
            <w:vAlign w:val="bottom"/>
          </w:tcPr>
          <w:p>
            <w:pPr>
              <w:ind w:left="60"/>
              <w:spacing w:after="0"/>
              <w:rPr>
                <w:sz w:val="20"/>
                <w:szCs w:val="20"/>
                <w:color w:val="auto"/>
              </w:rPr>
            </w:pPr>
            <w:r>
              <w:rPr>
                <w:rFonts w:ascii="Arial" w:cs="Arial" w:eastAsia="Arial" w:hAnsi="Arial"/>
                <w:sz w:val="18"/>
                <w:szCs w:val="18"/>
                <w:color w:val="auto"/>
              </w:rPr>
              <w:t>billion (c)</w:t>
            </w:r>
          </w:p>
        </w:tc>
      </w:tr>
      <w:tr>
        <w:trPr>
          <w:trHeight w:val="21"/>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25" w:lineRule="exact"/>
        <w:rPr>
          <w:sz w:val="20"/>
          <w:szCs w:val="20"/>
          <w:color w:val="auto"/>
        </w:rPr>
      </w:pPr>
    </w:p>
    <w:p>
      <w:pPr>
        <w:ind w:left="340" w:right="40" w:hanging="332"/>
        <w:spacing w:after="0" w:line="306" w:lineRule="auto"/>
        <w:tabs>
          <w:tab w:leader="none" w:pos="33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176" w:lineRule="exact"/>
        <w:rPr>
          <w:rFonts w:ascii="Arial" w:cs="Arial" w:eastAsia="Arial" w:hAnsi="Arial"/>
          <w:sz w:val="17"/>
          <w:szCs w:val="17"/>
          <w:color w:val="auto"/>
        </w:rPr>
      </w:pPr>
    </w:p>
    <w:p>
      <w:pPr>
        <w:ind w:left="340" w:right="660" w:hanging="332"/>
        <w:spacing w:after="0" w:line="275"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open-market purchases, 11,636 shares of common stock were surrendered by employees to satisfy tax withholding obligations in connection with the vesting of restricted stock units.</w:t>
      </w:r>
    </w:p>
    <w:p>
      <w:pPr>
        <w:spacing w:after="0" w:line="200" w:lineRule="exact"/>
        <w:rPr>
          <w:rFonts w:ascii="Arial" w:cs="Arial" w:eastAsia="Arial" w:hAnsi="Arial"/>
          <w:sz w:val="18"/>
          <w:szCs w:val="18"/>
          <w:color w:val="auto"/>
        </w:rPr>
      </w:pPr>
    </w:p>
    <w:p>
      <w:pPr>
        <w:ind w:left="340" w:right="400" w:hanging="332"/>
        <w:spacing w:after="0" w:line="275"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September 30, 2023,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25" w:name="page26"/>
    <w:bookmarkEnd w:id="25"/>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6"/>
        </w:trPr>
        <w:tc>
          <w:tcPr>
            <w:tcW w:w="1920" w:type="dxa"/>
            <w:vAlign w:val="bottom"/>
          </w:tcPr>
          <w:p>
            <w:pPr>
              <w:jc w:val="center"/>
              <w:ind w:right="13"/>
              <w:spacing w:after="0"/>
              <w:rPr>
                <w:sz w:val="20"/>
                <w:szCs w:val="20"/>
                <w:color w:val="auto"/>
              </w:rPr>
            </w:pPr>
            <w:r>
              <w:rPr>
                <w:rFonts w:ascii="Arial" w:cs="Arial" w:eastAsia="Arial" w:hAnsi="Arial"/>
                <w:sz w:val="14"/>
                <w:szCs w:val="14"/>
                <w:b w:val="1"/>
                <w:bCs w:val="1"/>
                <w:color w:val="auto"/>
              </w:rPr>
              <w:t>Designation of Exhibits in</w:t>
            </w:r>
          </w:p>
        </w:tc>
        <w:tc>
          <w:tcPr>
            <w:tcW w:w="1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20" w:type="dxa"/>
            <w:vAlign w:val="bottom"/>
            <w:gridSpan w:val="16"/>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9320" w:type="dxa"/>
            <w:vAlign w:val="bottom"/>
            <w:gridSpan w:val="16"/>
            <w:shd w:val="clear" w:color="auto" w:fill="DBDBDB"/>
          </w:tcPr>
          <w:p>
            <w:pPr>
              <w:spacing w:after="0"/>
              <w:rPr>
                <w:rFonts w:ascii="Arial" w:cs="Arial" w:eastAsia="Arial" w:hAnsi="Arial"/>
                <w:sz w:val="18"/>
                <w:szCs w:val="18"/>
                <w:color w:val="0000FF"/>
              </w:rPr>
            </w:pPr>
            <w:hyperlink r:id="rId48">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29"/>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8220" w:type="dxa"/>
            <w:vAlign w:val="bottom"/>
            <w:tcBorders>
              <w:top w:val="single" w:sz="8" w:color="0000FF"/>
            </w:tcBorders>
            <w:gridSpan w:val="10"/>
            <w:vMerge w:val="restart"/>
            <w:shd w:val="clear" w:color="auto" w:fill="DBDBDB"/>
          </w:tcPr>
          <w:p>
            <w:pPr>
              <w:spacing w:after="0" w:line="19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5"/>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DBDBDB"/>
            </w:tcBorders>
            <w:shd w:val="clear" w:color="auto" w:fill="DBDBDB"/>
          </w:tcPr>
          <w:p>
            <w:pPr>
              <w:spacing w:after="0"/>
              <w:rPr>
                <w:sz w:val="10"/>
                <w:szCs w:val="10"/>
                <w:color w:val="auto"/>
              </w:rPr>
            </w:pPr>
          </w:p>
        </w:tc>
        <w:tc>
          <w:tcPr>
            <w:tcW w:w="8220" w:type="dxa"/>
            <w:vAlign w:val="bottom"/>
            <w:tcBorders>
              <w:bottom w:val="single" w:sz="8" w:color="0000FF"/>
            </w:tcBorders>
            <w:gridSpan w:val="10"/>
            <w:vMerge w:val="continue"/>
            <w:shd w:val="clear" w:color="auto" w:fill="DBDBDB"/>
          </w:tcPr>
          <w:p>
            <w:pPr>
              <w:spacing w:after="0"/>
              <w:rPr>
                <w:sz w:val="10"/>
                <w:szCs w:val="10"/>
                <w:color w:val="auto"/>
              </w:rPr>
            </w:pPr>
          </w:p>
        </w:tc>
        <w:tc>
          <w:tcPr>
            <w:tcW w:w="1000" w:type="dxa"/>
            <w:vAlign w:val="bottom"/>
            <w:tcBorders>
              <w:bottom w:val="single" w:sz="8" w:color="DBDBDB"/>
            </w:tcBorders>
            <w:gridSpan w:val="5"/>
            <w:vMerge w:val="continue"/>
            <w:shd w:val="clear" w:color="auto" w:fill="DBDBDB"/>
          </w:tcPr>
          <w:p>
            <w:pPr>
              <w:spacing w:after="0"/>
              <w:rPr>
                <w:sz w:val="10"/>
                <w:szCs w:val="10"/>
                <w:color w:val="auto"/>
              </w:rPr>
            </w:pPr>
          </w:p>
        </w:tc>
        <w:tc>
          <w:tcPr>
            <w:tcW w:w="10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8960" w:type="dxa"/>
            <w:vAlign w:val="bottom"/>
            <w:tcBorders>
              <w:bottom w:val="single" w:sz="8" w:color="0000FF"/>
            </w:tcBorders>
            <w:gridSpan w:val="13"/>
          </w:tcPr>
          <w:p>
            <w:pPr>
              <w:spacing w:after="0" w:line="20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920" w:type="dxa"/>
            <w:vAlign w:val="bottom"/>
            <w:vMerge w:val="continue"/>
          </w:tcPr>
          <w:p>
            <w:pPr>
              <w:spacing w:after="0"/>
              <w:rPr>
                <w:sz w:val="11"/>
                <w:szCs w:val="11"/>
                <w:color w:val="auto"/>
              </w:rPr>
            </w:pPr>
          </w:p>
        </w:tc>
        <w:tc>
          <w:tcPr>
            <w:tcW w:w="9320" w:type="dxa"/>
            <w:vAlign w:val="bottom"/>
            <w:gridSpan w:val="16"/>
            <w:vMerge w:val="restart"/>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7"/>
        </w:trPr>
        <w:tc>
          <w:tcPr>
            <w:tcW w:w="1920" w:type="dxa"/>
            <w:vAlign w:val="bottom"/>
          </w:tcPr>
          <w:p>
            <w:pPr>
              <w:spacing w:after="0"/>
              <w:rPr>
                <w:sz w:val="5"/>
                <w:szCs w:val="5"/>
                <w:color w:val="auto"/>
              </w:rPr>
            </w:pPr>
          </w:p>
        </w:tc>
        <w:tc>
          <w:tcPr>
            <w:tcW w:w="93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31(a)</w:t>
            </w:r>
          </w:p>
        </w:tc>
        <w:tc>
          <w:tcPr>
            <w:tcW w:w="836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Executive Officer of Periodic Report Pursuant to Rule 13a-14(a) or Rule 15d-14(a).†</w:t>
            </w:r>
          </w:p>
        </w:tc>
        <w:tc>
          <w:tcPr>
            <w:tcW w:w="960" w:type="dxa"/>
            <w:vAlign w:val="bottom"/>
            <w:tcBorders>
              <w:bottom w:val="single" w:sz="8" w:color="DBDBDB"/>
            </w:tcBorders>
            <w:gridSpan w:val="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31(b)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of Chief Financial Officer of Periodic Report Pursuant to Rule 13a-14(a) or Rule 15d-14(a).†</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32(a)</w:t>
            </w:r>
          </w:p>
        </w:tc>
        <w:tc>
          <w:tcPr>
            <w:tcW w:w="762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Executive Officer of Periodic Report Pursuant to 18 U.S.C. Section 1350.†</w:t>
            </w:r>
          </w:p>
        </w:tc>
        <w:tc>
          <w:tcPr>
            <w:tcW w:w="1700" w:type="dxa"/>
            <w:vAlign w:val="bottom"/>
            <w:tcBorders>
              <w:bottom w:val="single" w:sz="8" w:color="DBDBDB"/>
            </w:tcBorders>
            <w:gridSpan w:val="7"/>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32(b)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by Chief Financial Officer of Periodic Report Pursuant to 18 U.S.C. Section 1350.†</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shd w:val="clear" w:color="auto" w:fill="DBDBDB"/>
          </w:tcPr>
          <w:p>
            <w:pPr>
              <w:jc w:val="center"/>
              <w:ind w:right="13"/>
              <w:spacing w:after="0"/>
              <w:rPr>
                <w:sz w:val="20"/>
                <w:szCs w:val="20"/>
                <w:color w:val="auto"/>
              </w:rPr>
            </w:pPr>
            <w:r>
              <w:rPr>
                <w:rFonts w:ascii="Arial" w:cs="Arial" w:eastAsia="Arial" w:hAnsi="Arial"/>
                <w:sz w:val="18"/>
                <w:szCs w:val="18"/>
                <w:color w:val="auto"/>
                <w:w w:val="99"/>
              </w:rPr>
              <w:t>101.ins</w:t>
            </w:r>
          </w:p>
        </w:tc>
        <w:tc>
          <w:tcPr>
            <w:tcW w:w="9320" w:type="dxa"/>
            <w:vAlign w:val="bottom"/>
            <w:gridSpan w:val="16"/>
            <w:shd w:val="clear" w:color="auto" w:fill="DBDBDB"/>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29"/>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9060" w:type="dxa"/>
            <w:vAlign w:val="bottom"/>
            <w:tcBorders>
              <w:top w:val="single" w:sz="8" w:color="auto"/>
            </w:tcBorders>
            <w:gridSpan w:val="14"/>
            <w:vMerge w:val="restart"/>
            <w:shd w:val="clear" w:color="auto" w:fill="DBDBDB"/>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tcBorders>
              <w:top w:val="single" w:sz="8" w:color="DBDBDB"/>
            </w:tcBorders>
            <w:gridSpan w:val="2"/>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920" w:type="dxa"/>
            <w:vAlign w:val="bottom"/>
            <w:shd w:val="clear" w:color="auto" w:fill="DBDBDB"/>
          </w:tcPr>
          <w:p>
            <w:pPr>
              <w:spacing w:after="0"/>
              <w:rPr>
                <w:sz w:val="5"/>
                <w:szCs w:val="5"/>
                <w:color w:val="auto"/>
              </w:rPr>
            </w:pPr>
          </w:p>
        </w:tc>
        <w:tc>
          <w:tcPr>
            <w:tcW w:w="9060" w:type="dxa"/>
            <w:vAlign w:val="bottom"/>
            <w:gridSpan w:val="14"/>
            <w:vMerge w:val="continue"/>
            <w:shd w:val="clear" w:color="auto" w:fill="DBDBDB"/>
          </w:tcPr>
          <w:p>
            <w:pPr>
              <w:spacing w:after="0"/>
              <w:rPr>
                <w:sz w:val="5"/>
                <w:szCs w:val="5"/>
                <w:color w:val="auto"/>
              </w:rPr>
            </w:pPr>
          </w:p>
        </w:tc>
        <w:tc>
          <w:tcPr>
            <w:tcW w:w="260" w:type="dxa"/>
            <w:vAlign w:val="bottom"/>
            <w:gridSpan w:val="2"/>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204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101.sch</w:t>
            </w:r>
          </w:p>
        </w:tc>
        <w:tc>
          <w:tcPr>
            <w:tcW w:w="3920" w:type="dxa"/>
            <w:vAlign w:val="bottom"/>
            <w:tcBorders>
              <w:bottom w:val="single" w:sz="8" w:color="auto"/>
            </w:tcBorders>
            <w:gridSpan w:val="2"/>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Schema Document.†</w:t>
            </w:r>
          </w:p>
        </w:tc>
        <w:tc>
          <w:tcPr>
            <w:tcW w:w="5400" w:type="dxa"/>
            <w:vAlign w:val="bottom"/>
            <w:tcBorders>
              <w:bottom w:val="single" w:sz="8" w:color="DBDBDB"/>
            </w:tcBorders>
            <w:gridSpan w:val="1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101.cal</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101.lab</w:t>
            </w:r>
          </w:p>
        </w:tc>
        <w:tc>
          <w:tcPr>
            <w:tcW w:w="448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Label Linkbase Document.†</w:t>
            </w:r>
          </w:p>
        </w:tc>
        <w:tc>
          <w:tcPr>
            <w:tcW w:w="4840" w:type="dxa"/>
            <w:vAlign w:val="bottom"/>
            <w:tcBorders>
              <w:bottom w:val="single" w:sz="8" w:color="DBDBDB"/>
            </w:tcBorders>
            <w:gridSpan w:val="12"/>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rPr>
              <w:t>101.pre</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8" w:lineRule="exact"/>
        <w:rPr>
          <w:sz w:val="20"/>
          <w:szCs w:val="20"/>
          <w:color w:val="auto"/>
        </w:rPr>
      </w:pPr>
    </w:p>
    <w:p>
      <w:pPr>
        <w:ind w:left="1920" w:hanging="1158"/>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35"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4" w:lineRule="exact"/>
        <w:rPr>
          <w:sz w:val="20"/>
          <w:szCs w:val="20"/>
          <w:color w:val="auto"/>
        </w:rPr>
      </w:pPr>
    </w:p>
    <w:p>
      <w:pPr>
        <w:ind w:left="620" w:right="34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5" w:lineRule="exact"/>
        <w:rPr>
          <w:rFonts w:ascii="Arial" w:cs="Arial" w:eastAsia="Arial" w:hAnsi="Arial"/>
          <w:sz w:val="18"/>
          <w:szCs w:val="18"/>
          <w:color w:val="auto"/>
        </w:rPr>
      </w:pPr>
    </w:p>
    <w:p>
      <w:pPr>
        <w:ind w:left="620" w:right="42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65"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4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65" w:lineRule="exact"/>
        <w:rPr>
          <w:rFonts w:ascii="Arial" w:cs="Arial" w:eastAsia="Arial" w:hAnsi="Arial"/>
          <w:sz w:val="18"/>
          <w:szCs w:val="18"/>
          <w:color w:val="auto"/>
        </w:rPr>
      </w:pPr>
    </w:p>
    <w:p>
      <w:pPr>
        <w:ind w:left="620" w:right="22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5" w:lineRule="exact"/>
        <w:rPr>
          <w:rFonts w:ascii="Arial" w:cs="Arial" w:eastAsia="Arial" w:hAnsi="Arial"/>
          <w:sz w:val="18"/>
          <w:szCs w:val="18"/>
          <w:color w:val="auto"/>
        </w:rPr>
      </w:pPr>
    </w:p>
    <w:p>
      <w:pPr>
        <w:ind w:left="620" w:right="260" w:hanging="329"/>
        <w:spacing w:after="0" w:line="263"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75" w:lineRule="exact"/>
        <w:rPr>
          <w:rFonts w:ascii="Arial" w:cs="Arial" w:eastAsia="Arial" w:hAnsi="Arial"/>
          <w:sz w:val="18"/>
          <w:szCs w:val="18"/>
          <w:color w:val="auto"/>
        </w:rPr>
      </w:pPr>
    </w:p>
    <w:p>
      <w:pPr>
        <w:ind w:left="620" w:right="16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5" w:lineRule="exact"/>
        <w:rPr>
          <w:rFonts w:ascii="Arial" w:cs="Arial" w:eastAsia="Arial" w:hAnsi="Arial"/>
          <w:sz w:val="18"/>
          <w:szCs w:val="18"/>
          <w:color w:val="auto"/>
        </w:rPr>
      </w:pPr>
    </w:p>
    <w:p>
      <w:pPr>
        <w:ind w:left="620" w:right="62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65"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20" w:right="120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5" w:lineRule="exact"/>
        <w:rPr>
          <w:rFonts w:ascii="Arial" w:cs="Arial" w:eastAsia="Arial" w:hAnsi="Arial"/>
          <w:sz w:val="18"/>
          <w:szCs w:val="18"/>
          <w:color w:val="auto"/>
        </w:rPr>
      </w:pPr>
    </w:p>
    <w:p>
      <w:pPr>
        <w:jc w:val="both"/>
        <w:ind w:left="620" w:right="68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5" w:lineRule="exact"/>
        <w:rPr>
          <w:rFonts w:ascii="Arial" w:cs="Arial" w:eastAsia="Arial" w:hAnsi="Arial"/>
          <w:sz w:val="18"/>
          <w:szCs w:val="18"/>
          <w:color w:val="auto"/>
        </w:rPr>
      </w:pPr>
    </w:p>
    <w:p>
      <w:pPr>
        <w:ind w:left="620" w:right="320" w:hanging="329"/>
        <w:spacing w:after="0" w:line="263"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75" w:lineRule="exact"/>
        <w:rPr>
          <w:rFonts w:ascii="Arial" w:cs="Arial" w:eastAsia="Arial" w:hAnsi="Arial"/>
          <w:sz w:val="18"/>
          <w:szCs w:val="18"/>
          <w:color w:val="auto"/>
        </w:rPr>
      </w:pPr>
    </w:p>
    <w:p>
      <w:pPr>
        <w:ind w:left="620" w:right="66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65"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5" w:lineRule="exact"/>
        <w:rPr>
          <w:rFonts w:ascii="Arial" w:cs="Arial" w:eastAsia="Arial" w:hAnsi="Arial"/>
          <w:sz w:val="18"/>
          <w:szCs w:val="18"/>
          <w:color w:val="auto"/>
        </w:rPr>
      </w:pPr>
    </w:p>
    <w:p>
      <w:pPr>
        <w:ind w:left="620" w:right="140" w:hanging="329"/>
        <w:spacing w:after="0" w:line="275" w:lineRule="auto"/>
        <w:tabs>
          <w:tab w:leader="none" w:pos="6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5" w:lineRule="exact"/>
        <w:rPr>
          <w:rFonts w:ascii="Arial" w:cs="Arial" w:eastAsia="Arial" w:hAnsi="Arial"/>
          <w:sz w:val="18"/>
          <w:szCs w:val="18"/>
          <w:color w:val="auto"/>
        </w:rPr>
      </w:pPr>
    </w:p>
    <w:p>
      <w:pPr>
        <w:ind w:left="620" w:hanging="329"/>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7" w:name="page28"/>
    <w:bookmarkEnd w:id="27"/>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04" w:right="51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13970</wp:posOffset>
            </wp:positionV>
            <wp:extent cx="29578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R. Lizardi, </w:t>
      </w:r>
      <w:r>
        <w:rPr>
          <w:rFonts w:ascii="Arial" w:cs="Arial" w:eastAsia="Arial" w:hAnsi="Arial"/>
          <w:sz w:val="18"/>
          <w:szCs w:val="18"/>
          <w:color w:val="auto"/>
        </w:rPr>
        <w:t>Senior Vice President and Chief</w:t>
      </w:r>
    </w:p>
    <w:p>
      <w:pPr>
        <w:spacing w:after="0" w:line="4"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Financial Officer</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ectPr>
          <w:pgSz w:w="11900" w:h="16838" w:orient="portrait"/>
          <w:cols w:equalWidth="0" w:num="1">
            <w:col w:w="11200"/>
          </w:cols>
          <w:pgMar w:left="320" w:top="896"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1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500" w:right="240" w:hanging="492"/>
        <w:spacing w:after="0" w:line="274"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7"/>
          <w:szCs w:val="17"/>
          <w:color w:val="auto"/>
        </w:rPr>
      </w:pPr>
    </w:p>
    <w:p>
      <w:pPr>
        <w:jc w:val="both"/>
        <w:ind w:left="500" w:right="280" w:hanging="492"/>
        <w:spacing w:after="0" w:line="229"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60" w:hanging="492"/>
        <w:spacing w:after="0" w:line="289"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6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Haviv Ilan</w:t>
      </w:r>
    </w:p>
    <w:p>
      <w:pPr>
        <w:ind w:left="9180"/>
        <w:spacing w:after="0" w:line="203" w:lineRule="auto"/>
        <w:rPr>
          <w:sz w:val="20"/>
          <w:szCs w:val="20"/>
          <w:color w:val="auto"/>
        </w:rPr>
      </w:pPr>
      <w:r>
        <w:rPr>
          <w:rFonts w:ascii="Arial" w:cs="Arial" w:eastAsia="Arial" w:hAnsi="Arial"/>
          <w:sz w:val="18"/>
          <w:szCs w:val="18"/>
          <w:color w:val="auto"/>
        </w:rPr>
        <w:t>President and</w:t>
      </w:r>
    </w:p>
    <w:p>
      <w:pPr>
        <w:ind w:left="8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500" w:right="240" w:hanging="492"/>
        <w:spacing w:after="0" w:line="274"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7"/>
          <w:szCs w:val="17"/>
          <w:color w:val="auto"/>
        </w:rPr>
      </w:pPr>
    </w:p>
    <w:p>
      <w:pPr>
        <w:jc w:val="both"/>
        <w:ind w:left="500" w:right="280" w:hanging="492"/>
        <w:spacing w:after="0" w:line="22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486"/>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40" w:hanging="492"/>
        <w:spacing w:after="0" w:line="289"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pacing w:after="0" w:line="26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right="580" w:firstLine="486"/>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Haviv Ilan, President and Chief Executive Officer of Texas Instruments Incorporated (the “Company”), hereby certifies that, to his knowledge:</w:t>
      </w:r>
    </w:p>
    <w:p>
      <w:pPr>
        <w:spacing w:after="0" w:line="146" w:lineRule="exact"/>
        <w:rPr>
          <w:sz w:val="20"/>
          <w:szCs w:val="20"/>
          <w:color w:val="auto"/>
        </w:rPr>
      </w:pPr>
    </w:p>
    <w:p>
      <w:pPr>
        <w:ind w:right="140" w:firstLine="494"/>
        <w:spacing w:after="0" w:line="342"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2023,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October 25, 2023</w:t>
      </w:r>
    </w:p>
    <w:p>
      <w:pPr>
        <w:spacing w:after="0" w:line="3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4"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Haviv Ilan</w:t>
      </w:r>
    </w:p>
    <w:p>
      <w:pPr>
        <w:ind w:left="9180"/>
        <w:spacing w:after="0" w:line="203" w:lineRule="auto"/>
        <w:rPr>
          <w:sz w:val="20"/>
          <w:szCs w:val="20"/>
          <w:color w:val="auto"/>
        </w:rPr>
      </w:pPr>
      <w:r>
        <w:rPr>
          <w:rFonts w:ascii="Arial" w:cs="Arial" w:eastAsia="Arial" w:hAnsi="Arial"/>
          <w:sz w:val="18"/>
          <w:szCs w:val="18"/>
          <w:color w:val="auto"/>
        </w:rPr>
        <w:t>President and</w:t>
      </w:r>
    </w:p>
    <w:p>
      <w:pPr>
        <w:ind w:left="8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24" w:lineRule="exact"/>
        <w:rPr>
          <w:sz w:val="20"/>
          <w:szCs w:val="20"/>
          <w:color w:val="auto"/>
        </w:rPr>
      </w:pPr>
    </w:p>
    <w:p>
      <w:pPr>
        <w:ind w:right="140" w:firstLine="494"/>
        <w:spacing w:after="0" w:line="342"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2023,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October 25, 2023</w:t>
      </w:r>
    </w:p>
    <w:p>
      <w:pPr>
        <w:spacing w:after="0" w:line="3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4"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5"/>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
    </w:lvl>
    <w:lvl w:ilvl="1">
      <w:lvlJc w:val="left"/>
      <w:lvlText w:val="%2."/>
      <w:numFmt w:val="lowerRoman"/>
      <w:start w:val="1"/>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lvl w:ilvl="1">
      <w:lvlJc w:val="left"/>
      <w:lvlText w:val="%2"/>
      <w:numFmt w:val="decimal"/>
      <w:start w:val="104"/>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48" Type="http://schemas.openxmlformats.org/officeDocument/2006/relationships/hyperlink" Target="http://www.sec.gov/Archives/edgar/data/97476/000009747615000003/txn-12312014xexhibit3a.htm" TargetMode="External"/><Relationship Id="rId49" Type="http://schemas.openxmlformats.org/officeDocument/2006/relationships/hyperlink" Target="https://www.sec.gov/Archives/edgar/data/97476/000119312522018409/d252810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2023-10-25T08:35:23Z</dcterms:created>
  <dcterms:modified xsi:type="dcterms:W3CDTF">2023-10-25T08:35:23Z</dcterms:modified>
</cp:coreProperties>
</file>