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Filed Pursuant to Rule 424(b)(5)</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Registration No. 333-284977</w:t>
            </w:r>
          </w:p>
        </w:tc>
        <w:tc>
          <w:tcPr>
            <w:tcW w:w="0" w:type="dxa"/>
            <w:vAlign w:val="bottom"/>
          </w:tcPr>
          <w:p>
            <w:pPr>
              <w:spacing w:after="0"/>
              <w:rPr>
                <w:sz w:val="1"/>
                <w:szCs w:val="1"/>
                <w:color w:val="auto"/>
              </w:rPr>
            </w:pPr>
          </w:p>
        </w:tc>
      </w:tr>
      <w:tr>
        <w:trPr>
          <w:trHeight w:val="460"/>
        </w:trPr>
        <w:tc>
          <w:tcPr>
            <w:tcW w:w="300" w:type="dxa"/>
            <w:vAlign w:val="bottom"/>
            <w:vMerge w:val="restart"/>
            <w:textDirection w:val="btLr"/>
          </w:tcPr>
          <w:p>
            <w:pPr>
              <w:ind w:left="208"/>
              <w:spacing w:after="0"/>
              <w:rPr>
                <w:sz w:val="20"/>
                <w:szCs w:val="20"/>
                <w:color w:val="auto"/>
              </w:rPr>
            </w:pPr>
            <w:r>
              <w:rPr>
                <w:rFonts w:ascii="Times New Roman" w:cs="Times New Roman" w:eastAsia="Times New Roman" w:hAnsi="Times New Roman"/>
                <w:sz w:val="8"/>
                <w:szCs w:val="8"/>
                <w:b w:val="1"/>
                <w:bCs w:val="1"/>
                <w:color w:val="FF4338"/>
                <w:w w:val="74"/>
              </w:rPr>
              <w:t>relatingtothesenoteshas</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9"/>
              </w:rPr>
              <w:t>is</w:t>
            </w:r>
          </w:p>
        </w:tc>
        <w:tc>
          <w:tcPr>
            <w:tcW w:w="560" w:type="dxa"/>
            <w:vAlign w:val="bottom"/>
            <w:vMerge w:val="restart"/>
            <w:textDirection w:val="btLr"/>
          </w:tcPr>
          <w:p>
            <w:pPr>
              <w:ind w:left="106"/>
              <w:spacing w:after="0"/>
              <w:rPr>
                <w:sz w:val="20"/>
                <w:szCs w:val="20"/>
                <w:color w:val="auto"/>
              </w:rPr>
            </w:pPr>
            <w:r>
              <w:rPr>
                <w:rFonts w:ascii="Times New Roman" w:cs="Times New Roman" w:eastAsia="Times New Roman" w:hAnsi="Times New Roman"/>
                <w:sz w:val="12"/>
                <w:szCs w:val="12"/>
                <w:b w:val="1"/>
                <w:bCs w:val="1"/>
                <w:color w:val="FF4338"/>
                <w:w w:val="71"/>
              </w:rPr>
              <w:t>orsaleisnotpermitted.</w:t>
            </w: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21"/>
          </w:tcPr>
          <w:p>
            <w:pPr>
              <w:ind w:left="60"/>
              <w:spacing w:after="0"/>
              <w:rPr>
                <w:sz w:val="20"/>
                <w:szCs w:val="20"/>
                <w:color w:val="auto"/>
              </w:rPr>
            </w:pPr>
            <w:r>
              <w:rPr>
                <w:rFonts w:ascii="Times New Roman" w:cs="Times New Roman" w:eastAsia="Times New Roman" w:hAnsi="Times New Roman"/>
                <w:sz w:val="18"/>
                <w:szCs w:val="18"/>
                <w:b w:val="1"/>
                <w:bCs w:val="1"/>
                <w:color w:val="FF4338"/>
              </w:rPr>
              <w:t>SUBJECT TO COMPLETION, DATED MAY 20, 2025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00" w:type="dxa"/>
            <w:vAlign w:val="bottom"/>
            <w:vMerge w:val="continue"/>
          </w:tcPr>
          <w:p>
            <w:pPr>
              <w:spacing w:after="0"/>
              <w:rPr>
                <w:sz w:val="24"/>
                <w:szCs w:val="24"/>
                <w:color w:val="auto"/>
              </w:rPr>
            </w:pPr>
          </w:p>
        </w:tc>
        <w:tc>
          <w:tcPr>
            <w:tcW w:w="220" w:type="dxa"/>
            <w:vAlign w:val="bottom"/>
            <w:textDirection w:val="btLr"/>
          </w:tcPr>
          <w:p>
            <w:pPr>
              <w:ind w:left="174"/>
              <w:spacing w:after="0"/>
              <w:rPr>
                <w:sz w:val="20"/>
                <w:szCs w:val="20"/>
                <w:color w:val="auto"/>
              </w:rPr>
            </w:pPr>
            <w:r>
              <w:rPr>
                <w:rFonts w:ascii="Times New Roman" w:cs="Times New Roman" w:eastAsia="Times New Roman" w:hAnsi="Times New Roman"/>
                <w:sz w:val="4"/>
                <w:szCs w:val="4"/>
                <w:b w:val="1"/>
                <w:bCs w:val="1"/>
                <w:color w:val="FF4338"/>
                <w:w w:val="74"/>
              </w:rPr>
              <w:t>accompanyingprospectus</w:t>
            </w:r>
          </w:p>
        </w:tc>
        <w:tc>
          <w:tcPr>
            <w:tcW w:w="560" w:type="dxa"/>
            <w:vAlign w:val="bottom"/>
            <w:vMerge w:val="continue"/>
          </w:tcPr>
          <w:p>
            <w:pPr>
              <w:spacing w:after="0"/>
              <w:rPr>
                <w:sz w:val="24"/>
                <w:szCs w:val="24"/>
                <w:color w:val="auto"/>
              </w:rPr>
            </w:pPr>
          </w:p>
        </w:tc>
        <w:tc>
          <w:tcPr>
            <w:tcW w:w="39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40" w:type="dxa"/>
            <w:vAlign w:val="bottom"/>
            <w:gridSpan w:val="11"/>
            <w:vMerge w:val="continue"/>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14, 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3"/>
          </w:tcPr>
          <w:p>
            <w:pPr>
              <w:jc w:val="right"/>
              <w:ind w:right="39"/>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180" w:type="dxa"/>
            <w:vAlign w:val="bottom"/>
          </w:tcPr>
          <w:p>
            <w:pPr>
              <w:jc w:val="center"/>
              <w:ind w:left="32"/>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28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w w:val="75"/>
              </w:rPr>
              <w:t> </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1"/>
        </w:trPr>
        <w:tc>
          <w:tcPr>
            <w:tcW w:w="300" w:type="dxa"/>
            <w:vAlign w:val="bottom"/>
            <w:vMerge w:val="restart"/>
            <w:textDirection w:val="btLr"/>
          </w:tcPr>
          <w:p>
            <w:pPr>
              <w:ind w:left="277"/>
              <w:spacing w:after="0"/>
              <w:rPr>
                <w:sz w:val="20"/>
                <w:szCs w:val="20"/>
                <w:color w:val="auto"/>
              </w:rPr>
            </w:pPr>
            <w:r>
              <w:rPr>
                <w:rFonts w:ascii="Times New Roman" w:cs="Times New Roman" w:eastAsia="Times New Roman" w:hAnsi="Times New Roman"/>
                <w:sz w:val="2"/>
                <w:szCs w:val="2"/>
                <w:b w:val="1"/>
                <w:bCs w:val="1"/>
                <w:color w:val="FF4338"/>
                <w:w w:val="96"/>
              </w:rPr>
              <w:t>Theinformationinthispreliminaryprospectussupplementisnotcompleteandmaybechanged.Aregistrationstatement</w:t>
            </w:r>
          </w:p>
        </w:tc>
        <w:tc>
          <w:tcPr>
            <w:tcW w:w="220" w:type="dxa"/>
            <w:vAlign w:val="bottom"/>
            <w:vMerge w:val="restart"/>
            <w:textDirection w:val="btLr"/>
          </w:tcPr>
          <w:p>
            <w:pPr>
              <w:ind w:left="197"/>
              <w:spacing w:after="0"/>
              <w:rPr>
                <w:sz w:val="20"/>
                <w:szCs w:val="20"/>
                <w:color w:val="auto"/>
              </w:rPr>
            </w:pPr>
            <w:r>
              <w:rPr>
                <w:rFonts w:ascii="Times New Roman" w:cs="Times New Roman" w:eastAsia="Times New Roman" w:hAnsi="Times New Roman"/>
                <w:sz w:val="2"/>
                <w:szCs w:val="2"/>
                <w:b w:val="1"/>
                <w:bCs w:val="1"/>
                <w:color w:val="FF4338"/>
                <w:w w:val="98"/>
              </w:rPr>
              <w:t>beenfiledwiththeSecuritiesandExchangeCommissionandiseffective.Thispreliminaryprospectussupplementandthe</w:t>
            </w:r>
          </w:p>
        </w:tc>
        <w:tc>
          <w:tcPr>
            <w:tcW w:w="560" w:type="dxa"/>
            <w:vAlign w:val="bottom"/>
            <w:vMerge w:val="restart"/>
            <w:textDirection w:val="btLr"/>
          </w:tcPr>
          <w:p>
            <w:pPr>
              <w:ind w:left="221"/>
              <w:spacing w:after="0"/>
              <w:rPr>
                <w:sz w:val="20"/>
                <w:szCs w:val="20"/>
                <w:color w:val="auto"/>
              </w:rPr>
            </w:pPr>
            <w:r>
              <w:rPr>
                <w:rFonts w:ascii="Times New Roman" w:cs="Times New Roman" w:eastAsia="Times New Roman" w:hAnsi="Times New Roman"/>
                <w:sz w:val="2"/>
                <w:szCs w:val="2"/>
                <w:b w:val="1"/>
                <w:bCs w:val="1"/>
                <w:color w:val="FF4338"/>
                <w:w w:val="95"/>
              </w:rPr>
              <w:t>notanoffertosellthesesecuritiesanditisnotsolicitinganoffertobuythesesecuritiesinanyjurisdictionwheretheoffer</w:t>
            </w: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20" w:type="dxa"/>
            <w:vAlign w:val="bottom"/>
          </w:tcPr>
          <w:p>
            <w:pPr>
              <w:spacing w:after="0"/>
              <w:rPr>
                <w:sz w:val="22"/>
                <w:szCs w:val="22"/>
                <w:color w:val="auto"/>
              </w:rPr>
            </w:pPr>
          </w:p>
        </w:tc>
        <w:tc>
          <w:tcPr>
            <w:tcW w:w="160" w:type="dxa"/>
            <w:vAlign w:val="bottom"/>
            <w:vMerge w:val="restart"/>
          </w:tcPr>
          <w:p>
            <w:pPr>
              <w:jc w:val="center"/>
              <w:ind w:right="17"/>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2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560" w:type="dxa"/>
            <w:vAlign w:val="bottom"/>
            <w:gridSpan w:val="7"/>
            <w:vMerge w:val="restart"/>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rPr>
              <w:t>% Notes due 20</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56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20" w:type="dxa"/>
            <w:vAlign w:val="bottom"/>
          </w:tcPr>
          <w:p>
            <w:pPr>
              <w:spacing w:after="0"/>
              <w:rPr>
                <w:sz w:val="20"/>
                <w:szCs w:val="20"/>
                <w:color w:val="auto"/>
              </w:rPr>
            </w:pPr>
          </w:p>
        </w:tc>
        <w:tc>
          <w:tcPr>
            <w:tcW w:w="160" w:type="dxa"/>
            <w:vAlign w:val="bottom"/>
          </w:tcPr>
          <w:p>
            <w:pPr>
              <w:jc w:val="center"/>
              <w:ind w:right="17"/>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200" w:type="dxa"/>
            <w:vAlign w:val="bottom"/>
            <w:gridSpan w:val="2"/>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560" w:type="dxa"/>
            <w:vAlign w:val="bottom"/>
            <w:gridSpan w:val="7"/>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rPr>
              <w:t>% Notes due 20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Texas Instruments Incorporated is offering $ </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580" w:type="dxa"/>
            <w:vAlign w:val="bottom"/>
            <w:gridSpan w:val="14"/>
          </w:tcPr>
          <w:p>
            <w:pPr>
              <w:ind w:left="120"/>
              <w:spacing w:after="0"/>
              <w:rPr>
                <w:sz w:val="20"/>
                <w:szCs w:val="20"/>
                <w:color w:val="auto"/>
              </w:rPr>
            </w:pPr>
            <w:r>
              <w:rPr>
                <w:rFonts w:ascii="Times New Roman" w:cs="Times New Roman" w:eastAsia="Times New Roman" w:hAnsi="Times New Roman"/>
                <w:sz w:val="16"/>
                <w:szCs w:val="16"/>
                <w:color w:val="auto"/>
              </w:rPr>
              <w:t xml:space="preserve">aggregate principal amount of its     </w:t>
            </w:r>
          </w:p>
        </w:tc>
        <w:tc>
          <w:tcPr>
            <w:tcW w:w="146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w w:val="91"/>
              </w:rPr>
              <w:t>      % Notes due 20 </w:t>
            </w:r>
          </w:p>
        </w:tc>
        <w:tc>
          <w:tcPr>
            <w:tcW w:w="7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w w:val="82"/>
              </w:rPr>
              <w:t>(the “20 </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Notes”)</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and $            aggregate principal amount of its 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60" w:type="dxa"/>
            <w:vAlign w:val="bottom"/>
          </w:tcPr>
          <w:p>
            <w:pPr>
              <w:spacing w:after="0"/>
              <w:rPr>
                <w:sz w:val="17"/>
                <w:szCs w:val="17"/>
                <w:color w:val="auto"/>
              </w:rPr>
            </w:pPr>
          </w:p>
        </w:tc>
        <w:tc>
          <w:tcPr>
            <w:tcW w:w="1220" w:type="dxa"/>
            <w:vAlign w:val="bottom"/>
            <w:gridSpan w:val="6"/>
          </w:tcPr>
          <w:p>
            <w:pPr>
              <w:jc w:val="right"/>
              <w:ind w:right="17"/>
              <w:spacing w:after="0"/>
              <w:rPr>
                <w:sz w:val="20"/>
                <w:szCs w:val="20"/>
                <w:color w:val="auto"/>
              </w:rPr>
            </w:pPr>
            <w:r>
              <w:rPr>
                <w:rFonts w:ascii="Times New Roman" w:cs="Times New Roman" w:eastAsia="Times New Roman" w:hAnsi="Times New Roman"/>
                <w:sz w:val="16"/>
                <w:szCs w:val="16"/>
                <w:color w:val="auto"/>
                <w:w w:val="93"/>
              </w:rPr>
              <w:t>% Notes due 20 </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88"/>
              </w:rPr>
              <w:t>(the “20 </w:t>
            </w:r>
          </w:p>
        </w:tc>
        <w:tc>
          <w:tcPr>
            <w:tcW w:w="2520" w:type="dxa"/>
            <w:vAlign w:val="bottom"/>
            <w:gridSpan w:val="11"/>
          </w:tcPr>
          <w:p>
            <w:pPr>
              <w:ind w:left="60"/>
              <w:spacing w:after="0"/>
              <w:rPr>
                <w:sz w:val="20"/>
                <w:szCs w:val="20"/>
                <w:color w:val="auto"/>
              </w:rPr>
            </w:pPr>
            <w:r>
              <w:rPr>
                <w:rFonts w:ascii="Times New Roman" w:cs="Times New Roman" w:eastAsia="Times New Roman" w:hAnsi="Times New Roman"/>
                <w:sz w:val="16"/>
                <w:szCs w:val="16"/>
                <w:color w:val="auto"/>
                <w:w w:val="98"/>
              </w:rPr>
              <w:t>   Notes,” and together with the 20 </w:t>
            </w:r>
          </w:p>
        </w:tc>
        <w:tc>
          <w:tcPr>
            <w:tcW w:w="1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Notes, the</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“Notes”), which will bear interest at the applicable rate per year for each series as set forth above. Interest on the Notes will be payable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semi-annually in arrears on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and     </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 </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840" w:type="dxa"/>
            <w:vAlign w:val="bottom"/>
            <w:gridSpan w:val="10"/>
          </w:tcPr>
          <w:p>
            <w:pPr>
              <w:jc w:val="right"/>
              <w:spacing w:after="0"/>
              <w:rPr>
                <w:sz w:val="20"/>
                <w:szCs w:val="20"/>
                <w:color w:val="auto"/>
              </w:rPr>
            </w:pPr>
            <w:r>
              <w:rPr>
                <w:rFonts w:ascii="Times New Roman" w:cs="Times New Roman" w:eastAsia="Times New Roman" w:hAnsi="Times New Roman"/>
                <w:sz w:val="16"/>
                <w:szCs w:val="16"/>
                <w:color w:val="auto"/>
                <w:w w:val="93"/>
              </w:rPr>
              <w:t>of each year, beginning on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 </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 2025.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The 20   Notes will mature on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8"/>
              </w:rPr>
              <w:t>      , 20 </w:t>
            </w: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and the 20 </w:t>
            </w:r>
          </w:p>
        </w:tc>
        <w:tc>
          <w:tcPr>
            <w:tcW w:w="156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w w:val="95"/>
              </w:rPr>
              <w:t>Notes will mature on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 20   .</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We may redeem some or all of the Notes at any time and from time to time at the applicable redemption prices indicated under the caption</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“Description of the Notes—Optional Redemption.”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The Notes will be our unsecured senior obligations and will rank equally with all of our other existing and future unsecured and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unsubordinated indebtedness from time to time outstanding.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20" w:type="dxa"/>
            <w:vAlign w:val="bottom"/>
            <w:gridSpan w:val="4"/>
          </w:tcPr>
          <w:p>
            <w:pPr>
              <w:spacing w:after="0"/>
              <w:rPr>
                <w:sz w:val="21"/>
                <w:szCs w:val="21"/>
                <w:color w:val="auto"/>
              </w:rPr>
            </w:pPr>
          </w:p>
        </w:tc>
        <w:tc>
          <w:tcPr>
            <w:tcW w:w="660" w:type="dxa"/>
            <w:vAlign w:val="bottom"/>
            <w:gridSpan w:val="4"/>
          </w:tcPr>
          <w:p>
            <w:pPr>
              <w:spacing w:after="0"/>
              <w:rPr>
                <w:sz w:val="21"/>
                <w:szCs w:val="21"/>
                <w:color w:val="auto"/>
              </w:rPr>
            </w:pPr>
          </w:p>
        </w:tc>
        <w:tc>
          <w:tcPr>
            <w:tcW w:w="220" w:type="dxa"/>
            <w:vAlign w:val="bottom"/>
            <w:tcBorders>
              <w:bottom w:val="single" w:sz="8" w:color="auto"/>
            </w:tcBorders>
            <w:gridSpan w:val="2"/>
          </w:tcPr>
          <w:p>
            <w:pPr>
              <w:spacing w:after="0"/>
              <w:rPr>
                <w:sz w:val="21"/>
                <w:szCs w:val="21"/>
                <w:color w:val="auto"/>
              </w:rPr>
            </w:pPr>
          </w:p>
        </w:tc>
        <w:tc>
          <w:tcPr>
            <w:tcW w:w="960" w:type="dxa"/>
            <w:vAlign w:val="bottom"/>
            <w:tcBorders>
              <w:bottom w:val="single" w:sz="8" w:color="auto"/>
            </w:tcBorders>
            <w:gridSpan w:val="5"/>
          </w:tcPr>
          <w:p>
            <w:pPr>
              <w:spacing w:after="0"/>
              <w:rPr>
                <w:sz w:val="21"/>
                <w:szCs w:val="21"/>
                <w:color w:val="auto"/>
              </w:rPr>
            </w:pPr>
          </w:p>
        </w:tc>
        <w:tc>
          <w:tcPr>
            <w:tcW w:w="740" w:type="dxa"/>
            <w:vAlign w:val="bottom"/>
            <w:tcBorders>
              <w:bottom w:val="single" w:sz="8" w:color="auto"/>
            </w:tcBorders>
            <w:gridSpan w:val="3"/>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Investing in the Notes involves risks. See “</w:t>
            </w:r>
            <w:r>
              <w:rPr>
                <w:rFonts w:ascii="Times New Roman" w:cs="Times New Roman" w:eastAsia="Times New Roman" w:hAnsi="Times New Roman"/>
                <w:sz w:val="16"/>
                <w:szCs w:val="16"/>
                <w:b w:val="1"/>
                <w:bCs w:val="1"/>
                <w:color w:val="0000EE"/>
              </w:rPr>
              <w:t>Risk Factors</w:t>
            </w:r>
            <w:r>
              <w:rPr>
                <w:rFonts w:ascii="Times New Roman" w:cs="Times New Roman" w:eastAsia="Times New Roman" w:hAnsi="Times New Roman"/>
                <w:sz w:val="16"/>
                <w:szCs w:val="16"/>
                <w:b w:val="1"/>
                <w:bCs w:val="1"/>
                <w:color w:val="auto"/>
              </w:rPr>
              <w:t>” beginning on page S-7.</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0" w:type="dxa"/>
            <w:vAlign w:val="bottom"/>
            <w:gridSpan w:val="32"/>
          </w:tcPr>
          <w:p>
            <w:pPr>
              <w:spacing w:after="0"/>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0" w:type="dxa"/>
            <w:vAlign w:val="bottom"/>
            <w:gridSpan w:val="32"/>
          </w:tcPr>
          <w:p>
            <w:pPr>
              <w:spacing w:after="0"/>
              <w:rPr>
                <w:sz w:val="20"/>
                <w:szCs w:val="20"/>
                <w:color w:val="auto"/>
              </w:rPr>
            </w:pPr>
            <w:r>
              <w:rPr>
                <w:rFonts w:ascii="Times New Roman" w:cs="Times New Roman" w:eastAsia="Times New Roman" w:hAnsi="Times New Roman"/>
                <w:sz w:val="16"/>
                <w:szCs w:val="16"/>
                <w:b w:val="1"/>
                <w:bCs w:val="1"/>
                <w:color w:val="auto"/>
              </w:rPr>
              <w:t>securities or passed upon the adequacy or accuracy of this prospectus supplement or the accompanying prospectus. Any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representation to the contrary is a criminal offense.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79"/>
              </w:rPr>
              <w:t>Per 20 </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w w:val="85"/>
              </w:rPr>
              <w:t>20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79"/>
              </w:rPr>
              <w:t>Per 20 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vMerge w:val="restart"/>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3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Note</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5"/>
                <w:szCs w:val="15"/>
                <w:color w:val="auto"/>
              </w:rPr>
            </w:pPr>
          </w:p>
        </w:tc>
        <w:tc>
          <w:tcPr>
            <w:tcW w:w="154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center"/>
              <w:ind w:left="51"/>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6"/>
              </w:rPr>
              <w:t>Interest on the Notes offered hereby will accrue from  </w:t>
            </w:r>
          </w:p>
        </w:tc>
        <w:tc>
          <w:tcPr>
            <w:tcW w:w="180" w:type="dxa"/>
            <w:vAlign w:val="bottom"/>
          </w:tcPr>
          <w:p>
            <w:pPr>
              <w:jc w:val="center"/>
              <w:ind w:left="32"/>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2025 to the date of delivery.</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The underwriters expect to deliver the Notes to purchasers only in book-entry form through the facilities of The Depository Trust Company</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4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and its participants, including Euroclear Bank S.A./N.V. and Clearstream Banking, S.A., on or about </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68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 2025, which is the third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business day following the date of this prospectus supplement. Under Rule 15c6-1 of the Securities Exchange Act of 1934, trades in the</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secondary market generally are required to settle in one business day, unless the parties to a trade expressly agree otherwise. Accordingly,</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purchasers who wish to trade Notes prior to the business day before the delivery of the Notes hereunder will be required, by virtue of the</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2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fact that the Notes initially will settle in T+3, to specify alternative settlement arrangements to prevent a failed settlement. See</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“Underwriting.”</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220" w:type="dxa"/>
            <w:vAlign w:val="bottom"/>
            <w:tcBorders>
              <w:bottom w:val="single" w:sz="8" w:color="auto"/>
            </w:tcBorders>
            <w:gridSpan w:val="2"/>
          </w:tcPr>
          <w:p>
            <w:pPr>
              <w:spacing w:after="0"/>
              <w:rPr>
                <w:sz w:val="20"/>
                <w:szCs w:val="20"/>
                <w:color w:val="auto"/>
              </w:rPr>
            </w:pPr>
          </w:p>
        </w:tc>
        <w:tc>
          <w:tcPr>
            <w:tcW w:w="1700" w:type="dxa"/>
            <w:vAlign w:val="bottom"/>
            <w:tcBorders>
              <w:bottom w:val="single" w:sz="8" w:color="auto"/>
            </w:tcBorders>
            <w:gridSpan w:val="8"/>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13"/>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w w:val="98"/>
              </w:rPr>
              <w:t>Joint Book-Running Managers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9"/>
                <w:szCs w:val="29"/>
                <w:b w:val="1"/>
                <w:bCs w:val="1"/>
                <w:color w:val="auto"/>
              </w:rPr>
              <w:t>Barclays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12"/>
          </w:tcPr>
          <w:p>
            <w:pPr>
              <w:spacing w:after="0"/>
              <w:rPr>
                <w:sz w:val="20"/>
                <w:szCs w:val="20"/>
                <w:color w:val="auto"/>
              </w:rPr>
            </w:pPr>
            <w:r>
              <w:rPr>
                <w:rFonts w:ascii="Times New Roman" w:cs="Times New Roman" w:eastAsia="Times New Roman" w:hAnsi="Times New Roman"/>
                <w:sz w:val="29"/>
                <w:szCs w:val="29"/>
                <w:b w:val="1"/>
                <w:bCs w:val="1"/>
                <w:color w:val="auto"/>
              </w:rPr>
              <w:t>Morgan Stanley</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29"/>
                <w:szCs w:val="29"/>
                <w:b w:val="1"/>
                <w:bCs w:val="1"/>
                <w:color w:val="auto"/>
              </w:rPr>
              <w:t>MUFG</w:t>
            </w:r>
          </w:p>
        </w:tc>
        <w:tc>
          <w:tcPr>
            <w:tcW w:w="0" w:type="dxa"/>
            <w:vAlign w:val="bottom"/>
          </w:tcPr>
          <w:p>
            <w:pPr>
              <w:spacing w:after="0"/>
              <w:rPr>
                <w:sz w:val="1"/>
                <w:szCs w:val="1"/>
                <w:color w:val="auto"/>
              </w:rPr>
            </w:pPr>
          </w:p>
        </w:tc>
      </w:tr>
      <w:tr>
        <w:trPr>
          <w:trHeight w:val="317"/>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2025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-6240145</wp:posOffset>
            </wp:positionV>
            <wp:extent cx="226314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140" cy="53149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0" w:type="dxa"/>
            <w:vAlign w:val="bottom"/>
          </w:tcPr>
          <w:p>
            <w:pPr>
              <w:spacing w:after="0"/>
              <w:rPr>
                <w:sz w:val="1"/>
                <w:szCs w:val="1"/>
                <w:color w:val="auto"/>
              </w:rPr>
            </w:pPr>
          </w:p>
        </w:tc>
      </w:tr>
      <w:tr>
        <w:trPr>
          <w:trHeight w:val="392"/>
        </w:trPr>
        <w:tc>
          <w:tcPr>
            <w:tcW w:w="35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04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3520" w:type="dxa"/>
            <w:vAlign w:val="bottom"/>
            <w:gridSpan w:val="11"/>
            <w:vMerge w:val="continue"/>
          </w:tcPr>
          <w:p>
            <w:pPr>
              <w:spacing w:after="0"/>
              <w:rPr>
                <w:sz w:val="14"/>
                <w:szCs w:val="14"/>
                <w:color w:val="auto"/>
              </w:rPr>
            </w:pPr>
          </w:p>
        </w:tc>
        <w:tc>
          <w:tcPr>
            <w:tcW w:w="704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820" w:type="dxa"/>
            <w:vAlign w:val="bottom"/>
            <w:gridSpan w:val="9"/>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360" w:type="dxa"/>
            <w:vAlign w:val="bottom"/>
            <w:gridSpan w:val="6"/>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1760" w:type="dxa"/>
            <w:vAlign w:val="bottom"/>
            <w:gridSpan w:val="4"/>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5"/>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700" w:type="dxa"/>
            <w:vAlign w:val="bottom"/>
          </w:tcPr>
          <w:p>
            <w:pPr>
              <w:jc w:val="right"/>
              <w:ind w:right="4950"/>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418"/>
        </w:trPr>
        <w:tc>
          <w:tcPr>
            <w:tcW w:w="42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620" w:type="dxa"/>
            <w:vAlign w:val="bottom"/>
            <w:gridSpan w:val="6"/>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40" w:type="dxa"/>
            <w:vAlign w:val="bottom"/>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080" w:type="dxa"/>
            <w:vAlign w:val="bottom"/>
            <w:gridSpan w:val="3"/>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gridSpan w:val="5"/>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00" w:type="dxa"/>
            <w:vAlign w:val="bottom"/>
            <w:gridSpan w:val="8"/>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740" w:type="dxa"/>
            <w:vAlign w:val="bottom"/>
            <w:gridSpan w:val="7"/>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1080" w:right="6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suppliers and other third parties;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key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14, 2025. The accompanying prospectus contains a description of our debt securities and gives more general information, some of which may not apply to this offering.</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5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15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16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300"/>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3540" w:type="dxa"/>
            <w:vAlign w:val="bottom"/>
            <w:gridSpan w:val="11"/>
          </w:tcPr>
          <w:p>
            <w:pPr>
              <w:ind w:left="1140"/>
              <w:spacing w:after="0"/>
              <w:rPr>
                <w:sz w:val="20"/>
                <w:szCs w:val="20"/>
                <w:color w:val="auto"/>
              </w:rPr>
            </w:pPr>
            <w:r>
              <w:rPr>
                <w:rFonts w:ascii="Times New Roman" w:cs="Times New Roman" w:eastAsia="Times New Roman" w:hAnsi="Times New Roman"/>
                <w:sz w:val="18"/>
                <w:szCs w:val="18"/>
                <w:color w:val="auto"/>
              </w:rPr>
              <w:t>Texas Instruments Incorporated.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7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1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76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2"/>
              </w:rPr>
              <w:t>   aggregate principal amount of the  </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73"/>
        </w:trPr>
        <w:tc>
          <w:tcPr>
            <w:tcW w:w="3080" w:type="dxa"/>
            <w:vAlign w:val="bottom"/>
          </w:tcPr>
          <w:p>
            <w:pPr>
              <w:spacing w:after="0"/>
              <w:rPr>
                <w:sz w:val="24"/>
                <w:szCs w:val="24"/>
                <w:color w:val="auto"/>
              </w:rPr>
            </w:pPr>
          </w:p>
        </w:tc>
        <w:tc>
          <w:tcPr>
            <w:tcW w:w="1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76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2"/>
              </w:rPr>
              <w:t>   aggregate principal amount of the  </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1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1"/>
              </w:rPr>
              <w:t>, 20 </w:t>
            </w:r>
          </w:p>
        </w:tc>
        <w:tc>
          <w:tcPr>
            <w:tcW w:w="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9"/>
              </w:rPr>
              <w:t>for the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73"/>
        </w:trPr>
        <w:tc>
          <w:tcPr>
            <w:tcW w:w="3080" w:type="dxa"/>
            <w:vAlign w:val="bottom"/>
          </w:tcPr>
          <w:p>
            <w:pPr>
              <w:spacing w:after="0"/>
              <w:rPr>
                <w:sz w:val="24"/>
                <w:szCs w:val="24"/>
                <w:color w:val="auto"/>
              </w:rPr>
            </w:pPr>
          </w:p>
        </w:tc>
        <w:tc>
          <w:tcPr>
            <w:tcW w:w="1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1"/>
              </w:rPr>
              <w:t>, 20 </w:t>
            </w:r>
          </w:p>
        </w:tc>
        <w:tc>
          <w:tcPr>
            <w:tcW w:w="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9"/>
              </w:rPr>
              <w:t>for the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Date</w:t>
            </w:r>
          </w:p>
        </w:tc>
        <w:tc>
          <w:tcPr>
            <w:tcW w:w="2500" w:type="dxa"/>
            <w:vAlign w:val="bottom"/>
            <w:gridSpan w:val="7"/>
          </w:tcPr>
          <w:p>
            <w:pPr>
              <w:ind w:left="1140"/>
              <w:spacing w:after="0"/>
              <w:rPr>
                <w:sz w:val="20"/>
                <w:szCs w:val="20"/>
                <w:color w:val="auto"/>
              </w:rPr>
            </w:pPr>
            <w:r>
              <w:rPr>
                <w:rFonts w:ascii="Times New Roman" w:cs="Times New Roman" w:eastAsia="Times New Roman" w:hAnsi="Times New Roman"/>
                <w:sz w:val="18"/>
                <w:szCs w:val="18"/>
                <w:color w:val="auto"/>
              </w:rPr>
              <w:t>            , 2025</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7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220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w w:val="94"/>
              </w:rPr>
              <w:t>Fixed rate of 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Pr>
          <w:p>
            <w:pPr>
              <w:jc w:val="center"/>
              <w:ind w:left="37"/>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2"/>
              </w:rPr>
              <w:t>% for the 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73"/>
        </w:trPr>
        <w:tc>
          <w:tcPr>
            <w:tcW w:w="3080" w:type="dxa"/>
            <w:vAlign w:val="bottom"/>
          </w:tcPr>
          <w:p>
            <w:pPr>
              <w:spacing w:after="0"/>
              <w:rPr>
                <w:sz w:val="24"/>
                <w:szCs w:val="24"/>
                <w:color w:val="auto"/>
              </w:rPr>
            </w:pPr>
          </w:p>
        </w:tc>
        <w:tc>
          <w:tcPr>
            <w:tcW w:w="220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w w:val="94"/>
              </w:rPr>
              <w:t>Fixed rate of 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Pr>
          <w:p>
            <w:pPr>
              <w:jc w:val="center"/>
              <w:ind w:left="37"/>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2"/>
              </w:rPr>
              <w:t>% for the 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15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74"/>
              </w:rPr>
              <w:t>Each 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70"/>
              </w:rPr>
              <w:t>and  </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center"/>
              <w:ind w:right="118"/>
              <w:spacing w:after="0"/>
              <w:rPr>
                <w:sz w:val="20"/>
                <w:szCs w:val="20"/>
                <w:color w:val="auto"/>
              </w:rPr>
            </w:pPr>
            <w:r>
              <w:rPr>
                <w:rFonts w:ascii="Times New Roman" w:cs="Times New Roman" w:eastAsia="Times New Roman" w:hAnsi="Times New Roman"/>
                <w:sz w:val="4"/>
                <w:szCs w:val="4"/>
                <w:color w:val="auto"/>
                <w:w w:val="98"/>
              </w:rPr>
              <w:t> </w:t>
            </w:r>
          </w:p>
        </w:tc>
        <w:tc>
          <w:tcPr>
            <w:tcW w:w="1220" w:type="dxa"/>
            <w:vAlign w:val="bottom"/>
            <w:gridSpan w:val="5"/>
          </w:tcPr>
          <w:p>
            <w:pPr>
              <w:jc w:val="center"/>
              <w:ind w:right="10"/>
              <w:spacing w:after="0"/>
              <w:rPr>
                <w:sz w:val="20"/>
                <w:szCs w:val="20"/>
                <w:color w:val="auto"/>
              </w:rPr>
            </w:pPr>
            <w:r>
              <w:rPr>
                <w:rFonts w:ascii="Times New Roman" w:cs="Times New Roman" w:eastAsia="Times New Roman" w:hAnsi="Times New Roman"/>
                <w:sz w:val="18"/>
                <w:szCs w:val="18"/>
                <w:color w:val="auto"/>
                <w:w w:val="88"/>
              </w:rPr>
              <w:t>, beginning on  </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2025, and on the maturity date.</w:t>
            </w:r>
          </w:p>
        </w:tc>
      </w:tr>
      <w:tr>
        <w:trPr>
          <w:trHeight w:val="45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The Notes will be the senior unsecured obligations of Texas Instruments Incorporated and</w:t>
            </w:r>
          </w:p>
        </w:tc>
      </w:tr>
      <w:tr>
        <w:trPr>
          <w:trHeight w:val="216"/>
        </w:trPr>
        <w:tc>
          <w:tcPr>
            <w:tcW w:w="3080" w:type="dxa"/>
            <w:vAlign w:val="bottom"/>
          </w:tcPr>
          <w:p>
            <w:pPr>
              <w:spacing w:after="0"/>
              <w:rPr>
                <w:sz w:val="18"/>
                <w:szCs w:val="18"/>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will rank equally with all of its existing and future senior indebtedness from time to time</w:t>
            </w:r>
          </w:p>
        </w:tc>
      </w:tr>
      <w:tr>
        <w:trPr>
          <w:trHeight w:val="216"/>
        </w:trPr>
        <w:tc>
          <w:tcPr>
            <w:tcW w:w="3080" w:type="dxa"/>
            <w:vAlign w:val="bottom"/>
          </w:tcPr>
          <w:p>
            <w:pPr>
              <w:spacing w:after="0"/>
              <w:rPr>
                <w:sz w:val="18"/>
                <w:szCs w:val="18"/>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outstanding. All existing and future liabilities of subsidiaries of Texas Instruments</w:t>
            </w:r>
          </w:p>
        </w:tc>
      </w:tr>
      <w:tr>
        <w:trPr>
          <w:trHeight w:val="234"/>
        </w:trPr>
        <w:tc>
          <w:tcPr>
            <w:tcW w:w="3080" w:type="dxa"/>
            <w:vAlign w:val="bottom"/>
          </w:tcPr>
          <w:p>
            <w:pPr>
              <w:spacing w:after="0"/>
              <w:rPr>
                <w:sz w:val="20"/>
                <w:szCs w:val="20"/>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Incorporated will be effectively senior to the Notes.</w:t>
            </w:r>
          </w:p>
        </w:tc>
      </w:tr>
      <w:tr>
        <w:trPr>
          <w:trHeight w:val="441"/>
        </w:trPr>
        <w:tc>
          <w:tcPr>
            <w:tcW w:w="3080" w:type="dxa"/>
            <w:vAlign w:val="bottom"/>
          </w:tcPr>
          <w:p>
            <w:pPr>
              <w:spacing w:after="0"/>
              <w:rPr>
                <w:sz w:val="24"/>
                <w:szCs w:val="24"/>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As of March 31, 2025, Texas Instruments Incorporated had approximately $13.0 billion</w:t>
            </w:r>
          </w:p>
        </w:tc>
      </w:tr>
      <w:tr>
        <w:trPr>
          <w:trHeight w:val="216"/>
        </w:trPr>
        <w:tc>
          <w:tcPr>
            <w:tcW w:w="3080" w:type="dxa"/>
            <w:vAlign w:val="bottom"/>
          </w:tcPr>
          <w:p>
            <w:pPr>
              <w:spacing w:after="0"/>
              <w:rPr>
                <w:sz w:val="18"/>
                <w:szCs w:val="18"/>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principal amount of outstanding indebtedness. As of March 31, 2025, Texas Instruments</w:t>
            </w:r>
          </w:p>
        </w:tc>
      </w:tr>
      <w:tr>
        <w:trPr>
          <w:trHeight w:val="216"/>
        </w:trPr>
        <w:tc>
          <w:tcPr>
            <w:tcW w:w="3080" w:type="dxa"/>
            <w:vAlign w:val="bottom"/>
          </w:tcPr>
          <w:p>
            <w:pPr>
              <w:spacing w:after="0"/>
              <w:rPr>
                <w:sz w:val="18"/>
                <w:szCs w:val="18"/>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Incorporated had approximately $17.4 billion of total liabilities on a consolidated basis. Of</w:t>
            </w:r>
          </w:p>
        </w:tc>
      </w:tr>
      <w:tr>
        <w:trPr>
          <w:trHeight w:val="216"/>
        </w:trPr>
        <w:tc>
          <w:tcPr>
            <w:tcW w:w="3080" w:type="dxa"/>
            <w:vAlign w:val="bottom"/>
          </w:tcPr>
          <w:p>
            <w:pPr>
              <w:spacing w:after="0"/>
              <w:rPr>
                <w:sz w:val="18"/>
                <w:szCs w:val="18"/>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the $17.4 billion of consolidated total liabilities, approximately $1.9 billion of liabilities</w:t>
            </w:r>
          </w:p>
        </w:tc>
      </w:tr>
      <w:tr>
        <w:trPr>
          <w:trHeight w:val="216"/>
        </w:trPr>
        <w:tc>
          <w:tcPr>
            <w:tcW w:w="3080" w:type="dxa"/>
            <w:vAlign w:val="bottom"/>
          </w:tcPr>
          <w:p>
            <w:pPr>
              <w:spacing w:after="0"/>
              <w:rPr>
                <w:sz w:val="18"/>
                <w:szCs w:val="18"/>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(including trade payables and excluding intercompany debt) were held by subsidiaries of</w:t>
            </w:r>
          </w:p>
        </w:tc>
      </w:tr>
      <w:tr>
        <w:trPr>
          <w:trHeight w:val="234"/>
        </w:trPr>
        <w:tc>
          <w:tcPr>
            <w:tcW w:w="3080" w:type="dxa"/>
            <w:vAlign w:val="bottom"/>
          </w:tcPr>
          <w:p>
            <w:pPr>
              <w:spacing w:after="0"/>
              <w:rPr>
                <w:sz w:val="20"/>
                <w:szCs w:val="20"/>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Texas Instruments Incorporated to which the Notes will be effectively subordinated.</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$1,000 in excess thereof. These global notes will be deposited with the trustee as custodian</w:t>
            </w:r>
          </w:p>
        </w:tc>
      </w:tr>
      <w:tr>
        <w:trPr>
          <w:trHeight w:val="216"/>
        </w:trPr>
        <w:tc>
          <w:tcPr>
            <w:tcW w:w="3080" w:type="dxa"/>
            <w:vAlign w:val="bottom"/>
          </w:tcPr>
          <w:p>
            <w:pPr>
              <w:spacing w:after="0"/>
              <w:rPr>
                <w:sz w:val="18"/>
                <w:szCs w:val="18"/>
                <w:color w:val="auto"/>
              </w:rPr>
            </w:pPr>
          </w:p>
        </w:tc>
        <w:tc>
          <w:tcPr>
            <w:tcW w:w="794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for, and registered in the name of, a nominee of The Depository Trust Company, or DTC.</w:t>
            </w:r>
          </w:p>
        </w:tc>
      </w:tr>
      <w:tr>
        <w:trPr>
          <w:trHeight w:val="234"/>
        </w:trPr>
        <w:tc>
          <w:tcPr>
            <w:tcW w:w="3080" w:type="dxa"/>
            <w:vAlign w:val="bottom"/>
          </w:tcPr>
          <w:p>
            <w:pPr>
              <w:spacing w:after="0"/>
              <w:rPr>
                <w:sz w:val="20"/>
                <w:szCs w:val="20"/>
                <w:color w:val="auto"/>
              </w:rPr>
            </w:pPr>
          </w:p>
        </w:tc>
        <w:tc>
          <w:tcPr>
            <w:tcW w:w="4500" w:type="dxa"/>
            <w:vAlign w:val="bottom"/>
            <w:gridSpan w:val="15"/>
          </w:tcPr>
          <w:p>
            <w:pPr>
              <w:ind w:left="1140"/>
              <w:spacing w:after="0"/>
              <w:rPr>
                <w:sz w:val="20"/>
                <w:szCs w:val="20"/>
                <w:color w:val="auto"/>
              </w:rPr>
            </w:pPr>
            <w:r>
              <w:rPr>
                <w:rFonts w:ascii="Times New Roman" w:cs="Times New Roman" w:eastAsia="Times New Roman" w:hAnsi="Times New Roman"/>
                <w:sz w:val="18"/>
                <w:szCs w:val="18"/>
                <w:color w:val="auto"/>
              </w:rPr>
              <w:t>Except in the limited circumstances described</w:t>
            </w:r>
          </w:p>
        </w:tc>
        <w:tc>
          <w:tcPr>
            <w:tcW w:w="3440" w:type="dxa"/>
            <w:vAlign w:val="bottom"/>
          </w:tcPr>
          <w:p>
            <w:pPr>
              <w:spacing w:after="0"/>
              <w:rPr>
                <w:sz w:val="20"/>
                <w:szCs w:val="20"/>
                <w:color w:val="auto"/>
              </w:rPr>
            </w:pPr>
          </w:p>
        </w:tc>
      </w:tr>
      <w:tr>
        <w:trPr>
          <w:trHeight w:val="172"/>
        </w:trPr>
        <w:tc>
          <w:tcPr>
            <w:tcW w:w="30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r>
      <w:tr>
        <w:trPr>
          <w:trHeight w:val="361"/>
        </w:trPr>
        <w:tc>
          <w:tcPr>
            <w:tcW w:w="3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center"/>
              <w:ind w:right="67"/>
              <w:spacing w:after="0"/>
              <w:rPr>
                <w:sz w:val="20"/>
                <w:szCs w:val="20"/>
                <w:color w:val="auto"/>
              </w:rPr>
            </w:pPr>
            <w:r>
              <w:rPr>
                <w:rFonts w:ascii="Times New Roman" w:cs="Times New Roman" w:eastAsia="Times New Roman" w:hAnsi="Times New Roman"/>
                <w:sz w:val="18"/>
                <w:szCs w:val="18"/>
                <w:color w:val="auto"/>
                <w:w w:val="95"/>
              </w:rPr>
              <w:t>S-5</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 “Description of the Notes—Book-Entry; Delivery and Form; Global Note,” Notes in</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certificated form will not be issued or exchanged for interests in global securities.</w:t>
            </w:r>
          </w:p>
        </w:tc>
      </w:tr>
      <w:tr>
        <w:trPr>
          <w:trHeight w:val="473"/>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expect to use the net proceeds of this offering for general corporate purposes. See “Use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 Proceeds.” In connection with the issuance of the Notes, we may enter into interest rate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swap agreements with financial institutions, which may include one or more of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 or their affiliates.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all respects, so that such further notes will be consolidated and form a single series with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Notes of such series offered by this 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time and from time to time at the applicable redemption prices indicated under the heading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“Description of the Notes—Optional 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Each series of the Notes are a new issue of securities with no established trading market.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do not intend to apply for listing of any of the Notes on any securities exchange.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 have advised us that they intend to make a market in the Notes, but they are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 obligated to do so and may discontinue market-making at any time without notice.</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See “Underwriting” in this prospectus supplement for more information about possible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particular, you should evaluate the information set forth under “Notice Regarding Forward-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Looking Statements” and “Risk Factors” before deciding whether to invest in the Notes.</w:t>
            </w:r>
          </w:p>
        </w:tc>
      </w:tr>
      <w:tr>
        <w:trPr>
          <w:trHeight w:val="415"/>
        </w:trPr>
        <w:tc>
          <w:tcPr>
            <w:tcW w:w="2980" w:type="dxa"/>
            <w:vAlign w:val="bottom"/>
            <w:tcBorders>
              <w:left w:val="single" w:sz="8" w:color="auto"/>
              <w:bottom w:val="single" w:sz="8" w:color="auto"/>
            </w:tcBorders>
          </w:tcPr>
          <w:p>
            <w:pPr>
              <w:spacing w:after="0"/>
              <w:rPr>
                <w:sz w:val="24"/>
                <w:szCs w:val="24"/>
                <w:color w:val="auto"/>
              </w:rPr>
            </w:pPr>
          </w:p>
        </w:tc>
        <w:tc>
          <w:tcPr>
            <w:tcW w:w="8040" w:type="dxa"/>
            <w:vAlign w:val="bottom"/>
            <w:tcBorders>
              <w:bottom w:val="single" w:sz="8" w:color="auto"/>
              <w:right w:val="single" w:sz="8" w:color="auto"/>
            </w:tcBorders>
          </w:tcPr>
          <w:p>
            <w:pPr>
              <w:spacing w:after="0"/>
              <w:rPr>
                <w:sz w:val="24"/>
                <w:szCs w:val="2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each series of the Notes may not develop.</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There is currently no public market for any series of the Notes, and we do not currently plan to list any series of the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91" w:lineRule="exact"/>
        <w:rPr>
          <w:sz w:val="20"/>
          <w:szCs w:val="20"/>
          <w:color w:val="auto"/>
        </w:rPr>
      </w:pPr>
    </w:p>
    <w:p>
      <w:pPr>
        <w:ind w:left="34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6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2025, we had approximately $17.4 billion of total liabilities on a consolidated basis. Of this amount, subsidiaries of Texas Instruments Incorporated had approximately $1.9 billion of liabilities (including trade payables and excluding intercompany debt) to which the Notes will be effectively subordinated.</w:t>
      </w:r>
    </w:p>
    <w:p>
      <w:pPr>
        <w:spacing w:after="0" w:line="187"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2"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an as adjusted basis after giving effect to this offering, as of March 31, 2025, Texas Instruments Incorporated would have had approximately $        billion principal amount of total long-term indebtedness (including the Notes, but excluding the current portion of long-term indebtedness), all of which would have been unsecured and unsubordinated.</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1" w:lineRule="exact"/>
        <w:rPr>
          <w:sz w:val="20"/>
          <w:szCs w:val="20"/>
          <w:color w:val="auto"/>
        </w:rPr>
      </w:pPr>
    </w:p>
    <w:p>
      <w:pPr>
        <w:ind w:left="1080" w:right="5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Texas Instruments Incorporated is unable to generate sufficient cash flow from operations in the future to service its debt, it may be required, among other things:</w:t>
      </w:r>
    </w:p>
    <w:p>
      <w:pPr>
        <w:spacing w:after="0" w:line="6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prices and marketability of the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receive net proceeds of approximately $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March 31, 2025.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4"/>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5,005</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7"/>
              </w:rPr>
              <w:t>20 </w:t>
            </w:r>
          </w:p>
        </w:tc>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offered hereby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77"/>
              </w:rPr>
              <w:t>20 </w:t>
            </w: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offered hereby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long-term debt</w:t>
            </w:r>
            <w:r>
              <w:rPr>
                <w:rFonts w:ascii="Times New Roman" w:cs="Times New Roman" w:eastAsia="Times New Roman" w:hAnsi="Times New Roman"/>
                <w:sz w:val="25"/>
                <w:szCs w:val="25"/>
                <w:color w:val="auto"/>
                <w:vertAlign w:val="superscript"/>
              </w:rPr>
              <w:t>(2)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12,848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12,848</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$25 par value. Shares authorized—10; none issued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$1 par value. Shares authorized—2,400; shares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issued—1,741</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1,741</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4,058</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52,196</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common stock at cost (832 shares)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(41,442)</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(AOCI)</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16,406</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capitalization</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29,254</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hereby are shown at the amount of the public offering price, less offering expenses (including underwriting discounts).</w:t>
      </w:r>
    </w:p>
    <w:p>
      <w:pPr>
        <w:spacing w:after="0" w:line="27"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$12.95 billion principal amount of our existing outstanding notes less net unamortized discounts, premiums and debt issuance costs of $102 million.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20  Notes will mature on         , 20  and the 20  Notes will mature on         , 20  . The Notes will be issued in book-entry form only, in denominations of $2,000 and multiples of $1,000 in excess thereof. Interest on each series of the Notes will accrue from         , 20  at the rate per annum shown on the cover of this prospectus supplement. Interest on the Notes will be payable semi-annually on         and         of each year, commencing on         , 2025, to the persons in whose names the Notes are registered at the close of business on the preceding        </w:t>
      </w:r>
    </w:p>
    <w:p>
      <w:pPr>
        <w:spacing w:after="0" w:line="3"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or         , as the case may be. Interest on the Notes will be paid to but excluding the relevant interest payment date. Interest on the Notes will be calculated on the basis of a 360-day year comprised of twelve 30-day months.</w:t>
      </w:r>
    </w:p>
    <w:p>
      <w:pPr>
        <w:spacing w:after="0" w:line="18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2025, Texas Instruments Incorporated had approximately $13.0 billion principal amount of outstanding indebtedness. As of March 31, 2025, Texas Instruments Incorporated had approximately $17.4 billion of total liabilities on a consolidated basis. Of the $17.4 billion of consolidated total liabilities, approximately $1.9 billion of liabilities (including trade payables and excluding intercompany debt) were held by subsidiaries of Texas Instruments Incorporated to which the Notes will be effectively subordinated.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March 31, 2025:</w:t>
      </w:r>
    </w:p>
    <w:p>
      <w:pPr>
        <w:sectPr>
          <w:pgSz w:w="11900" w:h="16838" w:orient="portrait"/>
          <w:cols w:equalWidth="0" w:num="1">
            <w:col w:w="11140"/>
          </w:cols>
          <w:pgMar w:left="320" w:top="455" w:right="43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Texas Instruments Incorporated would have had approximately $        billion principal amount of total long-term indebtedness (including the Notes, but excluding the current portion of long-term indebtedness), all of which would constitute senior and unsubordinated indebtedness;</w:t>
      </w:r>
    </w:p>
    <w:p>
      <w:pPr>
        <w:spacing w:after="0" w:line="81" w:lineRule="exact"/>
        <w:rPr>
          <w:sz w:val="20"/>
          <w:szCs w:val="20"/>
          <w:color w:val="auto"/>
        </w:rPr>
      </w:pPr>
    </w:p>
    <w:p>
      <w:pPr>
        <w:sectPr>
          <w:pgSz w:w="11900" w:h="16838" w:orient="portrait"/>
          <w:cols w:equalWidth="0" w:num="2">
            <w:col w:w="720" w:space="360"/>
            <w:col w:w="10060"/>
          </w:cols>
          <w:pgMar w:left="320" w:top="455"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Texas Instruments Incorporated would have had approximately $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billion of total liabilities on a consolidated basis;</w:t>
      </w:r>
    </w:p>
    <w:p>
      <w:pPr>
        <w:spacing w:after="0" w:line="142" w:lineRule="exact"/>
        <w:rPr>
          <w:sz w:val="20"/>
          <w:szCs w:val="20"/>
          <w:color w:val="auto"/>
        </w:rPr>
      </w:pPr>
    </w:p>
    <w:p>
      <w:pPr>
        <w:sectPr>
          <w:pgSz w:w="11900" w:h="16838" w:orient="portrait"/>
          <w:cols w:equalWidth="0" w:num="6">
            <w:col w:w="720" w:space="360"/>
            <w:col w:w="4740" w:space="120"/>
            <w:col w:w="60" w:space="120"/>
            <w:col w:w="60" w:space="120"/>
            <w:col w:w="60" w:space="180"/>
            <w:col w:w="4600"/>
          </w:cols>
          <w:pgMar w:left="320" w:top="455" w:right="439" w:bottom="1440" w:gutter="0" w:footer="0" w:header="0"/>
          <w:type w:val="continuous"/>
        </w:sectPr>
      </w:pPr>
    </w:p>
    <w:p>
      <w:pPr>
        <w:ind w:left="1080" w:right="9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subsidiaries would have had approximately $1.9 billion of liabilities (including trade payables but excluding intercompany debt) to which the Notes would have been structurally subordinated.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 may, without the consent of the holders, increase the principal amount of Notes of any series by issuing additional Notes of such series in the future on the same terms and conditions,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except for any differences in the issue date,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Prior to the Par Call Date (as defined below) for a series of Notes, such Notes will be redeemable, in whole or in part at any time, or from time to time, at Texas Instruments Incorporated’s option, at a “make-whole premium” redemption price calculated by Texas Instruments Incorporated equal to the greater of:</w:t>
      </w:r>
    </w:p>
    <w:p>
      <w:pPr>
        <w:spacing w:after="0" w:line="176" w:lineRule="exact"/>
        <w:rPr>
          <w:sz w:val="20"/>
          <w:szCs w:val="20"/>
          <w:color w:val="auto"/>
        </w:rPr>
      </w:pPr>
    </w:p>
    <w:p>
      <w:pPr>
        <w:ind w:left="120" w:right="540" w:firstLine="436"/>
        <w:spacing w:after="0" w:line="276" w:lineRule="auto"/>
        <w:tabs>
          <w:tab w:leader="none" w:pos="8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in each case discounted to the redemption date (assuming the Notes matured on the Par Call Date) on a semi-annual basis (assuming a 360-day year consisting of twelve 30-day</w:t>
      </w:r>
    </w:p>
    <w:p>
      <w:pPr>
        <w:spacing w:after="0" w:line="1"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 xml:space="preserve">months) at the Treasury Rate (as defined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basis points with respect to the 20  Notes and   basis points with respect to the 20 Notes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interest accrued to the date of redemption, and</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for a series of Notes, Texas Instruments Incorporated may redeem such Notes, in whole or in part, at any time and from time to time, at a redemption price equal to 100% of the principal amount of the Notes being redeemed plus accrued and unpaid interest thereon to the redemption date.</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23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8"/>
        </w:trPr>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in the case of the 20 </w:t>
            </w: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6"/>
              </w:rPr>
              <w:t>Notes,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20 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(the date that is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months prior to the maturity date of the 20 </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Notes), and</w:t>
            </w:r>
          </w:p>
        </w:tc>
      </w:tr>
      <w:tr>
        <w:trPr>
          <w:trHeight w:val="338"/>
        </w:trPr>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in the case of the 20 </w:t>
            </w: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6"/>
              </w:rPr>
              <w:t>Notes,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20 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(the date that is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months prior to the maturity date of the 20 </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w:t>
            </w:r>
          </w:p>
        </w:tc>
      </w:tr>
    </w:tbl>
    <w:p>
      <w:pPr>
        <w:spacing w:after="0" w:line="196"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Texas Instruments Incorporated in accordance with the following two paragraphs.</w:t>
      </w:r>
    </w:p>
    <w:p>
      <w:pPr>
        <w:spacing w:after="0" w:line="16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Incorporated’s actions and determinations in determining the redemption price shall be conclusive and binding for all purposes, absent manifest error.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 series of Notes is defined under the indenture as being:</w:t>
      </w:r>
    </w:p>
    <w:p>
      <w:pPr>
        <w:spacing w:after="0" w:line="131" w:lineRule="exact"/>
        <w:rPr>
          <w:sz w:val="20"/>
          <w:szCs w:val="20"/>
          <w:color w:val="auto"/>
        </w:rPr>
      </w:pPr>
    </w:p>
    <w:p>
      <w:pPr>
        <w:ind w:left="1080" w:right="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interest on such series of Notes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67" w:lineRule="exact"/>
        <w:rPr>
          <w:rFonts w:ascii="Times New Roman" w:cs="Times New Roman" w:eastAsia="Times New Roman" w:hAnsi="Times New Roman"/>
          <w:sz w:val="18"/>
          <w:szCs w:val="18"/>
          <w:color w:val="auto"/>
        </w:rPr>
      </w:pPr>
    </w:p>
    <w:p>
      <w:pPr>
        <w:ind w:left="1540" w:right="380" w:hanging="439"/>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 and such decree or order shall remain unstayed and in effect for a period of 60 consecutive days;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93"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Notes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Notes do not give the trustee a direction that is inconsistent with the request.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40"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94"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Notices to holders of each series of the Notes will be made by first class mail, postage prepaid, to the addresses that appear on the security register for such series of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62"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4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and are:</w:t>
      </w:r>
    </w:p>
    <w:p>
      <w:pPr>
        <w:spacing w:after="0" w:line="112"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Stated Interest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Stated interest on a Note will be taxable to you as ordinary interest income at the time it accrues or is received, in accordance with your method of accounting for U.S. federal income tax purposes. It is expected,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discussion assumes, that the Notes will be treated as issued without original issue discount for U.S. federal income tax purposes.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Stated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are a Non-U.S. Holder. You are a Non-U.S. Holder if for U.S. federal income tax purposes you are a beneficial owner of a Note and are:</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payments of principal and interest on the Notes to you will not be subject to U.S. federal income or withholding tax, provided that, in the case of interest,</w:t>
      </w:r>
    </w:p>
    <w:p>
      <w:pPr>
        <w:spacing w:after="0" w:line="67" w:lineRule="exact"/>
        <w:rPr>
          <w:sz w:val="20"/>
          <w:szCs w:val="20"/>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Provisions commonly referred to as “FATCA” impose withholding of 30% on payments of interest on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although the currently issued regulations under FATCA would subject payments of gross proceeds of sales or other dispositions of the Notes to withholding under FATCA,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Barclays Capital Inc., Morgan Stanley &amp; Co. LLC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00" w:type="dxa"/>
            <w:vAlign w:val="bottom"/>
          </w:tcPr>
          <w:p>
            <w:pPr>
              <w:spacing w:after="0"/>
              <w:rPr>
                <w:sz w:val="13"/>
                <w:szCs w:val="13"/>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6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of 20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20</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22"/>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center"/>
              <w:ind w:right="22"/>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center"/>
              <w:ind w:right="22"/>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20  Note and   % per 20  Note. Any such securities dealers may resell any Notes purchased from the underwriters to certain other brokers or dealers at a discount from the initial public offering price not to exceed   % per 20  Note and   % per 20  Note. If all of the Notes are not sold at the initial offering price, the underwriters may change the offering price and the other selling terms.</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0" w:type="dxa"/>
            <w:vAlign w:val="bottom"/>
            <w:gridSpan w:val="4"/>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w w:val="99"/>
              </w:rPr>
              <w:t>Paid by Texas</w:t>
            </w:r>
          </w:p>
        </w:tc>
      </w:tr>
      <w:tr>
        <w:trPr>
          <w:trHeight w:val="148"/>
        </w:trPr>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0" w:type="dxa"/>
            <w:vAlign w:val="bottom"/>
            <w:gridSpan w:val="4"/>
          </w:tcPr>
          <w:p>
            <w:pPr>
              <w:jc w:val="center"/>
              <w:ind w:right="196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r>
      <w:tr>
        <w:trPr>
          <w:trHeight w:val="173"/>
        </w:trPr>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0" w:type="dxa"/>
            <w:vAlign w:val="bottom"/>
            <w:gridSpan w:val="4"/>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Incorporated</w:t>
            </w:r>
          </w:p>
        </w:tc>
      </w:tr>
      <w:tr>
        <w:trPr>
          <w:trHeight w:val="209"/>
        </w:trPr>
        <w:tc>
          <w:tcPr>
            <w:tcW w:w="132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4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w:t>
            </w:r>
          </w:p>
        </w:tc>
        <w:tc>
          <w:tcPr>
            <w:tcW w:w="1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6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w:t>
            </w:r>
          </w:p>
        </w:tc>
        <w:tc>
          <w:tcPr>
            <w:tcW w:w="1620" w:type="dxa"/>
            <w:vAlign w:val="bottom"/>
          </w:tcPr>
          <w:p>
            <w:pPr>
              <w:spacing w:after="0"/>
              <w:rPr>
                <w:sz w:val="20"/>
                <w:szCs w:val="20"/>
                <w:color w:val="auto"/>
              </w:rPr>
            </w:pPr>
          </w:p>
        </w:tc>
        <w:tc>
          <w:tcPr>
            <w:tcW w:w="68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spacing w:after="0"/>
              <w:rPr>
                <w:sz w:val="20"/>
                <w:szCs w:val="20"/>
                <w:color w:val="auto"/>
              </w:rPr>
            </w:pPr>
          </w:p>
        </w:tc>
      </w:tr>
      <w:tr>
        <w:trPr>
          <w:trHeight w:val="414"/>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We estimate that our total expenses for this offering will be approximately $          </w:t>
            </w:r>
          </w:p>
        </w:tc>
        <w:tc>
          <w:tcPr>
            <w:tcW w:w="4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9"/>
              </w:rPr>
              <w:t>million, including underwriting discounts. The underwriters</w:t>
            </w:r>
          </w:p>
        </w:tc>
      </w:tr>
    </w:tbl>
    <w:p>
      <w:pPr>
        <w:ind w:left="120"/>
        <w:spacing w:after="0"/>
        <w:rPr>
          <w:sz w:val="20"/>
          <w:szCs w:val="20"/>
          <w:color w:val="auto"/>
        </w:rPr>
      </w:pPr>
      <w:r>
        <w:rPr>
          <w:rFonts w:ascii="Times New Roman" w:cs="Times New Roman" w:eastAsia="Times New Roman" w:hAnsi="Times New Roman"/>
          <w:sz w:val="18"/>
          <w:szCs w:val="18"/>
          <w:color w:val="auto"/>
        </w:rPr>
        <w:t>have agreed to reimburse us for certain of our expenses in connection with the offering.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third business day following the date of the pricing of the Notes. Under Rule 15c6-1 of the Exchange Act, trades in the secondary market generally are required to settle in one business day, unless the parties to a trade expressly agree otherwise.</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Accordingly, purchasers who wish to trade Notes prior to the business day before the delivery of the Notes hereunder will be required, by virtue of the fact that the Notes initially will settle in T+3, to specify alternative settlement arrangements to prevent a failed settlement.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(EU) 2016/97 (as amended, the “Insurance Distribution Directive”), where that customer would not qualify as a professional client as defined in point</w:t>
      </w:r>
    </w:p>
    <w:p>
      <w:pPr>
        <w:spacing w:after="0" w:line="27" w:lineRule="exact"/>
        <w:rPr>
          <w:sz w:val="20"/>
          <w:szCs w:val="20"/>
          <w:color w:val="auto"/>
        </w:rPr>
      </w:pPr>
    </w:p>
    <w:p>
      <w:pPr>
        <w:ind w:left="120" w:right="140" w:hanging="4"/>
        <w:spacing w:after="0" w:line="252" w:lineRule="auto"/>
        <w:tabs>
          <w:tab w:leader="none" w:pos="4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w:t>
      </w:r>
    </w:p>
    <w:p>
      <w:pPr>
        <w:spacing w:after="0" w:line="5" w:lineRule="exact"/>
        <w:rPr>
          <w:sz w:val="20"/>
          <w:szCs w:val="20"/>
          <w:color w:val="auto"/>
        </w:rPr>
      </w:pPr>
    </w:p>
    <w:p>
      <w:pPr>
        <w:ind w:left="120" w:right="20" w:hanging="4"/>
        <w:spacing w:after="0" w:line="269" w:lineRule="auto"/>
        <w:tabs>
          <w:tab w:leader="none" w:pos="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 qualified investor as defined in Article 2 of the Prospectus Regulation as it forms part of domestic law by virtue of the EUWA (the “UK Prospectus Regulation”). Consequently, no key information document required by the PRIIPs Regulation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FSMA and the UK Prospectus Regulation from the requirement to publish a prospectus for offers of notes. This prospectus supplement and the accompanying prospectus are not a prospectus for the purposes of the UK Prospectus Regulation or the FSMA.</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UK, this document is being distributed only to, and is directed only at, and any offer subsequently made may only be directed at persons who are “qualified investors” (as defined in Article 2 of the UK Prospectus Regulation) who (i) have professional experience in matters relating to investments falling within Article 19(5) of the Financial Services and Markets Act 2000 (Financial Promotion) Order 2005 (as amended, the “Order”), (ii) are persons falling within Article 49(2)(a) to (d) (“high net worth companies, unincorporated associations etc.”) of the Order, or (iii)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In the UK this document is directed only at relevant persons and must not be acted on or relied on by persons who are not relevant persons. In the UK,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an exemption from, or in a transaction not subject to, the prospectus requirements of applicable securities laws.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or the accompanying prospectus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Neither this prospectus supplement nor any other offering material relating to the Notes described in this prospectus supplement has been submitted to the clearance procedures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or of the competent authority of another member state of the European Economic Area and notified to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29" w:lineRule="exact"/>
        <w:rPr>
          <w:sz w:val="20"/>
          <w:szCs w:val="20"/>
          <w:color w:val="auto"/>
        </w:rPr>
      </w:pPr>
    </w:p>
    <w:p>
      <w:pPr>
        <w:ind w:left="1080" w:right="560" w:hanging="424"/>
        <w:spacing w:after="0" w:line="26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in each case investing for their own account, all as defined in, and in accordance with,</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articles L.411-2, D.411-1, D.411-2, D.734-1, D.744-1, D.754-1 and D.764-1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28" w:lineRule="exact"/>
        <w:rPr>
          <w:rFonts w:ascii="Times New Roman" w:cs="Times New Roman" w:eastAsia="Times New Roman" w:hAnsi="Times New Roman"/>
          <w:sz w:val="18"/>
          <w:szCs w:val="18"/>
          <w:color w:val="auto"/>
        </w:rPr>
      </w:pPr>
    </w:p>
    <w:p>
      <w:pPr>
        <w:ind w:left="1080" w:right="180" w:hanging="424"/>
        <w:spacing w:after="0" w:line="26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transaction that, in accordance with article L.411-2-II-1° -or-2° -or 3°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xml:space="preserve"> and article 211-2 of the General Regulations (</w:t>
      </w:r>
      <w:r>
        <w:rPr>
          <w:rFonts w:ascii="Times New Roman" w:cs="Times New Roman" w:eastAsia="Times New Roman" w:hAnsi="Times New Roman"/>
          <w:sz w:val="18"/>
          <w:szCs w:val="18"/>
          <w:i w:val="1"/>
          <w:iCs w:val="1"/>
          <w:color w:val="auto"/>
        </w:rPr>
        <w:t>Règlement Général</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does not constitute a public offer (</w:t>
      </w:r>
      <w:r>
        <w:rPr>
          <w:rFonts w:ascii="Times New Roman" w:cs="Times New Roman" w:eastAsia="Times New Roman" w:hAnsi="Times New Roman"/>
          <w:sz w:val="18"/>
          <w:szCs w:val="18"/>
          <w:i w:val="1"/>
          <w:iCs w:val="1"/>
          <w:color w:val="auto"/>
        </w:rPr>
        <w:t>appel public à</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l’épargne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Notes may be resold directly or indirectly, only in compliance with articles L.411-1, L.411-2, L.412-1 and L.621-8 through L.621-8-3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of Hong Kong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the public or a solicitation to purchase or invest in the Notes. The Notes may not be offered, directly or indirectly, to the public in Switzerland, except that offers of the Notes may be made to the public in Switzerland at any time under the following exemptions under the Swiss Financial Services Act (“FinSA”):</w:t>
      </w:r>
    </w:p>
    <w:p>
      <w:pPr>
        <w:spacing w:after="0" w:line="176" w:lineRule="exact"/>
        <w:rPr>
          <w:sz w:val="20"/>
          <w:szCs w:val="20"/>
          <w:color w:val="auto"/>
        </w:rPr>
      </w:pPr>
    </w:p>
    <w:p>
      <w:pPr>
        <w:ind w:left="800" w:hanging="244"/>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FinSA;</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representatives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Notes shall require Texas Instruments Incorporated or any underwriter to publish a prospectus pursuant to Article 35 FinSA.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have not been and will not be listed or admitted to trading on a trading venue in Switzerland.</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Neither this prospectus supplement, the accompanying prospectus nor any other offering or marketing material relating to the Notes constitutes a prospectus as such term is understood pursuant to the FinSA and neither this prospectus supplement nor any other offering or marketing material relating to the Notes may be publicly distributed or otherwise made publicly available in Switzerland.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and/or any other regulatory authority of Taiwan pursuant to relevant securities laws and regulations and may not be sold, issued or offered within Taiwan through a public offering or in circumstances which constitutes an offer within the meaning of the Securities and Exchange Act of Taiwan or relevant laws and regulations that requires a registration or filing with or approval of the Financial Supervisory Commission and/or any other regulatory authority of Taiwan. No person or entity in Taiwan has been authorized to offer, sell, give advice regarding or otherwise intermediate the offering and sale of the Notes in Taiwan.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Plan Investors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Certain legal matters will be passed upon for the underwriters by Simpson Thacher &amp; Bartlett LLP.</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2024, and the effectiveness of our internal control over financial reporting as of December 31, 2024,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2024 are incorporated by reference in reliance on Ernst &amp; Young LLP’s reports, given on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76" w:lineRule="exact"/>
        <w:rPr>
          <w:sz w:val="20"/>
          <w:szCs w:val="20"/>
          <w:color w:val="auto"/>
        </w:rPr>
      </w:pPr>
    </w:p>
    <w:p>
      <w:pPr>
        <w:ind w:left="120" w:right="20"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Form 10-K for the year ended December 31, 2024, filed on </w:t>
      </w:r>
      <w:hyperlink r:id="rId42">
        <w:r>
          <w:rPr>
            <w:rFonts w:ascii="Times New Roman" w:cs="Times New Roman" w:eastAsia="Times New Roman" w:hAnsi="Times New Roman"/>
            <w:sz w:val="18"/>
            <w:szCs w:val="18"/>
            <w:u w:val="single" w:color="auto"/>
            <w:color w:val="0000EE"/>
          </w:rPr>
          <w:t>February 14, 2025</w:t>
        </w:r>
      </w:hyperlink>
      <w:r>
        <w:rPr>
          <w:rFonts w:ascii="Times New Roman" w:cs="Times New Roman" w:eastAsia="Times New Roman" w:hAnsi="Times New Roman"/>
          <w:sz w:val="18"/>
          <w:szCs w:val="18"/>
          <w:color w:val="auto"/>
        </w:rPr>
        <w:t xml:space="preserve">, the sections of our Definitive Proxy Statement on Schedule 14A for the 2025 annual meeting of stockholders, filed on </w:t>
      </w:r>
      <w:hyperlink r:id="rId43">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that are incorporated by reference in our Annual Report on Form 10-K for the year ended December 31, 2024, our Quarterly Report on Form 10-Q, filed on </w:t>
      </w:r>
      <w:hyperlink r:id="rId44">
        <w:r>
          <w:rPr>
            <w:rFonts w:ascii="Times New Roman" w:cs="Times New Roman" w:eastAsia="Times New Roman" w:hAnsi="Times New Roman"/>
            <w:sz w:val="18"/>
            <w:szCs w:val="18"/>
            <w:u w:val="single" w:color="auto"/>
            <w:color w:val="0000EE"/>
          </w:rPr>
          <w:t>April 24, 2025</w:t>
        </w:r>
      </w:hyperlink>
      <w:r>
        <w:rPr>
          <w:rFonts w:ascii="Times New Roman" w:cs="Times New Roman" w:eastAsia="Times New Roman" w:hAnsi="Times New Roman"/>
          <w:sz w:val="18"/>
          <w:szCs w:val="18"/>
          <w:color w:val="auto"/>
        </w:rPr>
        <w:t xml:space="preserve">, our Current Report on Form 8-K, filed on </w:t>
      </w:r>
      <w:hyperlink r:id="rId45">
        <w:r>
          <w:rPr>
            <w:rFonts w:ascii="Times New Roman" w:cs="Times New Roman" w:eastAsia="Times New Roman" w:hAnsi="Times New Roman"/>
            <w:sz w:val="18"/>
            <w:szCs w:val="18"/>
            <w:u w:val="single" w:color="auto"/>
            <w:color w:val="0000EE"/>
          </w:rPr>
          <w:t>April 18, 2025</w:t>
        </w:r>
      </w:hyperlink>
      <w:r>
        <w:rPr>
          <w:rFonts w:ascii="Times New Roman" w:cs="Times New Roman" w:eastAsia="Times New Roman" w:hAnsi="Times New Roman"/>
          <w:sz w:val="18"/>
          <w:szCs w:val="18"/>
          <w:color w:val="auto"/>
        </w:rPr>
        <w:t>,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8" w:lineRule="exact"/>
        <w:rPr>
          <w:rFonts w:ascii="Times New Roman" w:cs="Times New Roman" w:eastAsia="Times New Roman" w:hAnsi="Times New Roman"/>
          <w:sz w:val="18"/>
          <w:szCs w:val="18"/>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173990</wp:posOffset>
            </wp:positionV>
            <wp:extent cx="2880360" cy="694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8803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258445</wp:posOffset>
            </wp:positionV>
            <wp:extent cx="147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 Common stock</w:t>
            </w:r>
          </w:p>
        </w:tc>
        <w:tc>
          <w:tcPr>
            <w:tcW w:w="116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73"/>
              </w:rPr>
              <w:t>• </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 Warrants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 Preferred stock</w:t>
            </w:r>
          </w:p>
        </w:tc>
        <w:tc>
          <w:tcPr>
            <w:tcW w:w="116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73"/>
              </w:rPr>
              <w:t>• </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 Units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 Debt securities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 Maturity</w:t>
            </w: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 terms</w:t>
            </w:r>
          </w:p>
        </w:tc>
        <w:tc>
          <w:tcPr>
            <w:tcW w:w="98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79"/>
              </w:rPr>
              <w:t>• </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 Liquidation amount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 Interest rate</w:t>
            </w: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 Listing on a security exchange</w:t>
            </w:r>
          </w:p>
        </w:tc>
        <w:tc>
          <w:tcPr>
            <w:tcW w:w="98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79"/>
              </w:rPr>
              <w:t>• </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 Subsidiary guarantees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 Currency of payments</w:t>
            </w: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98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79"/>
              </w:rPr>
              <w:t>• </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 Sinking fund terms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 Dividends</w:t>
            </w: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9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TXN. On February 13, 2025, the reported last sale price on The Nasdaq Global Select Market for our common stock was $180.80.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120" w:right="440" w:firstLine="440"/>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“Item 1A—Risk Factors” beginning on page 9 of our Annual Report on Form 10-K for the year ended December 31, 2024, which is incorporated by reference herein.</w:t>
      </w:r>
    </w:p>
    <w:p>
      <w:pPr>
        <w:spacing w:after="0" w:line="13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14, 2025</w:t>
      </w:r>
    </w:p>
    <w:p>
      <w:pPr>
        <w:sectPr>
          <w:pgSz w:w="11900" w:h="16838" w:orient="portrait"/>
          <w:cols w:equalWidth="0" w:num="1">
            <w:col w:w="10860"/>
          </w:cols>
          <w:pgMar w:left="320" w:top="455" w:right="7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43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25"/>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gridSpan w:val="14"/>
            <w:vMerge w:val="continue"/>
          </w:tcPr>
          <w:p>
            <w:pPr>
              <w:spacing w:after="0"/>
              <w:rPr>
                <w:sz w:val="14"/>
                <w:szCs w:val="14"/>
                <w:color w:val="auto"/>
              </w:rPr>
            </w:pPr>
          </w:p>
        </w:tc>
        <w:tc>
          <w:tcPr>
            <w:tcW w:w="6340" w:type="dxa"/>
            <w:vAlign w:val="bottom"/>
            <w:gridSpan w:val="2"/>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700" w:type="dxa"/>
            <w:vAlign w:val="bottom"/>
            <w:gridSpan w:val="6"/>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w:t>
      </w:r>
    </w:p>
    <w:p>
      <w:pPr>
        <w:spacing w:after="0" w:line="27"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www.sec.gov.</w:t>
      </w:r>
    </w:p>
    <w:p>
      <w:pPr>
        <w:spacing w:after="0" w:line="162" w:lineRule="exact"/>
        <w:rPr>
          <w:sz w:val="20"/>
          <w:szCs w:val="20"/>
          <w:color w:val="auto"/>
        </w:rPr>
      </w:pPr>
    </w:p>
    <w:p>
      <w:pPr>
        <w:ind w:left="120" w:right="6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4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filed on February 14, 2025, the description of our common stock contained in our registration statement on </w:t>
      </w:r>
      <w:hyperlink r:id="rId5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85" w:lineRule="exact"/>
        <w:rPr>
          <w:sz w:val="20"/>
          <w:szCs w:val="20"/>
          <w:color w:val="auto"/>
        </w:rPr>
      </w:pPr>
    </w:p>
    <w:p>
      <w:pPr>
        <w:ind w:left="1080" w:right="7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suppliers and other third parties;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key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320" w:top="455"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January 28, 2025, there were 910,332,971 shares of common stock outstanding which were held of record by 10,704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January 28, 2025,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Trust Company, National Association, as successor in interest to U.S Bank National Association, as trustee. The terms of our debt securities will include those set forth in the indenture and those made a part of the indenture by the Trust Indenture Act of 1939.</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“attributable debt” in respect of a sale and leaseback transaction means, at the time of determination, the lesser of</w:t>
      </w:r>
    </w:p>
    <w:p>
      <w:pPr>
        <w:spacing w:after="0" w:line="29" w:lineRule="exact"/>
        <w:rPr>
          <w:sz w:val="20"/>
          <w:szCs w:val="20"/>
          <w:color w:val="auto"/>
        </w:rPr>
      </w:pPr>
    </w:p>
    <w:p>
      <w:pPr>
        <w:ind w:left="120" w:right="120" w:hanging="4"/>
        <w:spacing w:after="0" w:line="255" w:lineRule="auto"/>
        <w:tabs>
          <w:tab w:leader="none" w:pos="3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8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78" w:lineRule="exact"/>
        <w:rPr>
          <w:sz w:val="20"/>
          <w:szCs w:val="20"/>
          <w:color w:val="auto"/>
        </w:rPr>
      </w:pPr>
    </w:p>
    <w:p>
      <w:pPr>
        <w:ind w:left="120" w:right="3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The indenture provides that, unless as may otherwise be indicated by resolution of our board of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we are contesting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6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87" w:lineRule="exact"/>
        <w:rPr>
          <w:sz w:val="20"/>
          <w:szCs w:val="20"/>
          <w:color w:val="auto"/>
        </w:rPr>
      </w:pPr>
    </w:p>
    <w:p>
      <w:pPr>
        <w:ind w:left="108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85"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74"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or substantially all of our assets to any person or permit any person to merge with or into us unless:</w:t>
      </w:r>
    </w:p>
    <w:p>
      <w:pPr>
        <w:spacing w:after="0" w:line="112" w:lineRule="exact"/>
        <w:rPr>
          <w:sz w:val="20"/>
          <w:szCs w:val="20"/>
          <w:color w:val="auto"/>
        </w:rPr>
      </w:pPr>
    </w:p>
    <w:p>
      <w:pPr>
        <w:ind w:left="1080" w:right="160" w:hanging="424"/>
        <w:spacing w:after="0" w:line="25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63" w:lineRule="exact"/>
        <w:rPr>
          <w:rFonts w:ascii="Times New Roman" w:cs="Times New Roman" w:eastAsia="Times New Roman" w:hAnsi="Times New Roman"/>
          <w:sz w:val="17"/>
          <w:szCs w:val="17"/>
          <w:color w:val="auto"/>
        </w:rPr>
      </w:pPr>
    </w:p>
    <w:p>
      <w:pPr>
        <w:ind w:left="1080" w:right="5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us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 The default by us under any other debt, including any other series of debt securities, is not a default under the indenture.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93"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67" w:lineRule="exact"/>
        <w:rPr>
          <w:sz w:val="20"/>
          <w:szCs w:val="20"/>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and we have paid all sums payable by us under the indenture;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85" w:lineRule="exact"/>
        <w:rPr>
          <w:sz w:val="20"/>
          <w:szCs w:val="20"/>
          <w:color w:val="auto"/>
        </w:rPr>
      </w:pPr>
    </w:p>
    <w:p>
      <w:pPr>
        <w:ind w:left="1080" w:right="40" w:hanging="424"/>
        <w:spacing w:after="0" w:line="254"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or Conveyance”;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stated maturity of the principal of, or the time of payment of any installment of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of holders to institute suit for the enforcement of any payment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1" w:lineRule="exact"/>
        <w:rPr>
          <w:rFonts w:ascii="Times New Roman" w:cs="Times New Roman" w:eastAsia="Times New Roman" w:hAnsi="Times New Roman"/>
          <w:sz w:val="18"/>
          <w:szCs w:val="18"/>
          <w:color w:val="auto"/>
        </w:rPr>
      </w:pPr>
    </w:p>
    <w:p>
      <w:pPr>
        <w:ind w:left="5540" w:right="180" w:hanging="4884"/>
        <w:spacing w:after="0" w:line="454" w:lineRule="auto"/>
        <w:tabs>
          <w:tab w:leader="none" w:pos="10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2024, and the effectiveness of our internal control over financial reporting as of December 31, 2024, as set forth in their reports, which are incorporated by reference into this prospectus and elsewhere in the registration statement. Our financial statements and our management’s assessment of the effectiveness of internal control over financial reporting as of December 31, 2024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320" w:top="455" w:right="5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344170</wp:posOffset>
            </wp:positionV>
            <wp:extent cx="2263140" cy="531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2631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940"/>
        <w:spacing w:after="0"/>
        <w:tabs>
          <w:tab w:leader="none" w:pos="5620" w:val="left"/>
        </w:tabs>
        <w:rPr>
          <w:sz w:val="20"/>
          <w:szCs w:val="20"/>
          <w:color w:val="auto"/>
        </w:rPr>
      </w:pPr>
      <w:r>
        <w:rPr>
          <w:rFonts w:ascii="Times New Roman" w:cs="Times New Roman" w:eastAsia="Times New Roman" w:hAnsi="Times New Roman"/>
          <w:sz w:val="25"/>
          <w:szCs w:val="25"/>
          <w:b w:val="1"/>
          <w:bCs w:val="1"/>
          <w:color w:val="auto"/>
        </w:rPr>
        <w:t xml:space="preserve">$                </w:t>
        <w:tab/>
        <w:t>% Notes due 20</w:t>
      </w:r>
    </w:p>
    <w:p>
      <w:pPr>
        <w:spacing w:after="0" w:line="44" w:lineRule="exact"/>
        <w:rPr>
          <w:sz w:val="20"/>
          <w:szCs w:val="20"/>
          <w:color w:val="auto"/>
        </w:rPr>
      </w:pPr>
    </w:p>
    <w:p>
      <w:pPr>
        <w:ind w:left="3940"/>
        <w:spacing w:after="0"/>
        <w:tabs>
          <w:tab w:leader="none" w:pos="5620" w:val="left"/>
        </w:tabs>
        <w:rPr>
          <w:sz w:val="20"/>
          <w:szCs w:val="20"/>
          <w:color w:val="auto"/>
        </w:rPr>
      </w:pPr>
      <w:r>
        <w:rPr>
          <w:rFonts w:ascii="Times New Roman" w:cs="Times New Roman" w:eastAsia="Times New Roman" w:hAnsi="Times New Roman"/>
          <w:sz w:val="25"/>
          <w:szCs w:val="25"/>
          <w:b w:val="1"/>
          <w:bCs w:val="1"/>
          <w:color w:val="auto"/>
        </w:rPr>
        <w:t xml:space="preserve">$                </w:t>
        <w:tab/>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1280160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250190</wp:posOffset>
            </wp:positionV>
            <wp:extent cx="1474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40"/>
          </w:cols>
          <w:pgMar w:left="320" w:top="455" w:right="439" w:bottom="1440" w:gutter="0" w:footer="0" w:header="0"/>
        </w:sect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Barclays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1311275</wp:posOffset>
            </wp:positionV>
            <wp:extent cx="1474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MUFG</w:t>
      </w:r>
    </w:p>
    <w:p>
      <w:pPr>
        <w:spacing w:after="0" w:line="200" w:lineRule="exact"/>
        <w:rPr>
          <w:sz w:val="20"/>
          <w:szCs w:val="20"/>
          <w:color w:val="auto"/>
        </w:rPr>
      </w:pPr>
    </w:p>
    <w:p>
      <w:pPr>
        <w:sectPr>
          <w:pgSz w:w="11900" w:h="16838" w:orient="portrait"/>
          <w:cols w:equalWidth="0" w:num="3">
            <w:col w:w="4140" w:space="720"/>
            <w:col w:w="4680" w:space="720"/>
            <w:col w:w="88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
      <w:numFmt w:val="bullet"/>
      <w:start w:val="1"/>
    </w:lvl>
    <w:lvl w:ilvl="1">
      <w:lvlJc w:val="left"/>
      <w:lvlText w:val="(%2)"/>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0"/>
    </w:lvl>
  </w:abstractNum>
  <w:abstractNum w:abstractNumId="16">
    <w:nsid w:val="2CA88611"/>
    <w:multiLevelType w:val="hybridMultilevel"/>
    <w:lvl w:ilvl="0">
      <w:lvlJc w:val="left"/>
      <w:lvlText w:val="(%1)"/>
      <w:numFmt w:val="lowerRoman"/>
      <w:start w:val="3"/>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lvl w:ilvl="1">
      <w:lvlJc w:val="left"/>
      <w:lvlText w:val="•"/>
      <w:numFmt w:val="bullet"/>
      <w:start w:val="1"/>
    </w:lvl>
  </w:abstractNum>
  <w:abstractNum w:abstractNumId="31">
    <w:nsid w:val="440BADFC"/>
    <w:multiLevelType w:val="hybridMultilevel"/>
    <w:lvl w:ilvl="0">
      <w:lvlJc w:val="left"/>
      <w:lvlText w:val="•"/>
      <w:numFmt w:val="bullet"/>
      <w:start w:val="1"/>
    </w:lvl>
    <w:lvl w:ilvl="1">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jpe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jpe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42" Type="http://schemas.openxmlformats.org/officeDocument/2006/relationships/hyperlink" Target="http://www.sec.gov/ix?doc=/Archives/edgar/data/97476/000009747625000007/txn-20241231.htm" TargetMode="External"/><Relationship Id="rId43" Type="http://schemas.openxmlformats.org/officeDocument/2006/relationships/hyperlink" Target="http://www.sec.gov/ix?doc=/Archives/edgar/data/97476/000009747625000017/txn-20250305.htm" TargetMode="External"/><Relationship Id="rId44" Type="http://schemas.openxmlformats.org/officeDocument/2006/relationships/hyperlink" Target="http://www.sec.gov/ix?doc=/Archives/edgar/data/97476/000009747625000027/txn-20250331.htm" TargetMode="External"/><Relationship Id="rId45" Type="http://schemas.openxmlformats.org/officeDocument/2006/relationships/hyperlink" Target="http://www.sec.gov/ix?doc=/Archives/edgar/data/97476/000009747625000022/txn-20250417.htm" TargetMode="External"/><Relationship Id="rId53"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2025-05-20T07:38:56Z</dcterms:created>
  <dcterms:modified xsi:type="dcterms:W3CDTF">2025-05-20T07:38:56Z</dcterms:modified>
</cp:coreProperties>
</file>