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17145</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1496695</wp:posOffset>
            </wp:positionH>
            <wp:positionV relativeFrom="paragraph">
              <wp:posOffset>45085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30480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1" w:lineRule="exact"/>
        <w:rPr>
          <w:sz w:val="24"/>
          <w:szCs w:val="24"/>
          <w:color w:val="auto"/>
        </w:rPr>
      </w:pPr>
    </w:p>
    <w:tbl>
      <w:tblPr>
        <w:tblLayout w:type="fixed"/>
        <w:tblInd w:w="940" w:type="dxa"/>
        <w:tblCellMar>
          <w:top w:w="0" w:type="dxa"/>
          <w:left w:w="0" w:type="dxa"/>
          <w:bottom w:w="0" w:type="dxa"/>
          <w:right w:w="0" w:type="dxa"/>
        </w:tblCellMar>
      </w:tblPr>
      <w:tr>
        <w:trPr>
          <w:trHeight w:val="227"/>
        </w:trPr>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001-03761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146"/>
        </w:trPr>
        <w:tc>
          <w:tcPr>
            <w:tcW w:w="2140" w:type="dxa"/>
            <w:vAlign w:val="bottom"/>
            <w:gridSpan w:val="2"/>
          </w:tcPr>
          <w:p>
            <w:pPr>
              <w:jc w:val="center"/>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820" w:type="dxa"/>
            <w:vAlign w:val="bottom"/>
          </w:tcPr>
          <w:p>
            <w:pPr>
              <w:jc w:val="center"/>
              <w:ind w:right="640"/>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3"/>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12500 TI Boulevard</w:t>
            </w:r>
          </w:p>
        </w:tc>
        <w:tc>
          <w:tcPr>
            <w:tcW w:w="1120" w:type="dxa"/>
            <w:vAlign w:val="bottom"/>
          </w:tcPr>
          <w:p>
            <w:pPr>
              <w:spacing w:after="0"/>
              <w:rPr>
                <w:sz w:val="24"/>
                <w:szCs w:val="24"/>
                <w:color w:val="auto"/>
              </w:rPr>
            </w:pPr>
          </w:p>
        </w:tc>
      </w:tr>
      <w:tr>
        <w:trPr>
          <w:trHeight w:val="214"/>
        </w:trPr>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Dallas, Texas 75243</w:t>
            </w:r>
          </w:p>
        </w:tc>
        <w:tc>
          <w:tcPr>
            <w:tcW w:w="1120" w:type="dxa"/>
            <w:vAlign w:val="bottom"/>
          </w:tcPr>
          <w:p>
            <w:pPr>
              <w:spacing w:after="0"/>
              <w:rPr>
                <w:sz w:val="18"/>
                <w:szCs w:val="18"/>
                <w:color w:val="auto"/>
              </w:rPr>
            </w:pPr>
          </w:p>
        </w:tc>
      </w:tr>
      <w:tr>
        <w:trPr>
          <w:trHeight w:val="176"/>
        </w:trPr>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20" w:type="dxa"/>
            <w:vAlign w:val="bottom"/>
          </w:tcPr>
          <w:p>
            <w:pPr>
              <w:spacing w:after="0"/>
              <w:rPr>
                <w:sz w:val="15"/>
                <w:szCs w:val="15"/>
                <w:color w:val="auto"/>
              </w:rPr>
            </w:pPr>
          </w:p>
        </w:tc>
      </w:tr>
      <w:tr>
        <w:trPr>
          <w:trHeight w:val="190"/>
        </w:trPr>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479-3773</w:t>
            </w:r>
          </w:p>
        </w:tc>
        <w:tc>
          <w:tcPr>
            <w:tcW w:w="1120" w:type="dxa"/>
            <w:vAlign w:val="bottom"/>
          </w:tcPr>
          <w:p>
            <w:pPr>
              <w:spacing w:after="0"/>
              <w:rPr>
                <w:sz w:val="16"/>
                <w:szCs w:val="16"/>
                <w:color w:val="auto"/>
              </w:rPr>
            </w:pPr>
          </w:p>
        </w:tc>
      </w:tr>
      <w:tr>
        <w:trPr>
          <w:trHeight w:val="37"/>
        </w:trPr>
        <w:tc>
          <w:tcPr>
            <w:tcW w:w="14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820" w:type="dxa"/>
            <w:vAlign w:val="bottom"/>
            <w:tcBorders>
              <w:bottom w:val="single" w:sz="8" w:color="auto"/>
            </w:tcBorders>
          </w:tcPr>
          <w:p>
            <w:pPr>
              <w:spacing w:after="0"/>
              <w:rPr>
                <w:sz w:val="3"/>
                <w:szCs w:val="3"/>
                <w:color w:val="auto"/>
              </w:rPr>
            </w:pPr>
          </w:p>
        </w:tc>
        <w:tc>
          <w:tcPr>
            <w:tcW w:w="1120" w:type="dxa"/>
            <w:vAlign w:val="bottom"/>
          </w:tcPr>
          <w:p>
            <w:pPr>
              <w:spacing w:after="0"/>
              <w:rPr>
                <w:sz w:val="3"/>
                <w:szCs w:val="3"/>
                <w:color w:val="auto"/>
              </w:rPr>
            </w:pPr>
          </w:p>
        </w:tc>
      </w:tr>
    </w:tbl>
    <w:p>
      <w:pPr>
        <w:spacing w:after="0" w:line="346"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22"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4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2"/>
            <w:vMerge w:val="continue"/>
          </w:tcPr>
          <w:p>
            <w:pPr>
              <w:spacing w:after="0"/>
              <w:rPr>
                <w:sz w:val="21"/>
                <w:szCs w:val="21"/>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$1.00</w:t>
            </w:r>
          </w:p>
        </w:tc>
        <w:tc>
          <w:tcPr>
            <w:tcW w:w="320" w:type="dxa"/>
            <w:vAlign w:val="bottom"/>
          </w:tcPr>
          <w:p>
            <w:pPr>
              <w:spacing w:after="0"/>
              <w:rPr>
                <w:sz w:val="20"/>
                <w:szCs w:val="20"/>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TXN</w:t>
            </w:r>
          </w:p>
        </w:tc>
        <w:tc>
          <w:tcPr>
            <w:tcW w:w="34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27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128270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68580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ITEM 8.01. Other Events.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Registrant’s news release dated September 18, 2025, regarding a planned dividend increase, attached hereto as Exhibit 99 is incorporated by reference herein.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9.01. Financial Statements and Exhibits.</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Designation</w:t>
      </w:r>
    </w:p>
    <w:p>
      <w:pPr>
        <w:ind w:left="380"/>
        <w:spacing w:after="0" w:line="206" w:lineRule="auto"/>
        <w:rPr>
          <w:sz w:val="20"/>
          <w:szCs w:val="20"/>
          <w:color w:val="auto"/>
        </w:rPr>
      </w:pPr>
      <w:r>
        <w:rPr>
          <w:rFonts w:ascii="Times New Roman" w:cs="Times New Roman" w:eastAsia="Times New Roman" w:hAnsi="Times New Roman"/>
          <w:sz w:val="14"/>
          <w:szCs w:val="14"/>
          <w:color w:val="auto"/>
        </w:rPr>
        <w:t>of Exhibit</w:t>
      </w:r>
    </w:p>
    <w:p>
      <w:pPr>
        <w:ind w:left="480"/>
        <w:spacing w:after="0" w:line="221" w:lineRule="auto"/>
        <w:rPr>
          <w:sz w:val="20"/>
          <w:szCs w:val="20"/>
          <w:color w:val="auto"/>
        </w:rPr>
      </w:pPr>
      <w:r>
        <w:rPr>
          <w:rFonts w:ascii="Times New Roman" w:cs="Times New Roman" w:eastAsia="Times New Roman" w:hAnsi="Times New Roman"/>
          <w:sz w:val="14"/>
          <w:szCs w:val="14"/>
          <w:color w:val="auto"/>
        </w:rPr>
        <w:t>in this</w:t>
      </w:r>
    </w:p>
    <w:p>
      <w:pPr>
        <w:spacing w:after="0" w:line="1" w:lineRule="exact"/>
        <w:rPr>
          <w:sz w:val="20"/>
          <w:szCs w:val="20"/>
          <w:color w:val="auto"/>
        </w:rPr>
      </w:pPr>
    </w:p>
    <w:p>
      <w:pPr>
        <w:ind w:left="480"/>
        <w:spacing w:after="0"/>
        <w:tabs>
          <w:tab w:leader="none" w:pos="1640" w:val="left"/>
        </w:tabs>
        <w:rPr>
          <w:sz w:val="20"/>
          <w:szCs w:val="20"/>
          <w:color w:val="auto"/>
        </w:rPr>
      </w:pPr>
      <w:r>
        <w:rPr>
          <w:rFonts w:ascii="Times New Roman" w:cs="Times New Roman" w:eastAsia="Times New Roman" w:hAnsi="Times New Roman"/>
          <w:sz w:val="14"/>
          <w:szCs w:val="14"/>
          <w:color w:val="auto"/>
        </w:rPr>
        <w:t>Report</w:t>
      </w:r>
      <w:r>
        <w:rPr>
          <w:sz w:val="20"/>
          <w:szCs w:val="20"/>
          <w:color w:val="auto"/>
        </w:rPr>
        <w:tab/>
      </w:r>
      <w:r>
        <w:rPr>
          <w:rFonts w:ascii="Times New Roman" w:cs="Times New Roman" w:eastAsia="Times New Roman" w:hAnsi="Times New Roman"/>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22225</wp:posOffset>
            </wp:positionV>
            <wp:extent cx="70034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185" w:lineRule="exact"/>
        <w:rPr>
          <w:sz w:val="20"/>
          <w:szCs w:val="20"/>
          <w:color w:val="auto"/>
        </w:rPr>
      </w:pPr>
    </w:p>
    <w:p>
      <w:pPr>
        <w:ind w:left="1660" w:hanging="1083"/>
        <w:spacing w:after="0"/>
        <w:tabs>
          <w:tab w:leader="none" w:pos="1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Registrant’s News Release</w:t>
      </w:r>
    </w:p>
    <w:p>
      <w:pPr>
        <w:spacing w:after="0" w:line="27" w:lineRule="exact"/>
        <w:rPr>
          <w:sz w:val="20"/>
          <w:szCs w:val="20"/>
          <w:color w:val="auto"/>
        </w:rPr>
      </w:pPr>
    </w:p>
    <w:tbl>
      <w:tblPr>
        <w:tblLayout w:type="fixed"/>
        <w:tblInd w:w="540" w:type="dxa"/>
        <w:tblCellMar>
          <w:top w:w="0" w:type="dxa"/>
          <w:left w:w="0" w:type="dxa"/>
          <w:bottom w:w="0" w:type="dxa"/>
          <w:right w:w="0" w:type="dxa"/>
        </w:tblCellMar>
      </w:tblPr>
      <w:tr>
        <w:trPr>
          <w:trHeight w:val="225"/>
        </w:trPr>
        <w:tc>
          <w:tcPr>
            <w:tcW w:w="680" w:type="dxa"/>
            <w:vAlign w:val="bottom"/>
          </w:tcPr>
          <w:p>
            <w:pPr>
              <w:spacing w:after="0"/>
              <w:rPr>
                <w:sz w:val="19"/>
                <w:szCs w:val="19"/>
                <w:color w:val="auto"/>
              </w:rPr>
            </w:pPr>
          </w:p>
        </w:tc>
        <w:tc>
          <w:tcPr>
            <w:tcW w:w="6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Dated September 18, 2025</w:t>
            </w:r>
          </w:p>
        </w:tc>
      </w:tr>
      <w:tr>
        <w:trPr>
          <w:trHeight w:val="234"/>
        </w:trPr>
        <w:tc>
          <w:tcPr>
            <w:tcW w:w="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104</w:t>
            </w:r>
          </w:p>
        </w:tc>
        <w:tc>
          <w:tcPr>
            <w:tcW w:w="62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767080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72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45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18, 2025</w:t>
            </w:r>
          </w:p>
        </w:tc>
        <w:tc>
          <w:tcPr>
            <w:tcW w:w="29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Rafael R. Lizardi</w:t>
            </w:r>
          </w:p>
        </w:tc>
      </w:tr>
      <w:tr>
        <w:trPr>
          <w:trHeight w:val="218"/>
        </w:trPr>
        <w:tc>
          <w:tcPr>
            <w:tcW w:w="39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Rafael R. Lizardi</w:t>
            </w:r>
          </w:p>
        </w:tc>
      </w:tr>
      <w:tr>
        <w:trPr>
          <w:trHeight w:val="229"/>
        </w:trPr>
        <w:tc>
          <w:tcPr>
            <w:tcW w:w="39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34"/>
        </w:trPr>
        <w:tc>
          <w:tcPr>
            <w:tcW w:w="39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891"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TI increases dividend 4% to $1.42 per share, marking 22 consecutive years of increases</w:t>
      </w:r>
    </w:p>
    <w:p>
      <w:pPr>
        <w:spacing w:after="0" w:line="2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DALLAS (Sept. 18, 2025) – Texas Instruments Incorporated (TI) (Nasdaq: TXN) today said it will raise its quarterly cash dividend 4%, from $1.36 per share to $1.42, or $5.68 annualized. The higher dividend will be payable November 12, 2025, to stockholders of record on October 31, 2025, contingent upon formal declaration by the board of directors at its regular meeting in October.</w:t>
      </w:r>
    </w:p>
    <w:p>
      <w:pPr>
        <w:spacing w:after="0" w:line="203"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2"/>
          <w:szCs w:val="22"/>
          <w:color w:val="auto"/>
        </w:rPr>
        <w:t>The increase is consistent with TI’s long-term objective for dividends by providing a sustainable and growing dividend and reflects the company’s continued commitment to return all free cash flow to its owners over time. Today’s announcement marks 22 consecutive years of dividend increases.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 regarding forward-looking statements</w:t>
      </w:r>
    </w:p>
    <w:p>
      <w:pPr>
        <w:spacing w:after="0" w:line="25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2"/>
          <w:szCs w:val="22"/>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8"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22"/>
          <w:szCs w:val="22"/>
          <w:color w:val="auto"/>
        </w:rPr>
        <w:t>We urge you to carefully consider the following important factors that could cause actual results to differ materially from the expectations of TI or our management:</w:t>
      </w:r>
    </w:p>
    <w:p>
      <w:pPr>
        <w:spacing w:after="0" w:line="185" w:lineRule="exact"/>
        <w:rPr>
          <w:sz w:val="20"/>
          <w:szCs w:val="20"/>
          <w:color w:val="auto"/>
        </w:rPr>
      </w:pPr>
    </w:p>
    <w:p>
      <w:pPr>
        <w:ind w:left="660" w:right="100" w:hanging="328"/>
        <w:spacing w:after="0" w:line="260"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Economic, social and political conditions, and natural events in the countries in which we, our customers or our suppliers operate, including global trade policies;</w:t>
      </w:r>
    </w:p>
    <w:p>
      <w:pPr>
        <w:spacing w:after="0" w:line="1" w:lineRule="exact"/>
        <w:rPr>
          <w:rFonts w:ascii="Arial" w:cs="Arial" w:eastAsia="Arial" w:hAnsi="Arial"/>
          <w:sz w:val="22"/>
          <w:szCs w:val="22"/>
          <w:color w:val="auto"/>
        </w:rPr>
      </w:pPr>
    </w:p>
    <w:p>
      <w:pPr>
        <w:ind w:left="660" w:right="480" w:hanging="328"/>
        <w:spacing w:after="0" w:line="243"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 demand for semiconductors, particularly in the industrial and automotive markets, and customer demand that differs from forecasts;</w:t>
      </w: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compete in products and prices in an intensely competitive industry;</w:t>
      </w:r>
    </w:p>
    <w:p>
      <w:pPr>
        <w:spacing w:after="0" w:line="3" w:lineRule="exact"/>
        <w:rPr>
          <w:rFonts w:ascii="Times New Roman" w:cs="Times New Roman" w:eastAsia="Times New Roman" w:hAnsi="Times New Roman"/>
          <w:sz w:val="22"/>
          <w:szCs w:val="22"/>
          <w:color w:val="auto"/>
        </w:rPr>
      </w:pPr>
    </w:p>
    <w:p>
      <w:pPr>
        <w:ind w:left="660" w:right="680" w:hanging="328"/>
        <w:spacing w:after="0" w:line="249"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Evolving cybersecurity and other threats relating to our information technology systems or those of our customers, suppliers and other third parties;</w:t>
      </w:r>
    </w:p>
    <w:p>
      <w:pPr>
        <w:spacing w:after="0" w:line="1" w:lineRule="exact"/>
        <w:rPr>
          <w:rFonts w:ascii="Times New Roman" w:cs="Times New Roman" w:eastAsia="Times New Roman" w:hAnsi="Times New Roman"/>
          <w:sz w:val="22"/>
          <w:szCs w:val="22"/>
          <w:color w:val="auto"/>
        </w:rPr>
      </w:pPr>
    </w:p>
    <w:p>
      <w:pPr>
        <w:ind w:left="660" w:right="20" w:hanging="328"/>
        <w:spacing w:after="0" w:line="254" w:lineRule="auto"/>
        <w:tabs>
          <w:tab w:leader="none" w:pos="65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1" w:lineRule="exact"/>
        <w:rPr>
          <w:rFonts w:ascii="Times New Roman" w:cs="Times New Roman" w:eastAsia="Times New Roman" w:hAnsi="Times New Roman"/>
          <w:sz w:val="21"/>
          <w:szCs w:val="21"/>
          <w:color w:val="auto"/>
        </w:rPr>
      </w:pPr>
    </w:p>
    <w:p>
      <w:pPr>
        <w:jc w:val="both"/>
        <w:ind w:left="660" w:right="40" w:hanging="328"/>
        <w:spacing w:after="0" w:line="247"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1" w:lineRule="exact"/>
        <w:rPr>
          <w:rFonts w:ascii="Times New Roman" w:cs="Times New Roman" w:eastAsia="Times New Roman" w:hAnsi="Times New Roman"/>
          <w:sz w:val="22"/>
          <w:szCs w:val="22"/>
          <w:color w:val="auto"/>
        </w:rPr>
      </w:pPr>
    </w:p>
    <w:p>
      <w:pPr>
        <w:ind w:left="660" w:right="800" w:hanging="328"/>
        <w:spacing w:after="0" w:line="248"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Availability and cost of key materials, utilities, manufacturing equipment, third-party manufacturing services and manufacturing technology;</w:t>
      </w:r>
    </w:p>
    <w:p>
      <w:pPr>
        <w:sectPr>
          <w:pgSz w:w="11900" w:h="16838" w:orient="portrait"/>
          <w:cols w:equalWidth="0" w:num="1">
            <w:col w:w="11240"/>
          </w:cols>
          <w:pgMar w:left="320" w:top="122" w:right="339" w:bottom="1440" w:gutter="0" w:footer="0" w:header="0"/>
        </w:sectPr>
      </w:pPr>
    </w:p>
    <w:bookmarkStart w:id="4" w:name="page5"/>
    <w:bookmarkEnd w:id="4"/>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recruit and retain skilled personnel and effectively manage key employee succession;</w:t>
      </w:r>
    </w:p>
    <w:p>
      <w:pPr>
        <w:spacing w:after="0" w:line="27" w:lineRule="exact"/>
        <w:rPr>
          <w:rFonts w:ascii="Times New Roman" w:cs="Times New Roman" w:eastAsia="Times New Roman" w:hAnsi="Times New Roman"/>
          <w:sz w:val="22"/>
          <w:szCs w:val="22"/>
          <w:color w:val="auto"/>
        </w:rPr>
      </w:pPr>
    </w:p>
    <w:p>
      <w:pPr>
        <w:ind w:left="660" w:right="160" w:hanging="328"/>
        <w:spacing w:after="0" w:line="244"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 liability, warranty or other claims relating to our products, software, manufacturing, delivery, services, design or communications, or recalls by our customers for a product containing one of our parts;</w:t>
      </w:r>
    </w:p>
    <w:p>
      <w:pPr>
        <w:ind w:left="660" w:right="100" w:hanging="328"/>
        <w:spacing w:after="0" w:line="246"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3" w:lineRule="exact"/>
        <w:rPr>
          <w:rFonts w:ascii="Times New Roman" w:cs="Times New Roman" w:eastAsia="Times New Roman" w:hAnsi="Times New Roman"/>
          <w:sz w:val="22"/>
          <w:szCs w:val="22"/>
          <w:color w:val="auto"/>
        </w:rPr>
      </w:pPr>
    </w:p>
    <w:p>
      <w:pPr>
        <w:ind w:left="660" w:hanging="328"/>
        <w:spacing w:after="0" w:line="247"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1" w:lineRule="exact"/>
        <w:rPr>
          <w:rFonts w:ascii="Times New Roman" w:cs="Times New Roman" w:eastAsia="Times New Roman" w:hAnsi="Times New Roman"/>
          <w:sz w:val="22"/>
          <w:szCs w:val="22"/>
          <w:color w:val="auto"/>
        </w:rPr>
      </w:pPr>
    </w:p>
    <w:p>
      <w:pPr>
        <w:ind w:left="660" w:right="640" w:hanging="328"/>
        <w:spacing w:after="0" w:line="243"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difficulties of our distributors or semiconductor distributors' promotion of competing product lines to our detriment; or disputes with current or former distributors;</w:t>
      </w: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Losses or curtailments of purchases from key customers or the timing and amount of customer inventory adjustments;</w:t>
      </w:r>
    </w:p>
    <w:p>
      <w:pPr>
        <w:spacing w:after="0" w:line="3" w:lineRule="exact"/>
        <w:rPr>
          <w:rFonts w:ascii="Times New Roman" w:cs="Times New Roman" w:eastAsia="Times New Roman" w:hAnsi="Times New Roman"/>
          <w:sz w:val="22"/>
          <w:szCs w:val="22"/>
          <w:color w:val="auto"/>
        </w:rPr>
      </w:pPr>
    </w:p>
    <w:p>
      <w:pPr>
        <w:ind w:left="660" w:right="100" w:hanging="328"/>
        <w:spacing w:after="0" w:line="247"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1" w:lineRule="exact"/>
        <w:rPr>
          <w:rFonts w:ascii="Times New Roman" w:cs="Times New Roman" w:eastAsia="Times New Roman" w:hAnsi="Times New Roman"/>
          <w:sz w:val="22"/>
          <w:szCs w:val="22"/>
          <w:color w:val="auto"/>
        </w:rPr>
      </w:pPr>
    </w:p>
    <w:p>
      <w:pPr>
        <w:ind w:left="660" w:right="620" w:hanging="328"/>
        <w:spacing w:after="0" w:line="243"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ability to maintain and enforce a strong intellectual property portfolio and maintain freedom of operation in all jurisdictions where we conduct business; or our exposure to infringement claims;</w:t>
      </w: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Instability in the global credit and financial markets; and</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Impairments of our non-financial assets.</w:t>
      </w:r>
    </w:p>
    <w:p>
      <w:pPr>
        <w:spacing w:after="0" w:line="23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Texas Instruments</w:t>
      </w:r>
    </w:p>
    <w:p>
      <w:pPr>
        <w:spacing w:after="0" w:line="25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2"/>
          <w:szCs w:val="22"/>
          <w:color w:val="auto"/>
        </w:rPr>
        <w:t>Texas Instruments Incorporated (Nasdaq: TXN) is a global semiconductor company that designs, manufactures and sells analog and embedded processing chips for markets such as industrial, automotive, personal electronics, enterprise systems and communications equipment. At our core, we have a passion to create a better world by making electronics more affordable through semiconductors. This passion is alive today as each generation of innovation builds upon the last to make our technology more reliable, more affordable and lower power, making it possible for semiconductors to go into electronics everywhere. Learn more at TI.com.</w:t>
      </w:r>
    </w:p>
    <w:sectPr>
      <w:pgSz w:w="11900" w:h="16838" w:orient="portrait"/>
      <w:cols w:equalWidth="0" w:num="1">
        <w:col w:w="11220"/>
      </w:cols>
      <w:pgMar w:left="320" w:top="14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2025-09-18T15:13:32Z</dcterms:created>
  <dcterms:modified xsi:type="dcterms:W3CDTF">2025-09-18T15:13:32Z</dcterms:modified>
</cp:coreProperties>
</file>