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18"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Registration No. 333-209678</w:t>
      </w:r>
    </w:p>
    <w:p>
      <w:pPr>
        <w:spacing w:after="0" w:line="127" w:lineRule="exact"/>
        <w:rPr>
          <w:sz w:val="24"/>
          <w:szCs w:val="24"/>
          <w:color w:val="auto"/>
        </w:rPr>
      </w:pPr>
    </w:p>
    <w:p>
      <w:pPr>
        <w:jc w:val="both"/>
        <w:ind w:right="40"/>
        <w:spacing w:after="0" w:line="343" w:lineRule="auto"/>
        <w:rPr>
          <w:sz w:val="20"/>
          <w:szCs w:val="20"/>
          <w:color w:val="auto"/>
        </w:rPr>
      </w:pPr>
      <w:r>
        <w:rPr>
          <w:rFonts w:ascii="Arial" w:cs="Arial" w:eastAsia="Arial" w:hAnsi="Arial"/>
          <w:sz w:val="15"/>
          <w:szCs w:val="15"/>
          <w:b w:val="1"/>
          <w:bCs w:val="1"/>
          <w:color w:val="E2231A"/>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57"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E2231A"/>
        </w:rPr>
        <w:t>SUBJECT TO COMPLETION, DATED APRIL 29, 2016</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February 24,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254635</wp:posOffset>
            </wp:positionV>
            <wp:extent cx="286448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5220" w:hanging="948"/>
        <w:spacing w:after="0"/>
        <w:tabs>
          <w:tab w:leader="none" w:pos="5220" w:val="left"/>
        </w:tabs>
        <w:numPr>
          <w:ilvl w:val="0"/>
          <w:numId w:val="1"/>
        </w:numPr>
        <w:rPr>
          <w:rFonts w:ascii="Arial" w:cs="Arial" w:eastAsia="Arial" w:hAnsi="Arial"/>
          <w:sz w:val="25"/>
          <w:szCs w:val="25"/>
          <w:b w:val="1"/>
          <w:bCs w:val="1"/>
          <w:color w:val="auto"/>
        </w:rPr>
      </w:pPr>
      <w:r>
        <w:rPr>
          <w:rFonts w:ascii="Arial" w:cs="Arial" w:eastAsia="Arial" w:hAnsi="Arial"/>
          <w:sz w:val="25"/>
          <w:szCs w:val="25"/>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243840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tabs>
          <w:tab w:leader="none" w:pos="3600" w:val="left"/>
          <w:tab w:leader="none" w:pos="6200" w:val="left"/>
          <w:tab w:leader="none" w:pos="7560" w:val="left"/>
        </w:tabs>
        <w:rPr>
          <w:sz w:val="20"/>
          <w:szCs w:val="20"/>
          <w:color w:val="auto"/>
        </w:rPr>
      </w:pPr>
      <w:r>
        <w:rPr>
          <w:rFonts w:ascii="Arial" w:cs="Arial" w:eastAsia="Arial" w:hAnsi="Arial"/>
          <w:sz w:val="18"/>
          <w:szCs w:val="18"/>
          <w:color w:val="auto"/>
        </w:rPr>
        <w:t>Texas Instruments Incorporated is offering $</w:t>
      </w:r>
      <w:r>
        <w:rPr>
          <w:sz w:val="20"/>
          <w:szCs w:val="20"/>
          <w:color w:val="auto"/>
        </w:rPr>
        <w:tab/>
      </w:r>
      <w:r>
        <w:rPr>
          <w:rFonts w:ascii="Arial" w:cs="Arial" w:eastAsia="Arial" w:hAnsi="Arial"/>
          <w:sz w:val="18"/>
          <w:szCs w:val="18"/>
          <w:color w:val="auto"/>
        </w:rPr>
        <w:t>aggregate principal amount of its</w:t>
        <w:tab/>
        <w:t>% Notes due 20</w:t>
      </w:r>
      <w:r>
        <w:rPr>
          <w:sz w:val="20"/>
          <w:szCs w:val="20"/>
          <w:color w:val="auto"/>
        </w:rPr>
        <w:tab/>
      </w:r>
      <w:r>
        <w:rPr>
          <w:rFonts w:ascii="Arial" w:cs="Arial" w:eastAsia="Arial" w:hAnsi="Arial"/>
          <w:sz w:val="16"/>
          <w:szCs w:val="16"/>
          <w:color w:val="auto"/>
        </w:rPr>
        <w:t>(the “Notes”), which will bear interest at the rate per</w:t>
      </w:r>
    </w:p>
    <w:p>
      <w:pPr>
        <w:spacing w:after="0" w:line="23" w:lineRule="exact"/>
        <w:rPr>
          <w:sz w:val="24"/>
          <w:szCs w:val="24"/>
          <w:color w:val="auto"/>
        </w:rPr>
      </w:pPr>
    </w:p>
    <w:p>
      <w:pPr>
        <w:spacing w:after="0"/>
        <w:tabs>
          <w:tab w:leader="none" w:pos="6840" w:val="left"/>
          <w:tab w:leader="none" w:pos="7540" w:val="left"/>
          <w:tab w:leader="none" w:pos="10000" w:val="left"/>
        </w:tabs>
        <w:rPr>
          <w:sz w:val="20"/>
          <w:szCs w:val="20"/>
          <w:color w:val="auto"/>
        </w:rPr>
      </w:pPr>
      <w:r>
        <w:rPr>
          <w:rFonts w:ascii="Arial" w:cs="Arial" w:eastAsia="Arial" w:hAnsi="Arial"/>
          <w:sz w:val="18"/>
          <w:szCs w:val="18"/>
          <w:color w:val="auto"/>
        </w:rPr>
        <w:t>year, as set forth above. Interest on the Notes will be payable semi-annually 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w:t>
      </w:r>
      <w:r>
        <w:rPr>
          <w:sz w:val="20"/>
          <w:szCs w:val="20"/>
          <w:color w:val="auto"/>
        </w:rPr>
        <w:tab/>
      </w:r>
      <w:r>
        <w:rPr>
          <w:rFonts w:ascii="Arial" w:cs="Arial" w:eastAsia="Arial" w:hAnsi="Arial"/>
          <w:sz w:val="15"/>
          <w:szCs w:val="15"/>
          <w:color w:val="auto"/>
        </w:rPr>
        <w:t>, 2016.</w:t>
      </w:r>
    </w:p>
    <w:p>
      <w:pPr>
        <w:spacing w:after="0" w:line="251" w:lineRule="exact"/>
        <w:rPr>
          <w:sz w:val="24"/>
          <w:szCs w:val="24"/>
          <w:color w:val="auto"/>
        </w:rPr>
      </w:pPr>
    </w:p>
    <w:p>
      <w:pPr>
        <w:spacing w:after="0"/>
        <w:tabs>
          <w:tab w:leader="none" w:pos="2780" w:val="left"/>
          <w:tab w:leader="none" w:pos="3400" w:val="left"/>
        </w:tabs>
        <w:rPr>
          <w:sz w:val="20"/>
          <w:szCs w:val="20"/>
          <w:color w:val="auto"/>
        </w:rPr>
      </w:pPr>
      <w:r>
        <w:rPr>
          <w:rFonts w:ascii="Arial" w:cs="Arial" w:eastAsia="Arial" w:hAnsi="Arial"/>
          <w:sz w:val="18"/>
          <w:szCs w:val="18"/>
          <w:color w:val="auto"/>
        </w:rPr>
        <w:t>The Notes will mature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52" w:lineRule="exact"/>
        <w:rPr>
          <w:sz w:val="24"/>
          <w:szCs w:val="24"/>
          <w:color w:val="auto"/>
        </w:rPr>
      </w:pPr>
    </w:p>
    <w:p>
      <w:pPr>
        <w:ind w:right="800"/>
        <w:spacing w:after="0" w:line="277" w:lineRule="auto"/>
        <w:rPr>
          <w:sz w:val="20"/>
          <w:szCs w:val="20"/>
          <w:color w:val="auto"/>
        </w:rPr>
      </w:pPr>
      <w:r>
        <w:rPr>
          <w:rFonts w:ascii="Arial" w:cs="Arial" w:eastAsia="Arial" w:hAnsi="Arial"/>
          <w:sz w:val="18"/>
          <w:szCs w:val="18"/>
          <w:color w:val="auto"/>
        </w:rPr>
        <w:t>We may redeem some or all of the Notes at any time, each at the redemption price indicated under the caption “Description of the Notes—Optional Redemption.”</w:t>
      </w:r>
    </w:p>
    <w:p>
      <w:pPr>
        <w:spacing w:after="0" w:line="21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198" w:lineRule="exact"/>
        <w:rPr>
          <w:sz w:val="24"/>
          <w:szCs w:val="24"/>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S-8.</w:t>
      </w:r>
    </w:p>
    <w:p>
      <w:pPr>
        <w:spacing w:after="0" w:line="242" w:lineRule="exact"/>
        <w:rPr>
          <w:sz w:val="24"/>
          <w:szCs w:val="24"/>
          <w:color w:val="auto"/>
        </w:rPr>
      </w:pPr>
    </w:p>
    <w:p>
      <w:pPr>
        <w:ind w:right="200"/>
        <w:spacing w:after="0" w:line="266"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53" w:lineRule="exact"/>
        <w:rPr>
          <w:sz w:val="24"/>
          <w:szCs w:val="24"/>
          <w:color w:val="auto"/>
        </w:rPr>
      </w:pPr>
    </w:p>
    <w:tbl>
      <w:tblPr>
        <w:tblLayout w:type="fixed"/>
        <w:tblInd w:w="13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0"/>
              </w:rPr>
              <w:t>Per Note</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w w:val="87"/>
              </w:rPr>
              <w:t>%</w:t>
            </w:r>
          </w:p>
        </w:tc>
        <w:tc>
          <w:tcPr>
            <w:tcW w:w="88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88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w w:val="92"/>
              </w:rPr>
              <w:t>Interest on the Notes will accrue from May</w:t>
            </w:r>
          </w:p>
        </w:tc>
        <w:tc>
          <w:tcPr>
            <w:tcW w:w="2420" w:type="dxa"/>
            <w:vAlign w:val="bottom"/>
            <w:gridSpan w:val="2"/>
          </w:tcPr>
          <w:p>
            <w:pPr>
              <w:ind w:left="200"/>
              <w:spacing w:after="0"/>
              <w:rPr>
                <w:sz w:val="20"/>
                <w:szCs w:val="20"/>
                <w:color w:val="auto"/>
              </w:rPr>
            </w:pPr>
            <w:r>
              <w:rPr>
                <w:rFonts w:ascii="Arial" w:cs="Arial" w:eastAsia="Arial" w:hAnsi="Arial"/>
                <w:sz w:val="18"/>
                <w:szCs w:val="18"/>
                <w:color w:val="auto"/>
                <w:w w:val="94"/>
              </w:rPr>
              <w:t>, 2016 to the date of delivery.</w:t>
            </w: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58"/>
        </w:trPr>
        <w:tc>
          <w:tcPr>
            <w:tcW w:w="5560" w:type="dxa"/>
            <w:vAlign w:val="bottom"/>
            <w:gridSpan w:val="3"/>
          </w:tcPr>
          <w:p>
            <w:pPr>
              <w:spacing w:after="0"/>
              <w:rPr>
                <w:sz w:val="20"/>
                <w:szCs w:val="20"/>
                <w:color w:val="auto"/>
              </w:rPr>
            </w:pPr>
            <w:r>
              <w:rPr>
                <w:rFonts w:ascii="Arial" w:cs="Arial" w:eastAsia="Arial" w:hAnsi="Arial"/>
                <w:sz w:val="18"/>
                <w:szCs w:val="18"/>
                <w:color w:val="auto"/>
                <w:w w:val="91"/>
              </w:rPr>
              <w:t>The underwriters expect to deliver the Notes to purchasers on or about May</w:t>
            </w:r>
          </w:p>
        </w:tc>
        <w:tc>
          <w:tcPr>
            <w:tcW w:w="5860" w:type="dxa"/>
            <w:vAlign w:val="bottom"/>
            <w:gridSpan w:val="3"/>
          </w:tcPr>
          <w:p>
            <w:pPr>
              <w:ind w:left="120"/>
              <w:spacing w:after="0"/>
              <w:rPr>
                <w:sz w:val="20"/>
                <w:szCs w:val="20"/>
                <w:color w:val="auto"/>
              </w:rPr>
            </w:pPr>
            <w:r>
              <w:rPr>
                <w:rFonts w:ascii="Arial" w:cs="Arial" w:eastAsia="Arial" w:hAnsi="Arial"/>
                <w:sz w:val="18"/>
                <w:szCs w:val="18"/>
                <w:color w:val="auto"/>
                <w:w w:val="95"/>
              </w:rPr>
              <w:t>, 2016, only in book-entry form through the facilities of The Depository Trust</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Company.</w:t>
            </w: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51"/>
        </w:trPr>
        <w:tc>
          <w:tcPr>
            <w:tcW w:w="3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80" w:type="dxa"/>
            <w:vAlign w:val="bottom"/>
            <w:tcBorders>
              <w:bottom w:val="single" w:sz="8" w:color="auto"/>
            </w:tcBorders>
            <w:gridSpan w:val="2"/>
          </w:tcPr>
          <w:p>
            <w:pPr>
              <w:spacing w:after="0"/>
              <w:rPr>
                <w:sz w:val="24"/>
                <w:szCs w:val="24"/>
                <w:color w:val="auto"/>
              </w:rPr>
            </w:pPr>
          </w:p>
        </w:tc>
        <w:tc>
          <w:tcPr>
            <w:tcW w:w="15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26"/>
        </w:trPr>
        <w:tc>
          <w:tcPr>
            <w:tcW w:w="3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20" w:type="dxa"/>
            <w:vAlign w:val="bottom"/>
            <w:gridSpan w:val="3"/>
          </w:tcPr>
          <w:p>
            <w:pPr>
              <w:ind w:left="80"/>
              <w:spacing w:after="0"/>
              <w:rPr>
                <w:sz w:val="20"/>
                <w:szCs w:val="20"/>
                <w:color w:val="auto"/>
              </w:rPr>
            </w:pPr>
            <w:r>
              <w:rPr>
                <w:rFonts w:ascii="Arial" w:cs="Arial" w:eastAsia="Arial" w:hAnsi="Arial"/>
                <w:sz w:val="18"/>
                <w:szCs w:val="18"/>
                <w:i w:val="1"/>
                <w:iCs w:val="1"/>
                <w:color w:val="auto"/>
              </w:rPr>
              <w:t>Joint Book-Running Managers</w:t>
            </w:r>
          </w:p>
        </w:tc>
        <w:tc>
          <w:tcPr>
            <w:tcW w:w="2980" w:type="dxa"/>
            <w:vAlign w:val="bottom"/>
          </w:tcPr>
          <w:p>
            <w:pPr>
              <w:spacing w:after="0"/>
              <w:rPr>
                <w:sz w:val="24"/>
                <w:szCs w:val="24"/>
                <w:color w:val="auto"/>
              </w:rPr>
            </w:pPr>
          </w:p>
        </w:tc>
      </w:tr>
      <w:tr>
        <w:trPr>
          <w:trHeight w:val="623"/>
        </w:trPr>
        <w:tc>
          <w:tcPr>
            <w:tcW w:w="3140" w:type="dxa"/>
            <w:vAlign w:val="bottom"/>
          </w:tcPr>
          <w:p>
            <w:pPr>
              <w:spacing w:after="0"/>
              <w:rPr>
                <w:sz w:val="20"/>
                <w:szCs w:val="20"/>
                <w:color w:val="auto"/>
              </w:rPr>
            </w:pPr>
            <w:r>
              <w:rPr>
                <w:rFonts w:ascii="Arial" w:cs="Arial" w:eastAsia="Arial" w:hAnsi="Arial"/>
                <w:sz w:val="32"/>
                <w:szCs w:val="32"/>
                <w:b w:val="1"/>
                <w:bCs w:val="1"/>
                <w:color w:val="auto"/>
              </w:rPr>
              <w:t>Barclays</w:t>
            </w:r>
          </w:p>
        </w:tc>
        <w:tc>
          <w:tcPr>
            <w:tcW w:w="5300" w:type="dxa"/>
            <w:vAlign w:val="bottom"/>
            <w:gridSpan w:val="4"/>
          </w:tcPr>
          <w:p>
            <w:pPr>
              <w:ind w:left="340"/>
              <w:spacing w:after="0"/>
              <w:rPr>
                <w:sz w:val="20"/>
                <w:szCs w:val="20"/>
                <w:color w:val="auto"/>
              </w:rPr>
            </w:pPr>
            <w:r>
              <w:rPr>
                <w:rFonts w:ascii="Arial" w:cs="Arial" w:eastAsia="Arial" w:hAnsi="Arial"/>
                <w:sz w:val="32"/>
                <w:szCs w:val="32"/>
                <w:b w:val="1"/>
                <w:bCs w:val="1"/>
                <w:color w:val="auto"/>
              </w:rPr>
              <w:t>BofA Merrill Lynch</w:t>
            </w:r>
          </w:p>
        </w:tc>
        <w:tc>
          <w:tcPr>
            <w:tcW w:w="2980" w:type="dxa"/>
            <w:vAlign w:val="bottom"/>
          </w:tcPr>
          <w:p>
            <w:pPr>
              <w:jc w:val="right"/>
              <w:spacing w:after="0"/>
              <w:rPr>
                <w:sz w:val="20"/>
                <w:szCs w:val="20"/>
                <w:color w:val="auto"/>
              </w:rPr>
            </w:pPr>
            <w:r>
              <w:rPr>
                <w:rFonts w:ascii="Arial" w:cs="Arial" w:eastAsia="Arial" w:hAnsi="Arial"/>
                <w:sz w:val="32"/>
                <w:szCs w:val="32"/>
                <w:b w:val="1"/>
                <w:bCs w:val="1"/>
                <w:color w:val="auto"/>
              </w:rPr>
              <w:t>Mizuho Securities</w:t>
            </w:r>
          </w:p>
        </w:tc>
      </w:tr>
      <w:tr>
        <w:trPr>
          <w:trHeight w:val="486"/>
        </w:trPr>
        <w:tc>
          <w:tcPr>
            <w:tcW w:w="314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2420" w:type="dxa"/>
            <w:vAlign w:val="bottom"/>
            <w:gridSpan w:val="2"/>
          </w:tcPr>
          <w:p>
            <w:pPr>
              <w:ind w:left="40"/>
              <w:spacing w:after="0"/>
              <w:rPr>
                <w:sz w:val="20"/>
                <w:szCs w:val="20"/>
                <w:color w:val="auto"/>
              </w:rPr>
            </w:pPr>
            <w:r>
              <w:rPr>
                <w:rFonts w:ascii="Arial" w:cs="Arial" w:eastAsia="Arial" w:hAnsi="Arial"/>
                <w:sz w:val="32"/>
                <w:szCs w:val="32"/>
                <w:b w:val="1"/>
                <w:bCs w:val="1"/>
                <w:color w:val="auto"/>
              </w:rPr>
              <w:t>J.P. Morgan</w:t>
            </w:r>
          </w:p>
        </w:tc>
        <w:tc>
          <w:tcPr>
            <w:tcW w:w="2880" w:type="dxa"/>
            <w:vAlign w:val="bottom"/>
            <w:gridSpan w:val="2"/>
          </w:tcPr>
          <w:p>
            <w:pPr>
              <w:ind w:left="160"/>
              <w:spacing w:after="0"/>
              <w:rPr>
                <w:sz w:val="20"/>
                <w:szCs w:val="20"/>
                <w:color w:val="auto"/>
              </w:rPr>
            </w:pPr>
            <w:r>
              <w:rPr>
                <w:rFonts w:ascii="Arial" w:cs="Arial" w:eastAsia="Arial" w:hAnsi="Arial"/>
                <w:sz w:val="32"/>
                <w:szCs w:val="32"/>
                <w:b w:val="1"/>
                <w:bCs w:val="1"/>
                <w:color w:val="auto"/>
              </w:rPr>
              <w:t>Morgan Stanley</w:t>
            </w:r>
          </w:p>
        </w:tc>
        <w:tc>
          <w:tcPr>
            <w:tcW w:w="2980" w:type="dxa"/>
            <w:vAlign w:val="bottom"/>
          </w:tcPr>
          <w:p>
            <w:pPr>
              <w:jc w:val="right"/>
              <w:spacing w:after="0"/>
              <w:rPr>
                <w:sz w:val="20"/>
                <w:szCs w:val="20"/>
                <w:color w:val="auto"/>
              </w:rPr>
            </w:pPr>
            <w:r>
              <w:rPr>
                <w:rFonts w:ascii="Arial" w:cs="Arial" w:eastAsia="Arial" w:hAnsi="Arial"/>
                <w:sz w:val="32"/>
                <w:szCs w:val="32"/>
                <w:b w:val="1"/>
                <w:bCs w:val="1"/>
                <w:color w:val="auto"/>
              </w:rPr>
              <w:t>MUFG</w:t>
            </w:r>
          </w:p>
        </w:tc>
      </w:tr>
    </w:tbl>
    <w:p>
      <w:pPr>
        <w:spacing w:after="0" w:line="183" w:lineRule="exact"/>
        <w:rPr>
          <w:sz w:val="24"/>
          <w:szCs w:val="24"/>
          <w:color w:val="auto"/>
        </w:rPr>
      </w:pPr>
    </w:p>
    <w:p>
      <w:pPr>
        <w:sectPr>
          <w:pgSz w:w="11900" w:h="16838" w:orient="portrait"/>
          <w:cols w:equalWidth="0" w:num="1">
            <w:col w:w="11420"/>
          </w:cols>
          <w:pgMar w:left="240" w:top="230" w:right="239" w:bottom="1440" w:gutter="0" w:footer="0" w:header="0"/>
        </w:sect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April</w:t>
        <w:tab/>
        <w:t>, 2016</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20" w:lineRule="auto"/>
        <w:rPr>
          <w:sz w:val="20"/>
          <w:szCs w:val="20"/>
          <w:color w:val="auto"/>
        </w:rPr>
      </w:pPr>
      <w:r>
        <w:rPr>
          <w:rFonts w:ascii="Arial" w:cs="Arial" w:eastAsia="Arial" w:hAnsi="Arial"/>
          <w:sz w:val="15"/>
          <w:szCs w:val="15"/>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153670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80" w:type="dxa"/>
            <w:vAlign w:val="bottom"/>
            <w:gridSpan w:val="3"/>
          </w:tcPr>
          <w:p>
            <w:pPr>
              <w:jc w:val="right"/>
              <w:ind w:right="4454"/>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86"/>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3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Prospectus Supplement</w:t>
            </w:r>
          </w:p>
        </w:tc>
        <w:tc>
          <w:tcPr>
            <w:tcW w:w="3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60" w:type="dxa"/>
            <w:vAlign w:val="bottom"/>
            <w:gridSpan w:val="18"/>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Notice Regarding Forward-Looking Statements</w:t>
              </w:r>
            </w:hyperlink>
          </w:p>
        </w:tc>
        <w:tc>
          <w:tcPr>
            <w:tcW w:w="1160" w:type="dxa"/>
            <w:vAlign w:val="bottom"/>
            <w:gridSpan w:val="2"/>
            <w:vMerge w:val="restart"/>
          </w:tcPr>
          <w:p>
            <w:pPr>
              <w:spacing w:after="0"/>
              <w:rPr>
                <w:sz w:val="16"/>
                <w:szCs w:val="16"/>
                <w:color w:val="auto"/>
              </w:rPr>
            </w:pPr>
          </w:p>
        </w:tc>
        <w:tc>
          <w:tcPr>
            <w:tcW w:w="6300" w:type="dxa"/>
            <w:vAlign w:val="bottom"/>
            <w:gridSpan w:val="2"/>
            <w:vMerge w:val="continue"/>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83"/>
        </w:trPr>
        <w:tc>
          <w:tcPr>
            <w:tcW w:w="3360" w:type="dxa"/>
            <w:vAlign w:val="bottom"/>
            <w:tcBorders>
              <w:bottom w:val="single" w:sz="8" w:color="0000EE"/>
            </w:tcBorders>
            <w:gridSpan w:val="18"/>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3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About this Prospectus Supplement</w:t>
              </w:r>
            </w:hyperlink>
          </w:p>
        </w:tc>
        <w:tc>
          <w:tcPr>
            <w:tcW w:w="2080" w:type="dxa"/>
            <w:vAlign w:val="bottom"/>
            <w:gridSpan w:val="5"/>
          </w:tcPr>
          <w:p>
            <w:pPr>
              <w:spacing w:after="0"/>
              <w:rPr>
                <w:sz w:val="17"/>
                <w:szCs w:val="17"/>
                <w:color w:val="auto"/>
              </w:rPr>
            </w:pPr>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3820" w:type="dxa"/>
            <w:vAlign w:val="bottom"/>
            <w:gridSpan w:val="18"/>
          </w:tcPr>
          <w:p>
            <w:pPr>
              <w:spacing w:after="0"/>
              <w:rPr>
                <w:sz w:val="17"/>
                <w:szCs w:val="17"/>
                <w:color w:val="auto"/>
              </w:rPr>
            </w:pPr>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3620" w:type="dxa"/>
            <w:vAlign w:val="bottom"/>
            <w:gridSpan w:val="17"/>
          </w:tcPr>
          <w:p>
            <w:pPr>
              <w:spacing w:after="0"/>
              <w:rPr>
                <w:sz w:val="17"/>
                <w:szCs w:val="17"/>
                <w:color w:val="auto"/>
              </w:rPr>
            </w:pPr>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3380" w:type="dxa"/>
            <w:vAlign w:val="bottom"/>
            <w:gridSpan w:val="14"/>
          </w:tcPr>
          <w:p>
            <w:pPr>
              <w:spacing w:after="0"/>
              <w:rPr>
                <w:sz w:val="17"/>
                <w:szCs w:val="17"/>
                <w:color w:val="auto"/>
              </w:rPr>
            </w:pPr>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the Notes</w:t>
              </w:r>
            </w:hyperlink>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Material U.S. Federal Income Tax Consequences</w:t>
              </w:r>
            </w:hyperlink>
          </w:p>
        </w:tc>
        <w:tc>
          <w:tcPr>
            <w:tcW w:w="10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Underwriting</w:t>
              </w:r>
            </w:hyperlink>
          </w:p>
        </w:tc>
        <w:tc>
          <w:tcPr>
            <w:tcW w:w="3560" w:type="dxa"/>
            <w:vAlign w:val="bottom"/>
            <w:gridSpan w:val="16"/>
          </w:tcPr>
          <w:p>
            <w:pPr>
              <w:spacing w:after="0"/>
              <w:rPr>
                <w:sz w:val="17"/>
                <w:szCs w:val="17"/>
                <w:color w:val="auto"/>
              </w:rPr>
            </w:pPr>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S-25</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Validity of Securities</w:t>
              </w:r>
            </w:hyperlink>
          </w:p>
        </w:tc>
        <w:tc>
          <w:tcPr>
            <w:tcW w:w="3020" w:type="dxa"/>
            <w:vAlign w:val="bottom"/>
            <w:gridSpan w:val="10"/>
          </w:tcPr>
          <w:p>
            <w:pPr>
              <w:spacing w:after="0"/>
              <w:rPr>
                <w:sz w:val="17"/>
                <w:szCs w:val="17"/>
                <w:color w:val="auto"/>
              </w:rPr>
            </w:pPr>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S-31</w:t>
            </w:r>
          </w:p>
        </w:tc>
        <w:tc>
          <w:tcPr>
            <w:tcW w:w="0" w:type="dxa"/>
            <w:vAlign w:val="bottom"/>
          </w:tcPr>
          <w:p>
            <w:pPr>
              <w:spacing w:after="0"/>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Experts</w:t>
              </w:r>
            </w:hyperlink>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w:t>
              </w:r>
            </w:hyperlink>
          </w:p>
        </w:tc>
        <w:tc>
          <w:tcPr>
            <w:tcW w:w="2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S-31</w:t>
            </w:r>
          </w:p>
        </w:tc>
        <w:tc>
          <w:tcPr>
            <w:tcW w:w="0" w:type="dxa"/>
            <w:vAlign w:val="bottom"/>
          </w:tcPr>
          <w:p>
            <w:pPr>
              <w:spacing w:after="0"/>
              <w:rPr>
                <w:sz w:val="1"/>
                <w:szCs w:val="1"/>
                <w:color w:val="auto"/>
              </w:rPr>
            </w:pPr>
          </w:p>
        </w:tc>
      </w:tr>
      <w:tr>
        <w:trPr>
          <w:trHeight w:val="336"/>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80" w:type="dxa"/>
            <w:vAlign w:val="bottom"/>
            <w:gridSpan w:val="3"/>
          </w:tcPr>
          <w:p>
            <w:pPr>
              <w:jc w:val="right"/>
              <w:ind w:right="5094"/>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84"/>
        </w:trPr>
        <w:tc>
          <w:tcPr>
            <w:tcW w:w="4520" w:type="dxa"/>
            <w:vAlign w:val="bottom"/>
            <w:gridSpan w:val="20"/>
          </w:tcPr>
          <w:p>
            <w:pPr>
              <w:spacing w:after="0" w:line="184" w:lineRule="exact"/>
              <w:rPr>
                <w:rFonts w:ascii="Arial" w:cs="Arial" w:eastAsia="Arial" w:hAnsi="Arial"/>
                <w:sz w:val="18"/>
                <w:szCs w:val="18"/>
                <w:color w:val="0000EE"/>
              </w:rPr>
            </w:pPr>
            <w:hyperlink w:anchor="page39">
              <w:r>
                <w:rPr>
                  <w:rFonts w:ascii="Arial" w:cs="Arial" w:eastAsia="Arial" w:hAnsi="Arial"/>
                  <w:sz w:val="18"/>
                  <w:szCs w:val="18"/>
                  <w:color w:val="0000EE"/>
                </w:rPr>
                <w:t>The Company</w:t>
              </w:r>
            </w:hyperlink>
          </w:p>
        </w:tc>
        <w:tc>
          <w:tcPr>
            <w:tcW w:w="66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About this Prospectus</w:t>
              </w:r>
            </w:hyperlink>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Notice Regarding Forward-Looking Statements</w:t>
              </w:r>
            </w:hyperlink>
          </w:p>
        </w:tc>
        <w:tc>
          <w:tcPr>
            <w:tcW w:w="1160" w:type="dxa"/>
            <w:vAlign w:val="bottom"/>
            <w:gridSpan w:val="2"/>
          </w:tcPr>
          <w:p>
            <w:pPr>
              <w:spacing w:after="0"/>
              <w:rPr>
                <w:sz w:val="17"/>
                <w:szCs w:val="17"/>
                <w:color w:val="auto"/>
              </w:rPr>
            </w:pPr>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Ratios of Earnings to Fixed Charges</w:t>
              </w:r>
            </w:hyperlink>
          </w:p>
        </w:tc>
        <w:tc>
          <w:tcPr>
            <w:tcW w:w="1960" w:type="dxa"/>
            <w:vAlign w:val="bottom"/>
            <w:gridSpan w:val="4"/>
          </w:tcPr>
          <w:p>
            <w:pPr>
              <w:spacing w:after="0"/>
              <w:rPr>
                <w:sz w:val="17"/>
                <w:szCs w:val="17"/>
                <w:color w:val="auto"/>
              </w:rPr>
            </w:pPr>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Description of Capital Stock</w:t>
              </w:r>
            </w:hyperlink>
          </w:p>
        </w:tc>
        <w:tc>
          <w:tcPr>
            <w:tcW w:w="2500" w:type="dxa"/>
            <w:vAlign w:val="bottom"/>
            <w:gridSpan w:val="7"/>
          </w:tcPr>
          <w:p>
            <w:pPr>
              <w:spacing w:after="0"/>
              <w:rPr>
                <w:sz w:val="17"/>
                <w:szCs w:val="17"/>
                <w:color w:val="auto"/>
              </w:rPr>
            </w:pPr>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Description of Debt Securities</w:t>
              </w:r>
            </w:hyperlink>
          </w:p>
        </w:tc>
        <w:tc>
          <w:tcPr>
            <w:tcW w:w="2380" w:type="dxa"/>
            <w:vAlign w:val="bottom"/>
            <w:gridSpan w:val="6"/>
          </w:tcPr>
          <w:p>
            <w:pPr>
              <w:spacing w:after="0"/>
              <w:rPr>
                <w:sz w:val="17"/>
                <w:szCs w:val="17"/>
                <w:color w:val="auto"/>
              </w:rPr>
            </w:pPr>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Description of Warrants</w:t>
              </w:r>
            </w:hyperlink>
          </w:p>
        </w:tc>
        <w:tc>
          <w:tcPr>
            <w:tcW w:w="2800" w:type="dxa"/>
            <w:vAlign w:val="bottom"/>
            <w:gridSpan w:val="8"/>
          </w:tcPr>
          <w:p>
            <w:pPr>
              <w:spacing w:after="0"/>
              <w:rPr>
                <w:sz w:val="17"/>
                <w:szCs w:val="17"/>
                <w:color w:val="auto"/>
              </w:rPr>
            </w:pPr>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Units</w:t>
              </w:r>
            </w:hyperlink>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9"/>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Forms of Securities</w:t>
              </w:r>
            </w:hyperlink>
          </w:p>
        </w:tc>
        <w:tc>
          <w:tcPr>
            <w:tcW w:w="3080" w:type="dxa"/>
            <w:vAlign w:val="bottom"/>
            <w:gridSpan w:val="11"/>
          </w:tcPr>
          <w:p>
            <w:pPr>
              <w:spacing w:after="0"/>
              <w:rPr>
                <w:sz w:val="17"/>
                <w:szCs w:val="17"/>
                <w:color w:val="auto"/>
              </w:rPr>
            </w:pPr>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3120" w:type="dxa"/>
            <w:vAlign w:val="bottom"/>
            <w:gridSpan w:val="12"/>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Validity of Securities</w:t>
              </w:r>
            </w:hyperlink>
          </w:p>
        </w:tc>
        <w:tc>
          <w:tcPr>
            <w:tcW w:w="3020" w:type="dxa"/>
            <w:vAlign w:val="bottom"/>
            <w:gridSpan w:val="10"/>
          </w:tcPr>
          <w:p>
            <w:pPr>
              <w:spacing w:after="0"/>
              <w:rPr>
                <w:sz w:val="17"/>
                <w:szCs w:val="17"/>
                <w:color w:val="auto"/>
              </w:rPr>
            </w:pPr>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52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6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5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90" w:lineRule="exact"/>
        <w:rPr>
          <w:rFonts w:ascii="Arial" w:cs="Arial" w:eastAsia="Arial" w:hAnsi="Arial"/>
          <w:sz w:val="18"/>
          <w:szCs w:val="18"/>
          <w:color w:val="auto"/>
        </w:rPr>
      </w:pPr>
    </w:p>
    <w:p>
      <w:pPr>
        <w:jc w:val="both"/>
        <w:ind w:left="900" w:right="46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health conditions, possible disruptions in transportation, communications and information technology networks and fluctuations in foreign currency exchange rates;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maintain and enforce a strong intellectual property portfolio and obtain needed licenses from third parties, expiration of license agreements between us and our patent licensees, and market conditions reducing royalty payments to us;</w:t>
      </w:r>
    </w:p>
    <w:p>
      <w:pPr>
        <w:spacing w:after="0" w:line="4" w:lineRule="exact"/>
        <w:rPr>
          <w:rFonts w:ascii="Arial" w:cs="Arial" w:eastAsia="Arial" w:hAnsi="Arial"/>
          <w:sz w:val="16"/>
          <w:szCs w:val="16"/>
          <w:color w:val="auto"/>
        </w:rPr>
      </w:pPr>
    </w:p>
    <w:p>
      <w:pPr>
        <w:ind w:left="900" w:right="420" w:hanging="446"/>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our products or operate our business, or subject us to fines, penalties, or other legal liability;</w:t>
      </w:r>
    </w:p>
    <w:p>
      <w:pPr>
        <w:spacing w:after="0" w:line="4"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and the ability to realize deferred tax assets;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our business, make strategic acquisitions or make principal and interest payments on our debt;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and our ability to realize our expectations regarding the amount and timing of restructuring charges and associated cost savings;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24, 2016. The accompanying prospectus contains a description of our debt securities and gives more general information, some of which may not apply to this offering.</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26"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Texas Instruments Incorporated</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jc w:val="center"/>
        <w:ind w:left="380"/>
        <w:spacing w:after="0"/>
        <w:rPr>
          <w:sz w:val="20"/>
          <w:szCs w:val="20"/>
          <w:color w:val="auto"/>
        </w:rPr>
      </w:pPr>
      <w:r>
        <w:rPr>
          <w:rFonts w:ascii="Arial" w:cs="Arial" w:eastAsia="Arial" w:hAnsi="Arial"/>
          <w:sz w:val="15"/>
          <w:szCs w:val="15"/>
          <w:color w:val="auto"/>
        </w:rPr>
        <w:t>On April 27, 2016, we announced our results of operations as of and for the three months ended March 31, 2016. A summary of these results is as follows: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1Q16 Results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20"/>
                <w:szCs w:val="20"/>
                <w:color w:val="auto"/>
              </w:rPr>
            </w:pPr>
            <w:r>
              <w:rPr>
                <w:rFonts w:ascii="Arial" w:cs="Arial" w:eastAsia="Arial" w:hAnsi="Arial"/>
                <w:sz w:val="14"/>
                <w:szCs w:val="14"/>
                <w:b w:val="1"/>
                <w:bCs w:val="1"/>
                <w:color w:val="auto"/>
              </w:rPr>
              <w:t>(Millions of dollars, except per-share amounts)</w:t>
            </w:r>
          </w:p>
        </w:tc>
        <w:tc>
          <w:tcPr>
            <w:tcW w:w="8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87"/>
              </w:rPr>
              <w:t>1Q16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7"/>
              </w:rPr>
              <w:t>1Q15</w:t>
            </w:r>
          </w:p>
        </w:tc>
        <w:tc>
          <w:tcPr>
            <w:tcW w:w="4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3,008</w:t>
            </w: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3,150</w:t>
            </w:r>
          </w:p>
        </w:tc>
        <w:tc>
          <w:tcPr>
            <w:tcW w:w="48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profit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968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958</w:t>
            </w:r>
          </w:p>
        </w:tc>
        <w:tc>
          <w:tcPr>
            <w:tcW w:w="4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1Q16 Additional Financial Information</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Analog and Embedded Processing segments contributed 87 percent of revenue in the first quarter.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short-term investments were $2.8 billion at the end of the quarter, 80 percent of which was owned by our U.S. entities.</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in the first quarter was $423 million. For the trailing twelve months, free cash flow was $3.7 billion, or 28 percent of revenue, as compared with $3.6 billion, or 27 percent of revenue, in the year-ago trailing twelve-month period.</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returned $1.0 billion in the first quarter to shareholders through stock repurchases and dividends. For the trailing twelve months, the return to shareholders totaled $4.2 billion.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Free cash flow is Cash flows from operating activities minus Capital expenditures. Free cash flow and the ratios based on it are non-GAAP financial measures. For a reconciliation of these measures to the most directly comparable measures under generally accepted accounting principles in the United States (“GAAP”), see “Non-GAAP Financial Information”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1Q16 Segment Results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1Q16</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1Q15</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r>
      <w:tr>
        <w:trPr>
          <w:trHeight w:val="196"/>
        </w:trPr>
        <w:tc>
          <w:tcPr>
            <w:tcW w:w="5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1,879</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2,035</w:t>
            </w:r>
          </w:p>
        </w:tc>
        <w:tc>
          <w:tcPr>
            <w:tcW w:w="4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Embedded Processing:</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182</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4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443</w:t>
            </w:r>
          </w:p>
        </w:tc>
        <w:tc>
          <w:tcPr>
            <w:tcW w:w="4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188595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Issuer</w:t>
            </w:r>
          </w:p>
        </w:tc>
        <w:tc>
          <w:tcPr>
            <w:tcW w:w="4180" w:type="dxa"/>
            <w:vAlign w:val="bottom"/>
            <w:gridSpan w:val="3"/>
          </w:tcPr>
          <w:p>
            <w:pPr>
              <w:ind w:left="1300"/>
              <w:spacing w:after="0"/>
              <w:rPr>
                <w:sz w:val="20"/>
                <w:szCs w:val="20"/>
                <w:color w:val="auto"/>
              </w:rPr>
            </w:pPr>
            <w:r>
              <w:rPr>
                <w:rFonts w:ascii="Arial" w:cs="Arial" w:eastAsia="Arial" w:hAnsi="Arial"/>
                <w:sz w:val="18"/>
                <w:szCs w:val="18"/>
                <w:color w:val="auto"/>
              </w:rPr>
              <w:t>Texas Instruments Incorporated.</w:t>
            </w:r>
          </w:p>
        </w:tc>
        <w:tc>
          <w:tcPr>
            <w:tcW w:w="14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Securities Offered</w:t>
            </w:r>
          </w:p>
        </w:tc>
        <w:tc>
          <w:tcPr>
            <w:tcW w:w="1740" w:type="dxa"/>
            <w:vAlign w:val="bottom"/>
          </w:tcPr>
          <w:p>
            <w:pPr>
              <w:ind w:left="130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2"/>
              <w:spacing w:after="0"/>
              <w:rPr>
                <w:sz w:val="20"/>
                <w:szCs w:val="20"/>
                <w:color w:val="auto"/>
              </w:rPr>
            </w:pPr>
            <w:r>
              <w:rPr>
                <w:rFonts w:ascii="Arial" w:cs="Arial" w:eastAsia="Arial" w:hAnsi="Arial"/>
                <w:sz w:val="18"/>
                <w:szCs w:val="18"/>
                <w:color w:val="auto"/>
                <w:w w:val="97"/>
              </w:rPr>
              <w:t>aggregate principal amount of</w:t>
            </w:r>
          </w:p>
        </w:tc>
        <w:tc>
          <w:tcPr>
            <w:tcW w:w="1400" w:type="dxa"/>
            <w:vAlign w:val="bottom"/>
          </w:tcPr>
          <w:p>
            <w:pPr>
              <w:ind w:left="120"/>
              <w:spacing w:after="0"/>
              <w:rPr>
                <w:sz w:val="20"/>
                <w:szCs w:val="20"/>
                <w:color w:val="auto"/>
              </w:rPr>
            </w:pPr>
            <w:r>
              <w:rPr>
                <w:rFonts w:ascii="Arial" w:cs="Arial" w:eastAsia="Arial" w:hAnsi="Arial"/>
                <w:sz w:val="18"/>
                <w:szCs w:val="18"/>
                <w:color w:val="auto"/>
                <w:w w:val="98"/>
              </w:rPr>
              <w:t>% Notes due 20</w:t>
            </w:r>
          </w:p>
        </w:tc>
        <w:tc>
          <w:tcPr>
            <w:tcW w:w="2780" w:type="dxa"/>
            <w:vAlign w:val="bottom"/>
          </w:tcPr>
          <w:p>
            <w:pPr>
              <w:jc w:val="right"/>
              <w:ind w:right="2472"/>
              <w:spacing w:after="0"/>
              <w:rPr>
                <w:sz w:val="20"/>
                <w:szCs w:val="20"/>
                <w:color w:val="auto"/>
              </w:rPr>
            </w:pPr>
            <w:r>
              <w:rPr>
                <w:rFonts w:ascii="Arial" w:cs="Arial" w:eastAsia="Arial" w:hAnsi="Arial"/>
                <w:sz w:val="18"/>
                <w:szCs w:val="18"/>
                <w:color w:val="auto"/>
              </w:rPr>
              <w:t>.</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Maturity Date</w:t>
            </w:r>
          </w:p>
        </w:tc>
        <w:tc>
          <w:tcPr>
            <w:tcW w:w="1740" w:type="dxa"/>
            <w:vAlign w:val="bottom"/>
          </w:tcPr>
          <w:p>
            <w:pPr>
              <w:spacing w:after="0"/>
              <w:rPr>
                <w:sz w:val="24"/>
                <w:szCs w:val="24"/>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 20</w:t>
            </w:r>
          </w:p>
        </w:tc>
        <w:tc>
          <w:tcPr>
            <w:tcW w:w="1460" w:type="dxa"/>
            <w:vAlign w:val="bottom"/>
          </w:tcPr>
          <w:p>
            <w:pPr>
              <w:jc w:val="right"/>
              <w:ind w:right="12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Original Issue Date</w:t>
            </w:r>
          </w:p>
        </w:tc>
        <w:tc>
          <w:tcPr>
            <w:tcW w:w="1740" w:type="dxa"/>
            <w:vAlign w:val="bottom"/>
          </w:tcPr>
          <w:p>
            <w:pPr>
              <w:ind w:left="1300"/>
              <w:spacing w:after="0"/>
              <w:rPr>
                <w:sz w:val="20"/>
                <w:szCs w:val="20"/>
                <w:color w:val="auto"/>
              </w:rPr>
            </w:pPr>
            <w:r>
              <w:rPr>
                <w:rFonts w:ascii="Arial" w:cs="Arial" w:eastAsia="Arial" w:hAnsi="Arial"/>
                <w:sz w:val="18"/>
                <w:szCs w:val="18"/>
                <w:color w:val="auto"/>
              </w:rPr>
              <w:t>May</w:t>
            </w: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 2016.</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Interest Rate</w:t>
            </w:r>
          </w:p>
        </w:tc>
        <w:tc>
          <w:tcPr>
            <w:tcW w:w="2720" w:type="dxa"/>
            <w:vAlign w:val="bottom"/>
            <w:gridSpan w:val="2"/>
          </w:tcPr>
          <w:p>
            <w:pPr>
              <w:ind w:left="1300"/>
              <w:spacing w:after="0"/>
              <w:rPr>
                <w:sz w:val="20"/>
                <w:szCs w:val="20"/>
                <w:color w:val="auto"/>
              </w:rPr>
            </w:pPr>
            <w:r>
              <w:rPr>
                <w:rFonts w:ascii="Arial" w:cs="Arial" w:eastAsia="Arial" w:hAnsi="Arial"/>
                <w:sz w:val="18"/>
                <w:szCs w:val="18"/>
                <w:color w:val="auto"/>
              </w:rPr>
              <w:t>Fixed rate of   %.</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740" w:type="dxa"/>
            <w:vAlign w:val="bottom"/>
          </w:tcPr>
          <w:p>
            <w:pPr>
              <w:ind w:left="1300"/>
              <w:spacing w:after="0"/>
              <w:rPr>
                <w:sz w:val="20"/>
                <w:szCs w:val="20"/>
                <w:color w:val="auto"/>
              </w:rPr>
            </w:pPr>
            <w:r>
              <w:rPr>
                <w:rFonts w:ascii="Arial" w:cs="Arial" w:eastAsia="Arial" w:hAnsi="Arial"/>
                <w:sz w:val="18"/>
                <w:szCs w:val="18"/>
                <w:color w:val="auto"/>
              </w:rPr>
              <w:t>Each</w:t>
            </w: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and</w:t>
            </w:r>
          </w:p>
        </w:tc>
        <w:tc>
          <w:tcPr>
            <w:tcW w:w="1460" w:type="dxa"/>
            <w:vAlign w:val="bottom"/>
          </w:tcPr>
          <w:p>
            <w:pPr>
              <w:jc w:val="right"/>
              <w:ind w:right="392"/>
              <w:spacing w:after="0"/>
              <w:rPr>
                <w:sz w:val="20"/>
                <w:szCs w:val="20"/>
                <w:color w:val="auto"/>
              </w:rPr>
            </w:pPr>
            <w:r>
              <w:rPr>
                <w:rFonts w:ascii="Arial" w:cs="Arial" w:eastAsia="Arial" w:hAnsi="Arial"/>
                <w:sz w:val="18"/>
                <w:szCs w:val="18"/>
                <w:color w:val="auto"/>
                <w:w w:val="93"/>
              </w:rPr>
              <w:t>beginning on</w:t>
            </w:r>
          </w:p>
        </w:tc>
        <w:tc>
          <w:tcPr>
            <w:tcW w:w="4180" w:type="dxa"/>
            <w:vAlign w:val="bottom"/>
            <w:gridSpan w:val="2"/>
          </w:tcPr>
          <w:p>
            <w:pPr>
              <w:jc w:val="center"/>
              <w:ind w:right="932"/>
              <w:spacing w:after="0"/>
              <w:rPr>
                <w:sz w:val="20"/>
                <w:szCs w:val="20"/>
                <w:color w:val="auto"/>
              </w:rPr>
            </w:pPr>
            <w:r>
              <w:rPr>
                <w:rFonts w:ascii="Arial" w:cs="Arial" w:eastAsia="Arial" w:hAnsi="Arial"/>
                <w:sz w:val="18"/>
                <w:szCs w:val="18"/>
                <w:color w:val="auto"/>
                <w:w w:val="87"/>
              </w:rPr>
              <w:t>, 2016, and on the maturity date.</w:t>
            </w:r>
          </w:p>
        </w:tc>
      </w:tr>
      <w:tr>
        <w:trPr>
          <w:trHeight w:val="426"/>
        </w:trPr>
        <w:tc>
          <w:tcPr>
            <w:tcW w:w="3040" w:type="dxa"/>
            <w:vAlign w:val="bottom"/>
          </w:tcPr>
          <w:p>
            <w:pPr>
              <w:spacing w:after="0"/>
              <w:rPr>
                <w:sz w:val="20"/>
                <w:szCs w:val="20"/>
                <w:color w:val="auto"/>
              </w:rPr>
            </w:pPr>
            <w:r>
              <w:rPr>
                <w:rFonts w:ascii="Arial" w:cs="Arial" w:eastAsia="Arial" w:hAnsi="Arial"/>
                <w:sz w:val="18"/>
                <w:szCs w:val="18"/>
                <w:color w:val="auto"/>
              </w:rPr>
              <w:t>Ranking</w:t>
            </w: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89"/>
              </w:rPr>
              <w:t>The Notes will be the senior unsecured obligations of Texas Instruments Incorporated and will rank</w:t>
            </w:r>
          </w:p>
        </w:tc>
      </w:tr>
      <w:tr>
        <w:trPr>
          <w:trHeight w:val="216"/>
        </w:trPr>
        <w:tc>
          <w:tcPr>
            <w:tcW w:w="3040" w:type="dxa"/>
            <w:vAlign w:val="bottom"/>
          </w:tcPr>
          <w:p>
            <w:pPr>
              <w:spacing w:after="0"/>
              <w:rPr>
                <w:sz w:val="18"/>
                <w:szCs w:val="18"/>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94"/>
              </w:rPr>
              <w:t>equally with all of its existing and future senior indebtedness from time to time outstanding. All</w:t>
            </w:r>
          </w:p>
        </w:tc>
      </w:tr>
      <w:tr>
        <w:trPr>
          <w:trHeight w:val="216"/>
        </w:trPr>
        <w:tc>
          <w:tcPr>
            <w:tcW w:w="3040" w:type="dxa"/>
            <w:vAlign w:val="bottom"/>
          </w:tcPr>
          <w:p>
            <w:pPr>
              <w:spacing w:after="0"/>
              <w:rPr>
                <w:sz w:val="18"/>
                <w:szCs w:val="18"/>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92"/>
              </w:rPr>
              <w:t>existing and future liabilities of subsidiaries of Texas Instruments Incorporated will be effectively</w:t>
            </w:r>
          </w:p>
        </w:tc>
      </w:tr>
      <w:tr>
        <w:trPr>
          <w:trHeight w:val="222"/>
        </w:trPr>
        <w:tc>
          <w:tcPr>
            <w:tcW w:w="3040" w:type="dxa"/>
            <w:vAlign w:val="bottom"/>
          </w:tcPr>
          <w:p>
            <w:pPr>
              <w:spacing w:after="0"/>
              <w:rPr>
                <w:sz w:val="19"/>
                <w:szCs w:val="19"/>
                <w:color w:val="auto"/>
              </w:rPr>
            </w:pPr>
          </w:p>
        </w:tc>
        <w:tc>
          <w:tcPr>
            <w:tcW w:w="2720" w:type="dxa"/>
            <w:vAlign w:val="bottom"/>
            <w:gridSpan w:val="2"/>
          </w:tcPr>
          <w:p>
            <w:pPr>
              <w:ind w:left="1300"/>
              <w:spacing w:after="0"/>
              <w:rPr>
                <w:sz w:val="20"/>
                <w:szCs w:val="20"/>
                <w:color w:val="auto"/>
              </w:rPr>
            </w:pPr>
            <w:r>
              <w:rPr>
                <w:rFonts w:ascii="Arial" w:cs="Arial" w:eastAsia="Arial" w:hAnsi="Arial"/>
                <w:sz w:val="18"/>
                <w:szCs w:val="18"/>
                <w:color w:val="auto"/>
                <w:w w:val="89"/>
              </w:rPr>
              <w:t>senior to the Notes.</w:t>
            </w:r>
          </w:p>
        </w:tc>
        <w:tc>
          <w:tcPr>
            <w:tcW w:w="1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12"/>
        </w:trPr>
        <w:tc>
          <w:tcPr>
            <w:tcW w:w="3040" w:type="dxa"/>
            <w:vAlign w:val="bottom"/>
          </w:tcPr>
          <w:p>
            <w:pPr>
              <w:spacing w:after="0"/>
              <w:rPr>
                <w:sz w:val="24"/>
                <w:szCs w:val="24"/>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96"/>
              </w:rPr>
              <w:t>As of December 31, 2015, Texas Instruments Incorporated had approximately $4.1 billion of</w:t>
            </w:r>
          </w:p>
        </w:tc>
      </w:tr>
      <w:tr>
        <w:trPr>
          <w:trHeight w:val="216"/>
        </w:trPr>
        <w:tc>
          <w:tcPr>
            <w:tcW w:w="3040" w:type="dxa"/>
            <w:vAlign w:val="bottom"/>
          </w:tcPr>
          <w:p>
            <w:pPr>
              <w:spacing w:after="0"/>
              <w:rPr>
                <w:sz w:val="18"/>
                <w:szCs w:val="18"/>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93"/>
              </w:rPr>
              <w:t>outstanding indebtedness. As of December 31, 2015, we had approximately $6.3 billion of total</w:t>
            </w:r>
          </w:p>
        </w:tc>
      </w:tr>
      <w:tr>
        <w:trPr>
          <w:trHeight w:val="216"/>
        </w:trPr>
        <w:tc>
          <w:tcPr>
            <w:tcW w:w="3040" w:type="dxa"/>
            <w:vAlign w:val="bottom"/>
          </w:tcPr>
          <w:p>
            <w:pPr>
              <w:spacing w:after="0"/>
              <w:rPr>
                <w:sz w:val="18"/>
                <w:szCs w:val="18"/>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91"/>
              </w:rPr>
              <w:t>liabilities on a consolidated basis. Of this amount, subsidiaries of Texas Instruments Incorporated</w:t>
            </w:r>
          </w:p>
        </w:tc>
      </w:tr>
      <w:tr>
        <w:trPr>
          <w:trHeight w:val="216"/>
        </w:trPr>
        <w:tc>
          <w:tcPr>
            <w:tcW w:w="3040" w:type="dxa"/>
            <w:vAlign w:val="bottom"/>
          </w:tcPr>
          <w:p>
            <w:pPr>
              <w:spacing w:after="0"/>
              <w:rPr>
                <w:sz w:val="18"/>
                <w:szCs w:val="18"/>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91"/>
              </w:rPr>
              <w:t>had approximately $1.0 billion of liabilities (including trade payables and excluding intercompany</w:t>
            </w:r>
          </w:p>
        </w:tc>
      </w:tr>
      <w:tr>
        <w:trPr>
          <w:trHeight w:val="222"/>
        </w:trPr>
        <w:tc>
          <w:tcPr>
            <w:tcW w:w="3040" w:type="dxa"/>
            <w:vAlign w:val="bottom"/>
          </w:tcPr>
          <w:p>
            <w:pPr>
              <w:spacing w:after="0"/>
              <w:rPr>
                <w:sz w:val="19"/>
                <w:szCs w:val="19"/>
                <w:color w:val="auto"/>
              </w:rPr>
            </w:pPr>
          </w:p>
        </w:tc>
        <w:tc>
          <w:tcPr>
            <w:tcW w:w="5580" w:type="dxa"/>
            <w:vAlign w:val="bottom"/>
            <w:gridSpan w:val="4"/>
          </w:tcPr>
          <w:p>
            <w:pPr>
              <w:ind w:left="1300"/>
              <w:spacing w:after="0"/>
              <w:rPr>
                <w:sz w:val="20"/>
                <w:szCs w:val="20"/>
                <w:color w:val="auto"/>
              </w:rPr>
            </w:pPr>
            <w:r>
              <w:rPr>
                <w:rFonts w:ascii="Arial" w:cs="Arial" w:eastAsia="Arial" w:hAnsi="Arial"/>
                <w:sz w:val="18"/>
                <w:szCs w:val="18"/>
                <w:color w:val="auto"/>
                <w:w w:val="95"/>
              </w:rPr>
              <w:t>debt) to which the Notes will be effectively subordinated.</w:t>
            </w:r>
          </w:p>
        </w:tc>
        <w:tc>
          <w:tcPr>
            <w:tcW w:w="2780" w:type="dxa"/>
            <w:vAlign w:val="bottom"/>
          </w:tcPr>
          <w:p>
            <w:pPr>
              <w:spacing w:after="0"/>
              <w:rPr>
                <w:sz w:val="19"/>
                <w:szCs w:val="19"/>
                <w:color w:val="auto"/>
              </w:rPr>
            </w:pPr>
          </w:p>
        </w:tc>
      </w:tr>
      <w:tr>
        <w:trPr>
          <w:trHeight w:val="412"/>
        </w:trPr>
        <w:tc>
          <w:tcPr>
            <w:tcW w:w="3040" w:type="dxa"/>
            <w:vAlign w:val="bottom"/>
          </w:tcPr>
          <w:p>
            <w:pPr>
              <w:spacing w:after="0"/>
              <w:rPr>
                <w:sz w:val="20"/>
                <w:szCs w:val="20"/>
                <w:color w:val="auto"/>
              </w:rPr>
            </w:pPr>
            <w:r>
              <w:rPr>
                <w:rFonts w:ascii="Arial" w:cs="Arial" w:eastAsia="Arial" w:hAnsi="Arial"/>
                <w:sz w:val="18"/>
                <w:szCs w:val="18"/>
                <w:color w:val="auto"/>
              </w:rPr>
              <w:t>Form and Denomination</w:t>
            </w: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96"/>
              </w:rPr>
              <w:t>The Notes will be issued in the form of one or more fully registered global securities, without</w:t>
            </w:r>
          </w:p>
        </w:tc>
      </w:tr>
      <w:tr>
        <w:trPr>
          <w:trHeight w:val="216"/>
        </w:trPr>
        <w:tc>
          <w:tcPr>
            <w:tcW w:w="3040" w:type="dxa"/>
            <w:vAlign w:val="bottom"/>
          </w:tcPr>
          <w:p>
            <w:pPr>
              <w:spacing w:after="0"/>
              <w:rPr>
                <w:sz w:val="18"/>
                <w:szCs w:val="18"/>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89"/>
              </w:rPr>
              <w:t>coupons, in denominations of $2,000 in principal amount and integral multiples of $1,000 in excess</w:t>
            </w:r>
          </w:p>
        </w:tc>
      </w:tr>
      <w:tr>
        <w:trPr>
          <w:trHeight w:val="216"/>
        </w:trPr>
        <w:tc>
          <w:tcPr>
            <w:tcW w:w="3040" w:type="dxa"/>
            <w:vAlign w:val="bottom"/>
          </w:tcPr>
          <w:p>
            <w:pPr>
              <w:spacing w:after="0"/>
              <w:rPr>
                <w:sz w:val="18"/>
                <w:szCs w:val="18"/>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89"/>
              </w:rPr>
              <w:t>thereof. These global notes will be deposited with the trustee as custodian for, and registered in the</w:t>
            </w:r>
          </w:p>
        </w:tc>
      </w:tr>
      <w:tr>
        <w:trPr>
          <w:trHeight w:val="216"/>
        </w:trPr>
        <w:tc>
          <w:tcPr>
            <w:tcW w:w="3040" w:type="dxa"/>
            <w:vAlign w:val="bottom"/>
          </w:tcPr>
          <w:p>
            <w:pPr>
              <w:spacing w:after="0"/>
              <w:rPr>
                <w:sz w:val="18"/>
                <w:szCs w:val="18"/>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88"/>
              </w:rPr>
              <w:t>name of, a nominee of The Depository Trust Company, or DTC. Except in the limited circumstances</w:t>
            </w:r>
          </w:p>
        </w:tc>
      </w:tr>
      <w:tr>
        <w:trPr>
          <w:trHeight w:val="216"/>
        </w:trPr>
        <w:tc>
          <w:tcPr>
            <w:tcW w:w="3040" w:type="dxa"/>
            <w:vAlign w:val="bottom"/>
          </w:tcPr>
          <w:p>
            <w:pPr>
              <w:spacing w:after="0"/>
              <w:rPr>
                <w:sz w:val="18"/>
                <w:szCs w:val="18"/>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92"/>
              </w:rPr>
              <w:t>described under “Description of the Notes—Book-Entry; Delivery and Form; Global Note,” Notes</w:t>
            </w:r>
          </w:p>
        </w:tc>
      </w:tr>
      <w:tr>
        <w:trPr>
          <w:trHeight w:val="222"/>
        </w:trPr>
        <w:tc>
          <w:tcPr>
            <w:tcW w:w="3040" w:type="dxa"/>
            <w:vAlign w:val="bottom"/>
          </w:tcPr>
          <w:p>
            <w:pPr>
              <w:spacing w:after="0"/>
              <w:rPr>
                <w:sz w:val="19"/>
                <w:szCs w:val="19"/>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rPr>
              <w:t>in certificated form will not be issued or exchanged for interests in global securities.</w:t>
            </w:r>
          </w:p>
        </w:tc>
      </w:tr>
      <w:tr>
        <w:trPr>
          <w:trHeight w:val="419"/>
        </w:trPr>
        <w:tc>
          <w:tcPr>
            <w:tcW w:w="3040" w:type="dxa"/>
            <w:vAlign w:val="bottom"/>
          </w:tcPr>
          <w:p>
            <w:pPr>
              <w:spacing w:after="0"/>
              <w:rPr>
                <w:sz w:val="20"/>
                <w:szCs w:val="20"/>
                <w:color w:val="auto"/>
              </w:rPr>
            </w:pPr>
            <w:r>
              <w:rPr>
                <w:rFonts w:ascii="Arial" w:cs="Arial" w:eastAsia="Arial" w:hAnsi="Arial"/>
                <w:sz w:val="18"/>
                <w:szCs w:val="18"/>
                <w:color w:val="auto"/>
              </w:rPr>
              <w:t>Governing Law</w:t>
            </w:r>
          </w:p>
        </w:tc>
        <w:tc>
          <w:tcPr>
            <w:tcW w:w="5580" w:type="dxa"/>
            <w:vAlign w:val="bottom"/>
            <w:gridSpan w:val="4"/>
          </w:tcPr>
          <w:p>
            <w:pPr>
              <w:ind w:left="1300"/>
              <w:spacing w:after="0"/>
              <w:rPr>
                <w:sz w:val="20"/>
                <w:szCs w:val="20"/>
                <w:color w:val="auto"/>
              </w:rPr>
            </w:pPr>
            <w:r>
              <w:rPr>
                <w:rFonts w:ascii="Arial" w:cs="Arial" w:eastAsia="Arial" w:hAnsi="Arial"/>
                <w:sz w:val="18"/>
                <w:szCs w:val="18"/>
                <w:color w:val="auto"/>
              </w:rPr>
              <w:t>The internal laws of the State of New York.</w:t>
            </w:r>
          </w:p>
        </w:tc>
        <w:tc>
          <w:tcPr>
            <w:tcW w:w="2780" w:type="dxa"/>
            <w:vAlign w:val="bottom"/>
          </w:tcPr>
          <w:p>
            <w:pPr>
              <w:spacing w:after="0"/>
              <w:rPr>
                <w:sz w:val="24"/>
                <w:szCs w:val="24"/>
                <w:color w:val="auto"/>
              </w:rPr>
            </w:pPr>
          </w:p>
        </w:tc>
      </w:tr>
      <w:tr>
        <w:trPr>
          <w:trHeight w:val="426"/>
        </w:trPr>
        <w:tc>
          <w:tcPr>
            <w:tcW w:w="3040" w:type="dxa"/>
            <w:vAlign w:val="bottom"/>
          </w:tcPr>
          <w:p>
            <w:pPr>
              <w:spacing w:after="0"/>
              <w:rPr>
                <w:sz w:val="20"/>
                <w:szCs w:val="20"/>
                <w:color w:val="auto"/>
              </w:rPr>
            </w:pPr>
            <w:r>
              <w:rPr>
                <w:rFonts w:ascii="Arial" w:cs="Arial" w:eastAsia="Arial" w:hAnsi="Arial"/>
                <w:sz w:val="18"/>
                <w:szCs w:val="18"/>
                <w:color w:val="auto"/>
              </w:rPr>
              <w:t>Use of Proceeds</w:t>
            </w: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90"/>
              </w:rPr>
              <w:t>We expect to use the net proceeds of this offering for repayment of a portion of the notes due May</w:t>
            </w:r>
          </w:p>
        </w:tc>
      </w:tr>
      <w:tr>
        <w:trPr>
          <w:trHeight w:val="216"/>
        </w:trPr>
        <w:tc>
          <w:tcPr>
            <w:tcW w:w="3040" w:type="dxa"/>
            <w:vAlign w:val="bottom"/>
          </w:tcPr>
          <w:p>
            <w:pPr>
              <w:spacing w:after="0"/>
              <w:rPr>
                <w:sz w:val="18"/>
                <w:szCs w:val="18"/>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93"/>
              </w:rPr>
              <w:t>16, 2016, bearing interest at a fixed rate of 2.375%. We expect to use the remainder of the net</w:t>
            </w:r>
          </w:p>
        </w:tc>
      </w:tr>
      <w:tr>
        <w:trPr>
          <w:trHeight w:val="216"/>
        </w:trPr>
        <w:tc>
          <w:tcPr>
            <w:tcW w:w="3040" w:type="dxa"/>
            <w:vAlign w:val="bottom"/>
          </w:tcPr>
          <w:p>
            <w:pPr>
              <w:spacing w:after="0"/>
              <w:rPr>
                <w:sz w:val="18"/>
                <w:szCs w:val="18"/>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97"/>
              </w:rPr>
              <w:t>proceeds of this offering, if any, for general corporate purposes. See “Use of Proceeds.” In</w:t>
            </w:r>
          </w:p>
        </w:tc>
      </w:tr>
      <w:tr>
        <w:trPr>
          <w:trHeight w:val="216"/>
        </w:trPr>
        <w:tc>
          <w:tcPr>
            <w:tcW w:w="3040" w:type="dxa"/>
            <w:vAlign w:val="bottom"/>
          </w:tcPr>
          <w:p>
            <w:pPr>
              <w:spacing w:after="0"/>
              <w:rPr>
                <w:sz w:val="18"/>
                <w:szCs w:val="18"/>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91"/>
              </w:rPr>
              <w:t>connection with the issuance of the Notes, we may enter into interest rate swap agreements with</w:t>
            </w:r>
          </w:p>
        </w:tc>
      </w:tr>
      <w:tr>
        <w:trPr>
          <w:trHeight w:val="222"/>
        </w:trPr>
        <w:tc>
          <w:tcPr>
            <w:tcW w:w="3040" w:type="dxa"/>
            <w:vAlign w:val="bottom"/>
          </w:tcPr>
          <w:p>
            <w:pPr>
              <w:spacing w:after="0"/>
              <w:rPr>
                <w:sz w:val="19"/>
                <w:szCs w:val="19"/>
                <w:color w:val="auto"/>
              </w:rPr>
            </w:pPr>
          </w:p>
        </w:tc>
        <w:tc>
          <w:tcPr>
            <w:tcW w:w="8360" w:type="dxa"/>
            <w:vAlign w:val="bottom"/>
            <w:gridSpan w:val="5"/>
          </w:tcPr>
          <w:p>
            <w:pPr>
              <w:ind w:left="1300"/>
              <w:spacing w:after="0"/>
              <w:rPr>
                <w:sz w:val="20"/>
                <w:szCs w:val="20"/>
                <w:color w:val="auto"/>
              </w:rPr>
            </w:pPr>
            <w:r>
              <w:rPr>
                <w:rFonts w:ascii="Arial" w:cs="Arial" w:eastAsia="Arial" w:hAnsi="Arial"/>
                <w:sz w:val="18"/>
                <w:szCs w:val="18"/>
                <w:color w:val="auto"/>
                <w:w w:val="99"/>
              </w:rPr>
              <w:t>financial institutions, which may include one or more of the underwriters or their affiliates.</w:t>
            </w:r>
          </w:p>
        </w:tc>
      </w:tr>
      <w:tr>
        <w:trPr>
          <w:trHeight w:val="365"/>
        </w:trPr>
        <w:tc>
          <w:tcPr>
            <w:tcW w:w="3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40" w:type="dxa"/>
            <w:vAlign w:val="bottom"/>
            <w:gridSpan w:val="2"/>
          </w:tcPr>
          <w:p>
            <w:pPr>
              <w:jc w:val="right"/>
              <w:ind w:right="1292"/>
              <w:spacing w:after="0"/>
              <w:rPr>
                <w:sz w:val="20"/>
                <w:szCs w:val="20"/>
                <w:color w:val="auto"/>
              </w:rPr>
            </w:pPr>
            <w:r>
              <w:rPr>
                <w:rFonts w:ascii="Arial" w:cs="Arial" w:eastAsia="Arial" w:hAnsi="Arial"/>
                <w:sz w:val="18"/>
                <w:szCs w:val="18"/>
                <w:color w:val="auto"/>
              </w:rPr>
              <w:t>S-3</w:t>
            </w:r>
          </w:p>
        </w:tc>
        <w:tc>
          <w:tcPr>
            <w:tcW w:w="140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Texas Instruments Incorporated may create and issue further notes ranking equally and ratably with the Notes offered by this prospectus supplement in all respects, so that such further notes will be consolidated and form a single series with the Notes offered by this prospectus supplement.</w:t>
      </w:r>
    </w:p>
    <w:p>
      <w:pPr>
        <w:spacing w:after="0" w:line="147"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11"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Texas Instruments Incorporated may redeem some or all of the Notes at any time at the redemption price indicated under the heading “Description of the Notes—Optional Redemption.”</w:t>
      </w:r>
    </w:p>
    <w:p>
      <w:pPr>
        <w:spacing w:after="0" w:line="126"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intend to apply for listing of the Notes on any securities exchange. The underwriters have advised us that they intend to make a market in the Notes, but they are not obligated to do so and may discontinue market-making at any time without notice. See “Underwriting” in this prospectus supplement for more information about possible market-making by the underwriters.</w:t>
      </w:r>
    </w:p>
    <w:p>
      <w:pPr>
        <w:spacing w:after="0" w:line="156"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200"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You should carefully consider all of the information in this prospectus supplement and the accompanying prospectus and the documents incorporated herein by reference. In particular, you should evaluate the information set forth under “Notice Regarding Forward-Looking Statements” and “Risk Factors” before deciding whether to invest in the Notes.</w:t>
      </w:r>
    </w:p>
    <w:p>
      <w:pPr>
        <w:spacing w:after="0" w:line="99"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 sets forth our summary historical financial information. The summary historical financial information for the years ended December 31, 2015, 2014 and 2013 and as of December 31, 2015 and 2014 has been derived from our audited consolidated financial statements included or incorporated by reference into this prospectus supplement and the accompanying prospectus.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and “Management’s Discussion and Analysis of Financial Condition and Results of Operations” and our consolidated financial statements and the related notes, all included elsewhere or incorporated by reference into this prospectus supplement and the accompanying prospectus.</w:t>
      </w:r>
    </w:p>
    <w:p>
      <w:pPr>
        <w:spacing w:after="0" w:line="17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w w:val="97"/>
              </w:rPr>
              <w:t>(Millions of dollars, except share and per-share amounts)</w:t>
            </w: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3720" w:type="dxa"/>
            <w:vAlign w:val="bottom"/>
            <w:tcBorders>
              <w:bottom w:val="single" w:sz="8" w:color="CCEEFF"/>
            </w:tcBorders>
            <w:vMerge w:val="continue"/>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Cost of revenue</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5,618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1,358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Acquisition charges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Operating profit</w:t>
            </w:r>
          </w:p>
        </w:tc>
        <w:tc>
          <w:tcPr>
            <w:tcW w:w="2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20" w:type="dxa"/>
            <w:vAlign w:val="bottom"/>
            <w:vMerge w:val="continue"/>
          </w:tcPr>
          <w:p>
            <w:pPr>
              <w:spacing w:after="0"/>
              <w:rPr>
                <w:sz w:val="19"/>
                <w:szCs w:val="19"/>
                <w:color w:val="auto"/>
              </w:rPr>
            </w:pP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4,274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3,947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7"/>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vMerge w:val="continue"/>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2.82</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Basic</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20" w:type="dxa"/>
            <w:vAlign w:val="bottom"/>
          </w:tcPr>
          <w:p>
            <w:pPr>
              <w:spacing w:after="0"/>
              <w:rPr>
                <w:sz w:val="24"/>
                <w:szCs w:val="24"/>
                <w:color w:val="auto"/>
              </w:rPr>
            </w:pPr>
          </w:p>
        </w:tc>
        <w:tc>
          <w:tcPr>
            <w:tcW w:w="2360" w:type="dxa"/>
            <w:vAlign w:val="bottom"/>
            <w:gridSpan w:val="2"/>
          </w:tcPr>
          <w:p>
            <w:pPr>
              <w:jc w:val="right"/>
              <w:ind w:right="1603"/>
              <w:spacing w:after="0"/>
              <w:rPr>
                <w:sz w:val="20"/>
                <w:szCs w:val="20"/>
                <w:color w:val="auto"/>
              </w:rPr>
            </w:pPr>
            <w:r>
              <w:rPr>
                <w:rFonts w:ascii="Arial" w:cs="Arial" w:eastAsia="Arial" w:hAnsi="Arial"/>
                <w:sz w:val="18"/>
                <w:szCs w:val="18"/>
                <w:color w:val="auto"/>
              </w:rPr>
              <w:t>S-5</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Borders>
              <w:bottom w:val="single" w:sz="8" w:color="CCEEFF"/>
            </w:tcBorders>
            <w:vMerge w:val="continue"/>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3,218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Inventories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1,691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2,596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1,583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16,230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Long-term debt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3,120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9,946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16,230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Information</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This prospectus supplement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5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Twelve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percentages)</w:t>
            </w:r>
          </w:p>
        </w:tc>
        <w:tc>
          <w:tcPr>
            <w:tcW w:w="200" w:type="dxa"/>
            <w:vAlign w:val="bottom"/>
          </w:tcPr>
          <w:p>
            <w:pPr>
              <w:spacing w:after="0"/>
              <w:rPr>
                <w:sz w:val="14"/>
                <w:szCs w:val="14"/>
                <w:color w:val="auto"/>
              </w:rPr>
            </w:pPr>
          </w:p>
        </w:tc>
        <w:tc>
          <w:tcPr>
            <w:tcW w:w="16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26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80"/>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flows from operating activities (GAAP)</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76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(431)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3,608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12,858</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w w:val="83"/>
              </w:rPr>
              <w:t>13,212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5"/>
              </w:rPr>
              <w:t>Cash flows from operating activities as a percent of revenue (GAAP)</w:t>
            </w:r>
          </w:p>
        </w:tc>
        <w:tc>
          <w:tcPr>
            <w:tcW w:w="41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33%</w:t>
            </w:r>
          </w:p>
        </w:tc>
        <w:tc>
          <w:tcPr>
            <w:tcW w:w="206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rPr>
              <w:t>31%</w:t>
            </w: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4140" w:type="dxa"/>
            <w:vAlign w:val="bottom"/>
          </w:tcPr>
          <w:p>
            <w:pPr>
              <w:jc w:val="right"/>
              <w:ind w:right="412"/>
              <w:spacing w:after="0"/>
              <w:rPr>
                <w:sz w:val="20"/>
                <w:szCs w:val="20"/>
                <w:color w:val="auto"/>
              </w:rPr>
            </w:pPr>
            <w:r>
              <w:rPr>
                <w:rFonts w:ascii="Arial" w:cs="Arial" w:eastAsia="Arial" w:hAnsi="Arial"/>
                <w:sz w:val="18"/>
                <w:szCs w:val="18"/>
                <w:color w:val="auto"/>
              </w:rPr>
              <w:t>28%</w:t>
            </w:r>
          </w:p>
        </w:tc>
        <w:tc>
          <w:tcPr>
            <w:tcW w:w="2060" w:type="dxa"/>
            <w:vAlign w:val="bottom"/>
          </w:tcPr>
          <w:p>
            <w:pPr>
              <w:jc w:val="right"/>
              <w:ind w:right="1152"/>
              <w:spacing w:after="0"/>
              <w:rPr>
                <w:sz w:val="20"/>
                <w:szCs w:val="20"/>
                <w:color w:val="auto"/>
              </w:rPr>
            </w:pPr>
            <w:r>
              <w:rPr>
                <w:rFonts w:ascii="Arial" w:cs="Arial" w:eastAsia="Arial" w:hAnsi="Arial"/>
                <w:sz w:val="18"/>
                <w:szCs w:val="18"/>
                <w:color w:val="auto"/>
              </w:rPr>
              <w:t>27%</w:t>
            </w:r>
          </w:p>
        </w:tc>
      </w:tr>
      <w:tr>
        <w:trPr>
          <w:trHeight w:val="356"/>
        </w:trPr>
        <w:tc>
          <w:tcPr>
            <w:tcW w:w="5220" w:type="dxa"/>
            <w:vAlign w:val="bottom"/>
          </w:tcPr>
          <w:p>
            <w:pPr>
              <w:spacing w:after="0"/>
              <w:rPr>
                <w:sz w:val="24"/>
                <w:szCs w:val="24"/>
                <w:color w:val="auto"/>
              </w:rPr>
            </w:pPr>
          </w:p>
        </w:tc>
        <w:tc>
          <w:tcPr>
            <w:tcW w:w="4140" w:type="dxa"/>
            <w:vAlign w:val="bottom"/>
          </w:tcPr>
          <w:p>
            <w:pPr>
              <w:jc w:val="right"/>
              <w:ind w:right="3432"/>
              <w:spacing w:after="0"/>
              <w:rPr>
                <w:sz w:val="20"/>
                <w:szCs w:val="20"/>
                <w:color w:val="auto"/>
              </w:rPr>
            </w:pPr>
            <w:r>
              <w:rPr>
                <w:rFonts w:ascii="Arial" w:cs="Arial" w:eastAsia="Arial" w:hAnsi="Arial"/>
                <w:sz w:val="18"/>
                <w:szCs w:val="18"/>
                <w:color w:val="auto"/>
              </w:rPr>
              <w:t>S-6</w:t>
            </w:r>
          </w:p>
        </w:tc>
        <w:tc>
          <w:tcPr>
            <w:tcW w:w="20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Ratio of Earnings to Fixed Charges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07"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0</wp:posOffset>
            </wp:positionV>
            <wp:extent cx="12261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8060"/>
        <w:spacing w:after="0"/>
        <w:tabs>
          <w:tab w:leader="none" w:pos="8780" w:val="left"/>
          <w:tab w:leader="none" w:pos="95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2013</w:t>
      </w:r>
    </w:p>
    <w:tbl>
      <w:tblPr>
        <w:tblLayout w:type="fixed"/>
        <w:tblInd w:w="1440" w:type="dxa"/>
        <w:tblCellMar>
          <w:top w:w="0" w:type="dxa"/>
          <w:left w:w="0" w:type="dxa"/>
          <w:bottom w:w="0" w:type="dxa"/>
          <w:right w:w="0" w:type="dxa"/>
        </w:tblCellMar>
      </w:tblP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37.2×</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top w:val="single" w:sz="8" w:color="CCEEFF"/>
            </w:tcBorders>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19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5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0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2015, we had approximately $6.3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199"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an as adjusted basis after giving effect to this offering and the application of the net proceeds thereof, as more fully described in “Use of Proceeds” in</w:t>
      </w:r>
    </w:p>
    <w:p>
      <w:pPr>
        <w:spacing w:after="0" w:line="38"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this prospectus supplement, as of December 31, 2015, Texas Instruments Incorporated would have had approximately $ billion of total long-term indebtedness (including the Notes), all of which would have been unsecured and unsubordinated.</w:t>
      </w:r>
    </w:p>
    <w:p>
      <w:pPr>
        <w:spacing w:after="0" w:line="138"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59"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13"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its ability to obtain additional financing for working capital, capital expenditures, general corporate and other purposes may be limited.</w:t>
      </w:r>
    </w:p>
    <w:p>
      <w:pPr>
        <w:spacing w:after="0" w:line="19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5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anticipate that we will receive net proceeds of approximately $ million from this offering after underwriting discounts and other estimated expenses. We expect to use the net proceeds of this offering for repayment of a portion of the notes due May 16, 2016, bearing interest at a fixed rate of 2.375%. We expect to use the remainder of the net proceeds of this offering, if any, for general corporate purposes. Initially we intend to invest the net proceeds of this offering in certificates of deposit, United States government securities and certain other interest-bearing securities. Certain of the underwriters and/or their affiliates may be holders of our notes due May 16, 2016 and, accordingly, may receive a portion of the net proceeds of this offering in connection with the repayment of those notes. See “Underwriting.”</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80"/>
          </w:cols>
          <w:pgMar w:left="24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2015. Our consolidated capitalization, as adjusted, gives effect to the issuance of the Notes offered by this prospectus supplement and the application of the estimated net proceeds as described in “Use of Proceeds” as if the offering had occurred on December 31, 2015. This table should be read in conjunction with our consolidated financial statements and the related notes incorporated by reference into this prospectus supplement and the accompanying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100" w:type="dxa"/>
            <w:vAlign w:val="bottom"/>
          </w:tcPr>
          <w:p>
            <w:pPr>
              <w:spacing w:after="0"/>
              <w:rPr>
                <w:sz w:val="14"/>
                <w:szCs w:val="14"/>
                <w:color w:val="auto"/>
              </w:rPr>
            </w:pPr>
          </w:p>
        </w:tc>
        <w:tc>
          <w:tcPr>
            <w:tcW w:w="21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As of December 31, 2015</w:t>
            </w:r>
          </w:p>
        </w:tc>
        <w:tc>
          <w:tcPr>
            <w:tcW w:w="0" w:type="dxa"/>
            <w:vAlign w:val="bottom"/>
          </w:tcPr>
          <w:p>
            <w:pPr>
              <w:spacing w:after="0"/>
              <w:rPr>
                <w:sz w:val="1"/>
                <w:szCs w:val="1"/>
                <w:color w:val="auto"/>
              </w:rPr>
            </w:pPr>
          </w:p>
        </w:tc>
      </w:tr>
      <w:tr>
        <w:trPr>
          <w:trHeight w:val="142"/>
        </w:trPr>
        <w:tc>
          <w:tcPr>
            <w:tcW w:w="9140" w:type="dxa"/>
            <w:vAlign w:val="bottom"/>
            <w:gridSpan w:val="2"/>
            <w:vMerge w:val="continue"/>
          </w:tcPr>
          <w:p>
            <w:pPr>
              <w:spacing w:after="0"/>
              <w:rPr>
                <w:sz w:val="12"/>
                <w:szCs w:val="12"/>
                <w:color w:val="auto"/>
              </w:rPr>
            </w:pPr>
          </w:p>
        </w:tc>
        <w:tc>
          <w:tcPr>
            <w:tcW w:w="1300" w:type="dxa"/>
            <w:vAlign w:val="bottom"/>
            <w:tcBorders>
              <w:top w:val="single" w:sz="8" w:color="auto"/>
            </w:tcBorders>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w w:val="90"/>
              </w:rPr>
              <w:t>Historical</w:t>
            </w:r>
          </w:p>
        </w:tc>
        <w:tc>
          <w:tcPr>
            <w:tcW w:w="8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As Adjusted(1)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6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Notes offered hereby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40" w:type="dxa"/>
            <w:vAlign w:val="bottom"/>
            <w:gridSpan w:val="2"/>
          </w:tcPr>
          <w:p>
            <w:pPr>
              <w:ind w:left="440"/>
              <w:spacing w:after="0"/>
              <w:rPr>
                <w:sz w:val="20"/>
                <w:szCs w:val="20"/>
                <w:color w:val="auto"/>
              </w:rPr>
            </w:pPr>
            <w:r>
              <w:rPr>
                <w:rFonts w:ascii="Arial" w:cs="Arial" w:eastAsia="Arial" w:hAnsi="Arial"/>
                <w:sz w:val="18"/>
                <w:szCs w:val="18"/>
                <w:color w:val="auto"/>
              </w:rPr>
              <w:t>Other long-term debt(2)</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w:t>
            </w:r>
          </w:p>
        </w:tc>
        <w:tc>
          <w:tcPr>
            <w:tcW w:w="6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long-term debt</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6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$25 par value. Authorized—10,000,000 shares.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880"/>
              <w:spacing w:after="0"/>
              <w:rPr>
                <w:sz w:val="20"/>
                <w:szCs w:val="20"/>
                <w:color w:val="auto"/>
              </w:rPr>
            </w:pPr>
            <w:r>
              <w:rPr>
                <w:rFonts w:ascii="Arial" w:cs="Arial" w:eastAsia="Arial" w:hAnsi="Arial"/>
                <w:sz w:val="18"/>
                <w:szCs w:val="18"/>
                <w:color w:val="auto"/>
              </w:rPr>
              <w:t>Participating cumulative preferred. None issued.</w:t>
            </w:r>
          </w:p>
        </w:tc>
        <w:tc>
          <w:tcPr>
            <w:tcW w:w="10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$1 par value. Authorized—2,400,000,000 shares.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880"/>
              <w:spacing w:after="0"/>
              <w:rPr>
                <w:sz w:val="20"/>
                <w:szCs w:val="20"/>
                <w:color w:val="auto"/>
              </w:rPr>
            </w:pPr>
            <w:r>
              <w:rPr>
                <w:rFonts w:ascii="Arial" w:cs="Arial" w:eastAsia="Arial" w:hAnsi="Arial"/>
                <w:sz w:val="18"/>
                <w:szCs w:val="18"/>
                <w:color w:val="auto"/>
              </w:rPr>
              <w:t>Shares issued—1,740,815,939</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1,741</w:t>
            </w:r>
          </w:p>
        </w:tc>
        <w:tc>
          <w:tcPr>
            <w:tcW w:w="6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9140" w:type="dxa"/>
            <w:vAlign w:val="bottom"/>
            <w:gridSpan w:val="2"/>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31,176</w:t>
            </w:r>
          </w:p>
        </w:tc>
        <w:tc>
          <w:tcPr>
            <w:tcW w:w="6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31,176</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common stock at cost (729,547,527 shares)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(24,068)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(24,068)</w:t>
            </w:r>
          </w:p>
        </w:tc>
        <w:tc>
          <w:tcPr>
            <w:tcW w:w="0" w:type="dxa"/>
            <w:vAlign w:val="bottom"/>
          </w:tcPr>
          <w:p>
            <w:pPr>
              <w:spacing w:after="0"/>
              <w:rPr>
                <w:sz w:val="1"/>
                <w:szCs w:val="1"/>
                <w:color w:val="auto"/>
              </w:rPr>
            </w:pPr>
          </w:p>
        </w:tc>
      </w:tr>
      <w:tr>
        <w:trPr>
          <w:trHeight w:val="223"/>
        </w:trPr>
        <w:tc>
          <w:tcPr>
            <w:tcW w:w="914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(532)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6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Total capitalization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13,066</w:t>
            </w:r>
          </w:p>
        </w:tc>
        <w:tc>
          <w:tcPr>
            <w:tcW w:w="66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Notes offered hereby are shown at the amount of the public offering price, with all offering expenses (including underwriting discounts) shown as paid out of cash.</w:t>
      </w:r>
    </w:p>
    <w:p>
      <w:pPr>
        <w:ind w:left="460" w:right="12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$4.1 billion of our existing outstanding notes less net unamortized discount and debt issuance costs, less $1.0 billion representing the current portion of long-term debt. The net proceeds of this offering will be used to repay a portion of the notes due May 16, 2016 bearing interest at a fixed rate of 2.375%, which are recorded as a current liability.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Notes will mature on , 20 . The Notes will be issued in book-entry form only, in denominations of $2,000 and multiples of $1,000 thereafter. Interest on the Notes will accrue from May , 2016 at the rate per annum shown on the cover of this prospectus supplement. The Notes will be payable semi-annually on and , commencing on , 2016 to the persons in whose names the Notes are registered at the close of business on the preceding or , as the case may be. Interest on the Notes will be paid to but excluding the relevant interest payment date. Interest on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Notes will be calculated on the basis of a 360-day year comprised of twelve 30-day months.</w:t>
      </w:r>
    </w:p>
    <w:p>
      <w:pPr>
        <w:spacing w:after="0" w:line="16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2015, Texas Instruments Incorporated had approximately $4.1 billion of outstanding indebtedness. As of December 31, 2015, we had approximately $6.3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December 31, 2015:</w:t>
      </w:r>
    </w:p>
    <w:p>
      <w:pPr>
        <w:spacing w:after="0" w:line="51" w:lineRule="exact"/>
        <w:rPr>
          <w:sz w:val="20"/>
          <w:szCs w:val="20"/>
          <w:color w:val="auto"/>
        </w:rPr>
      </w:pPr>
    </w:p>
    <w:p>
      <w:pPr>
        <w:ind w:left="900" w:right="3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 billion of total long-term indebtedness (including the Notes), all of which would constitute senior and unsubordinated indebtedness;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would have had approximately $</w:t>
      </w:r>
      <w:r>
        <w:rPr>
          <w:rFonts w:ascii="Arial" w:cs="Arial" w:eastAsia="Arial" w:hAnsi="Arial"/>
          <w:sz w:val="16"/>
          <w:szCs w:val="16"/>
          <w:color w:val="auto"/>
        </w:rPr>
        <w:t>billion of total liabilities on a consolidated basis;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ectPr>
          <w:pgSz w:w="11900" w:h="16838" w:orient="portrait"/>
          <w:cols w:equalWidth="0" w:num="1">
            <w:col w:w="11380"/>
          </w:cols>
          <w:pgMar w:left="240" w:top="459" w:right="279" w:bottom="1440" w:gutter="0" w:footer="0" w:header="0"/>
        </w:sectPr>
      </w:pP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Texas Instruments Incorporated’s subsidiaries would have had approximately $ intercompany debt) to which the Notes would have been structurally subordinated.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billion of liabilities (including trade payables but excluding</w:t>
      </w:r>
    </w:p>
    <w:p>
      <w:pPr>
        <w:spacing w:after="0" w:line="484" w:lineRule="exact"/>
        <w:rPr>
          <w:sz w:val="20"/>
          <w:szCs w:val="20"/>
          <w:color w:val="auto"/>
        </w:rPr>
      </w:pPr>
    </w:p>
    <w:p>
      <w:pPr>
        <w:sectPr>
          <w:pgSz w:w="11900" w:h="16838" w:orient="portrait"/>
          <w:cols w:equalWidth="0" w:num="3">
            <w:col w:w="520" w:space="380"/>
            <w:col w:w="5800" w:space="160"/>
            <w:col w:w="4520"/>
          </w:cols>
          <w:pgMar w:left="240" w:top="459" w:right="2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Notes by issuing additional Notes in the future on the same terms and conditions, except for any differences in the issue price and interest accrued prior to the issue date of the additional Notes. The additional Notes will have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same CUSIP number as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Notes for U.S. federal income tax purposes will be issued under a separate CUSIP number.</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80" w:type="dxa"/>
            <w:vAlign w:val="bottom"/>
          </w:tcPr>
          <w:p>
            <w:pPr>
              <w:spacing w:after="0"/>
              <w:rPr>
                <w:sz w:val="20"/>
                <w:szCs w:val="20"/>
                <w:color w:val="auto"/>
              </w:rPr>
            </w:pPr>
            <w:r>
              <w:rPr>
                <w:rFonts w:ascii="Arial" w:cs="Arial" w:eastAsia="Arial" w:hAnsi="Arial"/>
                <w:sz w:val="18"/>
                <w:szCs w:val="18"/>
                <w:b w:val="1"/>
                <w:bCs w:val="1"/>
                <w:color w:val="auto"/>
                <w:w w:val="96"/>
              </w:rPr>
              <w:t>Optional Redemption</w:t>
            </w:r>
          </w:p>
        </w:tc>
        <w:tc>
          <w:tcPr>
            <w:tcW w:w="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420" w:type="dxa"/>
            <w:vAlign w:val="bottom"/>
          </w:tcPr>
          <w:p>
            <w:pPr>
              <w:spacing w:after="0"/>
              <w:rPr>
                <w:sz w:val="19"/>
                <w:szCs w:val="19"/>
                <w:color w:val="auto"/>
              </w:rPr>
            </w:pPr>
          </w:p>
        </w:tc>
      </w:tr>
      <w:tr>
        <w:trPr>
          <w:trHeight w:val="297"/>
        </w:trPr>
        <w:tc>
          <w:tcPr>
            <w:tcW w:w="1780" w:type="dxa"/>
            <w:vAlign w:val="bottom"/>
          </w:tcPr>
          <w:p>
            <w:pPr>
              <w:ind w:left="460"/>
              <w:spacing w:after="0"/>
              <w:rPr>
                <w:sz w:val="20"/>
                <w:szCs w:val="20"/>
                <w:color w:val="auto"/>
              </w:rPr>
            </w:pPr>
            <w:r>
              <w:rPr>
                <w:rFonts w:ascii="Arial" w:cs="Arial" w:eastAsia="Arial" w:hAnsi="Arial"/>
                <w:sz w:val="18"/>
                <w:szCs w:val="18"/>
                <w:color w:val="auto"/>
              </w:rPr>
              <w:t>Prior to</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 20</w:t>
            </w:r>
          </w:p>
        </w:tc>
        <w:tc>
          <w:tcPr>
            <w:tcW w:w="1580" w:type="dxa"/>
            <w:vAlign w:val="bottom"/>
          </w:tcPr>
          <w:p>
            <w:pPr>
              <w:ind w:left="200"/>
              <w:spacing w:after="0"/>
              <w:rPr>
                <w:sz w:val="20"/>
                <w:szCs w:val="20"/>
                <w:color w:val="auto"/>
              </w:rPr>
            </w:pPr>
            <w:r>
              <w:rPr>
                <w:rFonts w:ascii="Arial" w:cs="Arial" w:eastAsia="Arial" w:hAnsi="Arial"/>
                <w:sz w:val="18"/>
                <w:szCs w:val="18"/>
                <w:color w:val="auto"/>
              </w:rPr>
              <w:t>(the date that is</w:t>
            </w:r>
          </w:p>
        </w:tc>
        <w:tc>
          <w:tcPr>
            <w:tcW w:w="7420" w:type="dxa"/>
            <w:vAlign w:val="bottom"/>
          </w:tcPr>
          <w:p>
            <w:pPr>
              <w:ind w:left="300"/>
              <w:spacing w:after="0"/>
              <w:rPr>
                <w:sz w:val="20"/>
                <w:szCs w:val="20"/>
                <w:color w:val="auto"/>
              </w:rPr>
            </w:pPr>
            <w:r>
              <w:rPr>
                <w:rFonts w:ascii="Arial" w:cs="Arial" w:eastAsia="Arial" w:hAnsi="Arial"/>
                <w:sz w:val="18"/>
                <w:szCs w:val="18"/>
                <w:color w:val="auto"/>
                <w:w w:val="89"/>
              </w:rPr>
              <w:t>prior to the maturity date of the Notes), the Notes will be redeemable, in whole or in part at any time,</w:t>
            </w:r>
          </w:p>
        </w:tc>
      </w:tr>
    </w:tbl>
    <w:p>
      <w:pPr>
        <w:ind w:right="300"/>
        <w:spacing w:after="0" w:line="261" w:lineRule="auto"/>
        <w:rPr>
          <w:sz w:val="20"/>
          <w:szCs w:val="20"/>
          <w:color w:val="auto"/>
        </w:rPr>
      </w:pPr>
      <w:r>
        <w:rPr>
          <w:rFonts w:ascii="Arial" w:cs="Arial" w:eastAsia="Arial" w:hAnsi="Arial"/>
          <w:sz w:val="18"/>
          <w:szCs w:val="18"/>
          <w:color w:val="auto"/>
        </w:rPr>
        <w:t>or from time to time, at Texas Instruments Incorporated’s option, at a “make-whole premium” redemption price calculated by Texas Instruments Incorporated equal to the greater of:</w:t>
      </w:r>
    </w:p>
    <w:p>
      <w:pPr>
        <w:spacing w:after="0" w:line="57" w:lineRule="exact"/>
        <w:rPr>
          <w:sz w:val="20"/>
          <w:szCs w:val="20"/>
          <w:color w:val="auto"/>
        </w:rPr>
      </w:pPr>
    </w:p>
    <w:p>
      <w:pPr>
        <w:ind w:left="680" w:hanging="21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sum of the present values of the principal amount of such Notes and the scheduled payments of interest thereon (not including any portion of such</w:t>
      </w:r>
    </w:p>
    <w:p>
      <w:pPr>
        <w:spacing w:after="0" w:line="3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payments of interest accrued as of the date of redemption) from the date of redemption to , 20 (the date that is prior to the maturity date of the Notes), in each case discounted to the date of redemption on a semi-annual basis (assuming a 360-day year consisting of twelve 30-day months) at the</w:t>
      </w:r>
    </w:p>
    <w:p>
      <w:pPr>
        <w:spacing w:after="0" w:line="1" w:lineRule="exact"/>
        <w:rPr>
          <w:sz w:val="20"/>
          <w:szCs w:val="20"/>
          <w:color w:val="auto"/>
        </w:rPr>
      </w:pPr>
    </w:p>
    <w:p>
      <w:pPr>
        <w:spacing w:after="0"/>
        <w:tabs>
          <w:tab w:leader="none" w:pos="3140" w:val="left"/>
        </w:tabs>
        <w:rPr>
          <w:sz w:val="20"/>
          <w:szCs w:val="20"/>
          <w:color w:val="auto"/>
        </w:rPr>
      </w:pPr>
      <w:r>
        <w:rPr>
          <w:rFonts w:ascii="Arial" w:cs="Arial" w:eastAsia="Arial" w:hAnsi="Arial"/>
          <w:sz w:val="18"/>
          <w:szCs w:val="18"/>
          <w:color w:val="auto"/>
        </w:rPr>
        <w:t>Treasury Rate (as defined below), plus</w:t>
      </w:r>
      <w:r>
        <w:rPr>
          <w:sz w:val="20"/>
          <w:szCs w:val="20"/>
          <w:color w:val="auto"/>
        </w:rPr>
        <w:tab/>
      </w:r>
      <w:r>
        <w:rPr>
          <w:rFonts w:ascii="Arial" w:cs="Arial" w:eastAsia="Arial" w:hAnsi="Arial"/>
          <w:sz w:val="15"/>
          <w:szCs w:val="15"/>
          <w:color w:val="auto"/>
        </w:rPr>
        <w:t>basis points;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At any time on or after , 20 (the date that is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4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17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“Reference Treasury Dealer” means (i) Barclays Capital Inc., Merrill Lynch, Pierce, Fenner &amp; Smith Incorporated and Mizuho Securities USA Inc.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8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90" w:lineRule="exact"/>
        <w:rPr>
          <w:sz w:val="20"/>
          <w:szCs w:val="20"/>
          <w:color w:val="auto"/>
        </w:rPr>
      </w:pPr>
    </w:p>
    <w:p>
      <w:pPr>
        <w:ind w:left="900" w:right="18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4"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50" w:lineRule="exact"/>
        <w:rPr>
          <w:rFonts w:ascii="Arial" w:cs="Arial" w:eastAsia="Arial" w:hAnsi="Arial"/>
          <w:sz w:val="18"/>
          <w:szCs w:val="18"/>
          <w:color w:val="auto"/>
        </w:rPr>
      </w:pPr>
    </w:p>
    <w:p>
      <w:pPr>
        <w:ind w:left="900" w:right="100" w:hanging="446"/>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1480" w:right="140" w:hanging="567"/>
        <w:spacing w:after="0" w:line="268"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90" w:lineRule="exact"/>
        <w:rPr>
          <w:rFonts w:ascii="Arial" w:cs="Arial" w:eastAsia="Arial" w:hAnsi="Arial"/>
          <w:sz w:val="18"/>
          <w:szCs w:val="18"/>
          <w:color w:val="auto"/>
        </w:rPr>
      </w:pPr>
    </w:p>
    <w:p>
      <w:pPr>
        <w:ind w:left="1480" w:right="100" w:hanging="567"/>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for all or substantially all of its property,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 declaration of acceleration, the principal amount of and accrued interest, if any, on such debt securities shall be immediately due and payable.</w:t>
      </w:r>
    </w:p>
    <w:p>
      <w:pPr>
        <w:spacing w:after="0" w:line="19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A holder may not pursue any remedy with respect to the indenture or the Notes unless:</w:t>
      </w:r>
    </w:p>
    <w:p>
      <w:pPr>
        <w:spacing w:after="0" w:line="63"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4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1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2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or other relevant agent of or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47"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of the Notes.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00"/>
          </w:cols>
          <w:pgMar w:left="24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5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32"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section applies to you if you are a U.S. Holder. You are a U.S. Holder if for U.S. federal income tax purposes you are a beneficial owner of a Note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8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United States federal income taxation regardless of its source.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purposes. If, however, the Notes’ principal amount exceeds the issue price by at least a de minimis amount, as determined under applicable Treasury Regulations, you will be required to include such excess in income as original issue discount, as it accrues, in accordance with a constant yield method based on a compounding of interest before the receipt of cash payments attributable to this income.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8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payments of principal and interest on the Notes to you will not be subject to U.S. federal income or withholding tax, provided that, in the case of interest,</w:t>
      </w:r>
    </w:p>
    <w:p>
      <w:pPr>
        <w:spacing w:after="0" w:line="5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Provisions commonly referred to as “FATCA” impose withholding of 30% on payments of interest on the Notes and (for dispositions after December 31, 2018) of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Barclays Capital Inc., Merrill Lynch, Pierce, Fenner &amp; Smith Incorporated and Mizuho Securities USA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6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Underwriter</w:t>
            </w:r>
          </w:p>
        </w:tc>
        <w:tc>
          <w:tcPr>
            <w:tcW w:w="37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Principal Amount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37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56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w w:val="95"/>
              </w:rPr>
              <w:t>Notes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Barclays Capital Inc.</w:t>
            </w:r>
          </w:p>
        </w:tc>
        <w:tc>
          <w:tcPr>
            <w:tcW w:w="27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311"/>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Merrill Lynch, Pierce, Fenner &amp; Smith</w:t>
            </w:r>
          </w:p>
        </w:tc>
        <w:tc>
          <w:tcPr>
            <w:tcW w:w="2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520" w:type="dxa"/>
            <w:vAlign w:val="bottom"/>
            <w:gridSpan w:val="2"/>
          </w:tcPr>
          <w:p>
            <w:pPr>
              <w:ind w:left="60"/>
              <w:spacing w:after="0"/>
              <w:rPr>
                <w:sz w:val="20"/>
                <w:szCs w:val="20"/>
                <w:color w:val="auto"/>
              </w:rPr>
            </w:pPr>
            <w:r>
              <w:rPr>
                <w:rFonts w:ascii="Arial" w:cs="Arial" w:eastAsia="Arial" w:hAnsi="Arial"/>
                <w:sz w:val="18"/>
                <w:szCs w:val="18"/>
                <w:color w:val="auto"/>
              </w:rPr>
              <w:t>Incorporated</w:t>
            </w:r>
          </w:p>
        </w:tc>
        <w:tc>
          <w:tcPr>
            <w:tcW w:w="2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27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Citigroup Global Markets Inc.</w:t>
            </w:r>
          </w:p>
        </w:tc>
        <w:tc>
          <w:tcPr>
            <w:tcW w:w="2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27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Morgan Stanley &amp; Co. LLC</w:t>
            </w:r>
          </w:p>
        </w:tc>
        <w:tc>
          <w:tcPr>
            <w:tcW w:w="27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CCEEFF"/>
          </w:tcPr>
          <w:p>
            <w:pPr>
              <w:jc w:val="right"/>
              <w:ind w:right="13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 per Note. Any such securities dealers may resell any Notes purchased from the underwriters to certain other brokers or dealers at a discount from the initial public offering price not to exceed % per Note. If all the Notes are not sold at the initial offering price, the underwriters may change the offering price and the other selling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680" w:type="dxa"/>
            <w:vAlign w:val="bottom"/>
            <w:gridSpan w:val="3"/>
          </w:tcPr>
          <w:p>
            <w:pPr>
              <w:jc w:val="center"/>
              <w:ind w:left="2382"/>
              <w:spacing w:after="0"/>
              <w:rPr>
                <w:sz w:val="20"/>
                <w:szCs w:val="20"/>
                <w:color w:val="auto"/>
              </w:rPr>
            </w:pPr>
            <w:r>
              <w:rPr>
                <w:rFonts w:ascii="Arial" w:cs="Arial" w:eastAsia="Arial" w:hAnsi="Arial"/>
                <w:sz w:val="14"/>
                <w:szCs w:val="14"/>
                <w:b w:val="1"/>
                <w:bCs w:val="1"/>
                <w:color w:val="auto"/>
                <w:w w:val="83"/>
              </w:rPr>
              <w:t>Paid by Texas</w:t>
            </w:r>
          </w:p>
        </w:tc>
      </w:tr>
      <w:tr>
        <w:trPr>
          <w:trHeight w:val="149"/>
        </w:trPr>
        <w:tc>
          <w:tcPr>
            <w:tcW w:w="13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Instruments</w:t>
            </w:r>
          </w:p>
        </w:tc>
      </w:tr>
      <w:tr>
        <w:trPr>
          <w:trHeight w:val="161"/>
        </w:trPr>
        <w:tc>
          <w:tcPr>
            <w:tcW w:w="1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0" w:type="dxa"/>
            <w:vAlign w:val="bottom"/>
            <w:gridSpan w:val="2"/>
          </w:tcPr>
          <w:p>
            <w:pPr>
              <w:jc w:val="center"/>
              <w:ind w:right="132"/>
              <w:spacing w:after="0"/>
              <w:rPr>
                <w:sz w:val="20"/>
                <w:szCs w:val="20"/>
                <w:color w:val="auto"/>
              </w:rPr>
            </w:pPr>
            <w:r>
              <w:rPr>
                <w:rFonts w:ascii="Arial" w:cs="Arial" w:eastAsia="Arial" w:hAnsi="Arial"/>
                <w:sz w:val="14"/>
                <w:szCs w:val="14"/>
                <w:b w:val="1"/>
                <w:bCs w:val="1"/>
                <w:color w:val="auto"/>
                <w:w w:val="91"/>
              </w:rPr>
              <w:t>Incorporated</w:t>
            </w:r>
          </w:p>
        </w:tc>
      </w:tr>
      <w:tr>
        <w:trPr>
          <w:trHeight w:val="210"/>
        </w:trPr>
        <w:tc>
          <w:tcPr>
            <w:tcW w:w="138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2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376"/>
        </w:trPr>
        <w:tc>
          <w:tcPr>
            <w:tcW w:w="5460" w:type="dxa"/>
            <w:vAlign w:val="bottom"/>
            <w:gridSpan w:val="2"/>
          </w:tcPr>
          <w:p>
            <w:pPr>
              <w:spacing w:after="0"/>
              <w:rPr>
                <w:sz w:val="20"/>
                <w:szCs w:val="20"/>
                <w:color w:val="auto"/>
              </w:rPr>
            </w:pPr>
            <w:r>
              <w:rPr>
                <w:rFonts w:ascii="Arial" w:cs="Arial" w:eastAsia="Arial" w:hAnsi="Arial"/>
                <w:sz w:val="18"/>
                <w:szCs w:val="18"/>
                <w:color w:val="auto"/>
                <w:w w:val="90"/>
              </w:rPr>
              <w:t>We estimate that our total expenses for this offering will be approximately $</w:t>
            </w:r>
          </w:p>
        </w:tc>
        <w:tc>
          <w:tcPr>
            <w:tcW w:w="3680" w:type="dxa"/>
            <w:vAlign w:val="bottom"/>
            <w:gridSpan w:val="3"/>
          </w:tcPr>
          <w:p>
            <w:pPr>
              <w:jc w:val="right"/>
              <w:ind w:right="512"/>
              <w:spacing w:after="0"/>
              <w:rPr>
                <w:sz w:val="20"/>
                <w:szCs w:val="20"/>
                <w:color w:val="auto"/>
              </w:rPr>
            </w:pPr>
            <w:r>
              <w:rPr>
                <w:rFonts w:ascii="Arial" w:cs="Arial" w:eastAsia="Arial" w:hAnsi="Arial"/>
                <w:sz w:val="18"/>
                <w:szCs w:val="18"/>
                <w:color w:val="auto"/>
                <w:w w:val="95"/>
              </w:rPr>
              <w:t>million, including underwriting discounts.</w:t>
            </w:r>
          </w:p>
        </w:tc>
      </w:tr>
    </w:tbl>
    <w:p>
      <w:pPr>
        <w:spacing w:after="0" w:line="15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5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Covering transactions involve purchases of the Notes in the open market after the distribution has been completed in order to cover short positions.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 supplement, which will be the fifth business day following the date of the pricing of the Notes. Under Rule 15c6-1 of the Exchange Act, trades in the secondary market generally are required to settle in three business days, unless the parties to a trade expressly agree otherwise. Accordingly, purchasers who wish to trade Notes on the date of pricing or the next succeeding business day will be required, by virtue of the fact that the Notes initially will settle in T+5, to specify alternative settlement arrangements to prevent a failed settlement.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0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(each, a relevant member state), with effect from and including the date on which the Prospectus Directive is implemented in that relevant member state (the relevant implementation date), an offer of the Notes described in this prospectus supplement may not be made to the public in that relevant member state other than:</w:t>
      </w:r>
    </w:p>
    <w:p>
      <w:pPr>
        <w:spacing w:after="0" w:line="5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provided that no such offer of securities shall require us or any underwriter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(as amended, including by Directive 2010/73/EU) and includes any relevant implementing measure in each relevant member state.</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3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 conflicts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of interest disclosure pertaining to “connected issuer” and/or “related issuer” relationships as would otherwise be required pursuant to subsection 2.1(1) of NI 33-105.</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90"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prospectus requirements granted by the applicable local Canadian securities regulatory authority. These resale restrictions may under certain circumstances apply to resales of the Notes outside of Canada.</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9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 xml:space="preserve">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5"/>
          <w:szCs w:val="15"/>
          <w:i w:val="1"/>
          <w:iCs w:val="1"/>
          <w:color w:val="auto"/>
        </w:rPr>
        <w:t>Prospectus Exemptions</w:t>
      </w:r>
      <w:r>
        <w:rPr>
          <w:rFonts w:ascii="Arial" w:cs="Arial" w:eastAsia="Arial" w:hAnsi="Arial"/>
          <w:sz w:val="15"/>
          <w:szCs w:val="15"/>
          <w:color w:val="auto"/>
        </w:rPr>
        <w:t xml:space="preserve"> (“NI 45-106”) or, in Ontario, as such term is defined in section 73.3(1) of the </w:t>
      </w:r>
      <w:r>
        <w:rPr>
          <w:rFonts w:ascii="Arial" w:cs="Arial" w:eastAsia="Arial" w:hAnsi="Arial"/>
          <w:sz w:val="15"/>
          <w:szCs w:val="15"/>
          <w:i w:val="1"/>
          <w:iCs w:val="1"/>
          <w:color w:val="auto"/>
        </w:rPr>
        <w:t>Securities Act</w:t>
      </w:r>
      <w:r>
        <w:rPr>
          <w:rFonts w:ascii="Arial" w:cs="Arial" w:eastAsia="Arial" w:hAnsi="Arial"/>
          <w:sz w:val="15"/>
          <w:szCs w:val="15"/>
          <w:color w:val="auto"/>
        </w:rPr>
        <w:t xml:space="preserve"> (Ontario); and</w:t>
      </w:r>
    </w:p>
    <w:p>
      <w:pPr>
        <w:spacing w:after="0" w:line="3" w:lineRule="exact"/>
        <w:rPr>
          <w:sz w:val="20"/>
          <w:szCs w:val="20"/>
          <w:color w:val="auto"/>
        </w:rPr>
      </w:pPr>
    </w:p>
    <w:p>
      <w:pPr>
        <w:ind w:right="180" w:firstLine="8"/>
        <w:spacing w:after="0" w:line="261" w:lineRule="auto"/>
        <w:tabs>
          <w:tab w:leader="none" w:pos="3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is a “permitted client” as such term is defined in section 1.1 of National Instrument 31-103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90"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 Prospectus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 with a</w:t>
      </w:r>
      <w:r>
        <w:rPr>
          <w:rFonts w:ascii="Arial" w:cs="Arial" w:eastAsia="Arial" w:hAnsi="Arial"/>
          <w:sz w:val="16"/>
          <w:szCs w:val="16"/>
          <w:i w:val="1"/>
          <w:iCs w:val="1"/>
          <w:color w:val="auto"/>
        </w:rPr>
        <w:t xml:space="preserve"> </w:t>
      </w:r>
      <w:r>
        <w:rPr>
          <w:rFonts w:ascii="Arial" w:cs="Arial" w:eastAsia="Arial" w:hAnsi="Arial"/>
          <w:sz w:val="16"/>
          <w:szCs w:val="16"/>
          <w:color w:val="auto"/>
        </w:rPr>
        <w:t>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8"/>
          <w:szCs w:val="18"/>
          <w:i w:val="1"/>
          <w:iCs w:val="1"/>
          <w:color w:val="auto"/>
        </w:rPr>
        <w:t>Par</w:t>
      </w:r>
      <w:r>
        <w:rPr>
          <w:rFonts w:ascii="Arial" w:cs="Arial" w:eastAsia="Arial" w:hAnsi="Arial"/>
          <w:sz w:val="18"/>
          <w:szCs w:val="18"/>
          <w:color w:val="auto"/>
        </w:rPr>
        <w:t xml:space="preserve"> </w:t>
      </w:r>
      <w:r>
        <w:rPr>
          <w:rFonts w:ascii="Arial" w:cs="Arial" w:eastAsia="Arial" w:hAnsi="Arial"/>
          <w:sz w:val="18"/>
          <w:szCs w:val="18"/>
          <w:i w:val="1"/>
          <w:iCs w:val="1"/>
          <w:color w:val="auto"/>
        </w:rPr>
        <w:t>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i w:val="1"/>
          <w:iCs w:val="1"/>
          <w:color w:val="auto"/>
        </w:rPr>
        <w:t xml:space="preserve">des Marchés Financiers. </w:t>
      </w:r>
      <w:r>
        <w:rPr>
          <w:rFonts w:ascii="Arial" w:cs="Arial" w:eastAsia="Arial" w:hAnsi="Arial"/>
          <w:sz w:val="18"/>
          <w:szCs w:val="18"/>
          <w:color w:val="auto"/>
        </w:rPr>
        <w:t>The Notes have not been offered or sold and will not be offered or sold, directly or indirectly, to the public in France. Neither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supplement nor any other offering material relating to the Notes has been or will be:</w:t>
      </w:r>
    </w:p>
    <w:p>
      <w:pPr>
        <w:spacing w:after="0" w:line="5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90" w:lineRule="exact"/>
        <w:rPr>
          <w:sz w:val="20"/>
          <w:szCs w:val="20"/>
          <w:color w:val="auto"/>
        </w:rPr>
      </w:pPr>
    </w:p>
    <w:p>
      <w:pPr>
        <w:ind w:left="9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90"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90" w:lineRule="exact"/>
        <w:rPr>
          <w:sz w:val="20"/>
          <w:szCs w:val="20"/>
          <w:color w:val="auto"/>
        </w:rPr>
      </w:pPr>
    </w:p>
    <w:p>
      <w:pPr>
        <w:ind w:left="900" w:right="8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4"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4" w:lineRule="exact"/>
        <w:rPr>
          <w:sz w:val="20"/>
          <w:szCs w:val="20"/>
          <w:color w:val="auto"/>
        </w:rPr>
      </w:pPr>
    </w:p>
    <w:p>
      <w:pPr>
        <w:ind w:left="900" w:right="60" w:hanging="446"/>
        <w:spacing w:after="0" w:line="25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2015, and the effectiveness of our internal control over financial reporting as of December 31, 2015, as set forth in their reports, which are incorporated by reference herein. Our financial statements and our management’s assessment of the effectiveness of internal control over financial reporting as of December 31, 2015, are incorporated by reference in reliance on Ernst &amp; Young LLP’s reports, given 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Annual Report on Form 10-K for the year ended December 31, 2015, filed on February 24, 2016, and all documents subsequently filed with the SEC pursuant to Section 13(a), 13(c), 14, or 15(d) of the Exchange Act prior to the termination of the offering under this prospectus supplement.</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51" w:lineRule="exact"/>
        <w:rPr>
          <w:sz w:val="20"/>
          <w:szCs w:val="20"/>
          <w:color w:val="auto"/>
        </w:rPr>
      </w:pPr>
    </w:p>
    <w:p>
      <w:pPr>
        <w:sectPr>
          <w:pgSz w:w="11900" w:h="16838" w:orient="portrait"/>
          <w:cols w:equalWidth="0" w:num="4">
            <w:col w:w="80" w:space="300"/>
            <w:col w:w="4720" w:space="720"/>
            <w:col w:w="80" w:space="300"/>
            <w:col w:w="52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Units</w:t>
      </w:r>
    </w:p>
    <w:p>
      <w:pPr>
        <w:spacing w:after="0" w:line="128" w:lineRule="exact"/>
        <w:rPr>
          <w:sz w:val="20"/>
          <w:szCs w:val="20"/>
          <w:color w:val="auto"/>
        </w:rPr>
      </w:pPr>
    </w:p>
    <w:p>
      <w:pPr>
        <w:sectPr>
          <w:pgSz w:w="11900" w:h="16838" w:orient="portrait"/>
          <w:cols w:equalWidth="0" w:num="4">
            <w:col w:w="80" w:space="300"/>
            <w:col w:w="4720" w:space="720"/>
            <w:col w:w="80" w:space="300"/>
            <w:col w:w="5220"/>
          </w:cols>
          <w:pgMar w:left="240" w:top="459" w:right="239" w:bottom="1440" w:gutter="0" w:footer="0" w:header="0"/>
          <w:type w:val="continuous"/>
        </w:sect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Maturity</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Redemption terms</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Liquidation amount</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Interest rate</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Listing on a security exchange</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w w:val="88"/>
              </w:rPr>
              <w:t>Subsidiary guarantees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Currency of payments</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Amount payable at maturity</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Sinking fund terms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Conversion or exchange rights</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23, 2016, the reported last sale price on The NASDAQ Global Select Market for our common stock was $52.24.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6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24, 2016</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4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040" w:type="dxa"/>
            <w:vAlign w:val="bottom"/>
            <w:gridSpan w:val="2"/>
            <w:vMerge w:val="restart"/>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The Company</w:t>
              </w:r>
            </w:hyperlink>
          </w:p>
        </w:tc>
        <w:tc>
          <w:tcPr>
            <w:tcW w:w="3060" w:type="dxa"/>
            <w:vAlign w:val="bottom"/>
            <w:gridSpan w:val="12"/>
            <w:vMerge w:val="restart"/>
          </w:tcPr>
          <w:p>
            <w:pPr>
              <w:spacing w:after="0"/>
              <w:rPr>
                <w:sz w:val="24"/>
                <w:szCs w:val="24"/>
                <w:color w:val="auto"/>
              </w:rPr>
            </w:pPr>
          </w:p>
        </w:tc>
        <w:tc>
          <w:tcPr>
            <w:tcW w:w="69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0000EE"/>
            </w:tcBorders>
            <w:gridSpan w:val="2"/>
            <w:vMerge w:val="continue"/>
          </w:tcPr>
          <w:p>
            <w:pPr>
              <w:spacing w:after="0"/>
              <w:rPr>
                <w:sz w:val="13"/>
                <w:szCs w:val="13"/>
                <w:color w:val="auto"/>
              </w:rPr>
            </w:pPr>
          </w:p>
        </w:tc>
        <w:tc>
          <w:tcPr>
            <w:tcW w:w="3060" w:type="dxa"/>
            <w:vAlign w:val="bottom"/>
            <w:gridSpan w:val="12"/>
            <w:vMerge w:val="continue"/>
          </w:tcPr>
          <w:p>
            <w:pPr>
              <w:spacing w:after="0"/>
              <w:rPr>
                <w:sz w:val="13"/>
                <w:szCs w:val="13"/>
                <w:color w:val="auto"/>
              </w:rPr>
            </w:pPr>
          </w:p>
        </w:tc>
        <w:tc>
          <w:tcPr>
            <w:tcW w:w="694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0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About this Prospectus</w:t>
              </w:r>
            </w:hyperlink>
          </w:p>
        </w:tc>
        <w:tc>
          <w:tcPr>
            <w:tcW w:w="72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Where You Can Find More Information</w:t>
              </w:r>
            </w:hyperlink>
          </w:p>
        </w:tc>
        <w:tc>
          <w:tcPr>
            <w:tcW w:w="1220" w:type="dxa"/>
            <w:vAlign w:val="bottom"/>
            <w:gridSpan w:val="2"/>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Notice Regarding Forward-Looking Statements</w:t>
              </w:r>
            </w:hyperlink>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0"/>
          </w:tcPr>
          <w:p>
            <w:pPr>
              <w:spacing w:after="0"/>
              <w:rPr>
                <w:sz w:val="17"/>
                <w:szCs w:val="17"/>
                <w:color w:val="auto"/>
              </w:rPr>
            </w:pPr>
          </w:p>
        </w:tc>
        <w:tc>
          <w:tcPr>
            <w:tcW w:w="660" w:type="dxa"/>
            <w:vAlign w:val="bottom"/>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Ratios of Earnings to Fixed Charges</w:t>
              </w:r>
            </w:hyperlink>
          </w:p>
        </w:tc>
        <w:tc>
          <w:tcPr>
            <w:tcW w:w="1480" w:type="dxa"/>
            <w:vAlign w:val="bottom"/>
            <w:gridSpan w:val="3"/>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Capital Stock</w:t>
              </w:r>
            </w:hyperlink>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Description of Debt Securities</w:t>
              </w:r>
            </w:hyperlink>
          </w:p>
        </w:tc>
        <w:tc>
          <w:tcPr>
            <w:tcW w:w="1900" w:type="dxa"/>
            <w:vAlign w:val="bottom"/>
            <w:gridSpan w:val="4"/>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Description of Warrants</w:t>
              </w:r>
            </w:hyperlink>
          </w:p>
        </w:tc>
        <w:tc>
          <w:tcPr>
            <w:tcW w:w="2360" w:type="dxa"/>
            <w:vAlign w:val="bottom"/>
            <w:gridSpan w:val="6"/>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Description of Units</w:t>
              </w:r>
            </w:hyperlink>
          </w:p>
        </w:tc>
        <w:tc>
          <w:tcPr>
            <w:tcW w:w="2620" w:type="dxa"/>
            <w:vAlign w:val="bottom"/>
            <w:gridSpan w:val="8"/>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Forms of Securities</w:t>
              </w:r>
            </w:hyperlink>
          </w:p>
        </w:tc>
        <w:tc>
          <w:tcPr>
            <w:tcW w:w="2680" w:type="dxa"/>
            <w:vAlign w:val="bottom"/>
            <w:gridSpan w:val="10"/>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Plan of Distribution</w:t>
              </w:r>
            </w:hyperlink>
          </w:p>
        </w:tc>
        <w:tc>
          <w:tcPr>
            <w:tcW w:w="2660" w:type="dxa"/>
            <w:vAlign w:val="bottom"/>
            <w:gridSpan w:val="9"/>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Validity of Securities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520" w:type="dxa"/>
            <w:vAlign w:val="bottom"/>
            <w:gridSpan w:val="7"/>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71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32715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40" w:firstLine="443"/>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24" w:lineRule="exact"/>
        <w:rPr>
          <w:sz w:val="20"/>
          <w:szCs w:val="20"/>
          <w:color w:val="auto"/>
        </w:rPr>
      </w:pPr>
    </w:p>
    <w:p>
      <w:pPr>
        <w:ind w:left="200" w:firstLine="443"/>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24"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Form 10-K for the year ended December 31, 2015, filed on February 24, 2016, and all documents subsequently filed with the SEC pursuant to Section 13(a), 13(c), 14, or 15(d) of the Securities Exchange Act of 1934, as amended (the “Exchange Act”) prior to the termination of the offering under this prospectus.</w:t>
      </w:r>
    </w:p>
    <w:p>
      <w:pPr>
        <w:spacing w:after="0" w:line="173"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53"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Natural events such as health epidemics, severe weather and earthquakes in the locations in which we, our customers or our suppliers operate;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obtain needed licenses from third parties, expiration of license agreements between us and our patent licensees, and market conditions reducing royalty payments to us;</w:t>
      </w:r>
    </w:p>
    <w:p>
      <w:pPr>
        <w:spacing w:after="0" w:line="75"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our products or operate our business, or subject us to fines, penalties, or other legal liability;</w:t>
      </w:r>
    </w:p>
    <w:p>
      <w:pPr>
        <w:spacing w:after="0" w:line="29"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and the ability to realize deferred tax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30"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Instability in the global credit and financial markets that affects our ability to fund our daily operations, invest in our business, make strategic acquisitions, repurchase outstanding shares of our common stock, or make principal and interest payments on our debt;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and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27.3x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55.9x</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January 31, 2016, there were 1,008,975,790 shares of common stock outstanding which were held of record by 15,458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2 North LaSalle Street, Chicago, Illinois 60602.</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January 31, 2016,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meeting is first made.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71"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54"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66"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Certain Definitions</w:t>
      </w:r>
      <w:r>
        <w:rPr>
          <w:rFonts w:ascii="Arial" w:cs="Arial" w:eastAsia="Arial" w:hAnsi="Arial"/>
          <w:sz w:val="17"/>
          <w:szCs w:val="17"/>
          <w:color w:val="auto"/>
        </w:rPr>
        <w:t>. The term “attributable debt” in respect of a sale and leaseback transaction means, at the time of determination, the lesser of (1)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 money borrowed (which, including guarantees of debt for borrowed money, we refer to as “debt”), if the debt is secured by a mortgage, pledge, lien or other encumbrance (which we refer to as a “mortgage”) upon any principal manufacturing property (whether such principal manufacturing property is now owned or subsequently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mortgages on property existing at the time of or within 120 days after acquisition of the property and certain purchase money mortgages;</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93"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Restrictions on Sale and Leaseback Transactions</w:t>
      </w:r>
      <w:r>
        <w:rPr>
          <w:rFonts w:ascii="Arial" w:cs="Arial" w:eastAsia="Arial" w:hAnsi="Arial"/>
          <w:sz w:val="17"/>
          <w:szCs w:val="17"/>
          <w:color w:val="auto"/>
        </w:rPr>
        <w:t>. The indenture provides that, unless as may otherwise be indicated by resolution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77" w:lineRule="exact"/>
        <w:rPr>
          <w:sz w:val="20"/>
          <w:szCs w:val="20"/>
          <w:color w:val="auto"/>
        </w:rPr>
      </w:pPr>
    </w:p>
    <w:p>
      <w:pPr>
        <w:ind w:left="900" w:right="14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proceeds of such sale and leaseback transaction and we elect to designate such amount as a credit against such transaction, or</w:t>
      </w:r>
    </w:p>
    <w:p>
      <w:pPr>
        <w:spacing w:after="0" w:line="142" w:lineRule="exact"/>
        <w:rPr>
          <w:rFonts w:ascii="Arial" w:cs="Arial" w:eastAsia="Arial" w:hAnsi="Arial"/>
          <w:sz w:val="17"/>
          <w:szCs w:val="17"/>
          <w:color w:val="auto"/>
        </w:rPr>
      </w:pPr>
    </w:p>
    <w:p>
      <w:pPr>
        <w:ind w:left="1460" w:right="260" w:hanging="547"/>
        <w:spacing w:after="0" w:line="277"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2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w:t>
      </w:r>
      <w:r>
        <w:rPr>
          <w:rFonts w:ascii="Arial" w:cs="Arial" w:eastAsia="Arial" w:hAnsi="Arial"/>
          <w:sz w:val="18"/>
          <w:szCs w:val="18"/>
          <w:i w:val="1"/>
          <w:iCs w:val="1"/>
          <w:color w:val="auto"/>
        </w:rPr>
        <w:t xml:space="preserve"> </w:t>
      </w:r>
      <w:r>
        <w:rPr>
          <w:rFonts w:ascii="Arial" w:cs="Arial" w:eastAsia="Arial" w:hAnsi="Arial"/>
          <w:sz w:val="18"/>
          <w:szCs w:val="18"/>
          <w:color w:val="auto"/>
        </w:rPr>
        <w:t>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76" w:lineRule="exact"/>
        <w:rPr>
          <w:sz w:val="20"/>
          <w:szCs w:val="20"/>
          <w:color w:val="auto"/>
        </w:rPr>
      </w:pPr>
    </w:p>
    <w:p>
      <w:pPr>
        <w:ind w:left="900" w:hanging="446"/>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900" w:right="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900" w:right="440" w:hanging="446"/>
        <w:spacing w:after="0" w:line="34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5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53" w:lineRule="exact"/>
        <w:rPr>
          <w:rFonts w:ascii="Arial" w:cs="Arial" w:eastAsia="Arial" w:hAnsi="Arial"/>
          <w:sz w:val="16"/>
          <w:szCs w:val="16"/>
          <w:color w:val="auto"/>
        </w:rPr>
      </w:pPr>
    </w:p>
    <w:p>
      <w:pPr>
        <w:ind w:left="1460" w:right="40" w:hanging="547"/>
        <w:spacing w:after="0" w:line="277"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7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4"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900" w:right="2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300"/>
        <w:spacing w:after="0" w:line="264" w:lineRule="auto"/>
        <w:rPr>
          <w:sz w:val="20"/>
          <w:szCs w:val="20"/>
          <w:color w:val="auto"/>
        </w:rPr>
      </w:pPr>
      <w:r>
        <w:rPr>
          <w:rFonts w:ascii="Arial" w:cs="Arial" w:eastAsia="Arial" w:hAnsi="Arial"/>
          <w:sz w:val="18"/>
          <w:szCs w:val="18"/>
          <w:color w:val="auto"/>
        </w:rPr>
        <w:t>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92" w:lineRule="exact"/>
        <w:rPr>
          <w:sz w:val="20"/>
          <w:szCs w:val="20"/>
          <w:color w:val="auto"/>
        </w:rPr>
      </w:pPr>
    </w:p>
    <w:p>
      <w:pPr>
        <w:ind w:left="900" w:hanging="446"/>
        <w:spacing w:after="0" w:line="290"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71"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extends the stated maturity of the principal of, or the time of payment of any installment of interest on, any debt securities of such series;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waives a default in respect of a covenant or provision which cannot be modified or amended without the consent of each affected holder.</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securities based on the value, rate or price of one or more specified commodities, currencies, securities or indices, or any combination of the</w:t>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Registered Global Securities</w:t>
      </w:r>
      <w:r>
        <w:rPr>
          <w:rFonts w:ascii="Arial" w:cs="Arial" w:eastAsia="Arial" w:hAnsi="Arial"/>
          <w:sz w:val="17"/>
          <w:szCs w:val="17"/>
          <w:color w:val="auto"/>
        </w:rPr>
        <w:t>. We may issue the registered debt securities, warrants and units in the form of one or more fully registered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54"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2015, and the effectiveness of our internal control over financial reporting as of December 31, 2015, as set forth in their reports, which are incorporated by reference into this prospectus and elsewhere in the registration statement. Our financial statements and our management’s assessment of the effectiveness of internal control over financial reporting as of December 31, 2015, are incorporated by reference in reliance on Ernst &amp; Young LLP’s reports, given on their authority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1252220</wp:posOffset>
            </wp:positionV>
            <wp:extent cx="2864485" cy="660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0" w:hanging="815"/>
        <w:spacing w:after="0"/>
        <w:tabs>
          <w:tab w:leader="none" w:pos="540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1666240</wp:posOffset>
            </wp:positionV>
            <wp:extent cx="15176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PROSPECTUS SUPPLEMENT</w:t>
      </w:r>
    </w:p>
    <w:p>
      <w:pPr>
        <w:spacing w:after="0" w:line="206" w:lineRule="exact"/>
        <w:rPr>
          <w:sz w:val="20"/>
          <w:szCs w:val="20"/>
          <w:color w:val="auto"/>
        </w:rPr>
      </w:pPr>
    </w:p>
    <w:p>
      <w:pPr>
        <w:jc w:val="center"/>
        <w:ind w:left="5060"/>
        <w:spacing w:after="0"/>
        <w:tabs>
          <w:tab w:leader="none" w:pos="240" w:val="left"/>
        </w:tabs>
        <w:rPr>
          <w:sz w:val="20"/>
          <w:szCs w:val="20"/>
          <w:color w:val="auto"/>
        </w:rPr>
      </w:pPr>
      <w:r>
        <w:rPr>
          <w:rFonts w:ascii="Arial" w:cs="Arial" w:eastAsia="Arial" w:hAnsi="Arial"/>
          <w:sz w:val="22"/>
          <w:szCs w:val="22"/>
          <w:b w:val="1"/>
          <w:bCs w:val="1"/>
          <w:color w:val="auto"/>
        </w:rPr>
        <w:t>April</w:t>
        <w:tab/>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6180" w:type="dxa"/>
            <w:vAlign w:val="bottom"/>
            <w:gridSpan w:val="2"/>
          </w:tcPr>
          <w:p>
            <w:pPr>
              <w:ind w:left="2340"/>
              <w:spacing w:after="0"/>
              <w:rPr>
                <w:sz w:val="20"/>
                <w:szCs w:val="20"/>
                <w:color w:val="auto"/>
              </w:rPr>
            </w:pPr>
            <w:r>
              <w:rPr>
                <w:rFonts w:ascii="Arial" w:cs="Arial" w:eastAsia="Arial" w:hAnsi="Arial"/>
                <w:sz w:val="18"/>
                <w:szCs w:val="18"/>
                <w:i w:val="1"/>
                <w:iCs w:val="1"/>
                <w:color w:val="auto"/>
              </w:rPr>
              <w:t>Joint Book-Running Managers</w:t>
            </w:r>
          </w:p>
        </w:tc>
        <w:tc>
          <w:tcPr>
            <w:tcW w:w="2980" w:type="dxa"/>
            <w:vAlign w:val="bottom"/>
          </w:tcPr>
          <w:p>
            <w:pPr>
              <w:spacing w:after="0"/>
              <w:rPr>
                <w:sz w:val="20"/>
                <w:szCs w:val="20"/>
                <w:color w:val="auto"/>
              </w:rPr>
            </w:pPr>
          </w:p>
        </w:tc>
      </w:tr>
      <w:tr>
        <w:trPr>
          <w:trHeight w:val="623"/>
        </w:trPr>
        <w:tc>
          <w:tcPr>
            <w:tcW w:w="2260" w:type="dxa"/>
            <w:vAlign w:val="bottom"/>
          </w:tcPr>
          <w:p>
            <w:pPr>
              <w:spacing w:after="0"/>
              <w:rPr>
                <w:sz w:val="20"/>
                <w:szCs w:val="20"/>
                <w:color w:val="auto"/>
              </w:rPr>
            </w:pPr>
            <w:r>
              <w:rPr>
                <w:rFonts w:ascii="Arial" w:cs="Arial" w:eastAsia="Arial" w:hAnsi="Arial"/>
                <w:sz w:val="32"/>
                <w:szCs w:val="32"/>
                <w:b w:val="1"/>
                <w:bCs w:val="1"/>
                <w:color w:val="auto"/>
              </w:rPr>
              <w:t>Barclays</w:t>
            </w:r>
          </w:p>
        </w:tc>
        <w:tc>
          <w:tcPr>
            <w:tcW w:w="6180" w:type="dxa"/>
            <w:vAlign w:val="bottom"/>
            <w:gridSpan w:val="2"/>
          </w:tcPr>
          <w:p>
            <w:pPr>
              <w:ind w:left="980"/>
              <w:spacing w:after="0"/>
              <w:rPr>
                <w:sz w:val="20"/>
                <w:szCs w:val="20"/>
                <w:color w:val="auto"/>
              </w:rPr>
            </w:pPr>
            <w:r>
              <w:rPr>
                <w:rFonts w:ascii="Arial" w:cs="Arial" w:eastAsia="Arial" w:hAnsi="Arial"/>
                <w:sz w:val="32"/>
                <w:szCs w:val="32"/>
                <w:b w:val="1"/>
                <w:bCs w:val="1"/>
                <w:color w:val="auto"/>
              </w:rPr>
              <w:t>BofA Merrill Lynch</w:t>
            </w:r>
          </w:p>
        </w:tc>
        <w:tc>
          <w:tcPr>
            <w:tcW w:w="2980" w:type="dxa"/>
            <w:vAlign w:val="bottom"/>
          </w:tcPr>
          <w:p>
            <w:pPr>
              <w:jc w:val="right"/>
              <w:spacing w:after="0"/>
              <w:rPr>
                <w:sz w:val="20"/>
                <w:szCs w:val="20"/>
                <w:color w:val="auto"/>
              </w:rPr>
            </w:pPr>
            <w:r>
              <w:rPr>
                <w:rFonts w:ascii="Arial" w:cs="Arial" w:eastAsia="Arial" w:hAnsi="Arial"/>
                <w:sz w:val="32"/>
                <w:szCs w:val="32"/>
                <w:b w:val="1"/>
                <w:bCs w:val="1"/>
                <w:color w:val="auto"/>
              </w:rPr>
              <w:t>Mizuho Securities</w:t>
            </w:r>
          </w:p>
        </w:tc>
      </w:tr>
      <w:tr>
        <w:trPr>
          <w:trHeight w:val="486"/>
        </w:trPr>
        <w:tc>
          <w:tcPr>
            <w:tcW w:w="226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3040" w:type="dxa"/>
            <w:vAlign w:val="bottom"/>
          </w:tcPr>
          <w:p>
            <w:pPr>
              <w:ind w:left="920"/>
              <w:spacing w:after="0"/>
              <w:rPr>
                <w:sz w:val="20"/>
                <w:szCs w:val="20"/>
                <w:color w:val="auto"/>
              </w:rPr>
            </w:pPr>
            <w:r>
              <w:rPr>
                <w:rFonts w:ascii="Arial" w:cs="Arial" w:eastAsia="Arial" w:hAnsi="Arial"/>
                <w:sz w:val="32"/>
                <w:szCs w:val="32"/>
                <w:b w:val="1"/>
                <w:bCs w:val="1"/>
                <w:color w:val="auto"/>
              </w:rPr>
              <w:t>J.P. Morgan</w:t>
            </w:r>
          </w:p>
        </w:tc>
        <w:tc>
          <w:tcPr>
            <w:tcW w:w="3140" w:type="dxa"/>
            <w:vAlign w:val="bottom"/>
          </w:tcPr>
          <w:p>
            <w:pPr>
              <w:ind w:left="420"/>
              <w:spacing w:after="0"/>
              <w:rPr>
                <w:sz w:val="20"/>
                <w:szCs w:val="20"/>
                <w:color w:val="auto"/>
              </w:rPr>
            </w:pPr>
            <w:r>
              <w:rPr>
                <w:rFonts w:ascii="Arial" w:cs="Arial" w:eastAsia="Arial" w:hAnsi="Arial"/>
                <w:sz w:val="32"/>
                <w:szCs w:val="32"/>
                <w:b w:val="1"/>
                <w:bCs w:val="1"/>
                <w:color w:val="auto"/>
              </w:rPr>
              <w:t>Morgan Stanley</w:t>
            </w:r>
          </w:p>
        </w:tc>
        <w:tc>
          <w:tcPr>
            <w:tcW w:w="2980" w:type="dxa"/>
            <w:vAlign w:val="bottom"/>
          </w:tcPr>
          <w:p>
            <w:pPr>
              <w:jc w:val="right"/>
              <w:spacing w:after="0"/>
              <w:rPr>
                <w:sz w:val="20"/>
                <w:szCs w:val="20"/>
                <w:color w:val="auto"/>
              </w:rPr>
            </w:pPr>
            <w:r>
              <w:rPr>
                <w:rFonts w:ascii="Arial" w:cs="Arial" w:eastAsia="Arial" w:hAnsi="Arial"/>
                <w:sz w:val="32"/>
                <w:szCs w:val="32"/>
                <w:b w:val="1"/>
                <w:bCs w:val="1"/>
                <w:color w:val="auto"/>
              </w:rPr>
              <w:t>MUFG</w:t>
            </w:r>
          </w:p>
        </w:tc>
      </w:tr>
      <w:tr>
        <w:trPr>
          <w:trHeight w:val="1471"/>
        </w:trPr>
        <w:tc>
          <w:tcPr>
            <w:tcW w:w="2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r>
        <w:trPr>
          <w:trHeight w:val="95"/>
        </w:trPr>
        <w:tc>
          <w:tcPr>
            <w:tcW w:w="226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lowerRoman"/>
      <w:start w:val="1"/>
    </w:lvl>
  </w:abstractNum>
  <w:abstractNum w:abstractNumId="9">
    <w:nsid w:val="2901D82"/>
    <w:multiLevelType w:val="hybridMultilevel"/>
    <w:lvl w:ilvl="0">
      <w:lvlJc w:val="left"/>
      <w:lvlText w:val="•"/>
      <w:numFmt w:val="bullet"/>
      <w:start w:val="1"/>
    </w:lvl>
    <w:lvl w:ilvl="1">
      <w:lvlJc w:val="left"/>
      <w:lvlText w:val="(%2)"/>
      <w:numFmt w:val="decimal"/>
      <w:start w:val="1"/>
    </w:lvl>
  </w:abstractNum>
  <w:abstractNum w:abstractNumId="10">
    <w:nsid w:val="3A95F874"/>
    <w:multiLevelType w:val="hybridMultilevel"/>
    <w:lvl w:ilvl="0">
      <w:lvlJc w:val="left"/>
      <w:lvlText w:val="•"/>
      <w:numFmt w:val="bullet"/>
      <w:start w:val="1"/>
    </w:lvl>
    <w:lvl w:ilvl="1">
      <w:lvlJc w:val="left"/>
      <w:lvlText w:val="(%2)"/>
      <w:numFmt w:val="decimal"/>
      <w:start w:val="1"/>
    </w:lvl>
  </w:abstractNum>
  <w:abstractNum w:abstractNumId="11">
    <w:nsid w:val="8138641"/>
    <w:multiLevelType w:val="hybridMultilevel"/>
    <w:lvl w:ilvl="0">
      <w:lvlJc w:val="left"/>
      <w:lvlText w:val="(%1)"/>
      <w:numFmt w:val="decimal"/>
      <w:start w:val="2"/>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lowerRoman"/>
      <w:start w:val="3"/>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lvl w:ilvl="1">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lvl w:ilvl="1">
      <w:lvlJc w:val="left"/>
      <w:lvlText w:val="•"/>
      <w:numFmt w:val="bullet"/>
      <w:start w:val="1"/>
    </w:lvl>
  </w:abstractNum>
  <w:abstractNum w:abstractNumId="39">
    <w:nsid w:val="725A06FB"/>
    <w:multiLevelType w:val="hybridMultilevel"/>
    <w:lvl w:ilvl="0">
      <w:lvlJc w:val="left"/>
      <w:lvlText w:val="•"/>
      <w:numFmt w:val="bullet"/>
      <w:start w:val="1"/>
    </w:lvl>
    <w:lvl w:ilvl="1">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2019-12-05T10:32:07Z</dcterms:created>
  <dcterms:modified xsi:type="dcterms:W3CDTF">2019-12-05T10:32:07Z</dcterms:modified>
</cp:coreProperties>
</file>