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7" w:lineRule="exact"/>
        <w:rPr>
          <w:sz w:val="24"/>
          <w:szCs w:val="24"/>
          <w:color w:val="auto"/>
        </w:rPr>
      </w:pPr>
    </w:p>
    <w:p>
      <w:pPr>
        <w:ind w:left="380"/>
        <w:spacing w:after="0" w:line="24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-241935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8"/>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6520" w:type="dxa"/>
            <w:vAlign w:val="bottom"/>
            <w:vMerge w:val="restart"/>
          </w:tcPr>
          <w:p>
            <w:pPr>
              <w:jc w:val="center"/>
              <w:ind w:right="234"/>
              <w:spacing w:after="0" w:line="14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1"/>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14"/>
              <w:spacing w:after="0" w:line="192"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6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26670</wp:posOffset>
            </wp:positionV>
            <wp:extent cx="7324090" cy="54013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401310"/>
                    </a:xfrm>
                    <a:prstGeom prst="rect">
                      <a:avLst/>
                    </a:prstGeom>
                    <a:noFill/>
                  </pic:spPr>
                </pic:pic>
              </a:graphicData>
            </a:graphic>
          </wp:anchor>
        </w:drawing>
      </w:r>
    </w:p>
    <w:p>
      <w:pPr>
        <w:spacing w:after="0" w:line="110" w:lineRule="exact"/>
        <w:rPr>
          <w:sz w:val="24"/>
          <w:szCs w:val="24"/>
          <w:color w:val="auto"/>
        </w:rPr>
      </w:pPr>
    </w:p>
    <w:p>
      <w:pPr>
        <w:sectPr>
          <w:pgSz w:w="11900" w:h="16838" w:orient="portrait"/>
          <w:cols w:equalWidth="0" w:num="2">
            <w:col w:w="2320" w:space="380"/>
            <w:col w:w="8820"/>
          </w:cols>
          <w:pgMar w:left="240" w:top="218"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MARCH KEVIN P</w:t>
        </w:r>
      </w:hyperlink>
    </w:p>
    <w:p>
      <w:pPr>
        <w:spacing w:after="0" w:line="30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8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TEXAS INSTRUMENTS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TXN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01/25/2013</w:t>
      </w:r>
    </w:p>
    <w:p>
      <w:pPr>
        <w:spacing w:after="0" w:line="20" w:lineRule="exact"/>
        <w:rPr>
          <w:sz w:val="24"/>
          <w:szCs w:val="24"/>
          <w:color w:val="auto"/>
        </w:rPr>
      </w:pPr>
      <w:r>
        <w:rPr>
          <w:sz w:val="24"/>
          <w:szCs w:val="24"/>
          <w:color w:val="auto"/>
        </w:rPr>
        <w:br w:type="column"/>
      </w:r>
    </w:p>
    <w:p>
      <w:pPr>
        <w:ind w:left="-9" w:right="680" w:firstLine="9"/>
        <w:spacing w:after="0" w:line="265"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11" w:type="dxa"/>
        <w:tblCellMar>
          <w:top w:w="0" w:type="dxa"/>
          <w:left w:w="0" w:type="dxa"/>
          <w:bottom w:w="0" w:type="dxa"/>
          <w:right w:w="0" w:type="dxa"/>
        </w:tblCellMar>
      </w:tblPr>
      <w:tr>
        <w:trPr>
          <w:trHeight w:val="178"/>
        </w:trPr>
        <w:tc>
          <w:tcPr>
            <w:tcW w:w="220" w:type="dxa"/>
            <w:vAlign w:val="bottom"/>
          </w:tcPr>
          <w:p>
            <w:pPr>
              <w:spacing w:after="0"/>
              <w:rPr>
                <w:sz w:val="15"/>
                <w:szCs w:val="15"/>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6"/>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22"/>
        </w:trPr>
        <w:tc>
          <w:tcPr>
            <w:tcW w:w="220" w:type="dxa"/>
            <w:vAlign w:val="bottom"/>
            <w:vMerge w:val="continue"/>
          </w:tcPr>
          <w:p>
            <w:pPr>
              <w:spacing w:after="0"/>
              <w:rPr>
                <w:sz w:val="10"/>
                <w:szCs w:val="10"/>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751"/>
        <w:spacing w:after="0"/>
        <w:rPr>
          <w:sz w:val="20"/>
          <w:szCs w:val="20"/>
          <w:color w:val="auto"/>
        </w:rPr>
      </w:pPr>
      <w:r>
        <w:rPr>
          <w:rFonts w:ascii="Times New Roman" w:cs="Times New Roman" w:eastAsia="Times New Roman" w:hAnsi="Times New Roman"/>
          <w:sz w:val="17"/>
          <w:szCs w:val="17"/>
          <w:color w:val="0000FF"/>
        </w:rPr>
        <w:t>Sr. Vice President &amp; CFO</w:t>
      </w:r>
    </w:p>
    <w:p>
      <w:pPr>
        <w:spacing w:after="0" w:line="316" w:lineRule="exact"/>
        <w:rPr>
          <w:sz w:val="24"/>
          <w:szCs w:val="24"/>
          <w:color w:val="auto"/>
        </w:rPr>
      </w:pPr>
    </w:p>
    <w:p>
      <w:pPr>
        <w:sectPr>
          <w:pgSz w:w="11900" w:h="16838" w:orient="portrait"/>
          <w:cols w:equalWidth="0" w:num="3">
            <w:col w:w="3340" w:space="720"/>
            <w:col w:w="3300" w:space="689"/>
            <w:col w:w="3471"/>
          </w:cols>
          <w:pgMar w:left="240" w:top="218" w:right="139" w:bottom="1440" w:gutter="0" w:footer="0" w:header="0"/>
          <w:type w:val="continuous"/>
        </w:sectPr>
      </w:pPr>
    </w:p>
    <w:p>
      <w:pPr>
        <w:spacing w:after="0" w:line="159" w:lineRule="exact"/>
        <w:rPr>
          <w:sz w:val="24"/>
          <w:szCs w:val="24"/>
          <w:color w:val="auto"/>
        </w:rPr>
      </w:pPr>
    </w:p>
    <w:tbl>
      <w:tblPr>
        <w:tblLayout w:type="fixed"/>
        <w:tblInd w:w="80" w:type="dxa"/>
        <w:tblCellMar>
          <w:top w:w="0" w:type="dxa"/>
          <w:left w:w="0" w:type="dxa"/>
          <w:bottom w:w="0" w:type="dxa"/>
          <w:right w:w="0" w:type="dxa"/>
        </w:tblCellMar>
      </w:tblPr>
      <w:tr>
        <w:trPr>
          <w:trHeight w:val="178"/>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35"/>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DALLAS</w:t>
            </w:r>
          </w:p>
        </w:tc>
        <w:tc>
          <w:tcPr>
            <w:tcW w:w="112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TX</w:t>
            </w:r>
          </w:p>
        </w:tc>
        <w:tc>
          <w:tcPr>
            <w:tcW w:w="168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75243</w:t>
            </w:r>
          </w:p>
        </w:tc>
      </w:tr>
      <w:tr>
        <w:trPr>
          <w:trHeight w:val="153"/>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12" w:lineRule="exact"/>
        <w:rPr>
          <w:sz w:val="24"/>
          <w:szCs w:val="24"/>
          <w:color w:val="auto"/>
        </w:rPr>
      </w:pPr>
    </w:p>
    <w:p>
      <w:pPr>
        <w:ind w:left="3980"/>
        <w:spacing w:after="0"/>
        <w:rPr>
          <w:sz w:val="20"/>
          <w:szCs w:val="20"/>
          <w:color w:val="auto"/>
        </w:rPr>
      </w:pPr>
      <w:r>
        <w:rPr>
          <w:rFonts w:ascii="Arial" w:cs="Arial" w:eastAsia="Arial" w:hAnsi="Arial"/>
          <w:sz w:val="13"/>
          <w:szCs w:val="13"/>
          <w:color w:val="auto"/>
        </w:rPr>
        <w:t>Line)</w:t>
      </w:r>
    </w:p>
    <w:p>
      <w:pPr>
        <w:spacing w:after="0" w:line="6" w:lineRule="exact"/>
        <w:rPr>
          <w:sz w:val="24"/>
          <w:szCs w:val="24"/>
          <w:color w:val="auto"/>
        </w:rPr>
      </w:pPr>
    </w:p>
    <w:p>
      <w:pPr>
        <w:ind w:left="4200"/>
        <w:spacing w:after="0"/>
        <w:tabs>
          <w:tab w:leader="none" w:pos="45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3"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spacing w:after="0" w:line="12"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Person</w:t>
      </w:r>
    </w:p>
    <w:p>
      <w:pPr>
        <w:spacing w:after="0" w:line="306" w:lineRule="exact"/>
        <w:rPr>
          <w:sz w:val="24"/>
          <w:szCs w:val="24"/>
          <w:color w:val="auto"/>
        </w:rPr>
      </w:pPr>
    </w:p>
    <w:p>
      <w:pPr>
        <w:sectPr>
          <w:pgSz w:w="11900" w:h="16838" w:orient="portrait"/>
          <w:cols w:equalWidth="0" w:num="2">
            <w:col w:w="3900" w:space="160"/>
            <w:col w:w="7460"/>
          </w:cols>
          <w:pgMar w:left="240" w:top="218"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8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8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60" w:type="dxa"/>
            <w:vAlign w:val="bottom"/>
            <w:gridSpan w:val="2"/>
          </w:tcPr>
          <w:p>
            <w:pPr>
              <w:ind w:left="880"/>
              <w:spacing w:after="0" w:line="128" w:lineRule="exact"/>
              <w:rPr>
                <w:sz w:val="20"/>
                <w:szCs w:val="20"/>
                <w:color w:val="auto"/>
              </w:rPr>
            </w:pPr>
            <w:r>
              <w:rPr>
                <w:rFonts w:ascii="Arial" w:cs="Arial" w:eastAsia="Arial" w:hAnsi="Arial"/>
                <w:sz w:val="12"/>
                <w:szCs w:val="12"/>
                <w:b w:val="1"/>
                <w:bCs w:val="1"/>
                <w:color w:val="auto"/>
                <w:w w:val="99"/>
              </w:rPr>
              <w:t>Date</w:t>
            </w:r>
          </w:p>
        </w:tc>
        <w:tc>
          <w:tcPr>
            <w:tcW w:w="760" w:type="dxa"/>
            <w:vAlign w:val="bottom"/>
          </w:tcPr>
          <w:p>
            <w:pPr>
              <w:spacing w:after="0"/>
              <w:rPr>
                <w:sz w:val="11"/>
                <w:szCs w:val="11"/>
                <w:color w:val="auto"/>
              </w:rPr>
            </w:pPr>
          </w:p>
        </w:tc>
        <w:tc>
          <w:tcPr>
            <w:tcW w:w="9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gridSpan w:val="3"/>
          </w:tcPr>
          <w:p>
            <w:pPr>
              <w:ind w:left="88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7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vMerge w:val="restart"/>
          </w:tcPr>
          <w:p>
            <w:pPr>
              <w:ind w:left="220"/>
              <w:spacing w:after="0"/>
              <w:rPr>
                <w:sz w:val="20"/>
                <w:szCs w:val="20"/>
                <w:color w:val="auto"/>
              </w:rPr>
            </w:pPr>
            <w:r>
              <w:rPr>
                <w:rFonts w:ascii="Arial" w:cs="Arial" w:eastAsia="Arial" w:hAnsi="Arial"/>
                <w:sz w:val="12"/>
                <w:szCs w:val="12"/>
                <w:b w:val="1"/>
                <w:bCs w:val="1"/>
                <w:color w:val="auto"/>
                <w:w w:val="99"/>
              </w:rPr>
              <w:t>(A) or</w:t>
            </w: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6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3"/>
          </w:tcPr>
          <w:p>
            <w:pPr>
              <w:ind w:left="980"/>
              <w:spacing w:after="0"/>
              <w:rPr>
                <w:sz w:val="20"/>
                <w:szCs w:val="20"/>
                <w:color w:val="auto"/>
              </w:rPr>
            </w:pPr>
            <w:r>
              <w:rPr>
                <w:rFonts w:ascii="Times New Roman" w:cs="Times New Roman" w:eastAsia="Times New Roman" w:hAnsi="Times New Roman"/>
                <w:sz w:val="17"/>
                <w:szCs w:val="17"/>
                <w:color w:val="0000FF"/>
              </w:rPr>
              <w:t>01/25/2013</w:t>
            </w:r>
          </w:p>
        </w:tc>
        <w:tc>
          <w:tcPr>
            <w:tcW w:w="6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7"/>
                <w:szCs w:val="17"/>
                <w:color w:val="0000FF"/>
              </w:rPr>
              <w:t>50,000</w:t>
            </w:r>
          </w:p>
        </w:tc>
        <w:tc>
          <w:tcPr>
            <w:tcW w:w="56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6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364,473</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0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3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1,935.96</w:t>
            </w:r>
            <w:r>
              <w:rPr>
                <w:rFonts w:ascii="Times New Roman" w:cs="Times New Roman" w:eastAsia="Times New Roman" w:hAnsi="Times New Roman"/>
                <w:sz w:val="22"/>
                <w:szCs w:val="22"/>
                <w:color w:val="008000"/>
                <w:w w:val="93"/>
                <w:vertAlign w:val="superscript"/>
              </w:rPr>
              <w:t>(2)</w:t>
            </w:r>
          </w:p>
        </w:tc>
        <w:tc>
          <w:tcPr>
            <w:tcW w:w="300" w:type="dxa"/>
            <w:vAlign w:val="bottom"/>
          </w:tcPr>
          <w:p>
            <w:pPr>
              <w:spacing w:after="0"/>
              <w:rPr>
                <w:sz w:val="21"/>
                <w:szCs w:val="21"/>
                <w:color w:val="auto"/>
              </w:rPr>
            </w:pPr>
          </w:p>
        </w:tc>
        <w:tc>
          <w:tcPr>
            <w:tcW w:w="68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Trust-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 PS</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0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3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34"/>
                <w:szCs w:val="34"/>
                <w:color w:val="0000FF"/>
                <w:w w:val="83"/>
                <w:vertAlign w:val="subscript"/>
              </w:rPr>
              <w:t>41.31</w:t>
            </w:r>
            <w:r>
              <w:rPr>
                <w:rFonts w:ascii="Times New Roman" w:cs="Times New Roman" w:eastAsia="Times New Roman" w:hAnsi="Times New Roman"/>
                <w:sz w:val="11"/>
                <w:szCs w:val="11"/>
                <w:color w:val="008000"/>
                <w:w w:val="83"/>
              </w:rPr>
              <w:t>(2)(3)</w:t>
            </w:r>
          </w:p>
        </w:tc>
        <w:tc>
          <w:tcPr>
            <w:tcW w:w="300" w:type="dxa"/>
            <w:vAlign w:val="bottom"/>
          </w:tcPr>
          <w:p>
            <w:pPr>
              <w:spacing w:after="0"/>
              <w:rPr>
                <w:sz w:val="21"/>
                <w:szCs w:val="21"/>
                <w:color w:val="auto"/>
              </w:rPr>
            </w:pPr>
          </w:p>
        </w:tc>
        <w:tc>
          <w:tcPr>
            <w:tcW w:w="68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Trust-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-401(k)</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1120" w:type="dxa"/>
            <w:vAlign w:val="bottom"/>
            <w:tcBorders>
              <w:bottom w:val="single" w:sz="8" w:color="2C2C2C"/>
            </w:tcBorders>
          </w:tcPr>
          <w:p>
            <w:pPr>
              <w:spacing w:after="0"/>
              <w:rPr>
                <w:sz w:val="8"/>
                <w:szCs w:val="8"/>
                <w:color w:val="auto"/>
              </w:rPr>
            </w:pPr>
          </w:p>
        </w:tc>
        <w:tc>
          <w:tcPr>
            <w:tcW w:w="1920" w:type="dxa"/>
            <w:vAlign w:val="bottom"/>
            <w:tcBorders>
              <w:bottom w:val="single" w:sz="8" w:color="2C2C2C"/>
            </w:tcBorders>
            <w:gridSpan w:val="5"/>
          </w:tcPr>
          <w:p>
            <w:pPr>
              <w:spacing w:after="0"/>
              <w:rPr>
                <w:sz w:val="8"/>
                <w:szCs w:val="8"/>
                <w:color w:val="auto"/>
              </w:rPr>
            </w:pPr>
          </w:p>
        </w:tc>
        <w:tc>
          <w:tcPr>
            <w:tcW w:w="2780" w:type="dxa"/>
            <w:vAlign w:val="bottom"/>
            <w:tcBorders>
              <w:bottom w:val="single" w:sz="8" w:color="2C2C2C"/>
            </w:tcBorders>
            <w:gridSpan w:val="7"/>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800" w:type="dxa"/>
            <w:vAlign w:val="bottom"/>
            <w:tcBorders>
              <w:top w:val="single" w:sz="8" w:color="2C2C2C"/>
            </w:tcBorders>
          </w:tcPr>
          <w:p>
            <w:pPr>
              <w:spacing w:after="0"/>
              <w:rPr>
                <w:sz w:val="18"/>
                <w:szCs w:val="18"/>
                <w:color w:val="auto"/>
              </w:rPr>
            </w:pPr>
          </w:p>
        </w:tc>
        <w:tc>
          <w:tcPr>
            <w:tcW w:w="1100" w:type="dxa"/>
            <w:vAlign w:val="bottom"/>
            <w:tcBorders>
              <w:top w:val="single" w:sz="8" w:color="2C2C2C"/>
            </w:tcBorders>
          </w:tcPr>
          <w:p>
            <w:pPr>
              <w:spacing w:after="0"/>
              <w:rPr>
                <w:sz w:val="18"/>
                <w:szCs w:val="18"/>
                <w:color w:val="auto"/>
              </w:rPr>
            </w:pPr>
          </w:p>
        </w:tc>
        <w:tc>
          <w:tcPr>
            <w:tcW w:w="6480" w:type="dxa"/>
            <w:vAlign w:val="bottom"/>
            <w:tcBorders>
              <w:top w:val="single" w:sz="8" w:color="2C2C2C"/>
            </w:tcBorders>
            <w:gridSpan w:val="14"/>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720" w:type="dxa"/>
            <w:vAlign w:val="bottom"/>
            <w:gridSpan w:val="12"/>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0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00" w:type="dxa"/>
            <w:vAlign w:val="bottom"/>
          </w:tcPr>
          <w:p>
            <w:pPr>
              <w:spacing w:after="0"/>
              <w:rPr>
                <w:sz w:val="11"/>
                <w:szCs w:val="11"/>
                <w:color w:val="auto"/>
              </w:rPr>
            </w:pPr>
          </w:p>
        </w:tc>
        <w:tc>
          <w:tcPr>
            <w:tcW w:w="9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13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9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52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Date</w:t>
            </w:r>
          </w:p>
        </w:tc>
        <w:tc>
          <w:tcPr>
            <w:tcW w:w="7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w:t>
            </w:r>
          </w:p>
        </w:tc>
        <w:tc>
          <w:tcPr>
            <w:tcW w:w="30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vMerge w:val="continue"/>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2"/>
                <w:szCs w:val="12"/>
                <w:b w:val="1"/>
                <w:bCs w:val="1"/>
                <w:color w:val="auto"/>
              </w:rPr>
              <w:t>of Shares</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NQ Stock</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80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32.8</w:t>
            </w:r>
          </w:p>
        </w:tc>
        <w:tc>
          <w:tcPr>
            <w:tcW w:w="1100" w:type="dxa"/>
            <w:vAlign w:val="bottom"/>
          </w:tcPr>
          <w:p>
            <w:pPr>
              <w:jc w:val="right"/>
              <w:ind w:right="179"/>
              <w:spacing w:after="0"/>
              <w:rPr>
                <w:sz w:val="20"/>
                <w:szCs w:val="20"/>
                <w:color w:val="auto"/>
              </w:rPr>
            </w:pPr>
            <w:r>
              <w:rPr>
                <w:rFonts w:ascii="Times New Roman" w:cs="Times New Roman" w:eastAsia="Times New Roman" w:hAnsi="Times New Roman"/>
                <w:sz w:val="13"/>
                <w:szCs w:val="13"/>
                <w:color w:val="0000FF"/>
              </w:rPr>
              <w:t>01/25/2013</w:t>
            </w: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A</w:t>
            </w:r>
          </w:p>
        </w:tc>
        <w:tc>
          <w:tcPr>
            <w:tcW w:w="68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150,000</w:t>
            </w:r>
          </w:p>
        </w:tc>
        <w:tc>
          <w:tcPr>
            <w:tcW w:w="300" w:type="dxa"/>
            <w:vAlign w:val="bottom"/>
          </w:tcPr>
          <w:p>
            <w:pPr>
              <w:spacing w:after="0"/>
              <w:rPr>
                <w:sz w:val="18"/>
                <w:szCs w:val="18"/>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01/25/2023</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150,000</w:t>
            </w:r>
          </w:p>
        </w:tc>
        <w:tc>
          <w:tcPr>
            <w:tcW w:w="760" w:type="dxa"/>
            <w:vAlign w:val="bottom"/>
            <w:gridSpan w:val="2"/>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90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0000FF"/>
              </w:rPr>
              <w:t>150,000</w:t>
            </w: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00" w:type="dxa"/>
            <w:vAlign w:val="bottom"/>
          </w:tcPr>
          <w:p>
            <w:pPr>
              <w:ind w:left="60"/>
              <w:spacing w:after="0" w:line="94" w:lineRule="exact"/>
              <w:rPr>
                <w:sz w:val="20"/>
                <w:szCs w:val="20"/>
                <w:color w:val="auto"/>
              </w:rPr>
            </w:pPr>
            <w:r>
              <w:rPr>
                <w:rFonts w:ascii="Times New Roman" w:cs="Times New Roman" w:eastAsia="Times New Roman" w:hAnsi="Times New Roman"/>
                <w:sz w:val="10"/>
                <w:szCs w:val="10"/>
                <w:color w:val="0000FF"/>
              </w:rPr>
              <w:t>(Right to</w:t>
            </w:r>
          </w:p>
        </w:tc>
        <w:tc>
          <w:tcPr>
            <w:tcW w:w="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ind w:left="40"/>
              <w:spacing w:after="0" w:line="94" w:lineRule="exact"/>
              <w:rPr>
                <w:sz w:val="20"/>
                <w:szCs w:val="20"/>
                <w:color w:val="auto"/>
              </w:rPr>
            </w:pPr>
            <w:r>
              <w:rPr>
                <w:rFonts w:ascii="Times New Roman" w:cs="Times New Roman" w:eastAsia="Times New Roman" w:hAnsi="Times New Roman"/>
                <w:sz w:val="10"/>
                <w:szCs w:val="10"/>
                <w:color w:val="0000FF"/>
              </w:rPr>
              <w:t>Stock</w:t>
            </w: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5" w:lineRule="exact"/>
        <w:rPr>
          <w:sz w:val="24"/>
          <w:szCs w:val="24"/>
          <w:color w:val="auto"/>
        </w:rPr>
      </w:pPr>
    </w:p>
    <w:p>
      <w:pPr>
        <w:ind w:left="180" w:hanging="134"/>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Award of restricted stock units pursuant to 2009 Long Term Incentive Plan.</w:t>
      </w:r>
    </w:p>
    <w:p>
      <w:pPr>
        <w:spacing w:after="0" w:line="48" w:lineRule="exact"/>
        <w:rPr>
          <w:rFonts w:ascii="Times New Roman" w:cs="Times New Roman" w:eastAsia="Times New Roman" w:hAnsi="Times New Roman"/>
          <w:sz w:val="13"/>
          <w:szCs w:val="13"/>
          <w:color w:val="008000"/>
        </w:rPr>
      </w:pPr>
    </w:p>
    <w:p>
      <w:pPr>
        <w:ind w:left="40" w:right="160" w:firstLine="6"/>
        <w:spacing w:after="0" w:line="269" w:lineRule="auto"/>
        <w:tabs>
          <w:tab w:leader="none" w:pos="172"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Estimated shares attributable to TI Universal Profit Sharing Account as of 12-31-12. (Interests in this account are denominated in units. Consequently, share amount shown is an estimate.) This statement does not include changes in beneficial ownership of shares held in such account occurring after 12-31-12 reporting on Form 5.</w:t>
      </w:r>
    </w:p>
    <w:p>
      <w:pPr>
        <w:spacing w:after="0" w:line="8" w:lineRule="exact"/>
        <w:rPr>
          <w:rFonts w:ascii="Times New Roman" w:cs="Times New Roman" w:eastAsia="Times New Roman" w:hAnsi="Times New Roman"/>
          <w:sz w:val="13"/>
          <w:szCs w:val="13"/>
          <w:color w:val="008000"/>
        </w:rPr>
      </w:pPr>
    </w:p>
    <w:p>
      <w:pPr>
        <w:ind w:left="40" w:right="220" w:firstLine="6"/>
        <w:spacing w:after="0" w:line="269" w:lineRule="auto"/>
        <w:tabs>
          <w:tab w:leader="none" w:pos="172"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Estimated shares attributable to TI 401(k) Account as of 12-31-12. (Interests in this account are denominated in units. Consequently, share amount shown is an estimate.) This statement does not include changes in beneficial ownership of shares held in this account occurring after 12-31-12 that are eligible for deferred reporting on Form 5.</w:t>
      </w:r>
    </w:p>
    <w:p>
      <w:pPr>
        <w:spacing w:after="0" w:line="8" w:lineRule="exact"/>
        <w:rPr>
          <w:rFonts w:ascii="Times New Roman" w:cs="Times New Roman" w:eastAsia="Times New Roman" w:hAnsi="Times New Roman"/>
          <w:sz w:val="13"/>
          <w:szCs w:val="13"/>
          <w:color w:val="008000"/>
        </w:rPr>
      </w:pPr>
    </w:p>
    <w:p>
      <w:pPr>
        <w:ind w:left="180" w:hanging="134"/>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becomes exercisable in four equal annual installments beginning on January 25, 2014.</w:t>
      </w:r>
    </w:p>
    <w:p>
      <w:pPr>
        <w:ind w:left="6860"/>
        <w:spacing w:after="0" w:line="187" w:lineRule="auto"/>
        <w:rPr>
          <w:sz w:val="20"/>
          <w:szCs w:val="20"/>
          <w:color w:val="auto"/>
        </w:rPr>
      </w:pPr>
      <w:r>
        <w:rPr>
          <w:rFonts w:ascii="Times New Roman" w:cs="Times New Roman" w:eastAsia="Times New Roman" w:hAnsi="Times New Roman"/>
          <w:sz w:val="17"/>
          <w:szCs w:val="17"/>
          <w:color w:val="0000FF"/>
        </w:rPr>
        <w:t xml:space="preserve">/s/ Daniel M. Drory, Attorney In </w:t>
      </w:r>
      <w:r>
        <w:rPr>
          <w:rFonts w:ascii="Times New Roman" w:cs="Times New Roman" w:eastAsia="Times New Roman" w:hAnsi="Times New Roman"/>
          <w:sz w:val="34"/>
          <w:szCs w:val="34"/>
          <w:color w:val="0000FF"/>
          <w:vertAlign w:val="subscript"/>
        </w:rPr>
        <w:t>01/29/2013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-27305</wp:posOffset>
            </wp:positionV>
            <wp:extent cx="14154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15415" cy="8255"/>
                    </a:xfrm>
                    <a:prstGeom prst="rect">
                      <a:avLst/>
                    </a:prstGeom>
                    <a:noFill/>
                  </pic:spPr>
                </pic:pic>
              </a:graphicData>
            </a:graphic>
          </wp:anchor>
        </w:drawing>
      </w:r>
    </w:p>
    <w:p>
      <w:pPr>
        <w:ind w:left="686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-17780</wp:posOffset>
            </wp:positionV>
            <wp:extent cx="1879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796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-85090</wp:posOffset>
            </wp:positionV>
            <wp:extent cx="4972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7" w:lineRule="exact"/>
        <w:rPr>
          <w:sz w:val="24"/>
          <w:szCs w:val="24"/>
          <w:color w:val="auto"/>
        </w:rPr>
      </w:pPr>
    </w:p>
    <w:p>
      <w:pPr>
        <w:ind w:left="6860"/>
        <w:spacing w:after="0"/>
        <w:tabs>
          <w:tab w:leader="none" w:pos="91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6"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18"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63850"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2019-12-17T01:54:45Z</dcterms:created>
  <dcterms:modified xsi:type="dcterms:W3CDTF">2019-12-17T01:54:45Z</dcterms:modified>
</cp:coreProperties>
</file>