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671830</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612140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13335</wp:posOffset>
            </wp:positionV>
            <wp:extent cx="4236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41275</wp:posOffset>
            </wp:positionV>
            <wp:extent cx="4236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28575</wp:posOffset>
            </wp:positionV>
            <wp:extent cx="4236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tcPr>
          <w:p>
            <w:pPr>
              <w:jc w:val="center"/>
              <w:ind w:right="699"/>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120" w:type="dxa"/>
            <w:vAlign w:val="bottom"/>
          </w:tcPr>
          <w:p>
            <w:pPr>
              <w:spacing w:after="0"/>
              <w:rPr>
                <w:sz w:val="20"/>
                <w:szCs w:val="20"/>
                <w:color w:val="auto"/>
              </w:rPr>
            </w:pPr>
          </w:p>
        </w:tc>
      </w:tr>
      <w:tr>
        <w:trPr>
          <w:trHeight w:val="659"/>
        </w:trPr>
        <w:tc>
          <w:tcPr>
            <w:tcW w:w="2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DELAWARE</w:t>
            </w:r>
          </w:p>
        </w:tc>
        <w:tc>
          <w:tcPr>
            <w:tcW w:w="5920" w:type="dxa"/>
            <w:vAlign w:val="bottom"/>
          </w:tcPr>
          <w:p>
            <w:pPr>
              <w:ind w:left="2220"/>
              <w:spacing w:after="0"/>
              <w:rPr>
                <w:sz w:val="20"/>
                <w:szCs w:val="20"/>
                <w:color w:val="auto"/>
              </w:rPr>
            </w:pPr>
            <w:r>
              <w:rPr>
                <w:rFonts w:ascii="Arial" w:cs="Arial" w:eastAsia="Arial" w:hAnsi="Arial"/>
                <w:sz w:val="18"/>
                <w:szCs w:val="18"/>
                <w:b w:val="1"/>
                <w:bCs w:val="1"/>
                <w:color w:val="auto"/>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80"/>
        </w:trPr>
        <w:tc>
          <w:tcPr>
            <w:tcW w:w="2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(State or other jurisdiction</w:t>
            </w:r>
          </w:p>
        </w:tc>
        <w:tc>
          <w:tcPr>
            <w:tcW w:w="5920" w:type="dxa"/>
            <w:vAlign w:val="bottom"/>
          </w:tcPr>
          <w:p>
            <w:pPr>
              <w:ind w:left="2200"/>
              <w:spacing w:after="0"/>
              <w:rPr>
                <w:sz w:val="20"/>
                <w:szCs w:val="20"/>
                <w:color w:val="auto"/>
              </w:rPr>
            </w:pPr>
            <w:r>
              <w:rPr>
                <w:rFonts w:ascii="Arial" w:cs="Arial" w:eastAsia="Arial" w:hAnsi="Arial"/>
                <w:sz w:val="14"/>
                <w:szCs w:val="14"/>
                <w:b w:val="1"/>
                <w:bCs w:val="1"/>
                <w:color w:val="auto"/>
              </w:rPr>
              <w:t>(Commission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of incorporation)</w:t>
            </w:r>
          </w:p>
        </w:tc>
        <w:tc>
          <w:tcPr>
            <w:tcW w:w="5920" w:type="dxa"/>
            <w:vAlign w:val="bottom"/>
          </w:tcPr>
          <w:p>
            <w:pPr>
              <w:ind w:left="2220"/>
              <w:spacing w:after="0"/>
              <w:rPr>
                <w:sz w:val="20"/>
                <w:szCs w:val="20"/>
                <w:color w:val="auto"/>
              </w:rPr>
            </w:pPr>
            <w:r>
              <w:rPr>
                <w:rFonts w:ascii="Arial" w:cs="Arial" w:eastAsia="Arial" w:hAnsi="Arial"/>
                <w:sz w:val="14"/>
                <w:szCs w:val="14"/>
                <w:b w:val="1"/>
                <w:bCs w:val="1"/>
                <w:color w:val="auto"/>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right="699"/>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20" w:type="dxa"/>
            <w:vAlign w:val="bottom"/>
          </w:tcPr>
          <w:p>
            <w:pPr>
              <w:jc w:val="center"/>
              <w:ind w:right="679"/>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920" w:type="dxa"/>
            <w:vAlign w:val="bottom"/>
          </w:tcPr>
          <w:p>
            <w:pPr>
              <w:jc w:val="center"/>
              <w:ind w:right="6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right="699"/>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6"/>
        </w:trPr>
        <w:tc>
          <w:tcPr>
            <w:tcW w:w="1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3"/>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Trading</w:t>
            </w:r>
          </w:p>
        </w:tc>
        <w:tc>
          <w:tcPr>
            <w:tcW w:w="4880" w:type="dxa"/>
            <w:vAlign w:val="bottom"/>
          </w:tcPr>
          <w:p>
            <w:pPr>
              <w:spacing w:after="0"/>
              <w:rPr>
                <w:sz w:val="24"/>
                <w:szCs w:val="24"/>
                <w:color w:val="auto"/>
              </w:rPr>
            </w:pPr>
          </w:p>
        </w:tc>
      </w:tr>
      <w:tr>
        <w:trPr>
          <w:trHeight w:val="234"/>
        </w:trPr>
        <w:tc>
          <w:tcPr>
            <w:tcW w:w="4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4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Common Stock, par value $1.00</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TXN</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37"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287655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227965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October 22, 2019, regarding its third quarter results of operations and financial condition is attached hereto as Exhibit 99.</w:t>
      </w:r>
    </w:p>
    <w:p>
      <w:pPr>
        <w:spacing w:after="0" w:line="24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340" w:type="dxa"/>
            <w:vAlign w:val="bottom"/>
          </w:tcPr>
          <w:p>
            <w:pPr>
              <w:jc w:val="center"/>
              <w:ind w:right="562"/>
              <w:spacing w:after="0"/>
              <w:rPr>
                <w:sz w:val="20"/>
                <w:szCs w:val="20"/>
                <w:color w:val="auto"/>
              </w:rPr>
            </w:pPr>
            <w:r>
              <w:rPr>
                <w:rFonts w:ascii="Arial" w:cs="Arial" w:eastAsia="Arial" w:hAnsi="Arial"/>
                <w:sz w:val="14"/>
                <w:szCs w:val="14"/>
                <w:color w:val="auto"/>
                <w:w w:val="94"/>
              </w:rPr>
              <w:t>Designation</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40" w:type="dxa"/>
            <w:vAlign w:val="bottom"/>
          </w:tcPr>
          <w:p>
            <w:pPr>
              <w:spacing w:after="0"/>
              <w:rPr>
                <w:sz w:val="14"/>
                <w:szCs w:val="14"/>
                <w:color w:val="auto"/>
              </w:rPr>
            </w:pPr>
          </w:p>
        </w:tc>
      </w:tr>
      <w:tr>
        <w:trPr>
          <w:trHeight w:val="149"/>
        </w:trPr>
        <w:tc>
          <w:tcPr>
            <w:tcW w:w="1340" w:type="dxa"/>
            <w:vAlign w:val="bottom"/>
          </w:tcPr>
          <w:p>
            <w:pPr>
              <w:jc w:val="center"/>
              <w:ind w:right="562"/>
              <w:spacing w:after="0" w:line="149" w:lineRule="exact"/>
              <w:rPr>
                <w:sz w:val="20"/>
                <w:szCs w:val="20"/>
                <w:color w:val="auto"/>
              </w:rPr>
            </w:pPr>
            <w:r>
              <w:rPr>
                <w:rFonts w:ascii="Arial" w:cs="Arial" w:eastAsia="Arial" w:hAnsi="Arial"/>
                <w:sz w:val="14"/>
                <w:szCs w:val="14"/>
                <w:color w:val="auto"/>
              </w:rPr>
              <w:t>of Exhibit</w:t>
            </w: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40" w:type="dxa"/>
            <w:vAlign w:val="bottom"/>
          </w:tcPr>
          <w:p>
            <w:pPr>
              <w:spacing w:after="0"/>
              <w:rPr>
                <w:sz w:val="12"/>
                <w:szCs w:val="12"/>
                <w:color w:val="auto"/>
              </w:rPr>
            </w:pPr>
          </w:p>
        </w:tc>
      </w:tr>
      <w:tr>
        <w:trPr>
          <w:trHeight w:val="149"/>
        </w:trPr>
        <w:tc>
          <w:tcPr>
            <w:tcW w:w="1340" w:type="dxa"/>
            <w:vAlign w:val="bottom"/>
          </w:tcPr>
          <w:p>
            <w:pPr>
              <w:jc w:val="center"/>
              <w:ind w:right="542"/>
              <w:spacing w:after="0" w:line="149" w:lineRule="exact"/>
              <w:rPr>
                <w:sz w:val="20"/>
                <w:szCs w:val="20"/>
                <w:color w:val="auto"/>
              </w:rPr>
            </w:pPr>
            <w:r>
              <w:rPr>
                <w:rFonts w:ascii="Arial" w:cs="Arial" w:eastAsia="Arial" w:hAnsi="Arial"/>
                <w:sz w:val="14"/>
                <w:szCs w:val="14"/>
                <w:color w:val="auto"/>
                <w:w w:val="98"/>
              </w:rPr>
              <w:t>in this</w:t>
            </w: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40" w:type="dxa"/>
            <w:vAlign w:val="bottom"/>
          </w:tcPr>
          <w:p>
            <w:pPr>
              <w:spacing w:after="0"/>
              <w:rPr>
                <w:sz w:val="12"/>
                <w:szCs w:val="12"/>
                <w:color w:val="auto"/>
              </w:rPr>
            </w:pPr>
          </w:p>
        </w:tc>
      </w:tr>
      <w:tr>
        <w:trPr>
          <w:trHeight w:val="188"/>
        </w:trPr>
        <w:tc>
          <w:tcPr>
            <w:tcW w:w="1340" w:type="dxa"/>
            <w:vAlign w:val="bottom"/>
          </w:tcPr>
          <w:p>
            <w:pPr>
              <w:jc w:val="center"/>
              <w:ind w:right="542"/>
              <w:spacing w:after="0"/>
              <w:rPr>
                <w:sz w:val="20"/>
                <w:szCs w:val="20"/>
                <w:color w:val="auto"/>
              </w:rPr>
            </w:pPr>
            <w:r>
              <w:rPr>
                <w:rFonts w:ascii="Arial" w:cs="Arial" w:eastAsia="Arial" w:hAnsi="Arial"/>
                <w:sz w:val="14"/>
                <w:szCs w:val="14"/>
                <w:color w:val="auto"/>
                <w:w w:val="95"/>
              </w:rPr>
              <w:t>Report</w:t>
            </w:r>
          </w:p>
        </w:tc>
        <w:tc>
          <w:tcPr>
            <w:tcW w:w="20" w:type="dxa"/>
            <w:vAlign w:val="bottom"/>
            <w:tcBorders>
              <w:bottom w:val="single" w:sz="8" w:color="auto"/>
            </w:tcBorders>
          </w:tcPr>
          <w:p>
            <w:pPr>
              <w:spacing w:after="0"/>
              <w:rPr>
                <w:sz w:val="16"/>
                <w:szCs w:val="16"/>
                <w:color w:val="auto"/>
              </w:rPr>
            </w:pPr>
          </w:p>
        </w:tc>
        <w:tc>
          <w:tcPr>
            <w:tcW w:w="9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 of Exhibit</w:t>
            </w:r>
          </w:p>
        </w:tc>
      </w:tr>
      <w:tr>
        <w:trPr>
          <w:trHeight w:val="445"/>
        </w:trPr>
        <w:tc>
          <w:tcPr>
            <w:tcW w:w="1340" w:type="dxa"/>
            <w:vAlign w:val="bottom"/>
          </w:tcPr>
          <w:p>
            <w:pPr>
              <w:jc w:val="right"/>
              <w:ind w:right="82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19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Registrant’s News Release</w:t>
              </w:r>
            </w:hyperlink>
          </w:p>
        </w:tc>
        <w:tc>
          <w:tcPr>
            <w:tcW w:w="7840" w:type="dxa"/>
            <w:vAlign w:val="bottom"/>
          </w:tcPr>
          <w:p>
            <w:pPr>
              <w:spacing w:after="0"/>
              <w:rPr>
                <w:sz w:val="24"/>
                <w:szCs w:val="24"/>
                <w:color w:val="auto"/>
              </w:rPr>
            </w:pPr>
          </w:p>
        </w:tc>
      </w:tr>
      <w:tr>
        <w:trPr>
          <w:trHeight w:val="304"/>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Dated October 22, 2019 (furnished pursuant to Item 2.02)</w:t>
            </w:r>
          </w:p>
        </w:tc>
      </w:tr>
      <w:tr>
        <w:trPr>
          <w:trHeight w:val="270"/>
        </w:trPr>
        <w:tc>
          <w:tcPr>
            <w:tcW w:w="1340" w:type="dxa"/>
            <w:vAlign w:val="bottom"/>
          </w:tcPr>
          <w:p>
            <w:pPr>
              <w:jc w:val="right"/>
              <w:ind w:right="762"/>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3"/>
                <w:szCs w:val="23"/>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400"/>
          </w:cols>
          <w:pgMar w:left="240" w:top="895"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20"/>
        <w:spacing w:after="0"/>
        <w:tabs>
          <w:tab w:leader="none" w:pos="6280" w:val="left"/>
          <w:tab w:leader="none" w:pos="6960" w:val="left"/>
        </w:tabs>
        <w:rPr>
          <w:sz w:val="20"/>
          <w:szCs w:val="20"/>
          <w:color w:val="auto"/>
        </w:rPr>
      </w:pPr>
      <w:r>
        <w:rPr>
          <w:rFonts w:ascii="Arial" w:cs="Arial" w:eastAsia="Arial" w:hAnsi="Arial"/>
          <w:sz w:val="18"/>
          <w:szCs w:val="18"/>
          <w:color w:val="auto"/>
        </w:rPr>
        <w:t>Date: October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13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89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third quarter 2019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DALLAS (October 22, 2019) – Texas Instruments Incorporated (TI) (Nasdaq: TXN) today reported third quarter revenue of $3.77 billion, net income of $1.43 billion and earnings per share of $1.49. Earnings per share include a 9-cent benefit for items that were not in the company’s original guidance.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37" w:lineRule="exact"/>
        <w:rPr>
          <w:sz w:val="20"/>
          <w:szCs w:val="20"/>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decreased 11% from the same quarter a year ago, as most markets weakened further.</w:t>
      </w:r>
    </w:p>
    <w:p>
      <w:pPr>
        <w:spacing w:after="0" w:line="225" w:lineRule="exact"/>
        <w:rPr>
          <w:rFonts w:ascii="Arial" w:cs="Arial" w:eastAsia="Arial" w:hAnsi="Arial"/>
          <w:sz w:val="18"/>
          <w:szCs w:val="18"/>
          <w:color w:val="auto"/>
        </w:rPr>
      </w:pPr>
    </w:p>
    <w:p>
      <w:pPr>
        <w:ind w:left="620" w:hanging="32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our core businesses, Analog revenue declined 8% and Embedded Processing declined 19% from the same quarter a year ago.</w:t>
      </w:r>
    </w:p>
    <w:p>
      <w:pPr>
        <w:spacing w:after="0" w:line="225" w:lineRule="exact"/>
        <w:rPr>
          <w:rFonts w:ascii="Arial" w:cs="Arial" w:eastAsia="Arial" w:hAnsi="Arial"/>
          <w:sz w:val="18"/>
          <w:szCs w:val="18"/>
          <w:color w:val="auto"/>
        </w:rPr>
      </w:pPr>
    </w:p>
    <w:p>
      <w:pPr>
        <w:ind w:left="620" w:right="20" w:hanging="328"/>
        <w:spacing w:after="0" w:line="264"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$7.0 billion for the trailing 12 months again underscored the strength of our business model. Free cash flow for the trailing 12 months was $6.0 billion and 41% of revenue. This reflects the quality of our product portfolio, as well as the efficiency of our manufacturing strategy, including the benefit of 300-millimeter Analog production.</w:t>
      </w:r>
    </w:p>
    <w:p>
      <w:pPr>
        <w:spacing w:after="0" w:line="181" w:lineRule="exact"/>
        <w:rPr>
          <w:rFonts w:ascii="Arial" w:cs="Arial" w:eastAsia="Arial" w:hAnsi="Arial"/>
          <w:sz w:val="18"/>
          <w:szCs w:val="18"/>
          <w:color w:val="auto"/>
        </w:rPr>
      </w:pPr>
    </w:p>
    <w:p>
      <w:pPr>
        <w:ind w:left="620" w:right="80" w:hanging="328"/>
        <w:spacing w:after="0" w:line="286" w:lineRule="auto"/>
        <w:tabs>
          <w:tab w:leader="none" w:pos="6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returned $7.4 billion to owners in the past 12 months through stock repurchases and dividends. Over the last 12 months, our dividends represented 48% of free cash flow, underscoring their sustainability. In September, we announced we would increase our dividend by 17%. Together, our stock repurchases and dividends reflect our continued commitment to return all free cash flow to our owners.</w:t>
      </w:r>
    </w:p>
    <w:p>
      <w:pPr>
        <w:spacing w:after="0" w:line="165" w:lineRule="exact"/>
        <w:rPr>
          <w:rFonts w:ascii="Arial" w:cs="Arial" w:eastAsia="Arial" w:hAnsi="Arial"/>
          <w:sz w:val="17"/>
          <w:szCs w:val="17"/>
          <w:color w:val="auto"/>
        </w:rPr>
      </w:pPr>
    </w:p>
    <w:p>
      <w:pPr>
        <w:ind w:left="620" w:right="480" w:hanging="328"/>
        <w:spacing w:after="0" w:line="342" w:lineRule="auto"/>
        <w:tabs>
          <w:tab w:leader="none" w:pos="6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“TI’s fourth quarter outlook is for revenue in the range of $3.07 billion to $3.33 billion, and earnings per share between $0.91 and $1.09, which includes an estimated $5 million discrete tax benefit. We continue to expect our annual operating tax rate to be about 16% in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ectPr>
          <w:pgSz w:w="11900" w:h="16838" w:orient="portrait"/>
          <w:cols w:equalWidth="0" w:num="1">
            <w:col w:w="11420"/>
          </w:cols>
          <w:pgMar w:left="240" w:top="21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52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TI reports third quarter 2019 financial results and shareholder returns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2</w:t>
            </w:r>
          </w:p>
        </w:tc>
      </w:tr>
      <w:tr>
        <w:trPr>
          <w:trHeight w:val="891"/>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516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Q3 2019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160"/>
              <w:spacing w:after="0"/>
              <w:rPr>
                <w:sz w:val="20"/>
                <w:szCs w:val="20"/>
                <w:color w:val="auto"/>
              </w:rPr>
            </w:pPr>
            <w:r>
              <w:rPr>
                <w:rFonts w:ascii="Arial" w:cs="Arial" w:eastAsia="Arial" w:hAnsi="Arial"/>
                <w:sz w:val="18"/>
                <w:szCs w:val="18"/>
                <w:color w:val="auto"/>
              </w:rPr>
              <w:t>Q3 2018</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4"/>
                <w:szCs w:val="24"/>
                <w:color w:val="auto"/>
              </w:rPr>
            </w:pPr>
          </w:p>
        </w:tc>
      </w:tr>
      <w:tr>
        <w:trPr>
          <w:trHeight w:val="27"/>
        </w:trPr>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244"/>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3,771</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1,589</w:t>
            </w:r>
          </w:p>
        </w:tc>
        <w:tc>
          <w:tcPr>
            <w:tcW w:w="40" w:type="dxa"/>
            <w:vAlign w:val="bottom"/>
          </w:tcPr>
          <w:p>
            <w:pPr>
              <w:spacing w:after="0"/>
              <w:rPr>
                <w:sz w:val="21"/>
                <w:szCs w:val="21"/>
                <w:color w:val="auto"/>
              </w:rPr>
            </w:pPr>
          </w:p>
        </w:tc>
        <w:tc>
          <w:tcPr>
            <w:tcW w:w="3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21"/>
                <w:szCs w:val="21"/>
                <w:color w:val="auto"/>
              </w:rPr>
            </w:pPr>
          </w:p>
        </w:tc>
        <w:tc>
          <w:tcPr>
            <w:tcW w:w="3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527"/>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516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4"/>
          </w:tcPr>
          <w:p>
            <w:pPr>
              <w:ind w:left="20"/>
              <w:spacing w:after="0"/>
              <w:rPr>
                <w:sz w:val="20"/>
                <w:szCs w:val="20"/>
                <w:color w:val="auto"/>
              </w:rPr>
            </w:pPr>
            <w:r>
              <w:rPr>
                <w:rFonts w:ascii="Arial" w:cs="Arial" w:eastAsia="Arial" w:hAnsi="Arial"/>
                <w:sz w:val="18"/>
                <w:szCs w:val="18"/>
                <w:color w:val="auto"/>
              </w:rPr>
              <w:t>Trailing 12 Months</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Q3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Q3 2019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40"/>
              <w:spacing w:after="0"/>
              <w:rPr>
                <w:sz w:val="20"/>
                <w:szCs w:val="20"/>
                <w:color w:val="auto"/>
              </w:rPr>
            </w:pPr>
            <w:r>
              <w:rPr>
                <w:rFonts w:ascii="Arial" w:cs="Arial" w:eastAsia="Arial" w:hAnsi="Arial"/>
                <w:sz w:val="18"/>
                <w:szCs w:val="18"/>
                <w:color w:val="auto"/>
              </w:rPr>
              <w:t>Q3 2018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9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7,040</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1,007</w:t>
            </w:r>
          </w:p>
        </w:tc>
        <w:tc>
          <w:tcPr>
            <w:tcW w:w="40" w:type="dxa"/>
            <w:vAlign w:val="bottom"/>
          </w:tcPr>
          <w:p>
            <w:pPr>
              <w:spacing w:after="0"/>
              <w:rPr>
                <w:sz w:val="21"/>
                <w:szCs w:val="21"/>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940" w:type="dxa"/>
            <w:vAlign w:val="bottom"/>
          </w:tcPr>
          <w:p>
            <w:pPr>
              <w:spacing w:after="0"/>
              <w:rPr>
                <w:sz w:val="2"/>
                <w:szCs w:val="2"/>
                <w:color w:val="auto"/>
              </w:rPr>
            </w:pPr>
          </w:p>
        </w:tc>
        <w:tc>
          <w:tcPr>
            <w:tcW w:w="4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6,033</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527"/>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42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516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4"/>
          </w:tcPr>
          <w:p>
            <w:pPr>
              <w:ind w:left="60"/>
              <w:spacing w:after="0"/>
              <w:rPr>
                <w:sz w:val="20"/>
                <w:szCs w:val="20"/>
                <w:color w:val="auto"/>
              </w:rPr>
            </w:pPr>
            <w:r>
              <w:rPr>
                <w:rFonts w:ascii="Arial" w:cs="Arial" w:eastAsia="Arial" w:hAnsi="Arial"/>
                <w:sz w:val="18"/>
                <w:szCs w:val="18"/>
                <w:color w:val="auto"/>
                <w:w w:val="99"/>
              </w:rPr>
              <w:t>Trailing 12 Months</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color w:val="auto"/>
              </w:rPr>
              <w:t>Q3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Q3 2019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60"/>
              <w:spacing w:after="0"/>
              <w:rPr>
                <w:sz w:val="20"/>
                <w:szCs w:val="20"/>
                <w:color w:val="auto"/>
              </w:rPr>
            </w:pPr>
            <w:r>
              <w:rPr>
                <w:rFonts w:ascii="Arial" w:cs="Arial" w:eastAsia="Arial" w:hAnsi="Arial"/>
                <w:sz w:val="18"/>
                <w:szCs w:val="18"/>
                <w:color w:val="auto"/>
              </w:rPr>
              <w:t>Q3 2018</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5160" w:type="dxa"/>
            <w:vAlign w:val="bottom"/>
            <w:tcBorders>
              <w:bottom w:val="single" w:sz="8" w:color="CCEEFF"/>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16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4,480</w:t>
            </w:r>
          </w:p>
        </w:tc>
        <w:tc>
          <w:tcPr>
            <w:tcW w:w="40" w:type="dxa"/>
            <w:vAlign w:val="bottom"/>
          </w:tcPr>
          <w:p>
            <w:pPr>
              <w:spacing w:after="0"/>
              <w:rPr>
                <w:sz w:val="21"/>
                <w:szCs w:val="21"/>
                <w:color w:val="auto"/>
              </w:rPr>
            </w:pPr>
          </w:p>
        </w:tc>
        <w:tc>
          <w:tcPr>
            <w:tcW w:w="3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3,797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16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7,383</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175" w:right="2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TI reports third quarter 2019 financial results and shareholder returns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697"/>
        </w:trPr>
        <w:tc>
          <w:tcPr>
            <w:tcW w:w="88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w w:val="88"/>
              </w:rPr>
              <w:t>Consolidated Statements of Income</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1"/>
                <w:szCs w:val="21"/>
                <w:color w:val="auto"/>
              </w:rPr>
            </w:pPr>
          </w:p>
        </w:tc>
        <w:tc>
          <w:tcPr>
            <w:tcW w:w="29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For Three Months Ended</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8"/>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4,261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Cost of revenue (COR)</w:t>
            </w:r>
          </w:p>
        </w:tc>
        <w:tc>
          <w:tcPr>
            <w:tcW w:w="106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1,325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1,457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8"/>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2,804</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06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rPr>
              <w:t>379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106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10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8"/>
              </w:rPr>
              <w:t>1,589</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1,937</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106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8"/>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1,924</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8"/>
              </w:rPr>
              <w:t>1,425</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1,570</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1.49</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2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rPr>
              <w:t>935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950</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jc w:val="center"/>
              <w:ind w:left="3490"/>
              <w:spacing w:after="0"/>
              <w:rPr>
                <w:sz w:val="20"/>
                <w:szCs w:val="20"/>
                <w:color w:val="auto"/>
              </w:rPr>
            </w:pPr>
            <w:r>
              <w:rPr>
                <w:rFonts w:ascii="Arial" w:cs="Arial" w:eastAsia="Arial" w:hAnsi="Arial"/>
                <w:sz w:val="18"/>
                <w:szCs w:val="18"/>
                <w:b w:val="1"/>
                <w:bCs w:val="1"/>
                <w:color w:val="auto"/>
                <w:w w:val="91"/>
              </w:rPr>
              <w:t>Supplemental Information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8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20" w:type="dxa"/>
            <w:vAlign w:val="bottom"/>
          </w:tcPr>
          <w:p>
            <w:pPr>
              <w:jc w:val="center"/>
              <w:ind w:left="3510"/>
              <w:spacing w:after="0"/>
              <w:rPr>
                <w:sz w:val="20"/>
                <w:szCs w:val="20"/>
                <w:color w:val="auto"/>
              </w:rPr>
            </w:pPr>
            <w:r>
              <w:rPr>
                <w:rFonts w:ascii="Arial" w:cs="Arial" w:eastAsia="Arial" w:hAnsi="Arial"/>
                <w:sz w:val="18"/>
                <w:szCs w:val="18"/>
                <w:b w:val="1"/>
                <w:bCs w:val="1"/>
                <w:color w:val="auto"/>
                <w:w w:val="89"/>
              </w:rPr>
              <w:t>(Quarterly, except as noted)</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Discrete tax items</w:t>
            </w:r>
          </w:p>
        </w:tc>
        <w:tc>
          <w:tcPr>
            <w:tcW w:w="106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155</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Annual operating tax rate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right="360"/>
        <w:spacing w:after="0" w:line="27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3773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1,425</w:t>
            </w:r>
          </w:p>
        </w:tc>
        <w:tc>
          <w:tcPr>
            <w:tcW w:w="1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1,570</w:t>
            </w:r>
          </w:p>
        </w:tc>
      </w:tr>
      <w:tr>
        <w:trPr>
          <w:trHeight w:val="27"/>
        </w:trPr>
        <w:tc>
          <w:tcPr>
            <w:tcW w:w="7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1,417</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1,559</w:t>
            </w:r>
          </w:p>
        </w:tc>
      </w:tr>
      <w:tr>
        <w:trPr>
          <w:trHeight w:val="27"/>
        </w:trPr>
        <w:tc>
          <w:tcPr>
            <w:tcW w:w="78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175" w:right="2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TI reports third quarter 2019 financial results and shareholder returns</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Page 4</w:t>
            </w:r>
          </w:p>
        </w:tc>
      </w:tr>
      <w:tr>
        <w:trPr>
          <w:trHeight w:val="697"/>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7980" w:type="dxa"/>
            <w:vAlign w:val="bottom"/>
          </w:tcPr>
          <w:p>
            <w:pPr>
              <w:jc w:val="center"/>
              <w:ind w:left="3370"/>
              <w:spacing w:after="0"/>
              <w:rPr>
                <w:sz w:val="20"/>
                <w:szCs w:val="20"/>
                <w:color w:val="auto"/>
              </w:rPr>
            </w:pPr>
            <w:r>
              <w:rPr>
                <w:rFonts w:ascii="Arial" w:cs="Arial" w:eastAsia="Arial" w:hAnsi="Arial"/>
                <w:sz w:val="18"/>
                <w:szCs w:val="18"/>
                <w:b w:val="1"/>
                <w:bCs w:val="1"/>
                <w:color w:val="auto"/>
                <w:w w:val="87"/>
              </w:rPr>
              <w:t>Consolidated Balance Sheets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7980" w:type="dxa"/>
            <w:vAlign w:val="bottom"/>
          </w:tcPr>
          <w:p>
            <w:pPr>
              <w:jc w:val="center"/>
              <w:ind w:left="3350"/>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7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3"/>
                <w:szCs w:val="23"/>
                <w:color w:val="auto"/>
              </w:rPr>
            </w:pPr>
          </w:p>
        </w:tc>
      </w:tr>
      <w:tr>
        <w:trPr>
          <w:trHeight w:val="27"/>
        </w:trPr>
        <w:tc>
          <w:tcPr>
            <w:tcW w:w="79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1,502</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1,174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3,611</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($13) and ($13)</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1,585</w:t>
            </w: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Raw materials</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171</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Work in process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1,058</w:t>
            </w: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Finished goods</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910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887</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2,040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2,116</w:t>
            </w:r>
          </w:p>
        </w:tc>
      </w:tr>
      <w:tr>
        <w:trPr>
          <w:trHeight w:val="237"/>
        </w:trPr>
        <w:tc>
          <w:tcPr>
            <w:tcW w:w="7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654</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9,468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5,683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5,250</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depreciation</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r>
      <w:tr>
        <w:trPr>
          <w:trHeight w:val="237"/>
        </w:trPr>
        <w:tc>
          <w:tcPr>
            <w:tcW w:w="798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3,318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3,051</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278</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4,362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4,362</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intangibles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243</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licenses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Overfunded retirement plans</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220</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17,992</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18,573</w:t>
            </w:r>
          </w:p>
        </w:tc>
      </w:tr>
      <w:tr>
        <w:trPr>
          <w:trHeight w:val="27"/>
        </w:trPr>
        <w:tc>
          <w:tcPr>
            <w:tcW w:w="79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499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749</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492</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609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613</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424</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5,302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4,318</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Underfunded retirement plans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1,526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9,007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8,057</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5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Preferred stock, $25 par value. Authorized – 10,000,000 shares</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Participating cumulative preferred – None issued</w:t>
            </w: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Common stock, $1 par value. Authorized – 2,400,000,000 shares</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Shares issued – 1,740,815,939</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1,741</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5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2,058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1,918</w:t>
            </w: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39,674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37,378</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Treasury common stock at cost</w:t>
            </w: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Shares: September 30, 2019 – 805,637,804; September 30, 2018 – 775,952,837</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(34,045)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(30,167)</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8,985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10,516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17,992</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18,573</w:t>
            </w:r>
          </w:p>
        </w:tc>
      </w:tr>
      <w:tr>
        <w:trPr>
          <w:trHeight w:val="27"/>
        </w:trPr>
        <w:tc>
          <w:tcPr>
            <w:tcW w:w="79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175" w:right="259" w:bottom="927"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TI reports third quarter 2019 financial results and shareholder returns</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Page 5</w:t>
            </w:r>
          </w:p>
        </w:tc>
      </w:tr>
      <w:tr>
        <w:trPr>
          <w:trHeight w:val="697"/>
        </w:trPr>
        <w:tc>
          <w:tcPr>
            <w:tcW w:w="9040" w:type="dxa"/>
            <w:vAlign w:val="bottom"/>
            <w:gridSpan w:val="2"/>
          </w:tcPr>
          <w:p>
            <w:pPr>
              <w:jc w:val="center"/>
              <w:ind w:left="22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4"/>
        </w:trPr>
        <w:tc>
          <w:tcPr>
            <w:tcW w:w="798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7"/>
        </w:trPr>
        <w:tc>
          <w:tcPr>
            <w:tcW w:w="7980" w:type="dxa"/>
            <w:vAlign w:val="bottom"/>
          </w:tcPr>
          <w:p>
            <w:pPr>
              <w:jc w:val="center"/>
              <w:ind w:left="3370"/>
              <w:spacing w:after="0"/>
              <w:rPr>
                <w:sz w:val="20"/>
                <w:szCs w:val="20"/>
                <w:color w:val="auto"/>
              </w:rPr>
            </w:pPr>
            <w:r>
              <w:rPr>
                <w:rFonts w:ascii="Arial" w:cs="Arial" w:eastAsia="Arial" w:hAnsi="Arial"/>
                <w:sz w:val="18"/>
                <w:szCs w:val="18"/>
                <w:b w:val="1"/>
                <w:bCs w:val="1"/>
                <w:color w:val="auto"/>
                <w:w w:val="92"/>
              </w:rPr>
              <w:t>(Millions of dollars)</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86"/>
        </w:trPr>
        <w:tc>
          <w:tcPr>
            <w:tcW w:w="7980" w:type="dxa"/>
            <w:vAlign w:val="bottom"/>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640" w:type="dxa"/>
            <w:vAlign w:val="bottom"/>
          </w:tcPr>
          <w:p>
            <w:pPr>
              <w:spacing w:after="0"/>
              <w:rPr>
                <w:sz w:val="24"/>
                <w:szCs w:val="24"/>
                <w:color w:val="auto"/>
              </w:rPr>
            </w:pPr>
          </w:p>
        </w:tc>
      </w:tr>
      <w:tr>
        <w:trPr>
          <w:trHeight w:val="270"/>
        </w:trPr>
        <w:tc>
          <w:tcPr>
            <w:tcW w:w="79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5"/>
              </w:rPr>
              <w:t>September 30,</w:t>
            </w:r>
          </w:p>
        </w:tc>
        <w:tc>
          <w:tcPr>
            <w:tcW w:w="640" w:type="dxa"/>
            <w:vAlign w:val="bottom"/>
          </w:tcPr>
          <w:p>
            <w:pPr>
              <w:spacing w:after="0"/>
              <w:rPr>
                <w:sz w:val="23"/>
                <w:szCs w:val="23"/>
                <w:color w:val="auto"/>
              </w:rPr>
            </w:pPr>
          </w:p>
        </w:tc>
      </w:tr>
      <w:tr>
        <w:trPr>
          <w:trHeight w:val="27"/>
        </w:trPr>
        <w:tc>
          <w:tcPr>
            <w:tcW w:w="7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1,425</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1,570</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Adjustments to 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151</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Amortization of acquisition-related intangibles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Amortization of capitalized software</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Stock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Deferred taxes</w:t>
            </w:r>
          </w:p>
        </w:tc>
        <w:tc>
          <w:tcPr>
            <w:tcW w:w="10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Increase (decrease) from changes in:</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151</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r>
      <w:tr>
        <w:trPr>
          <w:trHeight w:val="243"/>
        </w:trPr>
        <w:tc>
          <w:tcPr>
            <w:tcW w:w="7980" w:type="dxa"/>
            <w:vAlign w:val="bottom"/>
          </w:tcPr>
          <w:p>
            <w:pPr>
              <w:ind w:left="460"/>
              <w:spacing w:after="0"/>
              <w:rPr>
                <w:sz w:val="20"/>
                <w:szCs w:val="20"/>
                <w:color w:val="auto"/>
              </w:rPr>
            </w:pPr>
            <w:r>
              <w:rPr>
                <w:rFonts w:ascii="Arial" w:cs="Arial" w:eastAsia="Arial" w:hAnsi="Arial"/>
                <w:sz w:val="18"/>
                <w:szCs w:val="18"/>
                <w:color w:val="auto"/>
              </w:rPr>
              <w:t>Accrued compensation</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137</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taxes payable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1,992</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2,106</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(986)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(3,099)</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short-term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1,715</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(1,768)</w:t>
            </w:r>
          </w:p>
        </w:tc>
      </w:tr>
      <w:tr>
        <w:trPr>
          <w:trHeight w:val="237"/>
        </w:trPr>
        <w:tc>
          <w:tcPr>
            <w:tcW w:w="79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Repayment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10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repurchases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(1,200)</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55</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(998)</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(1,755)</w:t>
            </w:r>
          </w:p>
        </w:tc>
      </w:tr>
      <w:tr>
        <w:trPr>
          <w:trHeight w:val="27"/>
        </w:trPr>
        <w:tc>
          <w:tcPr>
            <w:tcW w:w="7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6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(1,417)</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3,813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2,919</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3,893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1,502</w:t>
            </w:r>
          </w:p>
        </w:tc>
      </w:tr>
      <w:tr>
        <w:trPr>
          <w:trHeight w:val="27"/>
        </w:trPr>
        <w:tc>
          <w:tcPr>
            <w:tcW w:w="7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175" w:right="2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TI reports third quarter 2019 financial results and shareholder returns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Page 6</w:t>
            </w:r>
          </w:p>
        </w:tc>
      </w:tr>
      <w:tr>
        <w:trPr>
          <w:trHeight w:val="675"/>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Segment results</w:t>
            </w: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5"/>
        </w:trPr>
        <w:tc>
          <w:tcPr>
            <w:tcW w:w="68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Q3 2019</w:t>
            </w:r>
          </w:p>
        </w:tc>
        <w:tc>
          <w:tcPr>
            <w:tcW w:w="240" w:type="dxa"/>
            <w:vAlign w:val="bottom"/>
          </w:tcPr>
          <w:p>
            <w:pPr>
              <w:spacing w:after="0"/>
              <w:rPr>
                <w:sz w:val="23"/>
                <w:szCs w:val="23"/>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Q3 2018</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7"/>
        </w:trPr>
        <w:tc>
          <w:tcPr>
            <w:tcW w:w="20" w:type="dxa"/>
            <w:vAlign w:val="bottom"/>
          </w:tcPr>
          <w:p>
            <w:pPr>
              <w:spacing w:after="0"/>
              <w:rPr>
                <w:sz w:val="2"/>
                <w:szCs w:val="2"/>
                <w:color w:val="auto"/>
              </w:rPr>
            </w:pPr>
          </w:p>
        </w:tc>
        <w:tc>
          <w:tcPr>
            <w:tcW w:w="67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20" w:type="dxa"/>
            <w:vAlign w:val="bottom"/>
          </w:tcPr>
          <w:p>
            <w:pPr>
              <w:spacing w:after="0"/>
              <w:rPr>
                <w:sz w:val="2"/>
                <w:szCs w:val="2"/>
                <w:color w:val="auto"/>
              </w:rPr>
            </w:pPr>
          </w:p>
        </w:tc>
        <w:tc>
          <w:tcPr>
            <w:tcW w:w="6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20" w:type="dxa"/>
            <w:vAlign w:val="bottom"/>
          </w:tcPr>
          <w:p>
            <w:pPr>
              <w:spacing w:after="0"/>
              <w:rPr>
                <w:sz w:val="21"/>
                <w:szCs w:val="21"/>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20" w:type="dxa"/>
            <w:vAlign w:val="bottom"/>
          </w:tcPr>
          <w:p>
            <w:pPr>
              <w:spacing w:after="0"/>
              <w:rPr>
                <w:sz w:val="21"/>
                <w:szCs w:val="21"/>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20" w:type="dxa"/>
            <w:vAlign w:val="bottom"/>
          </w:tcPr>
          <w:p>
            <w:pPr>
              <w:spacing w:after="0"/>
              <w:rPr>
                <w:sz w:val="2"/>
                <w:szCs w:val="2"/>
                <w:color w:val="auto"/>
              </w:rPr>
            </w:pPr>
          </w:p>
        </w:tc>
        <w:tc>
          <w:tcPr>
            <w:tcW w:w="6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20" w:type="dxa"/>
            <w:vAlign w:val="bottom"/>
          </w:tcPr>
          <w:p>
            <w:pPr>
              <w:spacing w:after="0"/>
              <w:rPr>
                <w:sz w:val="2"/>
                <w:szCs w:val="2"/>
                <w:color w:val="auto"/>
              </w:rPr>
            </w:pPr>
          </w:p>
        </w:tc>
        <w:tc>
          <w:tcPr>
            <w:tcW w:w="6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20" w:type="dxa"/>
            <w:vAlign w:val="bottom"/>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27"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in Power, Signal Chain and High Volume.</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decreased primarily due to lower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27"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in both product lines.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3"/>
          <w:szCs w:val="23"/>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by $87 million, and operating profit decreased by $56 million.</w:t>
      </w:r>
    </w:p>
    <w:p>
      <w:pPr>
        <w:sectPr>
          <w:pgSz w:w="11900" w:h="16838" w:orient="portrait"/>
          <w:cols w:equalWidth="0" w:num="1">
            <w:col w:w="11420"/>
          </w:cols>
          <w:pgMar w:left="240" w:top="175" w:right="239" w:bottom="1440" w:gutter="0" w:footer="0" w:header="0"/>
        </w:sectPr>
      </w:pPr>
    </w:p>
    <w:bookmarkStart w:id="9" w:name="page10"/>
    <w:bookmarkEnd w:id="9"/>
    <w:p>
      <w:pPr>
        <w:ind w:left="20"/>
        <w:spacing w:after="0"/>
        <w:tabs>
          <w:tab w:leader="none" w:pos="10860" w:val="left"/>
        </w:tabs>
        <w:rPr>
          <w:sz w:val="20"/>
          <w:szCs w:val="20"/>
          <w:color w:val="auto"/>
        </w:rPr>
      </w:pPr>
      <w:r>
        <w:rPr>
          <w:rFonts w:ascii="Arial" w:cs="Arial" w:eastAsia="Arial" w:hAnsi="Arial"/>
          <w:sz w:val="18"/>
          <w:szCs w:val="18"/>
          <w:b w:val="1"/>
          <w:bCs w:val="1"/>
          <w:color w:val="auto"/>
        </w:rPr>
        <w:t>TI reports third quarter 2019 financial results and shareholder returns</w:t>
      </w:r>
      <w:r>
        <w:rPr>
          <w:sz w:val="20"/>
          <w:szCs w:val="20"/>
          <w:color w:val="auto"/>
        </w:rPr>
        <w:tab/>
      </w:r>
      <w:r>
        <w:rPr>
          <w:rFonts w:ascii="Arial" w:cs="Arial" w:eastAsia="Arial" w:hAnsi="Arial"/>
          <w:sz w:val="15"/>
          <w:szCs w:val="15"/>
          <w:b w:val="1"/>
          <w:bCs w:val="1"/>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12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2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7,040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(1,007)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6,033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r>
      <w:tr>
        <w:trPr>
          <w:trHeight w:val="289"/>
        </w:trPr>
        <w:tc>
          <w:tcPr>
            <w:tcW w:w="20" w:type="dxa"/>
            <w:vAlign w:val="bottom"/>
          </w:tcPr>
          <w:p>
            <w:pPr>
              <w:spacing w:after="0"/>
              <w:rPr>
                <w:sz w:val="24"/>
                <w:szCs w:val="24"/>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14,750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15,817</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 of revenue (GAAP)</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Free cash flow as a percent of revenue (non-GAAP)</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40.9 %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ectPr>
          <w:pgSz w:w="11900" w:h="16838" w:orient="portrait"/>
          <w:cols w:equalWidth="0" w:num="1">
            <w:col w:w="11400"/>
          </w:cols>
          <w:pgMar w:left="240" w:top="175" w:right="259" w:bottom="1440" w:gutter="0" w:footer="0" w:header="0"/>
        </w:sectPr>
      </w:pPr>
    </w:p>
    <w:bookmarkStart w:id="10" w:name="page11"/>
    <w:bookmarkEnd w:id="10"/>
    <w:p>
      <w:pPr>
        <w:ind w:left="20"/>
        <w:spacing w:after="0"/>
        <w:tabs>
          <w:tab w:leader="none" w:pos="10860" w:val="left"/>
        </w:tabs>
        <w:rPr>
          <w:sz w:val="20"/>
          <w:szCs w:val="20"/>
          <w:color w:val="auto"/>
        </w:rPr>
      </w:pPr>
      <w:r>
        <w:rPr>
          <w:rFonts w:ascii="Arial" w:cs="Arial" w:eastAsia="Arial" w:hAnsi="Arial"/>
          <w:sz w:val="18"/>
          <w:szCs w:val="18"/>
          <w:b w:val="1"/>
          <w:bCs w:val="1"/>
          <w:color w:val="auto"/>
        </w:rPr>
        <w:t>TI reports third quarter 2019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 #</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23" w:lineRule="exact"/>
        <w:rPr>
          <w:rFonts w:ascii="Arial" w:cs="Arial" w:eastAsia="Arial" w:hAnsi="Arial"/>
          <w:sz w:val="18"/>
          <w:szCs w:val="18"/>
          <w:color w:val="auto"/>
        </w:rPr>
      </w:pP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ind w:left="620" w:right="14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9" w:lineRule="exact"/>
        <w:rPr>
          <w:rFonts w:ascii="Arial" w:cs="Arial" w:eastAsia="Arial" w:hAnsi="Arial"/>
          <w:sz w:val="18"/>
          <w:szCs w:val="18"/>
          <w:color w:val="auto"/>
        </w:rPr>
      </w:pPr>
    </w:p>
    <w:p>
      <w:pPr>
        <w:ind w:left="620" w:hanging="32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32" w:lineRule="exact"/>
        <w:rPr>
          <w:rFonts w:ascii="Arial" w:cs="Arial" w:eastAsia="Arial" w:hAnsi="Arial"/>
          <w:sz w:val="16"/>
          <w:szCs w:val="16"/>
          <w:color w:val="auto"/>
        </w:rPr>
      </w:pP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20" w:right="8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20" w:hanging="32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ind w:left="620" w:right="20" w:hanging="328"/>
        <w:spacing w:after="0" w:line="281" w:lineRule="auto"/>
        <w:tabs>
          <w:tab w:leader="none" w:pos="61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 w:lineRule="exact"/>
        <w:rPr>
          <w:rFonts w:ascii="Arial" w:cs="Arial" w:eastAsia="Arial" w:hAnsi="Arial"/>
          <w:sz w:val="16"/>
          <w:szCs w:val="16"/>
          <w:color w:val="auto"/>
        </w:rPr>
      </w:pPr>
    </w:p>
    <w:p>
      <w:pPr>
        <w:ind w:left="620" w:right="420" w:hanging="328"/>
        <w:spacing w:after="0" w:line="265"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right="68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unexpected loss of significant distributors;</w:t>
      </w:r>
    </w:p>
    <w:p>
      <w:pPr>
        <w:ind w:left="620" w:hanging="32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24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ind w:left="620" w:right="20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right="62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recruit and retain skilled engineering, management and technical personnel, and effectively manage key employee succession;</w:t>
      </w:r>
    </w:p>
    <w:p>
      <w:pPr>
        <w:spacing w:after="0" w:line="20" w:lineRule="exact"/>
        <w:rPr>
          <w:rFonts w:ascii="Arial" w:cs="Arial" w:eastAsia="Arial" w:hAnsi="Arial"/>
          <w:sz w:val="17"/>
          <w:szCs w:val="17"/>
          <w:color w:val="auto"/>
        </w:rPr>
      </w:pPr>
    </w:p>
    <w:p>
      <w:pPr>
        <w:ind w:left="620" w:right="30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ectPr>
          <w:pgSz w:w="11900" w:h="16838" w:orient="portrait"/>
          <w:cols w:equalWidth="0" w:num="1">
            <w:col w:w="11380"/>
          </w:cols>
          <w:pgMar w:left="240" w:top="175" w:right="279" w:bottom="1440" w:gutter="0" w:footer="0" w:header="0"/>
        </w:sectPr>
      </w:pPr>
    </w:p>
    <w:bookmarkStart w:id="11" w:name="page12"/>
    <w:bookmarkEnd w:id="11"/>
    <w:p>
      <w:pPr>
        <w:ind w:left="20"/>
        <w:spacing w:after="0"/>
        <w:tabs>
          <w:tab w:leader="none" w:pos="10860" w:val="left"/>
        </w:tabs>
        <w:rPr>
          <w:sz w:val="20"/>
          <w:szCs w:val="20"/>
          <w:color w:val="auto"/>
        </w:rPr>
      </w:pPr>
      <w:r>
        <w:rPr>
          <w:rFonts w:ascii="Arial" w:cs="Arial" w:eastAsia="Arial" w:hAnsi="Arial"/>
          <w:sz w:val="18"/>
          <w:szCs w:val="18"/>
          <w:b w:val="1"/>
          <w:bCs w:val="1"/>
          <w:color w:val="auto"/>
        </w:rPr>
        <w:t>TI reports third quarter 2019 financial results and shareholder returns</w:t>
      </w:r>
      <w:r>
        <w:rPr>
          <w:sz w:val="20"/>
          <w:szCs w:val="20"/>
          <w:color w:val="auto"/>
        </w:rPr>
        <w:tab/>
      </w:r>
      <w:r>
        <w:rPr>
          <w:rFonts w:ascii="Arial" w:cs="Arial" w:eastAsia="Arial" w:hAnsi="Arial"/>
          <w:sz w:val="15"/>
          <w:szCs w:val="15"/>
          <w:b w:val="1"/>
          <w:bCs w:val="1"/>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From connected cars and intelligent homes to self-monitoring health devices and automated factories, Texas Instruments Incorporated (TI) (Nasdaq: TXN) products are at work in virtually every type of electronic system. With operations in more than 30 countries, we engineer, manufacture, test and sell analog and embedded semiconductor chips. Our employees, about 30,000 worldwide, are driven by core values of integrity, innovation and commitment, and work every day to shape the future of technology. Learn more at </w:t>
      </w:r>
      <w:r>
        <w:rPr>
          <w:rFonts w:ascii="Arial" w:cs="Arial" w:eastAsia="Arial" w:hAnsi="Arial"/>
          <w:sz w:val="18"/>
          <w:szCs w:val="18"/>
          <w:u w:val="single" w:color="auto"/>
          <w:color w:val="3A3AFF"/>
        </w:rPr>
        <w:t>www.TI.com</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00"/>
      </w:cols>
      <w:pgMar w:left="240" w:top="17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2019-12-28T05:16:19Z</dcterms:created>
  <dcterms:modified xsi:type="dcterms:W3CDTF">2019-12-28T05:16:19Z</dcterms:modified>
</cp:coreProperties>
</file>