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None</w:t>
      </w:r>
    </w:p>
    <w:p>
      <w:pPr>
        <w:spacing w:after="0"/>
        <w:rPr>
          <w:sz w:val="20"/>
          <w:szCs w:val="20"/>
          <w:color w:val="auto"/>
        </w:rPr>
      </w:pPr>
      <w:r>
        <w:rPr>
          <w:rFonts w:ascii="Courier New" w:cs="Courier New" w:eastAsia="Courier New" w:hAnsi="Courier New"/>
          <w:sz w:val="18"/>
          <w:szCs w:val="18"/>
          <w:color w:val="auto"/>
        </w:rPr>
        <w:t>Filing Fee: No</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882508104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570,775</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12,627,124</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12,627,124</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13.78%</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38" w:orient="portrait"/>
          <w:cols w:equalWidth="0" w:num="2">
            <w:col w:w="4960" w:space="200"/>
            <w:col w:w="505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882508104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12,627,124</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12,627,124</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13.78%</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8" w:lineRule="exact"/>
        <w:rPr>
          <w:sz w:val="24"/>
          <w:szCs w:val="24"/>
          <w:color w:val="auto"/>
        </w:rPr>
      </w:pPr>
    </w:p>
    <w:p>
      <w:pPr>
        <w:sectPr>
          <w:pgSz w:w="11900" w:h="16838" w:orient="portrait"/>
          <w:cols w:equalWidth="0" w:num="2">
            <w:col w:w="6120" w:space="200"/>
            <w:col w:w="389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13500 North Central Expressway, P.O. Box 655474</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75265-5474</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882508104</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4"/>
          <w:szCs w:val="24"/>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12,627,124</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13.78%</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570,775</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12,627,124</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Texas Instruments Incorporated.</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interest of one person, Fidelity Magellan Fund, an investment company registered under the Investment Company Act of 1940, in the common stock of Texas Instruments Incorporated, amounted to 5,403,100 shares or 5.90% of the total outstanding common stock at April 30, 1994.</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May 5, 1994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8"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11,563,720 shares or 12.62% of the common stock outstanding of Texas Instruments Incorporated ("the Company") as a result of acting as investment adviser to several investment companies registered under Section 8 of the Investment Company Act of 1940. The number of shares of common stock of Texas Instruments Incorporated owned by the investment companies at April 30, 1994 included 787,307 shares of common stock resulting from the assumed conversion of $65,250,000 principal amount of the 2.75% EuroConvertible (12.066 shares of common stock for each $1,000 principal amount of the 2.75% EuroConvertible).</w:t>
      </w:r>
    </w:p>
    <w:p>
      <w:pPr>
        <w:spacing w:after="0" w:line="207"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Magellan Fund, amounted to 5,403,100 shares or 5.90% of the common stock outstanding. Fidelity Magellan Fund has its principal business office at 82 Devonshire Street, Boston, Massachusetts 02109.</w:t>
      </w:r>
    </w:p>
    <w:p>
      <w:pPr>
        <w:spacing w:after="0" w:line="207"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11,563,720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1,004,504 shares or 1.10% of the common stock outstanding of the company as a result of its serving as investment manager of the institutional account(s).</w:t>
      </w:r>
    </w:p>
    <w:p>
      <w:pPr>
        <w:spacing w:after="0" w:line="21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FMR Corp., through its control of Fidelity Management Trust Company, has sole dispositive power over 1,004,504 shares and sole power to vote or to direct the voting of 511,875 shares, and no power to vote or to direct the voting of 492,629 Shares of common stock owned by the institutional account(s) as reported above.</w:t>
      </w:r>
    </w:p>
    <w:p>
      <w:pPr>
        <w:spacing w:after="0" w:line="209"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Edward C. Johnson 3d owns 34.0%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form a controlling group with respect to FMR Corp.</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58,900 shares or 0.06% of the common stock outstanding of the company. Additional information with respect to the beneficial ownership of Fidelity International Limited is shown on Exhibit B, page 9.</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Bermudian joint stock company incorporated for an unlimited duration by private act of the Bermuda Legislature (FIL) and an investment adviser to various investment companies (the "International Funds") and certain institutional investors, as a beneficial owner of the 58,900</w:t>
      </w:r>
    </w:p>
    <w:p>
      <w:pPr>
        <w:spacing w:after="0" w:line="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shares or 0.06% of the common stock outstanding of Texas Instruments Incorporated.</w:t>
      </w:r>
    </w:p>
    <w:p>
      <w:pPr>
        <w:spacing w:after="0" w:line="208" w:lineRule="exact"/>
        <w:rPr>
          <w:sz w:val="20"/>
          <w:szCs w:val="20"/>
          <w:color w:val="auto"/>
        </w:rPr>
      </w:pPr>
    </w:p>
    <w:p>
      <w:pPr>
        <w:ind w:right="1879" w:firstLine="843"/>
        <w:spacing w:after="0" w:line="279" w:lineRule="auto"/>
        <w:rPr>
          <w:sz w:val="20"/>
          <w:szCs w:val="20"/>
          <w:color w:val="auto"/>
        </w:rPr>
      </w:pPr>
      <w:r>
        <w:rPr>
          <w:rFonts w:ascii="Courier New" w:cs="Courier New" w:eastAsia="Courier New" w:hAnsi="Courier New"/>
          <w:sz w:val="16"/>
          <w:szCs w:val="16"/>
          <w:color w:val="auto"/>
        </w:rPr>
        <w:t>Prior to June 30, 1980, FIL was a majority-owned subsidiary of Fidelity Management &amp; Research Company (Fidelity), a wholly-owned subsidiary of FMR Corp. On that date, the shares of FIL held by Fidelity were distributed, as a</w:t>
      </w:r>
    </w:p>
    <w:p>
      <w:pPr>
        <w:sectPr>
          <w:pgSz w:w="11900" w:h="16838" w:orient="portrait"/>
          <w:cols w:equalWidth="0" w:num="1">
            <w:col w:w="10219"/>
          </w:cols>
          <w:pgMar w:left="240" w:top="946" w:right="1440" w:bottom="0" w:gutter="0" w:footer="0" w:header="0"/>
        </w:sectPr>
      </w:pPr>
    </w:p>
    <w:bookmarkStart w:id="3" w:name="page4"/>
    <w:bookmarkEnd w:id="3"/>
    <w:p>
      <w:pPr>
        <w:ind w:right="2099"/>
        <w:spacing w:after="0" w:line="237" w:lineRule="auto"/>
        <w:rPr>
          <w:sz w:val="20"/>
          <w:szCs w:val="20"/>
          <w:color w:val="auto"/>
        </w:rPr>
      </w:pPr>
      <w:r>
        <w:rPr>
          <w:rFonts w:ascii="Courier New" w:cs="Courier New" w:eastAsia="Courier New" w:hAnsi="Courier New"/>
          <w:sz w:val="18"/>
          <w:szCs w:val="18"/>
          <w:color w:val="auto"/>
        </w:rPr>
        <w:t>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47.22% of the total votes which may be cast by all holders of FIL voting stock. Mr. Johnson 3d is Chairman of FMR Corp. and FIL. FMR Corp. and FIL are separate and independent corporate entities. FMR Corp. and FIL are managed independently and their Boards of Directors are generally composed of different individuals. Their investment decisions are made independently, and their clients are different organizations.</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FIL has the sole power to vote and the sole power to dispose of 58,900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RULE 13d-1(e)</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May 5, 1994, agree and consent to the joint filing on their behalf of this Schedule 13G in connection with their beneficial ownership of the common stock of Texas Instruments Incorporated at April 30, 1994.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FMR Corp.</w:t>
            </w:r>
          </w:p>
        </w:tc>
        <w:tc>
          <w:tcPr>
            <w:tcW w:w="2160" w:type="dxa"/>
            <w:vAlign w:val="bottom"/>
          </w:tcPr>
          <w:p>
            <w:pPr>
              <w:spacing w:after="0"/>
              <w:rPr>
                <w:sz w:val="17"/>
                <w:szCs w:val="17"/>
                <w:color w:val="auto"/>
              </w:rPr>
            </w:pP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Vice President -</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Legal</w:t>
            </w:r>
          </w:p>
        </w:tc>
        <w:tc>
          <w:tcPr>
            <w:tcW w:w="21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Edward C. Johnson 3d</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5/17/89</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On File with Schedule 13G</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Airborne Freight</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Corp. 9/10/91</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4"/>
              </w:rPr>
              <w:t>Fidelity</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Management &amp; Research Company</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Sr. V.P. and General Counsel</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4"/>
              </w:rPr>
              <w:t>Fidelity</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Magellan</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bl>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Arthur S. Loring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2019-12-13T07:43:18Z</dcterms:created>
  <dcterms:modified xsi:type="dcterms:W3CDTF">2019-12-13T07:43:18Z</dcterms:modified>
</cp:coreProperties>
</file>